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409" w:lineRule="exact"/>
        <w:ind w:left="479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472832" cy="153019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72832" cy="1530191"/>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8"/>
        <w:rPr>
          <w:rFonts w:ascii="Times New Roman" w:hAnsi="Times New Roman" w:cs="Times New Roman" w:eastAsia="Times New Roman" w:hint="default"/>
          <w:sz w:val="12"/>
          <w:szCs w:val="12"/>
        </w:rPr>
      </w:pPr>
    </w:p>
    <w:p>
      <w:pPr>
        <w:spacing w:line="460" w:lineRule="exact" w:before="0"/>
        <w:ind w:left="1475" w:right="1475" w:firstLine="0"/>
        <w:jc w:val="center"/>
        <w:rPr>
          <w:rFonts w:ascii="宋体" w:hAnsi="宋体" w:cs="宋体" w:eastAsia="宋体" w:hint="default"/>
          <w:sz w:val="36"/>
          <w:szCs w:val="36"/>
        </w:rPr>
      </w:pPr>
      <w:r>
        <w:rPr>
          <w:rFonts w:ascii="宋体" w:hAnsi="宋体" w:cs="宋体" w:eastAsia="宋体" w:hint="default"/>
          <w:b/>
          <w:bCs/>
          <w:sz w:val="36"/>
          <w:szCs w:val="36"/>
        </w:rPr>
        <w:t>杭州高新橡塑材料股份有限公司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475" w:right="14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475" w:right="14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公司负责人高长虹、主管会计工作负责人楼永富及会计机构负责人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缪勇刚声明：保证年度报告中财务报告的真实、准确、完整。</w:t>
      </w:r>
      <w:r>
        <w:rPr>
          <w:rFonts w:ascii="宋体" w:hAnsi="宋体" w:cs="宋体" w:eastAsia="宋体" w:hint="default"/>
          <w:sz w:val="28"/>
          <w:szCs w:val="28"/>
        </w:rPr>
      </w:r>
    </w:p>
    <w:p>
      <w:pPr>
        <w:spacing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2" w:lineRule="auto" w:before="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（一）应收账款回收风险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虽然公司应收账款客户主要为行业内优质企业，但仍然存在因客户信誉恶</w:t>
      </w:r>
      <w:r>
        <w:rPr>
          <w:rFonts w:ascii="宋体" w:hAnsi="宋体" w:cs="宋体" w:eastAsia="宋体" w:hint="default"/>
          <w:spacing w:val="3"/>
          <w:sz w:val="28"/>
          <w:szCs w:val="28"/>
        </w:rPr>
      </w:r>
    </w:p>
    <w:p>
      <w:pPr>
        <w:spacing w:line="354" w:lineRule="exact" w:before="0"/>
        <w:ind w:left="1133" w:right="0" w:firstLine="0"/>
        <w:jc w:val="both"/>
        <w:rPr>
          <w:rFonts w:ascii="宋体" w:hAnsi="宋体" w:cs="宋体" w:eastAsia="宋体" w:hint="default"/>
          <w:sz w:val="28"/>
          <w:szCs w:val="28"/>
        </w:rPr>
      </w:pPr>
      <w:r>
        <w:rPr>
          <w:rFonts w:ascii="宋体" w:hAnsi="宋体" w:cs="宋体" w:eastAsia="宋体" w:hint="default"/>
          <w:b/>
          <w:bCs/>
          <w:sz w:val="28"/>
          <w:szCs w:val="28"/>
        </w:rPr>
        <w:t>化、经营不善、资金链断裂而出现坏账的风险。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72" w:lineRule="auto" w:before="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（二）募集资金投资项目实施风险</w:t>
      </w:r>
      <w:r>
        <w:rPr>
          <w:rFonts w:ascii="宋体" w:hAnsi="宋体" w:cs="宋体" w:eastAsia="宋体" w:hint="default"/>
          <w:b/>
          <w:bCs/>
          <w:w w:val="99"/>
          <w:sz w:val="28"/>
          <w:szCs w:val="28"/>
        </w:rPr>
        <w:t> </w:t>
      </w:r>
      <w:r>
        <w:rPr>
          <w:rFonts w:ascii="宋体" w:hAnsi="宋体" w:cs="宋体" w:eastAsia="宋体" w:hint="default"/>
          <w:b/>
          <w:bCs/>
          <w:spacing w:val="-8"/>
          <w:sz w:val="28"/>
          <w:szCs w:val="28"/>
        </w:rPr>
        <w:t>报告期内，公司经中国证券监督管理委员会证监许可（</w:t>
      </w:r>
      <w:r>
        <w:rPr>
          <w:rFonts w:ascii="Times New Roman" w:hAnsi="Times New Roman" w:cs="Times New Roman" w:eastAsia="Times New Roman" w:hint="default"/>
          <w:b/>
          <w:bCs/>
          <w:spacing w:val="-8"/>
          <w:sz w:val="28"/>
          <w:szCs w:val="28"/>
        </w:rPr>
        <w:t>2015</w:t>
      </w:r>
      <w:r>
        <w:rPr>
          <w:rFonts w:ascii="宋体" w:hAnsi="宋体" w:cs="宋体" w:eastAsia="宋体" w:hint="default"/>
          <w:b/>
          <w:bCs/>
          <w:spacing w:val="-8"/>
          <w:sz w:val="28"/>
          <w:szCs w:val="28"/>
        </w:rPr>
        <w:t>）</w:t>
      </w:r>
      <w:r>
        <w:rPr>
          <w:rFonts w:ascii="Times New Roman" w:hAnsi="Times New Roman" w:cs="Times New Roman" w:eastAsia="Times New Roman" w:hint="default"/>
          <w:b/>
          <w:bCs/>
          <w:spacing w:val="-8"/>
          <w:sz w:val="28"/>
          <w:szCs w:val="28"/>
        </w:rPr>
        <w:t>957</w:t>
      </w:r>
      <w:r>
        <w:rPr>
          <w:rFonts w:ascii="Times New Roman" w:hAnsi="Times New Roman" w:cs="Times New Roman" w:eastAsia="Times New Roman" w:hint="default"/>
          <w:b/>
          <w:bCs/>
          <w:spacing w:val="-33"/>
          <w:sz w:val="28"/>
          <w:szCs w:val="28"/>
        </w:rPr>
        <w:t> </w:t>
      </w:r>
      <w:r>
        <w:rPr>
          <w:rFonts w:ascii="宋体" w:hAnsi="宋体" w:cs="宋体" w:eastAsia="宋体" w:hint="default"/>
          <w:b/>
          <w:bCs/>
          <w:sz w:val="28"/>
          <w:szCs w:val="28"/>
        </w:rPr>
        <w:t>号文核准，</w:t>
      </w:r>
      <w:r>
        <w:rPr>
          <w:rFonts w:ascii="宋体" w:hAnsi="宋体" w:cs="宋体" w:eastAsia="宋体" w:hint="default"/>
          <w:sz w:val="28"/>
          <w:szCs w:val="28"/>
        </w:rPr>
      </w:r>
    </w:p>
    <w:p>
      <w:pPr>
        <w:spacing w:line="323" w:lineRule="exact" w:before="0"/>
        <w:ind w:left="1133" w:right="0"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深圳证券交易所深证上（</w:t>
      </w:r>
      <w:r>
        <w:rPr>
          <w:rFonts w:ascii="Times New Roman" w:hAnsi="Times New Roman" w:cs="Times New Roman" w:eastAsia="Times New Roman" w:hint="default"/>
          <w:b/>
          <w:bCs/>
          <w:spacing w:val="-4"/>
          <w:w w:val="95"/>
          <w:sz w:val="28"/>
          <w:szCs w:val="28"/>
        </w:rPr>
        <w:t>2015</w:t>
      </w:r>
      <w:r>
        <w:rPr>
          <w:rFonts w:ascii="宋体" w:hAnsi="宋体" w:cs="宋体" w:eastAsia="宋体" w:hint="default"/>
          <w:b/>
          <w:bCs/>
          <w:spacing w:val="-4"/>
          <w:w w:val="95"/>
          <w:sz w:val="28"/>
          <w:szCs w:val="28"/>
        </w:rPr>
        <w:t>）</w:t>
      </w:r>
      <w:r>
        <w:rPr>
          <w:rFonts w:ascii="Times New Roman" w:hAnsi="Times New Roman" w:cs="Times New Roman" w:eastAsia="Times New Roman" w:hint="default"/>
          <w:b/>
          <w:bCs/>
          <w:spacing w:val="-4"/>
          <w:w w:val="95"/>
          <w:sz w:val="28"/>
          <w:szCs w:val="28"/>
        </w:rPr>
        <w:t>258      </w:t>
      </w:r>
      <w:r>
        <w:rPr>
          <w:rFonts w:ascii="Times New Roman" w:hAnsi="Times New Roman" w:cs="Times New Roman" w:eastAsia="Times New Roman" w:hint="default"/>
          <w:b/>
          <w:bCs/>
          <w:spacing w:val="34"/>
          <w:w w:val="95"/>
          <w:sz w:val="28"/>
          <w:szCs w:val="28"/>
        </w:rPr>
        <w:t> </w:t>
      </w:r>
      <w:r>
        <w:rPr>
          <w:rFonts w:ascii="宋体" w:hAnsi="宋体" w:cs="宋体" w:eastAsia="宋体" w:hint="default"/>
          <w:b/>
          <w:bCs/>
          <w:w w:val="95"/>
          <w:sz w:val="28"/>
          <w:szCs w:val="28"/>
        </w:rPr>
        <w:t>号文同意，首次向社会公开发行人民币普通</w:t>
      </w:r>
      <w:r>
        <w:rPr>
          <w:rFonts w:ascii="宋体" w:hAnsi="宋体" w:cs="宋体" w:eastAsia="宋体" w:hint="default"/>
          <w:sz w:val="28"/>
          <w:szCs w:val="28"/>
        </w:rPr>
      </w:r>
    </w:p>
    <w:p>
      <w:pPr>
        <w:spacing w:before="236"/>
        <w:ind w:left="1133" w:right="0" w:firstLine="0"/>
        <w:jc w:val="both"/>
        <w:rPr>
          <w:rFonts w:ascii="宋体" w:hAnsi="宋体" w:cs="宋体" w:eastAsia="宋体" w:hint="default"/>
          <w:sz w:val="28"/>
          <w:szCs w:val="28"/>
        </w:rPr>
      </w:pPr>
      <w:r>
        <w:rPr>
          <w:rFonts w:ascii="宋体" w:hAnsi="宋体" w:cs="宋体" w:eastAsia="宋体" w:hint="default"/>
          <w:b/>
          <w:bCs/>
          <w:spacing w:val="8"/>
          <w:sz w:val="28"/>
          <w:szCs w:val="28"/>
        </w:rPr>
        <w:t>股（</w:t>
      </w:r>
      <w:r>
        <w:rPr>
          <w:rFonts w:ascii="Times New Roman" w:hAnsi="Times New Roman" w:cs="Times New Roman" w:eastAsia="Times New Roman" w:hint="default"/>
          <w:b/>
          <w:bCs/>
          <w:spacing w:val="8"/>
          <w:sz w:val="28"/>
          <w:szCs w:val="28"/>
        </w:rPr>
        <w:t>A  </w:t>
      </w:r>
      <w:r>
        <w:rPr>
          <w:rFonts w:ascii="宋体" w:hAnsi="宋体" w:cs="宋体" w:eastAsia="宋体" w:hint="default"/>
          <w:b/>
          <w:bCs/>
          <w:spacing w:val="3"/>
          <w:sz w:val="28"/>
          <w:szCs w:val="28"/>
        </w:rPr>
        <w:t>股）</w:t>
      </w:r>
      <w:r>
        <w:rPr>
          <w:rFonts w:ascii="Times New Roman" w:hAnsi="Times New Roman" w:cs="Times New Roman" w:eastAsia="Times New Roman" w:hint="default"/>
          <w:b/>
          <w:bCs/>
          <w:spacing w:val="3"/>
          <w:sz w:val="28"/>
          <w:szCs w:val="28"/>
        </w:rPr>
        <w:t>1,667  </w:t>
      </w:r>
      <w:r>
        <w:rPr>
          <w:rFonts w:ascii="宋体" w:hAnsi="宋体" w:cs="宋体" w:eastAsia="宋体" w:hint="default"/>
          <w:b/>
          <w:bCs/>
          <w:spacing w:val="10"/>
          <w:sz w:val="28"/>
          <w:szCs w:val="28"/>
        </w:rPr>
        <w:t>万股，每股发行价格 </w:t>
      </w:r>
      <w:r>
        <w:rPr>
          <w:rFonts w:ascii="Times New Roman" w:hAnsi="Times New Roman" w:cs="Times New Roman" w:eastAsia="Times New Roman" w:hint="default"/>
          <w:b/>
          <w:bCs/>
          <w:sz w:val="28"/>
          <w:szCs w:val="28"/>
        </w:rPr>
        <w:t>14.84</w:t>
      </w:r>
      <w:r>
        <w:rPr>
          <w:rFonts w:ascii="Times New Roman" w:hAnsi="Times New Roman" w:cs="Times New Roman" w:eastAsia="Times New Roman" w:hint="default"/>
          <w:b/>
          <w:bCs/>
          <w:spacing w:val="42"/>
          <w:sz w:val="28"/>
          <w:szCs w:val="28"/>
        </w:rPr>
        <w:t> </w:t>
      </w:r>
      <w:r>
        <w:rPr>
          <w:rFonts w:ascii="宋体" w:hAnsi="宋体" w:cs="宋体" w:eastAsia="宋体" w:hint="default"/>
          <w:b/>
          <w:bCs/>
          <w:spacing w:val="11"/>
          <w:sz w:val="28"/>
          <w:szCs w:val="28"/>
        </w:rPr>
        <w:t>元，新股发行募集资金总额为</w:t>
      </w:r>
      <w:r>
        <w:rPr>
          <w:rFonts w:ascii="宋体" w:hAnsi="宋体" w:cs="宋体" w:eastAsia="宋体" w:hint="default"/>
          <w:spacing w:val="11"/>
          <w:sz w:val="28"/>
          <w:szCs w:val="28"/>
        </w:rPr>
      </w:r>
    </w:p>
    <w:p>
      <w:pPr>
        <w:spacing w:before="236"/>
        <w:ind w:left="1133" w:right="0" w:firstLine="0"/>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247,382,800.00  </w:t>
      </w:r>
      <w:r>
        <w:rPr>
          <w:rFonts w:ascii="宋体" w:hAnsi="宋体" w:cs="宋体" w:eastAsia="宋体" w:hint="default"/>
          <w:b/>
          <w:bCs/>
          <w:sz w:val="28"/>
          <w:szCs w:val="28"/>
        </w:rPr>
        <w:t>元，减除发行费用人民币 </w:t>
      </w:r>
      <w:r>
        <w:rPr>
          <w:rFonts w:ascii="Times New Roman" w:hAnsi="Times New Roman" w:cs="Times New Roman" w:eastAsia="Times New Roman" w:hint="default"/>
          <w:b/>
          <w:bCs/>
          <w:sz w:val="28"/>
          <w:szCs w:val="28"/>
        </w:rPr>
        <w:t>34,348,135.15 </w:t>
      </w:r>
      <w:r>
        <w:rPr>
          <w:rFonts w:ascii="宋体" w:hAnsi="宋体" w:cs="宋体" w:eastAsia="宋体" w:hint="default"/>
          <w:b/>
          <w:bCs/>
          <w:sz w:val="28"/>
          <w:szCs w:val="28"/>
        </w:rPr>
        <w:t>元后，募集资金净额为</w:t>
      </w:r>
      <w:r>
        <w:rPr>
          <w:rFonts w:ascii="宋体" w:hAnsi="宋体" w:cs="宋体" w:eastAsia="宋体" w:hint="default"/>
          <w:sz w:val="28"/>
          <w:szCs w:val="28"/>
        </w:rPr>
      </w:r>
    </w:p>
    <w:p>
      <w:pPr>
        <w:spacing w:before="236"/>
        <w:ind w:left="1133" w:right="0" w:firstLine="0"/>
        <w:jc w:val="both"/>
        <w:rPr>
          <w:rFonts w:ascii="宋体" w:hAnsi="宋体" w:cs="宋体" w:eastAsia="宋体" w:hint="default"/>
          <w:sz w:val="28"/>
          <w:szCs w:val="28"/>
        </w:rPr>
      </w:pPr>
      <w:r>
        <w:rPr>
          <w:rFonts w:ascii="Times New Roman" w:hAnsi="Times New Roman" w:cs="Times New Roman" w:eastAsia="Times New Roman" w:hint="default"/>
          <w:b/>
          <w:bCs/>
          <w:w w:val="99"/>
          <w:sz w:val="28"/>
          <w:szCs w:val="28"/>
        </w:rPr>
        <w:t>213,034,</w:t>
      </w:r>
      <w:r>
        <w:rPr>
          <w:rFonts w:ascii="Times New Roman" w:hAnsi="Times New Roman" w:cs="Times New Roman" w:eastAsia="Times New Roman" w:hint="default"/>
          <w:b/>
          <w:bCs/>
          <w:spacing w:val="-1"/>
          <w:w w:val="99"/>
          <w:sz w:val="28"/>
          <w:szCs w:val="28"/>
        </w:rPr>
        <w:t>6</w:t>
      </w:r>
      <w:r>
        <w:rPr>
          <w:rFonts w:ascii="Times New Roman" w:hAnsi="Times New Roman" w:cs="Times New Roman" w:eastAsia="Times New Roman" w:hint="default"/>
          <w:b/>
          <w:bCs/>
          <w:w w:val="99"/>
          <w:sz w:val="28"/>
          <w:szCs w:val="28"/>
        </w:rPr>
        <w:t>64.85</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120"/>
          <w:w w:val="99"/>
          <w:sz w:val="28"/>
          <w:szCs w:val="28"/>
        </w:rPr>
        <w:t>。</w:t>
      </w:r>
      <w:r>
        <w:rPr>
          <w:rFonts w:ascii="宋体" w:hAnsi="宋体" w:cs="宋体" w:eastAsia="宋体" w:hint="default"/>
          <w:b/>
          <w:bCs/>
          <w:w w:val="99"/>
          <w:sz w:val="28"/>
          <w:szCs w:val="28"/>
        </w:rPr>
        <w:t>公司首</w:t>
      </w:r>
      <w:r>
        <w:rPr>
          <w:rFonts w:ascii="宋体" w:hAnsi="宋体" w:cs="宋体" w:eastAsia="宋体" w:hint="default"/>
          <w:b/>
          <w:bCs/>
          <w:spacing w:val="2"/>
          <w:w w:val="99"/>
          <w:sz w:val="28"/>
          <w:szCs w:val="28"/>
        </w:rPr>
        <w:t>次</w:t>
      </w:r>
      <w:r>
        <w:rPr>
          <w:rFonts w:ascii="宋体" w:hAnsi="宋体" w:cs="宋体" w:eastAsia="宋体" w:hint="default"/>
          <w:b/>
          <w:bCs/>
          <w:w w:val="99"/>
          <w:sz w:val="28"/>
          <w:szCs w:val="28"/>
        </w:rPr>
        <w:t>公开发</w:t>
      </w:r>
      <w:r>
        <w:rPr>
          <w:rFonts w:ascii="宋体" w:hAnsi="宋体" w:cs="宋体" w:eastAsia="宋体" w:hint="default"/>
          <w:b/>
          <w:bCs/>
          <w:spacing w:val="2"/>
          <w:w w:val="99"/>
          <w:sz w:val="28"/>
          <w:szCs w:val="28"/>
        </w:rPr>
        <w:t>行</w:t>
      </w:r>
      <w:r>
        <w:rPr>
          <w:rFonts w:ascii="宋体" w:hAnsi="宋体" w:cs="宋体" w:eastAsia="宋体" w:hint="default"/>
          <w:b/>
          <w:bCs/>
          <w:w w:val="99"/>
          <w:sz w:val="28"/>
          <w:szCs w:val="28"/>
        </w:rPr>
        <w:t>募集资</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全部用</w:t>
      </w:r>
      <w:r>
        <w:rPr>
          <w:rFonts w:ascii="宋体" w:hAnsi="宋体" w:cs="宋体" w:eastAsia="宋体" w:hint="default"/>
          <w:b/>
          <w:bCs/>
          <w:spacing w:val="2"/>
          <w:w w:val="99"/>
          <w:sz w:val="28"/>
          <w:szCs w:val="28"/>
        </w:rPr>
        <w:t>于</w:t>
      </w:r>
      <w:r>
        <w:rPr>
          <w:rFonts w:ascii="宋体" w:hAnsi="宋体" w:cs="宋体" w:eastAsia="宋体" w:hint="default"/>
          <w:b/>
          <w:bCs/>
          <w:w w:val="99"/>
          <w:sz w:val="28"/>
          <w:szCs w:val="28"/>
        </w:rPr>
        <w:t>建设年产</w:t>
      </w:r>
      <w:r>
        <w:rPr>
          <w:rFonts w:ascii="宋体" w:hAnsi="宋体" w:cs="宋体" w:eastAsia="宋体" w:hint="default"/>
          <w:b/>
          <w:bCs/>
          <w:spacing w:val="-61"/>
          <w:sz w:val="28"/>
          <w:szCs w:val="28"/>
        </w:rPr>
        <w:t> </w:t>
      </w:r>
      <w:r>
        <w:rPr>
          <w:rFonts w:ascii="Times New Roman" w:hAnsi="Times New Roman" w:cs="Times New Roman" w:eastAsia="Times New Roman" w:hint="default"/>
          <w:b/>
          <w:bCs/>
          <w:w w:val="99"/>
          <w:sz w:val="28"/>
          <w:szCs w:val="28"/>
        </w:rPr>
        <w:t>10,000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吨塑料</w:t>
      </w:r>
      <w:r>
        <w:rPr>
          <w:rFonts w:ascii="宋体" w:hAnsi="宋体" w:cs="宋体" w:eastAsia="宋体" w:hint="default"/>
          <w:sz w:val="28"/>
          <w:szCs w:val="28"/>
        </w:rPr>
      </w:r>
    </w:p>
    <w:p>
      <w:pPr>
        <w:spacing w:line="393" w:lineRule="auto" w:before="236"/>
        <w:ind w:left="1133" w:right="1003" w:firstLine="0"/>
        <w:jc w:val="both"/>
        <w:rPr>
          <w:rFonts w:ascii="宋体" w:hAnsi="宋体" w:cs="宋体" w:eastAsia="宋体" w:hint="default"/>
          <w:sz w:val="28"/>
          <w:szCs w:val="28"/>
        </w:rPr>
      </w:pPr>
      <w:r>
        <w:rPr>
          <w:rFonts w:ascii="宋体" w:hAnsi="宋体" w:cs="宋体" w:eastAsia="宋体" w:hint="default"/>
          <w:b/>
          <w:bCs/>
          <w:sz w:val="28"/>
          <w:szCs w:val="28"/>
        </w:rPr>
        <w:t>电缆料颗粒项目和年产</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25,000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吨塑料电缆料颗粒项目。公司在确定投资项目之</w:t>
      </w:r>
      <w:r>
        <w:rPr>
          <w:rFonts w:ascii="宋体" w:hAnsi="宋体" w:cs="宋体" w:eastAsia="宋体" w:hint="default"/>
          <w:b/>
          <w:bCs/>
          <w:w w:val="99"/>
          <w:sz w:val="28"/>
          <w:szCs w:val="28"/>
        </w:rPr>
        <w:t> </w:t>
      </w:r>
      <w:r>
        <w:rPr>
          <w:rFonts w:ascii="宋体" w:hAnsi="宋体" w:cs="宋体" w:eastAsia="宋体" w:hint="default"/>
          <w:b/>
          <w:bCs/>
          <w:spacing w:val="3"/>
          <w:sz w:val="28"/>
          <w:szCs w:val="28"/>
        </w:rPr>
        <w:t>前进行了科学严格的论证，募投项目符合国家产业政策和行业发展趋势，具备</w:t>
      </w:r>
      <w:r>
        <w:rPr>
          <w:rFonts w:ascii="宋体" w:hAnsi="宋体" w:cs="宋体" w:eastAsia="宋体" w:hint="default"/>
          <w:b/>
          <w:bCs/>
          <w:w w:val="99"/>
          <w:sz w:val="28"/>
          <w:szCs w:val="28"/>
        </w:rPr>
        <w:t> </w:t>
      </w:r>
      <w:r>
        <w:rPr>
          <w:rFonts w:ascii="宋体" w:hAnsi="宋体" w:cs="宋体" w:eastAsia="宋体" w:hint="default"/>
          <w:b/>
          <w:bCs/>
          <w:spacing w:val="-3"/>
          <w:sz w:val="28"/>
          <w:szCs w:val="28"/>
        </w:rPr>
        <w:t>良好的发展前景；该项目自</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2015</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年开工建设以来按计划稳步推进，但后续仍有</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土建施工、设备采购、安装、调试等诸多流程，存在建设进度不及预期的风险。</w:t>
      </w:r>
      <w:r>
        <w:rPr>
          <w:rFonts w:ascii="宋体" w:hAnsi="宋体" w:cs="宋体" w:eastAsia="宋体" w:hint="default"/>
          <w:spacing w:val="-2"/>
          <w:sz w:val="28"/>
          <w:szCs w:val="28"/>
        </w:rPr>
      </w:r>
    </w:p>
    <w:p>
      <w:pPr>
        <w:spacing w:after="0" w:line="393" w:lineRule="auto"/>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133"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此外，项目建成投产后，如果因市场环境发生不可预测的重大变化等原因，公</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司将面临项目投资收益达不到预期收益的风险。</w:t>
      </w:r>
      <w:r>
        <w:rPr>
          <w:rFonts w:ascii="宋体" w:hAnsi="宋体" w:cs="宋体" w:eastAsia="宋体" w:hint="default"/>
          <w:sz w:val="28"/>
          <w:szCs w:val="28"/>
        </w:rPr>
      </w:r>
    </w:p>
    <w:p>
      <w:pPr>
        <w:spacing w:line="472" w:lineRule="auto" w:before="158"/>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（三）公司公开发行股票摊薄即期回报的风险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公司公开发行完成后，公司总股本及净资产均会有较大程度的增加。公开</w:t>
      </w:r>
      <w:r>
        <w:rPr>
          <w:rFonts w:ascii="宋体" w:hAnsi="宋体" w:cs="宋体" w:eastAsia="宋体" w:hint="default"/>
          <w:spacing w:val="3"/>
          <w:sz w:val="28"/>
          <w:szCs w:val="28"/>
        </w:rPr>
      </w:r>
    </w:p>
    <w:p>
      <w:pPr>
        <w:spacing w:line="408" w:lineRule="auto" w:before="0"/>
        <w:ind w:left="113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发行股票募集资金项目均与公司主营业务相关，虽有利于公司的长期发展，但</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募集资金投资项目建设需要一定周期，不能立即实现效益。因此，公开发行后，</w:t>
      </w:r>
      <w:r>
        <w:rPr>
          <w:rFonts w:ascii="宋体" w:hAnsi="宋体" w:cs="宋体" w:eastAsia="宋体" w:hint="default"/>
          <w:b/>
          <w:bCs/>
          <w:spacing w:val="63"/>
          <w:w w:val="95"/>
          <w:sz w:val="28"/>
          <w:szCs w:val="28"/>
        </w:rPr>
        <w:t> </w:t>
      </w:r>
      <w:r>
        <w:rPr>
          <w:rFonts w:ascii="宋体" w:hAnsi="宋体" w:cs="宋体" w:eastAsia="宋体" w:hint="default"/>
          <w:b/>
          <w:bCs/>
          <w:spacing w:val="63"/>
          <w:w w:val="95"/>
          <w:sz w:val="28"/>
          <w:szCs w:val="28"/>
        </w:rPr>
      </w:r>
      <w:r>
        <w:rPr>
          <w:rFonts w:ascii="宋体" w:hAnsi="宋体" w:cs="宋体" w:eastAsia="宋体" w:hint="default"/>
          <w:b/>
          <w:bCs/>
          <w:sz w:val="28"/>
          <w:szCs w:val="28"/>
        </w:rPr>
        <w:t>在公司股本和净资产均大幅增加的情况下，即期回报存在被摊薄的风险。</w:t>
      </w:r>
      <w:r>
        <w:rPr>
          <w:rFonts w:ascii="宋体" w:hAnsi="宋体" w:cs="宋体" w:eastAsia="宋体" w:hint="default"/>
          <w:sz w:val="28"/>
          <w:szCs w:val="28"/>
        </w:rPr>
      </w:r>
    </w:p>
    <w:p>
      <w:pPr>
        <w:spacing w:line="408" w:lineRule="auto" w:before="160"/>
        <w:ind w:left="1133" w:right="0" w:firstLine="562"/>
        <w:jc w:val="left"/>
        <w:rPr>
          <w:rFonts w:ascii="宋体" w:hAnsi="宋体" w:cs="宋体" w:eastAsia="宋体" w:hint="default"/>
          <w:sz w:val="28"/>
          <w:szCs w:val="28"/>
        </w:rPr>
      </w:pPr>
      <w:r>
        <w:rPr>
          <w:rFonts w:ascii="宋体" w:hAnsi="宋体" w:cs="宋体" w:eastAsia="宋体" w:hint="default"/>
          <w:b/>
          <w:bCs/>
          <w:spacing w:val="3"/>
          <w:sz w:val="28"/>
          <w:szCs w:val="28"/>
        </w:rPr>
        <w:t>（四）原材料价格波动风险公司产品主要原材料主要来自于石油衍生化工</w:t>
      </w:r>
      <w:r>
        <w:rPr>
          <w:rFonts w:ascii="宋体" w:hAnsi="宋体" w:cs="宋体" w:eastAsia="宋体" w:hint="default"/>
          <w:b/>
          <w:bCs/>
          <w:w w:val="99"/>
          <w:sz w:val="28"/>
          <w:szCs w:val="28"/>
        </w:rPr>
        <w:t> </w:t>
      </w:r>
      <w:r>
        <w:rPr>
          <w:rFonts w:ascii="宋体" w:hAnsi="宋体" w:cs="宋体" w:eastAsia="宋体" w:hint="default"/>
          <w:b/>
          <w:bCs/>
          <w:spacing w:val="3"/>
          <w:sz w:val="28"/>
          <w:szCs w:val="28"/>
        </w:rPr>
        <w:t>产品等，其采购价格受石油价格影响较大。近年来，国际石油市场相对低迷且</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价格波动较大，对公司原材料采购计划的制度和实施造成一定程度的不利影响，</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为控制成本以及降低经营风险，公司制定了一系列措施，如公司通过采用订单</w:t>
      </w:r>
      <w:r>
        <w:rPr>
          <w:rFonts w:ascii="宋体" w:hAnsi="宋体" w:cs="宋体" w:eastAsia="宋体" w:hint="default"/>
          <w:b/>
          <w:bCs/>
          <w:w w:val="99"/>
          <w:sz w:val="28"/>
          <w:szCs w:val="28"/>
        </w:rPr>
        <w:t> </w:t>
      </w:r>
      <w:r>
        <w:rPr>
          <w:rFonts w:ascii="宋体" w:hAnsi="宋体" w:cs="宋体" w:eastAsia="宋体" w:hint="default"/>
          <w:b/>
          <w:bCs/>
          <w:spacing w:val="3"/>
          <w:sz w:val="28"/>
          <w:szCs w:val="28"/>
        </w:rPr>
        <w:t>生产方式以及将原材料价格变动通过调整售价向客户传导。虽然公司制定了各</w:t>
      </w:r>
      <w:r>
        <w:rPr>
          <w:rFonts w:ascii="宋体" w:hAnsi="宋体" w:cs="宋体" w:eastAsia="宋体" w:hint="default"/>
          <w:b/>
          <w:bCs/>
          <w:w w:val="99"/>
          <w:sz w:val="28"/>
          <w:szCs w:val="28"/>
        </w:rPr>
        <w:t> </w:t>
      </w:r>
      <w:r>
        <w:rPr>
          <w:rFonts w:ascii="宋体" w:hAnsi="宋体" w:cs="宋体" w:eastAsia="宋体" w:hint="default"/>
          <w:b/>
          <w:bCs/>
          <w:sz w:val="28"/>
          <w:szCs w:val="28"/>
        </w:rPr>
        <w:t>种措施以平缓原材料价格波动，但经营水平仍可能会受到不利影响。</w:t>
      </w:r>
      <w:r>
        <w:rPr>
          <w:rFonts w:ascii="宋体" w:hAnsi="宋体" w:cs="宋体" w:eastAsia="宋体" w:hint="default"/>
          <w:sz w:val="28"/>
          <w:szCs w:val="28"/>
        </w:rPr>
      </w:r>
    </w:p>
    <w:p>
      <w:pPr>
        <w:spacing w:before="160"/>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66,670,000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1.5</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475" w:right="147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145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1475" w:right="14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公司、本公司及杭州高新</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双帆投资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中国双帆投资控股集团（香港）有限公司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天眼投资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高兴集团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788992"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杭州高新</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300478</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杭州高新</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Hangzhou Gaoxin Rubber &amp; Plastic Materials Co.,</w:t>
            </w:r>
            <w:r>
              <w:rPr>
                <w:rFonts w:ascii="Times New Roman"/>
                <w:spacing w:val="-8"/>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Hangzhou</w:t>
            </w:r>
            <w:r>
              <w:rPr>
                <w:rFonts w:ascii="Times New Roman"/>
                <w:spacing w:val="-2"/>
                <w:sz w:val="18"/>
              </w:rPr>
              <w:t> </w:t>
            </w:r>
            <w:r>
              <w:rPr>
                <w:rFonts w:ascii="Times New Roman"/>
                <w:sz w:val="18"/>
              </w:rPr>
              <w:t>Gaoxin</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高长虹</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4"/>
                <w:sz w:val="18"/>
              </w:rPr>
              <w:t>311116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4"/>
                <w:sz w:val="18"/>
              </w:rPr>
              <w:t>311116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http://www.gxsl.com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周黎隽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蒋鹏</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杭州市余杭区径山镇龙皇路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0571-88581338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hzgaoxinxiangsu@163.com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杭州高新橡塑材料股份有限公司证券部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号新湖商务大厦</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孙文军、边珊姗</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上海市浦东新区花园石桥路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号东亚银行金融大厦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于新华、肖建平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542,310,639.42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572,955,064.27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540,605,904.97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41,114,297.43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46,151,132.25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43,062,445.59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38,053,788.27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43,039,696.46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40,876,783.91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2,527,349.23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13,032,286.83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10,603,203.04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590,554,690.58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421,316,878.90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352,397,477.97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489,626,062.55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242,977,100.27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204,325,968.02</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99,608,547.08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135,892,045.85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126,001,673.91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180,808,372.58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2,499,294.28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13,097,988.60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13,167,267.64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12,349,746.91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2,491,134.28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12,498,609.57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12,567,841.32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10,496,203.10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-14,731,502.44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26,825,180.06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-38,007,624.84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13,709,792.01</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29"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1,645,062.83</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08" w:right="0"/>
              <w:jc w:val="left"/>
              <w:rPr>
                <w:rFonts w:ascii="Times New Roman" w:hAnsi="Times New Roman" w:cs="Times New Roman" w:eastAsia="Times New Roman" w:hint="default"/>
                <w:sz w:val="18"/>
                <w:szCs w:val="18"/>
              </w:rPr>
            </w:pPr>
            <w:r>
              <w:rPr>
                <w:rFonts w:ascii="Times New Roman"/>
                <w:sz w:val="18"/>
              </w:rPr>
              <w:t>-63,018.65</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09" w:right="0"/>
              <w:jc w:val="left"/>
              <w:rPr>
                <w:rFonts w:ascii="Times New Roman" w:hAnsi="Times New Roman" w:cs="Times New Roman" w:eastAsia="Times New Roman" w:hint="default"/>
                <w:sz w:val="18"/>
                <w:szCs w:val="18"/>
              </w:rPr>
            </w:pPr>
            <w:r>
              <w:rPr>
                <w:rFonts w:ascii="Times New Roman"/>
                <w:sz w:val="18"/>
              </w:rPr>
              <w:t>-16,072.92</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处置土地使用权产生 无形资产处置利得 </w:t>
            </w:r>
            <w:r>
              <w:rPr>
                <w:rFonts w:ascii="Times New Roman" w:hAnsi="Times New Roman" w:cs="Times New Roman" w:eastAsia="Times New Roman" w:hint="default"/>
                <w:sz w:val="18"/>
                <w:szCs w:val="18"/>
              </w:rPr>
              <w:t>1,858,375.20</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元；处置</w:t>
            </w: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固定资产产生固定资 产处置损失 </w:t>
            </w:r>
            <w:r>
              <w:rPr>
                <w:rFonts w:ascii="Times New Roman" w:hAnsi="Times New Roman" w:cs="Times New Roman" w:eastAsia="Times New Roman" w:hint="default"/>
                <w:sz w:val="18"/>
                <w:szCs w:val="18"/>
              </w:rPr>
              <w:t>213,312.37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04"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629"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1,915,200.00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3,738,800.00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2,520,358.71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185,774.01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40,336.18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-15,201.19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-112,805.44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540,089.85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549,144.37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391,592.68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3,060,509.16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3,111,435.79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2,185,661.68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left="0" w:right="1139"/>
        <w:jc w:val="right"/>
      </w:pPr>
      <w:r>
        <w:rPr/>
        <w:pict>
          <v:shape style="position:absolute;margin-left:56.459999pt;margin-top:-20.978287pt;width:479.2pt;height:56.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2126"/>
                    <w:gridCol w:w="5178"/>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72" w:right="0"/>
                          <w:jc w:val="left"/>
                          <w:rPr>
                            <w:rFonts w:ascii="Times New Roman" w:hAnsi="Times New Roman" w:cs="Times New Roman" w:eastAsia="Times New Roman" w:hint="default"/>
                            <w:sz w:val="18"/>
                            <w:szCs w:val="18"/>
                          </w:rPr>
                        </w:pPr>
                        <w:r>
                          <w:rPr>
                            <w:rFonts w:ascii="Times New Roman"/>
                            <w:sz w:val="18"/>
                          </w:rPr>
                          <w:t>84,410.49</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1"/>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因其系国家规定之税费，且其金额与正常经营业务存在直接关系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且不具特殊和偶发性，因此将其界定为经常性损益项目</w:t>
                        </w:r>
                        <w:r>
                          <w:rPr>
                            <w:rFonts w:ascii="Times New Roman" w:hAnsi="Times New Roman" w:cs="Times New Roman" w:eastAsia="Times New Roman" w:hint="default"/>
                            <w:sz w:val="18"/>
                            <w:szCs w:val="18"/>
                          </w:rPr>
                          <w:t>.</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1132" w:firstLine="290"/>
        <w:jc w:val="both"/>
      </w:pPr>
      <w:r>
        <w:rPr>
          <w:spacing w:val="-1"/>
        </w:rPr>
        <w:t>公司主营业务为线缆用高分子材料的研发、生产和销售，产品广泛运用于电力、船舶、轨道交通、通信、电气装备、建</w:t>
      </w:r>
      <w:r>
        <w:rPr/>
        <w:t> </w:t>
      </w:r>
      <w:r>
        <w:rPr>
          <w:spacing w:val="-2"/>
        </w:rPr>
        <w:t>筑、新能源等领域。公司始终以市场为导向，坚持自主研发为主的技术创新道路，通过持续不断的研发创新与产品升级，已</w:t>
      </w:r>
      <w:r>
        <w:rPr>
          <w:spacing w:val="-66"/>
        </w:rPr>
        <w:t> </w:t>
      </w:r>
      <w:r>
        <w:rPr>
          <w:spacing w:val="-66"/>
        </w:rPr>
      </w:r>
      <w:r>
        <w:rPr/>
        <w:t>成为国内少数生产规模化、产品系列化、配方和生产工艺先进的线缆材料生产企业。</w:t>
      </w:r>
    </w:p>
    <w:p>
      <w:pPr>
        <w:pStyle w:val="BodyText"/>
        <w:spacing w:line="338" w:lineRule="auto" w:before="58"/>
        <w:ind w:left="1424" w:right="0" w:hanging="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公司主要产品基本情况</w:t>
      </w:r>
      <w:r>
        <w:rPr>
          <w:w w:val="99"/>
        </w:rPr>
        <w:t> </w:t>
      </w:r>
      <w:r>
        <w:rPr>
          <w:spacing w:val="-1"/>
        </w:rPr>
        <w:t>公司的核心技术主要体现为以配方技术及生产制造工艺为基础，通过对基础石化材料及辅助添加材料的深入研究，不断</w:t>
      </w:r>
    </w:p>
    <w:p>
      <w:pPr>
        <w:pStyle w:val="BodyText"/>
        <w:spacing w:line="312" w:lineRule="auto" w:before="2"/>
        <w:ind w:right="1033"/>
        <w:jc w:val="left"/>
      </w:pPr>
      <w:r>
        <w:rPr/>
        <w:t>升级配方技术</w:t>
      </w:r>
      <w:r>
        <w:rPr>
          <w:rFonts w:ascii="Times New Roman" w:hAnsi="Times New Roman" w:cs="Times New Roman" w:eastAsia="Times New Roman" w:hint="default"/>
        </w:rPr>
        <w:t>,</w:t>
      </w:r>
      <w:r>
        <w:rPr/>
        <w:t>引入新工艺，持续提升产品档次，产品以具有特殊性能（拉伸强度、阻燃性能、卤素含量、热老化性能、耐 腐蚀性能、耐弯曲性能等）的特种线缆材料为主体，同时生产部分通用线缆材料。公司现有产品包括特种聚氯乙烯电缆料、 </w:t>
      </w:r>
      <w:r>
        <w:rPr>
          <w:spacing w:val="-4"/>
        </w:rPr>
        <w:t>无卤低烟阻燃电缆料、特种聚乙烯及交联聚乙烯电缆料、橡胶电缆料、橡塑改性弹性体、通用聚氯乙烯电缆料，共六大系列，</w:t>
      </w:r>
      <w:r>
        <w:rPr>
          <w:spacing w:val="-44"/>
        </w:rPr>
        <w:t> </w:t>
      </w:r>
      <w:r>
        <w:rPr>
          <w:spacing w:val="-44"/>
        </w:rPr>
      </w:r>
      <w:r>
        <w:rPr/>
        <w:t>二百多个品种。公司产品类型及其主要用途、产品优势如下表：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before="84"/>
        <w:ind w:left="0" w:right="2168"/>
        <w:jc w:val="right"/>
      </w:pPr>
      <w:r>
        <w:rPr/>
        <w:pict>
          <v:shape style="position:absolute;margin-left:56.34pt;margin-top:-85.368271pt;width:427.3pt;height:451.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1"/>
                    <w:gridCol w:w="2357"/>
                    <w:gridCol w:w="2356"/>
                    <w:gridCol w:w="2720"/>
                  </w:tblGrid>
                  <w:tr>
                    <w:trPr>
                      <w:trHeight w:val="427" w:hRule="exact"/>
                    </w:trPr>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7"/>
                          <w:jc w:val="right"/>
                          <w:rPr>
                            <w:rFonts w:ascii="宋体" w:hAnsi="宋体" w:cs="宋体" w:eastAsia="宋体" w:hint="default"/>
                            <w:sz w:val="18"/>
                            <w:szCs w:val="18"/>
                          </w:rPr>
                        </w:pPr>
                        <w:r>
                          <w:rPr>
                            <w:rFonts w:ascii="宋体" w:hAnsi="宋体" w:cs="宋体" w:eastAsia="宋体" w:hint="default"/>
                            <w:sz w:val="18"/>
                            <w:szCs w:val="18"/>
                          </w:rPr>
                          <w:t>产品类别</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宋体" w:hAnsi="宋体" w:cs="宋体" w:eastAsia="宋体" w:hint="default"/>
                            <w:sz w:val="18"/>
                            <w:szCs w:val="18"/>
                          </w:rPr>
                        </w:pPr>
                        <w:r>
                          <w:rPr>
                            <w:rFonts w:ascii="宋体" w:hAnsi="宋体" w:cs="宋体" w:eastAsia="宋体" w:hint="default"/>
                            <w:sz w:val="18"/>
                            <w:szCs w:val="18"/>
                          </w:rPr>
                          <w:t>典型产品</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主要用途</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产品优势</w:t>
                        </w:r>
                      </w:p>
                    </w:tc>
                  </w:tr>
                  <w:tr>
                    <w:trPr>
                      <w:trHeight w:val="3356" w:hRule="exact"/>
                    </w:trPr>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2"/>
                          <w:jc w:val="left"/>
                          <w:rPr>
                            <w:rFonts w:ascii="宋体" w:hAnsi="宋体" w:cs="宋体" w:eastAsia="宋体" w:hint="default"/>
                            <w:sz w:val="18"/>
                            <w:szCs w:val="18"/>
                          </w:rPr>
                        </w:pPr>
                        <w:r>
                          <w:rPr>
                            <w:rFonts w:ascii="宋体" w:hAnsi="宋体" w:cs="宋体" w:eastAsia="宋体" w:hint="default"/>
                            <w:sz w:val="18"/>
                            <w:szCs w:val="18"/>
                          </w:rPr>
                          <w:t>特种聚氯乙 烯电缆料</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2"/>
                          <w:jc w:val="both"/>
                          <w:rPr>
                            <w:rFonts w:ascii="宋体" w:hAnsi="宋体" w:cs="宋体" w:eastAsia="宋体" w:hint="default"/>
                            <w:sz w:val="18"/>
                            <w:szCs w:val="18"/>
                          </w:rPr>
                        </w:pPr>
                        <w:r>
                          <w:rPr>
                            <w:rFonts w:ascii="宋体" w:hAnsi="宋体" w:cs="宋体" w:eastAsia="宋体" w:hint="default"/>
                            <w:sz w:val="18"/>
                            <w:szCs w:val="18"/>
                          </w:rPr>
                          <w:t>高阻燃、超高阻燃聚氯乙烯线 缆材料、环保型软聚氯乙烯线 缆材料、低温耐寒线缆材料、 高电性能聚氯乙烯线缆材料、 防蚁鼠线缆材料等。</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主要用于高阻燃、耐油、耐低 温、高电性能、防蚁鼠等特殊 要求的电线电缆绝缘层和护 套层。</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2"/>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、少数有能力规模化、系列化生 产特种聚氯乙烯线缆材料的厂商 之一，并可根据客户需求定制产 品；</w:t>
                        </w:r>
                      </w:p>
                      <w:p>
                        <w:pPr>
                          <w:pStyle w:val="TableParagraph"/>
                          <w:spacing w:line="314" w:lineRule="auto" w:before="62"/>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、超高阻燃线缆材料阻燃等级高 氧指数可超过</w:t>
                        </w:r>
                        <w:r>
                          <w:rPr>
                            <w:rFonts w:ascii="Times New Roman" w:hAnsi="Times New Roman" w:cs="Times New Roman" w:eastAsia="Times New Roman" w:hint="default"/>
                            <w:sz w:val="18"/>
                            <w:szCs w:val="18"/>
                          </w:rPr>
                          <w:t>38%</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、挤出工艺性能好，提高客户生 产效率；</w:t>
                        </w:r>
                      </w:p>
                      <w:p>
                        <w:pPr>
                          <w:pStyle w:val="TableParagraph"/>
                          <w:spacing w:line="302" w:lineRule="auto" w:before="59"/>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、有能力生产用于高压、超高压 电缆的护套料。</w:t>
                        </w:r>
                      </w:p>
                    </w:tc>
                  </w:tr>
                  <w:tr>
                    <w:trPr>
                      <w:trHeight w:val="3083" w:hRule="exact"/>
                    </w:trPr>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2"/>
                          <w:jc w:val="both"/>
                          <w:rPr>
                            <w:rFonts w:ascii="宋体" w:hAnsi="宋体" w:cs="宋体" w:eastAsia="宋体" w:hint="default"/>
                            <w:sz w:val="18"/>
                            <w:szCs w:val="18"/>
                          </w:rPr>
                        </w:pPr>
                        <w:r>
                          <w:rPr>
                            <w:rFonts w:ascii="宋体" w:hAnsi="宋体" w:cs="宋体" w:eastAsia="宋体" w:hint="default"/>
                            <w:sz w:val="18"/>
                            <w:szCs w:val="18"/>
                          </w:rPr>
                          <w:t>特种聚乙烯 及交联聚乙 烯电缆料</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一步法硅烷交联聚乙烯绝缘 料、一步法硅烷自然交联聚乙 烯绝缘料、二步法硅烷交联聚 乙烯绝缘料、特种聚乙烯线缆 材料。</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交联聚乙烯主要用于电力电 缆、架空电缆绝缘层，还用于 控制电缆、计算机电缆和船用 电缆等耐热等级高的电缆绝 缘层。</w:t>
                        </w:r>
                      </w:p>
                      <w:p>
                        <w:pPr>
                          <w:pStyle w:val="TableParagraph"/>
                          <w:spacing w:line="319" w:lineRule="auto" w:before="57"/>
                          <w:ind w:left="3" w:right="1"/>
                          <w:jc w:val="left"/>
                          <w:rPr>
                            <w:rFonts w:ascii="宋体" w:hAnsi="宋体" w:cs="宋体" w:eastAsia="宋体" w:hint="default"/>
                            <w:sz w:val="18"/>
                            <w:szCs w:val="18"/>
                          </w:rPr>
                        </w:pPr>
                        <w:r>
                          <w:rPr>
                            <w:rFonts w:ascii="宋体" w:hAnsi="宋体" w:cs="宋体" w:eastAsia="宋体" w:hint="default"/>
                            <w:sz w:val="18"/>
                            <w:szCs w:val="18"/>
                          </w:rPr>
                          <w:t>特种聚乙烯主要用于电力电 缆、通信电缆、光缆、海底电 缆护套层。</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、一步法硅烷交联技术有效降低 成本，使用方便，性价比高；</w:t>
                        </w:r>
                      </w:p>
                      <w:p>
                        <w:pPr>
                          <w:pStyle w:val="TableParagraph"/>
                          <w:spacing w:line="240" w:lineRule="auto" w:before="7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、交联速度快；</w:t>
                        </w:r>
                      </w:p>
                      <w:p>
                        <w:pPr>
                          <w:pStyle w:val="TableParagraph"/>
                          <w:spacing w:line="302" w:lineRule="auto" w:before="102"/>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、挤出工艺性能好，提高客户生 产效率；</w:t>
                        </w:r>
                      </w:p>
                      <w:p>
                        <w:pPr>
                          <w:pStyle w:val="TableParagraph"/>
                          <w:spacing w:line="302" w:lineRule="auto" w:before="68"/>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、质量稳定、耐环境应力开裂性 能优异；</w:t>
                        </w:r>
                      </w:p>
                      <w:p>
                        <w:pPr>
                          <w:pStyle w:val="TableParagraph"/>
                          <w:spacing w:line="302" w:lineRule="auto" w:before="68"/>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、有能力生产用于高压、超高压 电缆护套料。</w:t>
                        </w:r>
                      </w:p>
                    </w:tc>
                  </w:tr>
                  <w:tr>
                    <w:trPr>
                      <w:trHeight w:val="1715" w:hRule="exact"/>
                    </w:trPr>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2"/>
                          <w:jc w:val="left"/>
                          <w:rPr>
                            <w:rFonts w:ascii="宋体" w:hAnsi="宋体" w:cs="宋体" w:eastAsia="宋体" w:hint="default"/>
                            <w:sz w:val="18"/>
                            <w:szCs w:val="18"/>
                          </w:rPr>
                        </w:pPr>
                        <w:r>
                          <w:rPr>
                            <w:rFonts w:ascii="宋体" w:hAnsi="宋体" w:cs="宋体" w:eastAsia="宋体" w:hint="default"/>
                            <w:sz w:val="18"/>
                            <w:szCs w:val="18"/>
                          </w:rPr>
                          <w:t>无卤低烟阻 燃电缆料</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热塑性无卤低烟阻燃聚烯烃 绝缘料和护套料、辐照交联无 卤低烟阻燃聚烯烃绝缘料和 护套料。</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3"/>
                          <w:jc w:val="both"/>
                          <w:rPr>
                            <w:rFonts w:ascii="宋体" w:hAnsi="宋体" w:cs="宋体" w:eastAsia="宋体" w:hint="default"/>
                            <w:sz w:val="18"/>
                            <w:szCs w:val="18"/>
                          </w:rPr>
                        </w:pPr>
                        <w:r>
                          <w:rPr>
                            <w:rFonts w:ascii="宋体" w:hAnsi="宋体" w:cs="宋体" w:eastAsia="宋体" w:hint="default"/>
                            <w:sz w:val="18"/>
                            <w:szCs w:val="18"/>
                          </w:rPr>
                          <w:t>主要用于轨道交通、光缆及通 讯电缆；风能、太阳能、核能 等新能源电缆；船舶、矿用、 石油平台电缆。</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、成功解决无机阻燃剂的大量添 加会导致电缆易开裂、热收缩大、 受潮绝缘大幅度降低等技术难题；</w:t>
                        </w:r>
                      </w:p>
                      <w:p>
                        <w:pPr>
                          <w:pStyle w:val="TableParagraph"/>
                          <w:spacing w:line="302" w:lineRule="auto" w:before="62"/>
                          <w:ind w:left="2"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、挤出工艺性能好，提高客户生 产效率。</w:t>
                        </w:r>
                      </w:p>
                    </w:tc>
                  </w:tr>
                  <w:tr>
                    <w:trPr>
                      <w:trHeight w:val="427" w:hRule="exact"/>
                    </w:trPr>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2"/>
                          <w:jc w:val="right"/>
                          <w:rPr>
                            <w:rFonts w:ascii="宋体" w:hAnsi="宋体" w:cs="宋体" w:eastAsia="宋体" w:hint="default"/>
                            <w:sz w:val="18"/>
                            <w:szCs w:val="18"/>
                          </w:rPr>
                        </w:pPr>
                        <w:r>
                          <w:rPr>
                            <w:rFonts w:ascii="宋体" w:hAnsi="宋体" w:cs="宋体" w:eastAsia="宋体" w:hint="default"/>
                            <w:sz w:val="18"/>
                            <w:szCs w:val="18"/>
                          </w:rPr>
                          <w:t>橡胶电缆料</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乙丙橡胶绝缘料、氯化聚乙烯</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主要用于风能、太阳能等新能</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少数规模化生产橡胶电缆料的厂</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091"/>
        <w:gridCol w:w="2357"/>
        <w:gridCol w:w="2356"/>
        <w:gridCol w:w="2720"/>
      </w:tblGrid>
      <w:tr>
        <w:trPr>
          <w:trHeight w:val="739" w:hRule="exact"/>
        </w:trPr>
        <w:tc>
          <w:tcPr>
            <w:tcW w:w="1091" w:type="dxa"/>
            <w:tcBorders>
              <w:top w:val="single" w:sz="6" w:space="0" w:color="000000"/>
              <w:left w:val="single" w:sz="6" w:space="0" w:color="000000"/>
              <w:bottom w:val="single" w:sz="6" w:space="0" w:color="000000"/>
              <w:right w:val="single" w:sz="6" w:space="0" w:color="000000"/>
            </w:tcBorders>
          </w:tcPr>
          <w:p>
            <w:pP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橡胶护套料。</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源电缆；海洋工程、船舶、铁 路机车车辆、矿用电缆。</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商之一。</w:t>
            </w:r>
          </w:p>
        </w:tc>
      </w:tr>
      <w:tr>
        <w:trPr>
          <w:trHeight w:val="1052" w:hRule="exact"/>
        </w:trPr>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2"/>
              <w:jc w:val="left"/>
              <w:rPr>
                <w:rFonts w:ascii="宋体" w:hAnsi="宋体" w:cs="宋体" w:eastAsia="宋体" w:hint="default"/>
                <w:sz w:val="18"/>
                <w:szCs w:val="18"/>
              </w:rPr>
            </w:pPr>
            <w:r>
              <w:rPr>
                <w:rFonts w:ascii="宋体" w:hAnsi="宋体" w:cs="宋体" w:eastAsia="宋体" w:hint="default"/>
                <w:sz w:val="18"/>
                <w:szCs w:val="18"/>
              </w:rPr>
              <w:t>橡塑改性弹 性体</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丁腈复合弹性体。</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主要用于电梯电缆、轨道交通 电缆、风电电缆和矿用电缆 等。</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耐油、耐寒性能好。</w:t>
            </w:r>
          </w:p>
        </w:tc>
      </w:tr>
      <w:tr>
        <w:trPr>
          <w:trHeight w:val="1051" w:hRule="exact"/>
        </w:trPr>
        <w:tc>
          <w:tcPr>
            <w:tcW w:w="109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72"/>
              <w:jc w:val="left"/>
              <w:rPr>
                <w:rFonts w:ascii="宋体" w:hAnsi="宋体" w:cs="宋体" w:eastAsia="宋体" w:hint="default"/>
                <w:sz w:val="18"/>
                <w:szCs w:val="18"/>
              </w:rPr>
            </w:pPr>
            <w:r>
              <w:rPr>
                <w:rFonts w:ascii="宋体" w:hAnsi="宋体" w:cs="宋体" w:eastAsia="宋体" w:hint="default"/>
                <w:sz w:val="18"/>
                <w:szCs w:val="18"/>
              </w:rPr>
              <w:t>通用聚氯乙 烯电缆料</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普通</w:t>
            </w:r>
            <w:r>
              <w:rPr>
                <w:rFonts w:ascii="Times New Roman" w:hAnsi="Times New Roman" w:cs="Times New Roman" w:eastAsia="Times New Roman" w:hint="default"/>
                <w:sz w:val="18"/>
                <w:szCs w:val="18"/>
              </w:rPr>
              <w:t>PVC</w:t>
            </w:r>
            <w:r>
              <w:rPr>
                <w:rFonts w:ascii="宋体" w:hAnsi="宋体" w:cs="宋体" w:eastAsia="宋体" w:hint="default"/>
                <w:sz w:val="18"/>
                <w:szCs w:val="18"/>
              </w:rPr>
              <w:t>电缆料。</w:t>
            </w:r>
          </w:p>
        </w:tc>
        <w:tc>
          <w:tcPr>
            <w:tcW w:w="23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3" w:right="-3"/>
              <w:jc w:val="both"/>
              <w:rPr>
                <w:rFonts w:ascii="宋体" w:hAnsi="宋体" w:cs="宋体" w:eastAsia="宋体" w:hint="default"/>
                <w:sz w:val="18"/>
                <w:szCs w:val="18"/>
              </w:rPr>
            </w:pPr>
            <w:r>
              <w:rPr>
                <w:rFonts w:ascii="宋体" w:hAnsi="宋体" w:cs="宋体" w:eastAsia="宋体" w:hint="default"/>
                <w:sz w:val="18"/>
                <w:szCs w:val="18"/>
              </w:rPr>
              <w:t>主要用于普通低压电力电缆、 控制电缆、汽车电线等绝缘和 护套层。</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质量稳定、挤出工艺性能好。</w:t>
            </w:r>
          </w:p>
        </w:tc>
      </w:tr>
    </w:tbl>
    <w:p>
      <w:pPr>
        <w:pStyle w:val="BodyText"/>
        <w:spacing w:line="240" w:lineRule="auto" w:before="51"/>
        <w:ind w:left="1494" w:right="0"/>
        <w:jc w:val="left"/>
      </w:pPr>
      <w:r>
        <w:rPr/>
        <w:t>（二）公司主要经营模式</w:t>
      </w:r>
    </w:p>
    <w:p>
      <w:pPr>
        <w:pStyle w:val="BodyText"/>
        <w:spacing w:line="338" w:lineRule="auto" w:before="117"/>
        <w:ind w:left="1493" w:right="1033"/>
        <w:jc w:val="left"/>
      </w:pPr>
      <w:r>
        <w:rPr>
          <w:rFonts w:ascii="Times New Roman" w:hAnsi="Times New Roman" w:cs="Times New Roman" w:eastAsia="Times New Roman" w:hint="default"/>
        </w:rPr>
        <w:t>1</w:t>
      </w:r>
      <w:r>
        <w:rPr/>
        <w:t>、采购模式 </w:t>
      </w:r>
      <w:r>
        <w:rPr>
          <w:spacing w:val="-4"/>
        </w:rPr>
        <w:t>公司采购部门根据生产部门基于实际经营需要报送的《采购申请单》组织采购，采购部根据当期库存量、市场行情动态、</w:t>
      </w:r>
    </w:p>
    <w:p>
      <w:pPr>
        <w:pStyle w:val="BodyText"/>
        <w:spacing w:line="319" w:lineRule="auto" w:before="2"/>
        <w:ind w:right="1033"/>
        <w:jc w:val="left"/>
      </w:pPr>
      <w:r>
        <w:rPr/>
        <w:t>往期使用情况、质量参数等要求编制《采购计划表》，公司采购专员在《合格供方目录》的基础上，综合考虑质量、价格、 </w:t>
      </w:r>
      <w:r>
        <w:rPr>
          <w:spacing w:val="-2"/>
        </w:rPr>
        <w:t>供货速度及稳定性等因素，选取合格供应商并与其签订《采购合同》，填写《采购用款申请单》，经审批后实施。公司采购</w:t>
      </w:r>
      <w:r>
        <w:rPr>
          <w:spacing w:val="-67"/>
        </w:rPr>
        <w:t> </w:t>
      </w:r>
      <w:r>
        <w:rPr>
          <w:spacing w:val="-67"/>
        </w:rPr>
      </w:r>
      <w:r>
        <w:rPr>
          <w:spacing w:val="-2"/>
        </w:rPr>
        <w:t>的原辅材料入库前均需经过公司质量检测部门的严格测试，以保证产品质量不受原材料因素的影响。为了减少原材料价格波</w:t>
      </w:r>
      <w:r>
        <w:rPr>
          <w:spacing w:val="-64"/>
        </w:rPr>
        <w:t> </w:t>
      </w:r>
      <w:r>
        <w:rPr>
          <w:spacing w:val="-64"/>
        </w:rPr>
      </w:r>
      <w:r>
        <w:rPr/>
        <w:t>动对公司盈利水平的影响，公司尽量减少原材料库存，基本只保留一周左右的安全库存。</w:t>
      </w:r>
    </w:p>
    <w:p>
      <w:pPr>
        <w:pStyle w:val="BodyText"/>
        <w:spacing w:line="338" w:lineRule="auto" w:before="56"/>
        <w:ind w:left="1493" w:right="1118"/>
        <w:jc w:val="left"/>
      </w:pPr>
      <w:r>
        <w:rPr>
          <w:rFonts w:ascii="Times New Roman" w:hAnsi="Times New Roman" w:cs="Times New Roman" w:eastAsia="Times New Roman" w:hint="default"/>
        </w:rPr>
        <w:t>2</w:t>
      </w:r>
      <w:r>
        <w:rPr/>
        <w:t>、生产模式 </w:t>
      </w:r>
      <w:r>
        <w:rPr>
          <w:spacing w:val="-2"/>
        </w:rPr>
        <w:t>不同性能的电缆需要线缆材料具有不同参数指标，客户会根据自己需求提出相关的参数体系，因此线缆材料具有非标准</w:t>
      </w:r>
    </w:p>
    <w:p>
      <w:pPr>
        <w:pStyle w:val="BodyText"/>
        <w:spacing w:line="348" w:lineRule="auto" w:before="4"/>
        <w:ind w:left="1493" w:right="1118" w:hanging="360"/>
        <w:jc w:val="left"/>
      </w:pPr>
      <w:r>
        <w:rPr/>
        <w:t>化的特性。公司绝大部分产品的生产采取以销定产的生产模式，即根据产品的销售订单，下达生产计划并组织生产。 </w:t>
      </w:r>
      <w:r>
        <w:rPr>
          <w:rFonts w:ascii="Times New Roman" w:hAnsi="Times New Roman" w:cs="Times New Roman" w:eastAsia="Times New Roman" w:hint="default"/>
        </w:rPr>
        <w:t>3</w:t>
      </w:r>
      <w:r>
        <w:rPr/>
        <w:t>、销售模式 </w:t>
      </w:r>
      <w:r>
        <w:rPr>
          <w:spacing w:val="-2"/>
        </w:rPr>
        <w:t>公司采用直接销售模式。公司产品专业性强，客户对技术服务的要求较高，直销模式可减少中间环节、贴近市场并及时</w:t>
      </w:r>
    </w:p>
    <w:p>
      <w:pPr>
        <w:pStyle w:val="BodyText"/>
        <w:spacing w:line="319" w:lineRule="auto" w:before="0"/>
        <w:ind w:right="1033"/>
        <w:jc w:val="left"/>
      </w:pPr>
      <w:r>
        <w:rPr/>
        <w:t>深入了解客户的需求，有利于向客户提供技术服务和控制产品销售风险，报告期内的客户均为电缆生产企业或其附属企业， 不存在通过代理、经销进行销售的情形，实现的收入均为直销模式。</w:t>
      </w:r>
    </w:p>
    <w:p>
      <w:pPr>
        <w:pStyle w:val="BodyText"/>
        <w:spacing w:line="319" w:lineRule="auto" w:before="56"/>
        <w:ind w:left="1134" w:right="1131" w:firstLine="360"/>
        <w:jc w:val="both"/>
      </w:pPr>
      <w:r>
        <w:rPr>
          <w:spacing w:val="-2"/>
        </w:rPr>
        <w:t>线缆材料是电线电缆主要原材料之一，下游知名客户对供应商资格认证较为严格，多数规模化的电线电缆企业已建立了</w:t>
      </w:r>
      <w:r>
        <w:rPr/>
        <w:t> </w:t>
      </w:r>
      <w:r>
        <w:rPr>
          <w:spacing w:val="-2"/>
        </w:rPr>
        <w:t>较为完善的合格供应商体系，由于线缆材料的性能与电线电缆质量息息相关，下游厂商更换供应商的转换成本较高，因此公</w:t>
      </w:r>
      <w:r>
        <w:rPr>
          <w:spacing w:val="-66"/>
        </w:rPr>
        <w:t> </w:t>
      </w:r>
      <w:r>
        <w:rPr>
          <w:spacing w:val="-66"/>
        </w:rPr>
      </w:r>
      <w:r>
        <w:rPr>
          <w:spacing w:val="-2"/>
        </w:rPr>
        <w:t>司制定了与客户建立长期稳定的合作关系、共同成长与发展的销售策略。公司在销售的过程中重点突出技术领先、性价比突</w:t>
      </w:r>
      <w:r>
        <w:rPr>
          <w:spacing w:val="-66"/>
        </w:rPr>
        <w:t> </w:t>
      </w:r>
      <w:r>
        <w:rPr>
          <w:spacing w:val="-66"/>
        </w:rPr>
      </w:r>
      <w:r>
        <w:rPr>
          <w:spacing w:val="-2"/>
        </w:rPr>
        <w:t>出、服务优良的综合优势，及时跟进行业发展趋势，适时推出新产品以满足客户需要。同时公司通过参与客户新型电缆的开</w:t>
      </w:r>
      <w:r>
        <w:rPr>
          <w:spacing w:val="-66"/>
        </w:rPr>
        <w:t> </w:t>
      </w:r>
      <w:r>
        <w:rPr>
          <w:spacing w:val="-66"/>
        </w:rPr>
      </w:r>
      <w:r>
        <w:rPr>
          <w:spacing w:val="-2"/>
        </w:rPr>
        <w:t>发，根据客户要求的参数指标，灵活调整配方，为客户提供性价比高的新型线缆材料，与客户实现双赢，进一步稳固战略合</w:t>
      </w:r>
      <w:r>
        <w:rPr>
          <w:spacing w:val="-66"/>
        </w:rPr>
        <w:t> </w:t>
      </w:r>
      <w:r>
        <w:rPr>
          <w:spacing w:val="-66"/>
        </w:rPr>
      </w:r>
      <w:r>
        <w:rPr/>
        <w:t>作关系。</w:t>
      </w:r>
    </w:p>
    <w:p>
      <w:pPr>
        <w:pStyle w:val="BodyText"/>
        <w:spacing w:line="240" w:lineRule="auto" w:before="56"/>
        <w:ind w:left="1494" w:right="0"/>
        <w:jc w:val="left"/>
      </w:pPr>
      <w:r>
        <w:rPr/>
        <w:t>（三）业绩驱动因素</w:t>
      </w:r>
    </w:p>
    <w:p>
      <w:pPr>
        <w:pStyle w:val="BodyText"/>
        <w:spacing w:line="300" w:lineRule="auto" w:before="115"/>
        <w:ind w:right="0"/>
        <w:jc w:val="left"/>
      </w:pPr>
      <w:r>
        <w:rPr/>
        <w:t>报告期内，影响公司业绩的主要因素为受石油价格下调的影响，公司原材料采购单价下降</w:t>
      </w:r>
      <w:r>
        <w:rPr>
          <w:rFonts w:ascii="Times New Roman" w:hAnsi="Times New Roman" w:cs="Times New Roman" w:eastAsia="Times New Roman" w:hint="default"/>
        </w:rPr>
        <w:t>8.70%</w:t>
      </w:r>
      <w:r>
        <w:rPr/>
        <w:t>，进而导致产品销售单价下 </w:t>
      </w:r>
      <w:r>
        <w:rPr>
          <w:spacing w:val="-2"/>
        </w:rPr>
        <w:t>降</w:t>
      </w:r>
      <w:r>
        <w:rPr>
          <w:rFonts w:ascii="Times New Roman" w:hAnsi="Times New Roman" w:cs="Times New Roman" w:eastAsia="Times New Roman" w:hint="default"/>
          <w:spacing w:val="-2"/>
        </w:rPr>
        <w:t>9.34%</w:t>
      </w:r>
      <w:r>
        <w:rPr>
          <w:spacing w:val="-2"/>
        </w:rPr>
        <w:t>。虽然全年销售产品</w:t>
      </w:r>
      <w:r>
        <w:rPr>
          <w:rFonts w:ascii="Times New Roman" w:hAnsi="Times New Roman" w:cs="Times New Roman" w:eastAsia="Times New Roman" w:hint="default"/>
          <w:spacing w:val="-2"/>
        </w:rPr>
        <w:t>65000.82</w:t>
      </w:r>
      <w:r>
        <w:rPr>
          <w:spacing w:val="-2"/>
        </w:rPr>
        <w:t>吨，同比增长</w:t>
      </w:r>
      <w:r>
        <w:rPr>
          <w:rFonts w:ascii="Times New Roman" w:hAnsi="Times New Roman" w:cs="Times New Roman" w:eastAsia="Times New Roman" w:hint="default"/>
          <w:spacing w:val="-2"/>
        </w:rPr>
        <w:t>4.16%</w:t>
      </w:r>
      <w:r>
        <w:rPr>
          <w:spacing w:val="-2"/>
        </w:rPr>
        <w:t>，但营业收入仍然较去年下降</w:t>
      </w:r>
      <w:r>
        <w:rPr>
          <w:rFonts w:ascii="Times New Roman" w:hAnsi="Times New Roman" w:cs="Times New Roman" w:eastAsia="Times New Roman" w:hint="default"/>
          <w:spacing w:val="-2"/>
        </w:rPr>
        <w:t>5.35%</w:t>
      </w:r>
      <w:r>
        <w:rPr>
          <w:spacing w:val="-2"/>
        </w:rPr>
        <w:t>，利润下降</w:t>
      </w:r>
      <w:r>
        <w:rPr>
          <w:rFonts w:ascii="Times New Roman" w:hAnsi="Times New Roman" w:cs="Times New Roman" w:eastAsia="Times New Roman" w:hint="default"/>
          <w:spacing w:val="-2"/>
        </w:rPr>
        <w:t>10.92%</w:t>
      </w:r>
      <w:r>
        <w:rPr>
          <w:spacing w:val="-2"/>
        </w:rPr>
        <w:t>。营业收入、</w:t>
      </w:r>
      <w:r>
        <w:rPr>
          <w:spacing w:val="-59"/>
        </w:rPr>
        <w:t> </w:t>
      </w:r>
      <w:r>
        <w:rPr>
          <w:spacing w:val="-59"/>
        </w:rPr>
      </w:r>
      <w:r>
        <w:rPr/>
        <w:t>净利润只达到计划指标的</w:t>
      </w:r>
      <w:r>
        <w:rPr>
          <w:rFonts w:ascii="Times New Roman" w:hAnsi="Times New Roman" w:cs="Times New Roman" w:eastAsia="Times New Roman" w:hint="default"/>
        </w:rPr>
        <w:t>78.88%</w:t>
      </w:r>
      <w:r>
        <w:rPr/>
        <w:t>和</w:t>
      </w:r>
      <w:r>
        <w:rPr>
          <w:rFonts w:ascii="Times New Roman" w:hAnsi="Times New Roman" w:cs="Times New Roman" w:eastAsia="Times New Roman" w:hint="default"/>
        </w:rPr>
        <w:t>77.46%</w:t>
      </w:r>
      <w:r>
        <w:rPr/>
        <w:t>。</w:t>
      </w:r>
    </w:p>
    <w:p>
      <w:pPr>
        <w:pStyle w:val="BodyText"/>
        <w:spacing w:line="357" w:lineRule="auto" w:before="53"/>
        <w:ind w:left="1493" w:right="0"/>
        <w:jc w:val="left"/>
      </w:pPr>
      <w:r>
        <w:rPr/>
        <w:t>（四）行业发展情况 </w:t>
      </w:r>
      <w:r>
        <w:rPr>
          <w:spacing w:val="-2"/>
        </w:rPr>
        <w:t>电线电缆制造业是国民经济中最大的配套行业之一，产品广泛应用于能源、交通、通信、汽车以及石油化工等产业，其</w:t>
      </w:r>
    </w:p>
    <w:p>
      <w:pPr>
        <w:pStyle w:val="BodyText"/>
        <w:spacing w:line="224" w:lineRule="exact" w:before="0"/>
        <w:ind w:right="0"/>
        <w:jc w:val="left"/>
      </w:pPr>
      <w:r>
        <w:rPr/>
        <w:t>发展受国际、国内宏观经济状况、国家经济政策、产业政策走向以及各相关行业发展的影响，与国民经济的发展密切相关。</w:t>
      </w:r>
    </w:p>
    <w:p>
      <w:pPr>
        <w:pStyle w:val="BodyText"/>
        <w:spacing w:line="319" w:lineRule="auto" w:before="76"/>
        <w:ind w:right="1130"/>
        <w:jc w:val="both"/>
      </w:pPr>
      <w:r>
        <w:rPr>
          <w:spacing w:val="-2"/>
        </w:rPr>
        <w:t>线缆用高分子材料作为电线电缆制造中重要的原材料，其行业的发展状况受电线电缆行业的直接影响。电力、通信、城市轨</w:t>
      </w:r>
      <w:r>
        <w:rPr>
          <w:spacing w:val="-66"/>
        </w:rPr>
        <w:t> </w:t>
      </w:r>
      <w:r>
        <w:rPr>
          <w:spacing w:val="-66"/>
        </w:rPr>
      </w:r>
      <w:r>
        <w:rPr>
          <w:spacing w:val="-2"/>
        </w:rPr>
        <w:t>道交通、新能源汽车及充电系统等行业快速发展，规模不断扩大，电线电缆行业持续向好趋势将不变，从而为线缆材料行业</w:t>
      </w:r>
      <w:r>
        <w:rPr>
          <w:spacing w:val="-66"/>
        </w:rPr>
        <w:t> </w:t>
      </w:r>
      <w:r>
        <w:rPr>
          <w:spacing w:val="-66"/>
        </w:rPr>
      </w:r>
      <w:r>
        <w:rPr/>
        <w:t>带来良好、稳定的市场环境。</w:t>
      </w:r>
    </w:p>
    <w:p>
      <w:pPr>
        <w:pStyle w:val="BodyText"/>
        <w:spacing w:line="312" w:lineRule="auto" w:before="55"/>
        <w:ind w:right="1033" w:firstLine="290"/>
        <w:jc w:val="left"/>
      </w:pPr>
      <w:r>
        <w:rPr>
          <w:spacing w:val="-2"/>
        </w:rPr>
        <w:t>（五）公司所处的行业地位公司秉承</w:t>
      </w:r>
      <w:r>
        <w:rPr>
          <w:rFonts w:ascii="Times New Roman" w:hAnsi="Times New Roman" w:cs="Times New Roman" w:eastAsia="Times New Roman" w:hint="default"/>
          <w:spacing w:val="-2"/>
        </w:rPr>
        <w:t>“</w:t>
      </w:r>
      <w:r>
        <w:rPr>
          <w:spacing w:val="-2"/>
        </w:rPr>
        <w:t>真材实料、科学配方、工艺先进、检测严密</w:t>
      </w:r>
      <w:r>
        <w:rPr>
          <w:rFonts w:ascii="Times New Roman" w:hAnsi="Times New Roman" w:cs="Times New Roman" w:eastAsia="Times New Roman" w:hint="default"/>
          <w:spacing w:val="-2"/>
        </w:rPr>
        <w:t>”</w:t>
      </w:r>
      <w:r>
        <w:rPr>
          <w:spacing w:val="-2"/>
        </w:rPr>
        <w:t>的质量管理理念，质量控制情况良好。</w:t>
      </w:r>
      <w:r>
        <w:rPr/>
        <w:t> 基于产品优异的性能，公司成为普睿司曼、耐克森、常州莱尼、常州安凯特、太阳电缆、杭州电缆、通鼎光电、昆明电缆、 </w:t>
      </w:r>
      <w:r>
        <w:rPr>
          <w:spacing w:val="-2"/>
        </w:rPr>
        <w:t>广州电缆、太平洋电缆、华菱电缆、焦作铁路电缆、湖北航天电缆等一系列国内知名的线缆生产企业的供应商，产品广泛应</w:t>
      </w:r>
      <w:r>
        <w:rPr>
          <w:spacing w:val="-66"/>
        </w:rPr>
        <w:t> </w:t>
      </w:r>
      <w:r>
        <w:rPr>
          <w:spacing w:val="-66"/>
        </w:rPr>
      </w:r>
      <w:r>
        <w:rPr/>
        <w:t>用于对产品质量要求极高的重大场馆、隧道与桥梁、高铁、科研基地等国家重点工程。公司产品质量优良，市场知名度高，</w:t>
      </w:r>
    </w:p>
    <w:p>
      <w:pPr>
        <w:spacing w:after="0" w:line="312"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具有较强的市场竞争力，是国内领先的标准化管理、标准化运营的线缆用高分子材料制造企业。</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报告期内变动不大</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报告期内变动不大</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在建工程期末余额较期初增长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565.67%</w:t>
            </w:r>
            <w:r>
              <w:rPr>
                <w:rFonts w:ascii="宋体" w:hAnsi="宋体" w:cs="宋体" w:eastAsia="宋体" w:hint="default"/>
                <w:sz w:val="18"/>
                <w:szCs w:val="18"/>
              </w:rPr>
              <w:t>，主要是报告期内募投项目建设支出增加所 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货币资金期末余额较年初增长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212.08%</w:t>
            </w:r>
            <w:r>
              <w:rPr>
                <w:rFonts w:ascii="宋体" w:hAnsi="宋体" w:cs="宋体" w:eastAsia="宋体" w:hint="default"/>
                <w:sz w:val="18"/>
                <w:szCs w:val="18"/>
              </w:rPr>
              <w:t>，主要是公司本期公开发行人民币普通股</w:t>
            </w:r>
            <w:r>
              <w:rPr>
                <w:rFonts w:ascii="Times New Roman" w:hAnsi="Times New Roman" w:cs="Times New Roman" w:eastAsia="Times New Roman" w:hint="default"/>
                <w:sz w:val="18"/>
                <w:szCs w:val="18"/>
              </w:rPr>
              <w:t>(A</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1667 </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w:t>
            </w:r>
            <w:r>
              <w:rPr>
                <w:rFonts w:ascii="Times New Roman" w:hAnsi="Times New Roman" w:cs="Times New Roman" w:eastAsia="Times New Roman" w:hint="default"/>
                <w:sz w:val="18"/>
                <w:szCs w:val="18"/>
              </w:rPr>
              <w:t>(</w:t>
            </w:r>
            <w:r>
              <w:rPr>
                <w:rFonts w:ascii="宋体" w:hAnsi="宋体" w:cs="宋体" w:eastAsia="宋体" w:hint="default"/>
                <w:sz w:val="18"/>
                <w:szCs w:val="18"/>
              </w:rPr>
              <w:t>净额</w:t>
            </w:r>
            <w:r>
              <w:rPr>
                <w:rFonts w:ascii="Times New Roman" w:hAnsi="Times New Roman" w:cs="Times New Roman" w:eastAsia="Times New Roman" w:hint="default"/>
                <w:sz w:val="18"/>
                <w:szCs w:val="18"/>
              </w:rPr>
              <w:t>)2.13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033" w:firstLine="480"/>
        <w:jc w:val="left"/>
      </w:pPr>
      <w:r>
        <w:rPr/>
        <w:t>报告期内，公司研发投入</w:t>
      </w:r>
      <w:r>
        <w:rPr>
          <w:rFonts w:ascii="Times New Roman" w:hAnsi="Times New Roman" w:cs="Times New Roman" w:eastAsia="Times New Roman" w:hint="default"/>
        </w:rPr>
        <w:t>2,854.09</w:t>
      </w:r>
      <w:r>
        <w:rPr/>
        <w:t>万元，同比增长</w:t>
      </w:r>
      <w:r>
        <w:rPr>
          <w:rFonts w:ascii="Times New Roman" w:hAnsi="Times New Roman" w:cs="Times New Roman" w:eastAsia="Times New Roman" w:hint="default"/>
        </w:rPr>
        <w:t>22.46%</w:t>
      </w:r>
      <w:r>
        <w:rPr/>
        <w:t>，占营业收入的</w:t>
      </w:r>
      <w:r>
        <w:rPr>
          <w:rFonts w:ascii="Times New Roman" w:hAnsi="Times New Roman" w:cs="Times New Roman" w:eastAsia="Times New Roman" w:hint="default"/>
        </w:rPr>
        <w:t>5.27%</w:t>
      </w:r>
      <w:r>
        <w:rPr/>
        <w:t>。近一年来，公司不断加强</w:t>
      </w:r>
      <w:r>
        <w:rPr>
          <w:rFonts w:ascii="Times New Roman" w:hAnsi="Times New Roman" w:cs="Times New Roman" w:eastAsia="Times New Roman" w:hint="default"/>
        </w:rPr>
        <w:t>“</w:t>
      </w:r>
      <w:r>
        <w:rPr/>
        <w:t>高新特</w:t>
      </w:r>
      <w:r>
        <w:rPr>
          <w:rFonts w:ascii="Times New Roman" w:hAnsi="Times New Roman" w:cs="Times New Roman" w:eastAsia="Times New Roman" w:hint="default"/>
        </w:rPr>
        <w:t>”</w:t>
      </w:r>
      <w:r>
        <w:rPr/>
        <w:t>产 品的技术研发，同时为减少技术研发的风险，避免浪费，公司和下游电缆企业积极沟通，力争合作完成研发项目。</w:t>
      </w:r>
      <w:r>
        <w:rPr>
          <w:rFonts w:ascii="Times New Roman" w:hAnsi="Times New Roman" w:cs="Times New Roman" w:eastAsia="Times New Roman" w:hint="default"/>
        </w:rPr>
        <w:t>2015</w:t>
      </w:r>
      <w:r>
        <w:rPr/>
        <w:t>年， 和上海的电缆企业合作完成了光伏材料的</w:t>
      </w:r>
      <w:r>
        <w:rPr>
          <w:rFonts w:ascii="Times New Roman" w:hAnsi="Times New Roman" w:cs="Times New Roman" w:eastAsia="Times New Roman" w:hint="default"/>
        </w:rPr>
        <w:t>TUV</w:t>
      </w:r>
      <w:r>
        <w:rPr/>
        <w:t>认证，和广东电缆企业合作进行了充电桩电缆材料的研发。在核电领域，我</w:t>
      </w:r>
      <w:r>
        <w:rPr>
          <w:spacing w:val="-14"/>
        </w:rPr>
        <w:t> </w:t>
      </w:r>
      <w:r>
        <w:rPr>
          <w:spacing w:val="-14"/>
        </w:rPr>
      </w:r>
      <w:r>
        <w:rPr/>
        <w:t>们掌握了</w:t>
      </w:r>
      <w:r>
        <w:rPr>
          <w:rFonts w:ascii="Times New Roman" w:hAnsi="Times New Roman" w:cs="Times New Roman" w:eastAsia="Times New Roman" w:hint="default"/>
        </w:rPr>
        <w:t>60</w:t>
      </w:r>
      <w:r>
        <w:rPr/>
        <w:t>年寿命的化学交联体系的核电材料生产技术，目前正在和上缆所合作开发</w:t>
      </w:r>
      <w:r>
        <w:rPr>
          <w:rFonts w:ascii="Times New Roman" w:hAnsi="Times New Roman" w:cs="Times New Roman" w:eastAsia="Times New Roman" w:hint="default"/>
        </w:rPr>
        <w:t>60</w:t>
      </w:r>
      <w:r>
        <w:rPr/>
        <w:t>年寿命的辐照交联体系的核电材料。</w:t>
      </w:r>
    </w:p>
    <w:p>
      <w:pPr>
        <w:pStyle w:val="BodyText"/>
        <w:spacing w:line="300" w:lineRule="auto" w:before="13"/>
        <w:ind w:left="1134" w:right="0" w:firstLine="420"/>
        <w:jc w:val="left"/>
      </w:pPr>
      <w:r>
        <w:rPr>
          <w:rFonts w:ascii="Times New Roman" w:hAnsi="Times New Roman" w:cs="Times New Roman" w:eastAsia="Times New Roman" w:hint="default"/>
        </w:rPr>
        <w:t>2015</w:t>
      </w:r>
      <w:r>
        <w:rPr/>
        <w:t>年，公司获得了</w:t>
      </w:r>
      <w:r>
        <w:rPr>
          <w:rFonts w:ascii="Times New Roman" w:hAnsi="Times New Roman" w:cs="Times New Roman" w:eastAsia="Times New Roman" w:hint="default"/>
        </w:rPr>
        <w:t>10</w:t>
      </w:r>
      <w:r>
        <w:rPr/>
        <w:t>项实用新型专利，每项发明都是公司员工在日常生产实践中结合产品特点对设备及生产工艺不 断改进所创造的，在低投入的情况下大大提升了生产效率。新获得的实用新型专利具体清单如下：</w:t>
      </w:r>
    </w:p>
    <w:p>
      <w:pPr>
        <w:spacing w:before="31"/>
        <w:ind w:left="1475" w:right="1475" w:firstLine="0"/>
        <w:jc w:val="center"/>
        <w:rPr>
          <w:rFonts w:ascii="宋体" w:hAnsi="宋体" w:cs="宋体" w:eastAsia="宋体" w:hint="default"/>
          <w:sz w:val="18"/>
          <w:szCs w:val="18"/>
        </w:rPr>
      </w:pPr>
      <w:r>
        <w:rPr>
          <w:rFonts w:ascii="宋体" w:hAnsi="宋体" w:cs="宋体" w:eastAsia="宋体" w:hint="default"/>
          <w:b/>
          <w:bCs/>
          <w:sz w:val="18"/>
          <w:szCs w:val="18"/>
        </w:rPr>
        <w:t>知识产权清单</w:t>
      </w:r>
      <w:r>
        <w:rPr>
          <w:rFonts w:ascii="宋体" w:hAnsi="宋体" w:cs="宋体" w:eastAsia="宋体" w:hint="default"/>
          <w:sz w:val="18"/>
          <w:szCs w:val="18"/>
        </w:rPr>
      </w:r>
    </w:p>
    <w:p>
      <w:pPr>
        <w:spacing w:line="240" w:lineRule="auto" w:before="11"/>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749"/>
        <w:gridCol w:w="3672"/>
        <w:gridCol w:w="1366"/>
        <w:gridCol w:w="1341"/>
        <w:gridCol w:w="2364"/>
      </w:tblGrid>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知识产权名称</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授权日期</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授权号（专利号）</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吨包装机吹风装置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2015.6.10</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ZL201420781304.1</w:t>
            </w:r>
          </w:p>
        </w:tc>
      </w:tr>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粘结橡胶颗粒筛选打碎装置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2015.6.10</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ZL201420781219.5</w:t>
            </w:r>
          </w:p>
        </w:tc>
      </w:tr>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橡胶颗粒干燥与粉末自动分离干系统</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2015.5.27</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ZL201420781399.7</w:t>
            </w:r>
          </w:p>
        </w:tc>
      </w:tr>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平板硫化机冷却装置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2015.6.10</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ZL201420781242.4</w:t>
            </w:r>
          </w:p>
        </w:tc>
      </w:tr>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沸腾干燥床颗粒与粉末分离装置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2015.5.27</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ZL201420780921.X</w:t>
            </w:r>
          </w:p>
        </w:tc>
      </w:tr>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6</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密炼机下料系统</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2015.5.13</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ZL201420748997.4</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7</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无尘吨包装机吹风装置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2015.7.8</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ZL201420781259.X</w:t>
            </w:r>
          </w:p>
        </w:tc>
      </w:tr>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切粒机机头防粘板</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2015.7.8</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ZL201420812500.0</w:t>
            </w:r>
          </w:p>
        </w:tc>
      </w:tr>
      <w:tr>
        <w:trPr>
          <w:trHeight w:val="347"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粘结橡胶颗粒动态筛选打碎装置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2015.8.26</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ZL201420781085.7</w:t>
            </w:r>
          </w:p>
        </w:tc>
      </w:tr>
      <w:tr>
        <w:trPr>
          <w:trHeight w:val="348" w:hRule="exact"/>
        </w:trPr>
        <w:tc>
          <w:tcPr>
            <w:tcW w:w="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3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橡胶条防污染输送装置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2015.8.26</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ZL201420749201.7</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1475"/>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130" w:firstLine="480"/>
        <w:jc w:val="both"/>
      </w:pPr>
      <w:r>
        <w:rPr>
          <w:rFonts w:ascii="Times New Roman" w:hAnsi="Times New Roman" w:cs="Times New Roman" w:eastAsia="Times New Roman" w:hint="default"/>
          <w:spacing w:val="-1"/>
        </w:rPr>
        <w:t>2015</w:t>
      </w:r>
      <w:r>
        <w:rPr>
          <w:spacing w:val="-1"/>
        </w:rPr>
        <w:t>年面对我国经济增速减缓和激烈的行业竞争，公司董事会围绕着公司的战略规划和年度经营目标，充分利用公司</w:t>
      </w:r>
      <w:r>
        <w:rPr/>
        <w:t> </w:t>
      </w:r>
      <w:r>
        <w:rPr>
          <w:spacing w:val="-2"/>
        </w:rPr>
        <w:t>的品牌效应、销售渠道、技术管理等优势，及时调整经营策略，加大销售激励拓展市场，抓管理降成本，使公司保持平稳有</w:t>
      </w:r>
      <w:r>
        <w:rPr>
          <w:spacing w:val="-68"/>
        </w:rPr>
        <w:t> </w:t>
      </w:r>
      <w:r>
        <w:rPr>
          <w:spacing w:val="-68"/>
        </w:rPr>
      </w:r>
      <w:r>
        <w:rPr/>
        <w:t>序的发展。</w:t>
      </w:r>
    </w:p>
    <w:p>
      <w:pPr>
        <w:pStyle w:val="BodyText"/>
        <w:spacing w:line="240" w:lineRule="auto" w:before="24"/>
        <w:ind w:left="1613" w:right="0"/>
        <w:jc w:val="left"/>
      </w:pPr>
      <w:r>
        <w:rPr/>
        <w:t>（一）公司整体运营情况</w:t>
      </w:r>
    </w:p>
    <w:p>
      <w:pPr>
        <w:pStyle w:val="BodyText"/>
        <w:spacing w:line="309" w:lineRule="auto" w:before="76"/>
        <w:ind w:right="1132" w:firstLine="480"/>
        <w:jc w:val="both"/>
      </w:pPr>
      <w:r>
        <w:rPr>
          <w:rFonts w:ascii="Times New Roman" w:hAnsi="Times New Roman" w:cs="Times New Roman" w:eastAsia="Times New Roman" w:hint="default"/>
          <w:spacing w:val="-1"/>
        </w:rPr>
        <w:t>2015</w:t>
      </w:r>
      <w:r>
        <w:rPr>
          <w:spacing w:val="-1"/>
        </w:rPr>
        <w:t>年度国家</w:t>
      </w:r>
      <w:r>
        <w:rPr>
          <w:rFonts w:ascii="Times New Roman" w:hAnsi="Times New Roman" w:cs="Times New Roman" w:eastAsia="Times New Roman" w:hint="default"/>
          <w:spacing w:val="-1"/>
        </w:rPr>
        <w:t>GDP</w:t>
      </w:r>
      <w:r>
        <w:rPr>
          <w:spacing w:val="-1"/>
        </w:rPr>
        <w:t>增速为</w:t>
      </w:r>
      <w:r>
        <w:rPr>
          <w:rFonts w:ascii="Times New Roman" w:hAnsi="Times New Roman" w:cs="Times New Roman" w:eastAsia="Times New Roman" w:hint="default"/>
          <w:spacing w:val="-1"/>
        </w:rPr>
        <w:t>6.9%</w:t>
      </w:r>
      <w:r>
        <w:rPr>
          <w:spacing w:val="-1"/>
        </w:rPr>
        <w:t>，创历史新低，规模以上工业企业利润总额比上年下降</w:t>
      </w:r>
      <w:r>
        <w:rPr>
          <w:rFonts w:ascii="Times New Roman" w:hAnsi="Times New Roman" w:cs="Times New Roman" w:eastAsia="Times New Roman" w:hint="default"/>
          <w:spacing w:val="-1"/>
        </w:rPr>
        <w:t>2.3%</w:t>
      </w:r>
      <w:r>
        <w:rPr>
          <w:spacing w:val="-1"/>
        </w:rPr>
        <w:t>，为多年来首次下降。中国</w:t>
      </w:r>
      <w:r>
        <w:rPr/>
        <w:t> </w:t>
      </w:r>
      <w:r>
        <w:rPr>
          <w:spacing w:val="-2"/>
        </w:rPr>
        <w:t>经济结束了持续几十年的高速增长，传统制造业存在明显的产能过剩，增速换档期间消费拉动需求又明显乏力，经济下行压</w:t>
      </w:r>
      <w:r>
        <w:rPr>
          <w:spacing w:val="-66"/>
        </w:rPr>
        <w:t> </w:t>
      </w:r>
      <w:r>
        <w:rPr>
          <w:spacing w:val="-66"/>
        </w:rPr>
      </w:r>
      <w:r>
        <w:rPr/>
        <w:t>力加大，多重困难和挑战相互交织。</w:t>
      </w:r>
    </w:p>
    <w:p>
      <w:pPr>
        <w:pStyle w:val="BodyText"/>
        <w:spacing w:line="300" w:lineRule="auto" w:before="24"/>
        <w:ind w:right="1130" w:firstLine="480"/>
        <w:jc w:val="both"/>
      </w:pPr>
      <w:r>
        <w:rPr>
          <w:rFonts w:ascii="Times New Roman" w:hAnsi="Times New Roman" w:cs="Times New Roman" w:eastAsia="Times New Roman" w:hint="default"/>
          <w:spacing w:val="-3"/>
        </w:rPr>
        <w:t>2015</w:t>
      </w:r>
      <w:r>
        <w:rPr>
          <w:spacing w:val="-3"/>
        </w:rPr>
        <w:t>年，公司实现销售电缆料产品</w:t>
      </w:r>
      <w:r>
        <w:rPr>
          <w:rFonts w:ascii="Times New Roman" w:hAnsi="Times New Roman" w:cs="Times New Roman" w:eastAsia="Times New Roman" w:hint="default"/>
          <w:spacing w:val="-3"/>
        </w:rPr>
        <w:t>65145.09</w:t>
      </w:r>
      <w:r>
        <w:rPr>
          <w:spacing w:val="-3"/>
        </w:rPr>
        <w:t>吨，同比增长</w:t>
      </w:r>
      <w:r>
        <w:rPr>
          <w:rFonts w:ascii="Times New Roman" w:hAnsi="Times New Roman" w:cs="Times New Roman" w:eastAsia="Times New Roman" w:hint="default"/>
          <w:spacing w:val="-3"/>
        </w:rPr>
        <w:t>4.39%</w:t>
      </w:r>
      <w:r>
        <w:rPr>
          <w:spacing w:val="-3"/>
        </w:rPr>
        <w:t>，因单位产品产值下降</w:t>
      </w:r>
      <w:r>
        <w:rPr>
          <w:rFonts w:ascii="Times New Roman" w:hAnsi="Times New Roman" w:cs="Times New Roman" w:eastAsia="Times New Roman" w:hint="default"/>
          <w:spacing w:val="-3"/>
        </w:rPr>
        <w:t>,</w:t>
      </w:r>
      <w:r>
        <w:rPr>
          <w:spacing w:val="-3"/>
        </w:rPr>
        <w:t>实现营业收入</w:t>
      </w:r>
      <w:r>
        <w:rPr>
          <w:rFonts w:ascii="Times New Roman" w:hAnsi="Times New Roman" w:cs="Times New Roman" w:eastAsia="Times New Roman" w:hint="default"/>
          <w:spacing w:val="-3"/>
        </w:rPr>
        <w:t>54,231.06</w:t>
      </w:r>
      <w:r>
        <w:rPr>
          <w:spacing w:val="-3"/>
        </w:rPr>
        <w:t>万元（含</w:t>
      </w:r>
      <w:r>
        <w:rPr/>
        <w:t> 税</w:t>
      </w:r>
      <w:r>
        <w:rPr>
          <w:rFonts w:ascii="Times New Roman" w:hAnsi="Times New Roman" w:cs="Times New Roman" w:eastAsia="Times New Roman" w:hint="default"/>
        </w:rPr>
        <w:t>63,450.34</w:t>
      </w:r>
      <w:r>
        <w:rPr/>
        <w:t>万元），净利润</w:t>
      </w:r>
      <w:r>
        <w:rPr>
          <w:rFonts w:ascii="Times New Roman" w:hAnsi="Times New Roman" w:cs="Times New Roman" w:eastAsia="Times New Roman" w:hint="default"/>
        </w:rPr>
        <w:t>4111.43</w:t>
      </w:r>
      <w:r>
        <w:rPr/>
        <w:t>万元</w:t>
      </w:r>
      <w:r>
        <w:rPr>
          <w:rFonts w:ascii="Times New Roman" w:hAnsi="Times New Roman" w:cs="Times New Roman" w:eastAsia="Times New Roman" w:hint="default"/>
        </w:rPr>
        <w:t>,</w:t>
      </w:r>
      <w:r>
        <w:rPr/>
        <w:t>同比分别下降</w:t>
      </w:r>
      <w:r>
        <w:rPr>
          <w:rFonts w:ascii="Times New Roman" w:hAnsi="Times New Roman" w:cs="Times New Roman" w:eastAsia="Times New Roman" w:hint="default"/>
        </w:rPr>
        <w:t>5.35%</w:t>
      </w:r>
      <w:r>
        <w:rPr/>
        <w:t>和</w:t>
      </w:r>
      <w:r>
        <w:rPr>
          <w:rFonts w:ascii="Times New Roman" w:hAnsi="Times New Roman" w:cs="Times New Roman" w:eastAsia="Times New Roman" w:hint="default"/>
        </w:rPr>
        <w:t>10.91%</w:t>
      </w:r>
      <w:r>
        <w:rPr/>
        <w:t>。公司产品毛利率为</w:t>
      </w:r>
      <w:r>
        <w:rPr>
          <w:rFonts w:ascii="Times New Roman" w:hAnsi="Times New Roman" w:cs="Times New Roman" w:eastAsia="Times New Roman" w:hint="default"/>
        </w:rPr>
        <w:t>23.65%</w:t>
      </w:r>
      <w:r>
        <w:rPr/>
        <w:t>，同比上升</w:t>
      </w:r>
      <w:r>
        <w:rPr>
          <w:rFonts w:ascii="Times New Roman" w:hAnsi="Times New Roman" w:cs="Times New Roman" w:eastAsia="Times New Roman" w:hint="default"/>
        </w:rPr>
        <w:t>0.90%</w:t>
      </w:r>
      <w:r>
        <w:rPr/>
        <w:t>。</w:t>
      </w:r>
    </w:p>
    <w:p>
      <w:pPr>
        <w:pStyle w:val="BodyText"/>
        <w:spacing w:line="240" w:lineRule="auto" w:before="13"/>
        <w:ind w:left="1613" w:right="0"/>
        <w:jc w:val="left"/>
      </w:pPr>
      <w:r>
        <w:rPr/>
        <w:t>（二）科技研发情况</w:t>
      </w:r>
    </w:p>
    <w:p>
      <w:pPr>
        <w:pStyle w:val="BodyText"/>
        <w:spacing w:line="309" w:lineRule="auto" w:before="76"/>
        <w:ind w:right="1033" w:firstLine="480"/>
        <w:jc w:val="left"/>
      </w:pPr>
      <w:r>
        <w:rPr>
          <w:rFonts w:ascii="Times New Roman" w:hAnsi="Times New Roman" w:cs="Times New Roman" w:eastAsia="Times New Roman" w:hint="default"/>
        </w:rPr>
        <w:t>2015</w:t>
      </w:r>
      <w:r>
        <w:rPr/>
        <w:t>年，技术部新开发了辐照交联单耐油无卤低烟绝缘料、辐照交联单耐油无卤低烟护套料、</w:t>
      </w:r>
      <w:r>
        <w:rPr>
          <w:rFonts w:ascii="Times New Roman" w:hAnsi="Times New Roman" w:cs="Times New Roman" w:eastAsia="Times New Roman" w:hint="default"/>
        </w:rPr>
        <w:t>110KV</w:t>
      </w:r>
      <w:r>
        <w:rPr/>
        <w:t>电缆用耐寒低烟 低卤聚氯乙烯护套料。其中辐照交联单耐油无卤低烟聚烯烃护套料和辐照交联单耐油无卤低烟聚烯烃绝缘料已经批量生产。 和上海客户合作开发的</w:t>
      </w:r>
      <w:r>
        <w:rPr>
          <w:rFonts w:ascii="Times New Roman" w:hAnsi="Times New Roman" w:cs="Times New Roman" w:eastAsia="Times New Roman" w:hint="default"/>
        </w:rPr>
        <w:t>“</w:t>
      </w:r>
      <w:r>
        <w:rPr/>
        <w:t>光伏电缆</w:t>
      </w:r>
      <w:r>
        <w:rPr>
          <w:rFonts w:ascii="Times New Roman" w:hAnsi="Times New Roman" w:cs="Times New Roman" w:eastAsia="Times New Roman" w:hint="default"/>
        </w:rPr>
        <w:t>”</w:t>
      </w:r>
      <w:r>
        <w:rPr/>
        <w:t>已经通过</w:t>
      </w:r>
      <w:r>
        <w:rPr>
          <w:rFonts w:ascii="Times New Roman" w:hAnsi="Times New Roman" w:cs="Times New Roman" w:eastAsia="Times New Roman" w:hint="default"/>
        </w:rPr>
        <w:t>TUV</w:t>
      </w:r>
      <w:r>
        <w:rPr/>
        <w:t>认证。</w:t>
      </w:r>
    </w:p>
    <w:p>
      <w:pPr>
        <w:pStyle w:val="BodyText"/>
        <w:spacing w:line="316" w:lineRule="auto" w:before="5"/>
        <w:ind w:right="1131" w:firstLine="480"/>
        <w:jc w:val="both"/>
      </w:pPr>
      <w:r>
        <w:rPr>
          <w:spacing w:val="-1"/>
        </w:rPr>
        <w:t>公司技术部在上缆所指导下完成了化学交联体系核电电缆料的试制工作，实验室性能指标均合格，热寿命评定试验正</w:t>
      </w:r>
      <w:r>
        <w:rPr/>
        <w:t> 在进行中，即将完成。</w:t>
      </w:r>
    </w:p>
    <w:p>
      <w:pPr>
        <w:pStyle w:val="BodyText"/>
        <w:spacing w:line="240" w:lineRule="auto" w:before="19"/>
        <w:ind w:right="0"/>
        <w:jc w:val="left"/>
      </w:pPr>
      <w:r>
        <w:rPr>
          <w:rFonts w:ascii="Times New Roman" w:hAnsi="Times New Roman" w:cs="Times New Roman" w:eastAsia="Times New Roman" w:hint="default"/>
        </w:rPr>
        <w:t>2015</w:t>
      </w:r>
      <w:r>
        <w:rPr/>
        <w:t>年，公司获得了</w:t>
      </w:r>
      <w:r>
        <w:rPr>
          <w:rFonts w:ascii="Times New Roman" w:hAnsi="Times New Roman" w:cs="Times New Roman" w:eastAsia="Times New Roman" w:hint="default"/>
        </w:rPr>
        <w:t>10</w:t>
      </w:r>
      <w:r>
        <w:rPr/>
        <w:t>项实用新型专利，现公司共有专利</w:t>
      </w:r>
      <w:r>
        <w:rPr>
          <w:rFonts w:ascii="Times New Roman" w:hAnsi="Times New Roman" w:cs="Times New Roman" w:eastAsia="Times New Roman" w:hint="default"/>
        </w:rPr>
        <w:t>28</w:t>
      </w:r>
      <w:r>
        <w:rPr/>
        <w:t>项。</w:t>
      </w:r>
    </w:p>
    <w:p>
      <w:pPr>
        <w:pStyle w:val="BodyText"/>
        <w:spacing w:line="307" w:lineRule="auto" w:before="63"/>
        <w:ind w:right="1033" w:firstLine="480"/>
        <w:jc w:val="left"/>
      </w:pPr>
      <w:r>
        <w:rPr/>
        <w:t>（三）市场销售情况 </w:t>
      </w:r>
      <w:r>
        <w:rPr>
          <w:rFonts w:ascii="Times New Roman" w:hAnsi="Times New Roman" w:cs="Times New Roman" w:eastAsia="Times New Roman" w:hint="default"/>
        </w:rPr>
        <w:t>2015</w:t>
      </w:r>
      <w:r>
        <w:rPr/>
        <w:t>年，电缆料市场价格竞争激烈，公开招标采购的方式在行业内逐渐占据优势，公司不断优化投标工作，根据市场情况， </w:t>
      </w:r>
      <w:r>
        <w:rPr>
          <w:spacing w:val="-2"/>
        </w:rPr>
        <w:t>及时更新销售价格。公司非常重视优质大客户管理，注重产品质量和客户关系的维持，对客户信用加强了管理，放弃了部分</w:t>
      </w:r>
      <w:r>
        <w:rPr>
          <w:spacing w:val="-66"/>
        </w:rPr>
        <w:t> </w:t>
      </w:r>
      <w:r>
        <w:rPr>
          <w:spacing w:val="-66"/>
        </w:rPr>
      </w:r>
      <w:r>
        <w:rPr>
          <w:spacing w:val="-2"/>
        </w:rPr>
        <w:t>货款不能及时回收的客户的定单。公司减少了低端产品的销售，积极扩大特种产品的销售。</w:t>
      </w:r>
      <w:r>
        <w:rPr>
          <w:rFonts w:ascii="Times New Roman" w:hAnsi="Times New Roman" w:cs="Times New Roman" w:eastAsia="Times New Roman" w:hint="default"/>
          <w:spacing w:val="-2"/>
        </w:rPr>
        <w:t>2015</w:t>
      </w:r>
      <w:r>
        <w:rPr>
          <w:spacing w:val="-2"/>
        </w:rPr>
        <w:t>年，通用聚氯乙烯电缆料销</w:t>
      </w:r>
      <w:r>
        <w:rPr>
          <w:spacing w:val="-61"/>
        </w:rPr>
        <w:t> </w:t>
      </w:r>
      <w:r>
        <w:rPr>
          <w:spacing w:val="-61"/>
        </w:rPr>
      </w:r>
      <w:r>
        <w:rPr/>
        <w:t>售额下降</w:t>
      </w:r>
      <w:r>
        <w:rPr>
          <w:rFonts w:ascii="Times New Roman" w:hAnsi="Times New Roman" w:cs="Times New Roman" w:eastAsia="Times New Roman" w:hint="default"/>
        </w:rPr>
        <w:t>4328.91</w:t>
      </w:r>
      <w:r>
        <w:rPr/>
        <w:t>万元，下降</w:t>
      </w:r>
      <w:r>
        <w:rPr>
          <w:rFonts w:ascii="Times New Roman" w:hAnsi="Times New Roman" w:cs="Times New Roman" w:eastAsia="Times New Roman" w:hint="default"/>
        </w:rPr>
        <w:t>30.54%</w:t>
      </w:r>
      <w:r>
        <w:rPr/>
        <w:t>，特种聚乙烯及交联聚乙烯电缆料销售额上升</w:t>
      </w:r>
      <w:r>
        <w:rPr>
          <w:rFonts w:ascii="Times New Roman" w:hAnsi="Times New Roman" w:cs="Times New Roman" w:eastAsia="Times New Roman" w:hint="default"/>
        </w:rPr>
        <w:t>1047.19</w:t>
      </w:r>
      <w:r>
        <w:rPr/>
        <w:t>万元，上升</w:t>
      </w:r>
      <w:r>
        <w:rPr>
          <w:rFonts w:ascii="Times New Roman" w:hAnsi="Times New Roman" w:cs="Times New Roman" w:eastAsia="Times New Roman" w:hint="default"/>
        </w:rPr>
        <w:t>5.13%</w:t>
      </w:r>
      <w:r>
        <w:rPr/>
        <w:t>，其他产品变化</w:t>
      </w:r>
      <w:r>
        <w:rPr>
          <w:spacing w:val="-33"/>
        </w:rPr>
        <w:t> </w:t>
      </w:r>
      <w:r>
        <w:rPr>
          <w:spacing w:val="-33"/>
        </w:rPr>
      </w:r>
      <w:r>
        <w:rPr/>
        <w:t>不大。</w:t>
      </w:r>
    </w:p>
    <w:p>
      <w:pPr>
        <w:pStyle w:val="BodyText"/>
        <w:spacing w:line="316" w:lineRule="auto" w:before="26"/>
        <w:ind w:left="1613" w:right="0"/>
        <w:jc w:val="left"/>
      </w:pPr>
      <w:r>
        <w:rPr/>
        <w:t>（四）行业发展趋势 </w:t>
      </w:r>
      <w:r>
        <w:rPr>
          <w:spacing w:val="-3"/>
        </w:rPr>
        <w:t>随着全球技术的进步，环保意识的提高以及国家政策的引导，线缆行业未来的发展将集中在以下几大领域：智能电网、</w:t>
      </w:r>
    </w:p>
    <w:p>
      <w:pPr>
        <w:pStyle w:val="BodyText"/>
        <w:spacing w:line="316" w:lineRule="auto" w:before="19"/>
        <w:ind w:right="1118"/>
        <w:jc w:val="left"/>
      </w:pPr>
      <w:r>
        <w:rPr>
          <w:spacing w:val="-2"/>
        </w:rPr>
        <w:t>核电、轨道交通、新能源汽车体系及充电领域、海工装备、航空航天、智能机器人，下游线缆行业将驱动和引导线缆材料行</w:t>
      </w:r>
      <w:r>
        <w:rPr>
          <w:spacing w:val="-68"/>
        </w:rPr>
        <w:t> </w:t>
      </w:r>
      <w:r>
        <w:rPr>
          <w:spacing w:val="-68"/>
        </w:rPr>
      </w:r>
      <w:r>
        <w:rPr/>
        <w:t>业的发展。</w:t>
      </w:r>
    </w:p>
    <w:p>
      <w:pPr>
        <w:pStyle w:val="BodyText"/>
        <w:spacing w:line="300" w:lineRule="auto" w:before="19"/>
        <w:ind w:right="1089" w:firstLine="480"/>
        <w:jc w:val="both"/>
      </w:pPr>
      <w:r>
        <w:rPr/>
        <w:t>伴随产业的变革，线缆材料的技术要求也在提高。线缆材料从最初的普通</w:t>
      </w:r>
      <w:r>
        <w:rPr>
          <w:rFonts w:ascii="Times New Roman" w:hAnsi="Times New Roman" w:cs="Times New Roman" w:eastAsia="Times New Roman" w:hint="default"/>
        </w:rPr>
        <w:t>PVC</w:t>
      </w:r>
      <w:r>
        <w:rPr/>
        <w:t>和普通橡胶材料发展成包括特种</w:t>
      </w:r>
      <w:r>
        <w:rPr>
          <w:rFonts w:ascii="Times New Roman" w:hAnsi="Times New Roman" w:cs="Times New Roman" w:eastAsia="Times New Roman" w:hint="default"/>
        </w:rPr>
        <w:t>PVC</w:t>
      </w:r>
      <w:r>
        <w:rPr/>
        <w:t>、 </w:t>
      </w:r>
      <w:r>
        <w:rPr>
          <w:rFonts w:ascii="Times New Roman" w:hAnsi="Times New Roman" w:cs="Times New Roman" w:eastAsia="Times New Roman" w:hint="default"/>
        </w:rPr>
        <w:t>PE</w:t>
      </w:r>
      <w:r>
        <w:rPr/>
        <w:t>、</w:t>
      </w:r>
      <w:r>
        <w:rPr>
          <w:rFonts w:ascii="Times New Roman" w:hAnsi="Times New Roman" w:cs="Times New Roman" w:eastAsia="Times New Roman" w:hint="default"/>
        </w:rPr>
        <w:t>XLPE</w:t>
      </w:r>
      <w:r>
        <w:rPr/>
        <w:t>、无卤低烟聚烯烃、</w:t>
      </w:r>
      <w:r>
        <w:rPr>
          <w:rFonts w:ascii="Times New Roman" w:hAnsi="Times New Roman" w:cs="Times New Roman" w:eastAsia="Times New Roman" w:hint="default"/>
        </w:rPr>
        <w:t>PP</w:t>
      </w:r>
      <w:r>
        <w:rPr/>
        <w:t>材料、特种橡胶、热塑性弹性体等多种产品，并在耐压、耐高温、耐磨、耐油、耐气候、 阻燃、环保、超薄、柔软、防鼠防蚁等性能指标上不断提升。</w:t>
      </w:r>
    </w:p>
    <w:p>
      <w:pPr>
        <w:pStyle w:val="BodyText"/>
        <w:spacing w:line="300" w:lineRule="auto" w:before="31"/>
        <w:ind w:right="0" w:firstLine="362"/>
        <w:jc w:val="left"/>
      </w:pPr>
      <w:r>
        <w:rPr>
          <w:spacing w:val="-3"/>
        </w:rPr>
        <w:t>电缆材料行业未来的发展趋势：</w:t>
      </w:r>
      <w:r>
        <w:rPr>
          <w:rFonts w:ascii="Times New Roman" w:hAnsi="Times New Roman" w:cs="Times New Roman" w:eastAsia="Times New Roman" w:hint="default"/>
          <w:spacing w:val="-3"/>
        </w:rPr>
        <w:t>1.</w:t>
      </w:r>
      <w:r>
        <w:rPr>
          <w:spacing w:val="-3"/>
        </w:rPr>
        <w:t>环保材料代替非环保材料；</w:t>
      </w:r>
      <w:r>
        <w:rPr>
          <w:rFonts w:ascii="Times New Roman" w:hAnsi="Times New Roman" w:cs="Times New Roman" w:eastAsia="Times New Roman" w:hint="default"/>
          <w:spacing w:val="-3"/>
        </w:rPr>
        <w:t>2</w:t>
      </w:r>
      <w:r>
        <w:rPr>
          <w:spacing w:val="-3"/>
        </w:rPr>
        <w:t>、开发新型材料满足新兴行业的要求；</w:t>
      </w:r>
      <w:r>
        <w:rPr>
          <w:rFonts w:ascii="Times New Roman" w:hAnsi="Times New Roman" w:cs="Times New Roman" w:eastAsia="Times New Roman" w:hint="default"/>
          <w:spacing w:val="-3"/>
        </w:rPr>
        <w:t>3</w:t>
      </w:r>
      <w:r>
        <w:rPr>
          <w:spacing w:val="-3"/>
        </w:rPr>
        <w:t>、提高技术门槛，</w:t>
      </w:r>
      <w:r>
        <w:rPr/>
        <w:t> 淘汰低价竞争的小企业。</w:t>
      </w:r>
    </w:p>
    <w:p>
      <w:pPr>
        <w:pStyle w:val="BodyText"/>
        <w:spacing w:line="240" w:lineRule="auto" w:before="31"/>
        <w:ind w:left="1613" w:right="0"/>
        <w:jc w:val="left"/>
      </w:pPr>
      <w:r>
        <w:rPr/>
        <w:t>（五）</w:t>
      </w:r>
      <w:r>
        <w:rPr>
          <w:rFonts w:ascii="Times New Roman" w:hAnsi="Times New Roman" w:cs="Times New Roman" w:eastAsia="Times New Roman" w:hint="default"/>
        </w:rPr>
        <w:t>2016</w:t>
      </w:r>
      <w:r>
        <w:rPr/>
        <w:t>年工作计划</w:t>
      </w:r>
    </w:p>
    <w:p>
      <w:pPr>
        <w:pStyle w:val="BodyText"/>
        <w:spacing w:line="309" w:lineRule="auto" w:before="63"/>
        <w:ind w:right="1128" w:firstLine="48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月份，中国制造业采购经理指数</w:t>
      </w:r>
      <w:r>
        <w:rPr>
          <w:rFonts w:ascii="Times New Roman" w:hAnsi="Times New Roman" w:cs="Times New Roman" w:eastAsia="Times New Roman" w:hint="default"/>
        </w:rPr>
        <w:t>PMI</w:t>
      </w:r>
      <w:r>
        <w:rPr/>
        <w:t>为</w:t>
      </w:r>
      <w:r>
        <w:rPr>
          <w:rFonts w:ascii="Times New Roman" w:hAnsi="Times New Roman" w:cs="Times New Roman" w:eastAsia="Times New Roman" w:hint="default"/>
        </w:rPr>
        <w:t>49.4%</w:t>
      </w:r>
      <w:r>
        <w:rPr/>
        <w:t>，低于上月</w:t>
      </w:r>
      <w:r>
        <w:rPr>
          <w:rFonts w:ascii="Times New Roman" w:hAnsi="Times New Roman" w:cs="Times New Roman" w:eastAsia="Times New Roman" w:hint="default"/>
        </w:rPr>
        <w:t>0.3</w:t>
      </w:r>
      <w:r>
        <w:rPr/>
        <w:t>个百分点，分类指数中，新订单指数为</w:t>
      </w:r>
      <w:r>
        <w:rPr>
          <w:rFonts w:ascii="Times New Roman" w:hAnsi="Times New Roman" w:cs="Times New Roman" w:eastAsia="Times New Roman" w:hint="default"/>
        </w:rPr>
        <w:t>49.5%</w:t>
      </w:r>
      <w:r>
        <w:rPr/>
        <w:t>，比</w:t>
      </w:r>
      <w:r>
        <w:rPr>
          <w:spacing w:val="1"/>
        </w:rPr>
        <w:t> </w:t>
      </w:r>
      <w:r>
        <w:rPr>
          <w:spacing w:val="-1"/>
        </w:rPr>
        <w:t>上月下降</w:t>
      </w:r>
      <w:r>
        <w:rPr>
          <w:rFonts w:ascii="Times New Roman" w:hAnsi="Times New Roman" w:cs="Times New Roman" w:eastAsia="Times New Roman" w:hint="default"/>
          <w:spacing w:val="-1"/>
        </w:rPr>
        <w:t>0.7</w:t>
      </w:r>
      <w:r>
        <w:rPr>
          <w:spacing w:val="-1"/>
        </w:rPr>
        <w:t>个百分点，降至临界点下方，表明制造业市场需求回落。</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月，欧佩克油价</w:t>
      </w:r>
      <w:r>
        <w:rPr>
          <w:rFonts w:ascii="Times New Roman" w:hAnsi="Times New Roman" w:cs="Times New Roman" w:eastAsia="Times New Roman" w:hint="default"/>
          <w:spacing w:val="-1"/>
        </w:rPr>
        <w:t>12</w:t>
      </w:r>
      <w:r>
        <w:rPr>
          <w:spacing w:val="-1"/>
        </w:rPr>
        <w:t>年来首次跌破</w:t>
      </w:r>
      <w:r>
        <w:rPr>
          <w:rFonts w:ascii="Times New Roman" w:hAnsi="Times New Roman" w:cs="Times New Roman" w:eastAsia="Times New Roman" w:hint="default"/>
          <w:spacing w:val="-1"/>
        </w:rPr>
        <w:t>30</w:t>
      </w:r>
      <w:r>
        <w:rPr>
          <w:spacing w:val="-1"/>
        </w:rPr>
        <w:t>美元，工业</w:t>
      </w:r>
      <w:r>
        <w:rPr>
          <w:spacing w:val="-71"/>
        </w:rPr>
        <w:t> </w:t>
      </w:r>
      <w:r>
        <w:rPr>
          <w:spacing w:val="-71"/>
        </w:rPr>
      </w:r>
      <w:r>
        <w:rPr>
          <w:spacing w:val="-2"/>
        </w:rPr>
        <w:t>生产者出厂价格指数和原材料购进价格指数持续下降，部分资金流出实体经济，导致国内制造业面临严峻的经营压力。在去</w:t>
      </w:r>
      <w:r>
        <w:rPr>
          <w:spacing w:val="-66"/>
        </w:rPr>
        <w:t> </w:t>
      </w:r>
      <w:r>
        <w:rPr>
          <w:spacing w:val="-66"/>
        </w:rPr>
      </w:r>
      <w:r>
        <w:rPr>
          <w:spacing w:val="-2"/>
        </w:rPr>
        <w:t>产能、去杠杆的整体环境中，在劳动力成本整体提升和价格竞争的压力下，制造业迫切需要进行转型升级，朝向高附加值产</w:t>
      </w:r>
      <w:r>
        <w:rPr>
          <w:spacing w:val="-66"/>
        </w:rPr>
        <w:t> </w:t>
      </w:r>
      <w:r>
        <w:rPr>
          <w:spacing w:val="-66"/>
        </w:rPr>
      </w:r>
      <w:r>
        <w:rPr/>
        <w:t>品、高效生产管理转型。</w:t>
      </w:r>
    </w:p>
    <w:p>
      <w:pPr>
        <w:pStyle w:val="BodyText"/>
        <w:spacing w:line="240" w:lineRule="auto" w:before="24"/>
        <w:ind w:left="1614"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2016</w:t>
      </w:r>
      <w:r>
        <w:rPr>
          <w:spacing w:val="-3"/>
        </w:rPr>
        <w:t>年全年业绩目标：营业收入较</w:t>
      </w:r>
      <w:r>
        <w:rPr>
          <w:rFonts w:ascii="Times New Roman" w:hAnsi="Times New Roman" w:cs="Times New Roman" w:eastAsia="Times New Roman" w:hint="default"/>
          <w:spacing w:val="-3"/>
        </w:rPr>
        <w:t>2015</w:t>
      </w:r>
      <w:r>
        <w:rPr>
          <w:spacing w:val="-3"/>
        </w:rPr>
        <w:t>年增长</w:t>
      </w:r>
      <w:r>
        <w:rPr>
          <w:rFonts w:ascii="Times New Roman" w:hAnsi="Times New Roman" w:cs="Times New Roman" w:eastAsia="Times New Roman" w:hint="default"/>
          <w:spacing w:val="-3"/>
        </w:rPr>
        <w:t>10%</w:t>
      </w:r>
      <w:r>
        <w:rPr>
          <w:spacing w:val="-3"/>
        </w:rPr>
        <w:t>，实现营业收入</w:t>
      </w:r>
      <w:r>
        <w:rPr>
          <w:rFonts w:ascii="Times New Roman" w:hAnsi="Times New Roman" w:cs="Times New Roman" w:eastAsia="Times New Roman" w:hint="default"/>
          <w:spacing w:val="-3"/>
        </w:rPr>
        <w:t>5.9654</w:t>
      </w:r>
      <w:r>
        <w:rPr>
          <w:spacing w:val="-3"/>
        </w:rPr>
        <w:t>亿元，净利润较</w:t>
      </w:r>
      <w:r>
        <w:rPr>
          <w:rFonts w:ascii="Times New Roman" w:hAnsi="Times New Roman" w:cs="Times New Roman" w:eastAsia="Times New Roman" w:hint="default"/>
          <w:spacing w:val="-3"/>
        </w:rPr>
        <w:t>2015</w:t>
      </w:r>
      <w:r>
        <w:rPr>
          <w:spacing w:val="-3"/>
        </w:rPr>
        <w:t>年增长</w:t>
      </w:r>
      <w:r>
        <w:rPr>
          <w:rFonts w:ascii="Times New Roman" w:hAnsi="Times New Roman" w:cs="Times New Roman" w:eastAsia="Times New Roman" w:hint="default"/>
          <w:spacing w:val="-3"/>
        </w:rPr>
        <w:t>10%</w:t>
      </w:r>
      <w:r>
        <w:rPr>
          <w:spacing w:val="-3"/>
        </w:rPr>
        <w:t>，达到</w:t>
      </w:r>
      <w:r>
        <w:rPr>
          <w:rFonts w:ascii="Times New Roman" w:hAnsi="Times New Roman" w:cs="Times New Roman" w:eastAsia="Times New Roman" w:hint="default"/>
          <w:spacing w:val="-3"/>
        </w:rPr>
        <w:t>4522.57</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ind w:right="0"/>
        <w:jc w:val="left"/>
      </w:pPr>
      <w:r>
        <w:rPr/>
        <w:t>万元。</w:t>
      </w:r>
    </w:p>
    <w:p>
      <w:pPr>
        <w:pStyle w:val="BodyText"/>
        <w:spacing w:line="300" w:lineRule="auto" w:before="76"/>
        <w:ind w:right="1118" w:firstLine="360"/>
        <w:jc w:val="left"/>
      </w:pPr>
      <w:r>
        <w:rPr>
          <w:spacing w:val="-2"/>
        </w:rPr>
        <w:t>公司</w:t>
      </w:r>
      <w:r>
        <w:rPr>
          <w:rFonts w:ascii="Times New Roman" w:hAnsi="Times New Roman" w:cs="Times New Roman" w:eastAsia="Times New Roman" w:hint="default"/>
          <w:spacing w:val="-2"/>
        </w:rPr>
        <w:t>2016</w:t>
      </w:r>
      <w:r>
        <w:rPr>
          <w:spacing w:val="-2"/>
        </w:rPr>
        <w:t>年的战略目标是：抓住国家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电网投资的的机遇，重视内生增长；完成募投项目建设，为未来发展拓展</w:t>
      </w:r>
      <w:r>
        <w:rPr/>
        <w:t> 空间。</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542,310,639.42</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572,955,064.27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542,310,639.42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572,955,064.27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特种聚氯乙烯电缆 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122,018,259.65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123,646,998.50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21.58%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特种聚乙烯及交联 聚乙烯电缆料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214,522,676.43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204,050,810.06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35.61%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无卤低烟阻燃电缆 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86,428,419.79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87,328,452.62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橡胶电缆料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19,898,265.20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14,824,666.00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橡塑改性弹性体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491,967.95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801,138.33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-38.59%</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通用聚氯乙烯电缆 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98,475,786.05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141,764,881.00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475,264.35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538,117.76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542,310,639.42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572,955,064.27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521,445,141.92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399,858,833.33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特种聚氯乙烯电 缆料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122,018,259.65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88,611,425.24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特种聚乙烯及交 联聚乙烯电缆料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214,522,676.43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169,642,992.89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无卤低烟阻燃电 缆料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86,428,419.79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60,223,970.49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通用聚氯乙烯电 缆料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98,475,786.05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81,380,444.71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542,310,639.42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414,050,711.04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65,145.09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62,404.16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65,499.37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62,219.93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119.20%</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2"/>
        <w:ind w:right="380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库存量报告期较上年同期增长</w:t>
      </w:r>
      <w:r>
        <w:rPr>
          <w:rFonts w:ascii="Times New Roman" w:hAnsi="Times New Roman" w:cs="Times New Roman" w:eastAsia="Times New Roman" w:hint="default"/>
        </w:rPr>
        <w:t>119.20%</w:t>
      </w:r>
      <w:r>
        <w:rPr/>
        <w:t>，主要是期末客户订单增加，相应增加库存所致。</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414,050,711.04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442,621,816.03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0" w:right="0"/>
              <w:jc w:val="left"/>
              <w:rPr>
                <w:rFonts w:ascii="Times New Roman" w:hAnsi="Times New Roman" w:cs="Times New Roman" w:eastAsia="Times New Roman" w:hint="default"/>
                <w:sz w:val="18"/>
                <w:szCs w:val="18"/>
              </w:rPr>
            </w:pPr>
            <w:r>
              <w:rPr>
                <w:rFonts w:ascii="Times New Roman"/>
                <w:sz w:val="18"/>
              </w:rPr>
              <w:t>-6.45%</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特种聚氯乙烯电 缆料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88,611,425.24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89,847,584.04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特种聚乙烯及交 联聚乙烯电缆料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169,642,992.89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162,356,501.77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无卤低烟阻燃电 缆料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60,223,970.49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62,580,601.41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橡胶电缆料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13,626,384.21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10,116,560.18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橡塑改性弹性体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335,587.30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549,732.62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通用聚氯乙烯电 缆料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81,380,444.71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116,828,459.92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229,906.20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342,376.09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152,510,508.12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28.15%</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83,161,344.88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20,323,172.73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18,204,730.14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15,750,888.30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15,070,372.07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152,510,508.12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214,307,182.42</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50.57%</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98,619,125.07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40,814,648.72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37,736,196.24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28,546,356.41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15,590,855.98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214,307,182.42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50.57%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31,452,028.88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30,810,743.59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46,214,488.47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36,956,226.31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6,523,642.64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8,855,915.68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-26.34%</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7"/>
        <w:rPr>
          <w:rFonts w:ascii="宋体" w:hAnsi="宋体" w:cs="宋体" w:eastAsia="宋体" w:hint="default"/>
          <w:sz w:val="18"/>
          <w:szCs w:val="18"/>
        </w:rPr>
      </w:pPr>
    </w:p>
    <w:p>
      <w:pPr>
        <w:spacing w:line="4065" w:lineRule="exact"/>
        <w:ind w:left="113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6161794" cy="25812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6161794"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8"/>
        <w:rPr>
          <w:rFonts w:ascii="宋体" w:hAnsi="宋体" w:cs="宋体" w:eastAsia="宋体" w:hint="default"/>
          <w:sz w:val="15"/>
          <w:szCs w:val="15"/>
        </w:rPr>
      </w:pPr>
    </w:p>
    <w:p>
      <w:pPr>
        <w:pStyle w:val="BodyText"/>
        <w:spacing w:line="240" w:lineRule="auto" w:before="0"/>
        <w:ind w:right="0"/>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28,540,877.29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23,305,982.58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24,898,956.45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249,926,672.60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324,847,063.56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247,399,323.37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311,814,776.73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2,527,349.23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13,032,286.83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7,416,100.00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22,620.20%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44,001,879.03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38,358,642.15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-36,585,779.03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-38,326,001.15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380,592,176.00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237,122,225.14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143,093,883.16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143,469,950.86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12,006,116.84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1,094.97%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109,411,522.40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-13,287,597.41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923.41%</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78" w:firstLine="290"/>
        <w:jc w:val="left"/>
      </w:pPr>
      <w:r>
        <w:rPr>
          <w:rFonts w:ascii="Times New Roman" w:hAnsi="Times New Roman" w:cs="Times New Roman" w:eastAsia="Times New Roman" w:hint="default"/>
        </w:rPr>
        <w:t>1</w:t>
      </w:r>
      <w:r>
        <w:rPr/>
        <w:t>、经营活动产生的现金流量净额本期发生额较去年同期减少</w:t>
      </w:r>
      <w:r>
        <w:rPr>
          <w:rFonts w:ascii="Times New Roman" w:hAnsi="Times New Roman" w:cs="Times New Roman" w:eastAsia="Times New Roman" w:hint="default"/>
        </w:rPr>
        <w:t>80.61%</w:t>
      </w:r>
      <w:r>
        <w:rPr/>
        <w:t>，主要是本期以现金结算的聚乙烯材料采购增加以 及应付账款余额的减少和应收账款的余额增加所致。</w:t>
      </w:r>
    </w:p>
    <w:p>
      <w:pPr>
        <w:pStyle w:val="BodyText"/>
        <w:spacing w:line="240" w:lineRule="auto" w:before="31"/>
        <w:ind w:left="1424" w:right="0"/>
        <w:jc w:val="left"/>
      </w:pPr>
      <w:r>
        <w:rPr>
          <w:rFonts w:ascii="Times New Roman" w:hAnsi="Times New Roman" w:cs="Times New Roman" w:eastAsia="Times New Roman" w:hint="default"/>
          <w:spacing w:val="-3"/>
        </w:rPr>
        <w:t>2</w:t>
      </w:r>
      <w:r>
        <w:rPr>
          <w:spacing w:val="-3"/>
        </w:rPr>
        <w:t>、投资活动现金流入小计本期发生额较去年同期增加</w:t>
      </w:r>
      <w:r>
        <w:rPr>
          <w:rFonts w:ascii="Times New Roman" w:hAnsi="Times New Roman" w:cs="Times New Roman" w:eastAsia="Times New Roman" w:hint="default"/>
          <w:spacing w:val="-3"/>
        </w:rPr>
        <w:t>22620.20%</w:t>
      </w:r>
      <w:r>
        <w:rPr>
          <w:spacing w:val="-3"/>
        </w:rPr>
        <w:t>，主要是本期处置无形资产土地收到的现金增加额所致。</w:t>
      </w:r>
    </w:p>
    <w:p>
      <w:pPr>
        <w:pStyle w:val="BodyText"/>
        <w:spacing w:line="240" w:lineRule="auto" w:before="37"/>
        <w:ind w:left="1385" w:right="0"/>
        <w:jc w:val="left"/>
        <w:rPr>
          <w:rFonts w:ascii="Times New Roman" w:hAnsi="Times New Roman" w:cs="Times New Roman" w:eastAsia="Times New Roman" w:hint="default"/>
        </w:rPr>
      </w:pPr>
      <w:r>
        <w:rPr>
          <w:rFonts w:ascii="Times New Roman" w:hAnsi="Times New Roman" w:cs="Times New Roman" w:eastAsia="Times New Roman" w:hint="default"/>
          <w:sz w:val="21"/>
          <w:szCs w:val="21"/>
        </w:rPr>
        <w:t>3</w:t>
      </w:r>
      <w:r>
        <w:rPr>
          <w:sz w:val="21"/>
          <w:szCs w:val="21"/>
        </w:rPr>
        <w:t>、</w:t>
      </w:r>
      <w:r>
        <w:rPr/>
        <w:t>筹资活动现金流入小计本期发生额较去年同期增加</w:t>
      </w:r>
      <w:r>
        <w:rPr>
          <w:rFonts w:ascii="Times New Roman" w:hAnsi="Times New Roman" w:cs="Times New Roman" w:eastAsia="Times New Roman" w:hint="default"/>
        </w:rPr>
        <w:t>145.39%</w:t>
      </w:r>
      <w:r>
        <w:rPr>
          <w:sz w:val="21"/>
          <w:szCs w:val="21"/>
        </w:rPr>
        <w:t>，</w:t>
      </w:r>
      <w:r>
        <w:rPr/>
        <w:t>主要是本期公开发行人民币普通股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股票</w:t>
      </w:r>
      <w:r>
        <w:rPr>
          <w:rFonts w:ascii="Times New Roman" w:hAnsi="Times New Roman" w:cs="Times New Roman" w:eastAsia="Times New Roman" w:hint="default"/>
        </w:rPr>
        <w:t>1667</w:t>
      </w:r>
      <w:r>
        <w:rPr/>
        <w:t>万股</w:t>
      </w:r>
      <w:r>
        <w:rPr>
          <w:rFonts w:ascii="Times New Roman" w:hAnsi="Times New Roman" w:cs="Times New Roman" w:eastAsia="Times New Roman" w:hint="default"/>
        </w:rPr>
        <w:t>,</w:t>
      </w:r>
    </w:p>
    <w:p>
      <w:pPr>
        <w:pStyle w:val="BodyText"/>
        <w:spacing w:line="240" w:lineRule="auto" w:before="46"/>
        <w:ind w:left="1134" w:right="0"/>
        <w:jc w:val="left"/>
      </w:pPr>
      <w:r>
        <w:rPr/>
        <w:t>吸收投资收到的现金增加所致。</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40" w:lineRule="auto"/>
        <w:ind w:right="1313" w:firstLine="290"/>
        <w:jc w:val="left"/>
      </w:pPr>
      <w:r>
        <w:rPr>
          <w:rFonts w:ascii="Times New Roman" w:hAnsi="Times New Roman" w:cs="Times New Roman" w:eastAsia="Times New Roman" w:hint="default"/>
        </w:rPr>
        <w:t>4</w:t>
      </w:r>
      <w:r>
        <w:rPr/>
        <w:t>、筹资活动现金流出小计本期发生额较去年同期增加</w:t>
      </w:r>
      <w:r>
        <w:rPr>
          <w:rFonts w:ascii="Times New Roman" w:hAnsi="Times New Roman" w:cs="Times New Roman" w:eastAsia="Times New Roman" w:hint="default"/>
        </w:rPr>
        <w:t>65.71%</w:t>
      </w:r>
      <w:r>
        <w:rPr/>
        <w:t>，主要是是本期支付有关上市发行费</w:t>
      </w:r>
      <w:r>
        <w:rPr>
          <w:rFonts w:ascii="Times New Roman" w:hAnsi="Times New Roman" w:cs="Times New Roman" w:eastAsia="Times New Roman" w:hint="default"/>
        </w:rPr>
        <w:t>1148.49</w:t>
      </w:r>
      <w:r>
        <w:rPr/>
        <w:t>万元所致。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153,202,224.7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25.94%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49,090,702.39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11.65%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14.29%</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168,837,356.4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28.59%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133,973,043.67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31.80%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-3.21%</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48,354,774.23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30,279,449.25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4,194,042.59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4,423,948.79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69,259,478.58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61,485,748.41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41,023,130.51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6,162,672.53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5"/>
              <w:jc w:val="center"/>
              <w:rPr>
                <w:rFonts w:ascii="宋体" w:hAnsi="宋体" w:cs="宋体" w:eastAsia="宋体" w:hint="default"/>
                <w:sz w:val="18"/>
                <w:szCs w:val="18"/>
              </w:rPr>
            </w:pPr>
            <w:r>
              <w:rPr>
                <w:rFonts w:ascii="宋体" w:hAnsi="宋体" w:cs="宋体" w:eastAsia="宋体" w:hint="default"/>
                <w:sz w:val="18"/>
                <w:szCs w:val="18"/>
              </w:rPr>
              <w:t>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21,303.47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6,258.21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6,258.21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9,023.42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存放于公 司募集资 金专户内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21,303.47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6,258.21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6,258.21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9,023.42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1" w:firstLine="54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日中国证券监督管理委 </w:t>
            </w:r>
            <w:r>
              <w:rPr>
                <w:rFonts w:ascii="宋体" w:hAnsi="宋体" w:cs="宋体" w:eastAsia="宋体" w:hint="default"/>
                <w:spacing w:val="-2"/>
                <w:sz w:val="18"/>
                <w:szCs w:val="18"/>
              </w:rPr>
              <w:t>员会《关于核准杭州高新橡塑材料股份有限公司首次公开发行股票的批复》（证监许可〔</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957</w:t>
            </w:r>
            <w:r>
              <w:rPr>
                <w:rFonts w:ascii="Times New Roman" w:hAnsi="Times New Roman" w:cs="Times New Roman" w:eastAsia="Times New Roman" w:hint="default"/>
                <w:sz w:val="18"/>
                <w:szCs w:val="18"/>
              </w:rPr>
              <w:t> </w:t>
            </w:r>
            <w:r>
              <w:rPr>
                <w:rFonts w:ascii="宋体" w:hAnsi="宋体" w:cs="宋体" w:eastAsia="宋体" w:hint="default"/>
                <w:sz w:val="18"/>
                <w:szCs w:val="18"/>
              </w:rPr>
              <w:t>号）核准，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月公司公开发行人民币普通股（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16,670,000 </w:t>
            </w:r>
            <w:r>
              <w:rPr>
                <w:rFonts w:ascii="宋体" w:hAnsi="宋体" w:cs="宋体" w:eastAsia="宋体" w:hint="default"/>
                <w:sz w:val="18"/>
                <w:szCs w:val="18"/>
              </w:rPr>
              <w:t>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元，募集资金总</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247,382,800.00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元，减除发行费用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34,348,135.15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元后，募集资金净额为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213,034,664.85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元。业经天健会计师事务所（特</w:t>
            </w:r>
          </w:p>
          <w:p>
            <w:pPr>
              <w:pStyle w:val="TableParagraph"/>
              <w:tabs>
                <w:tab w:pos="6065" w:val="left" w:leader="none"/>
              </w:tabs>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殊普通合伙</w:t>
            </w:r>
            <w:r>
              <w:rPr>
                <w:rFonts w:ascii="宋体" w:hAnsi="宋体" w:cs="宋体" w:eastAsia="宋体" w:hint="default"/>
                <w:spacing w:val="-5"/>
                <w:sz w:val="18"/>
                <w:szCs w:val="18"/>
              </w:rPr>
              <w:t>）</w:t>
            </w:r>
            <w:r>
              <w:rPr>
                <w:rFonts w:ascii="宋体" w:hAnsi="宋体" w:cs="宋体" w:eastAsia="宋体" w:hint="default"/>
                <w:sz w:val="18"/>
                <w:szCs w:val="18"/>
              </w:rPr>
              <w:t>审验</w:t>
            </w:r>
            <w:r>
              <w:rPr>
                <w:rFonts w:ascii="宋体" w:hAnsi="宋体" w:cs="宋体" w:eastAsia="宋体" w:hint="default"/>
                <w:spacing w:val="-5"/>
                <w:sz w:val="18"/>
                <w:szCs w:val="18"/>
              </w:rPr>
              <w:t>，</w:t>
            </w:r>
            <w:r>
              <w:rPr>
                <w:rFonts w:ascii="宋体" w:hAnsi="宋体" w:cs="宋体" w:eastAsia="宋体" w:hint="default"/>
                <w:sz w:val="18"/>
                <w:szCs w:val="18"/>
              </w:rPr>
              <w:t>并由其出</w:t>
            </w:r>
            <w:r>
              <w:rPr>
                <w:rFonts w:ascii="宋体" w:hAnsi="宋体" w:cs="宋体" w:eastAsia="宋体" w:hint="default"/>
                <w:spacing w:val="-5"/>
                <w:sz w:val="18"/>
                <w:szCs w:val="18"/>
              </w:rPr>
              <w:t>具</w:t>
            </w:r>
            <w:r>
              <w:rPr>
                <w:rFonts w:ascii="宋体" w:hAnsi="宋体" w:cs="宋体" w:eastAsia="宋体" w:hint="default"/>
                <w:sz w:val="18"/>
                <w:szCs w:val="18"/>
              </w:rPr>
              <w:t>《验资报告</w:t>
            </w:r>
            <w:r>
              <w:rPr>
                <w:rFonts w:ascii="宋体" w:hAnsi="宋体" w:cs="宋体" w:eastAsia="宋体" w:hint="default"/>
                <w:spacing w:val="-95"/>
                <w:sz w:val="18"/>
                <w:szCs w:val="18"/>
              </w:rPr>
              <w:t>》</w:t>
            </w:r>
            <w:r>
              <w:rPr>
                <w:rFonts w:ascii="宋体" w:hAnsi="宋体" w:cs="宋体" w:eastAsia="宋体" w:hint="default"/>
                <w:sz w:val="18"/>
                <w:szCs w:val="18"/>
              </w:rPr>
              <w:t>（天健</w:t>
            </w:r>
            <w:r>
              <w:rPr>
                <w:rFonts w:ascii="宋体" w:hAnsi="宋体" w:cs="宋体" w:eastAsia="宋体" w:hint="default"/>
                <w:spacing w:val="-5"/>
                <w:sz w:val="18"/>
                <w:szCs w:val="18"/>
              </w:rPr>
              <w:t>验</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2015</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w:t>
              <w:tab/>
              <w:t>本公司</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6,321.82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26"/>
                <w:sz w:val="18"/>
                <w:szCs w:val="18"/>
              </w:rPr>
              <w:t>元</w:t>
            </w:r>
            <w:r>
              <w:rPr>
                <w:rFonts w:ascii="宋体" w:hAnsi="宋体" w:cs="宋体" w:eastAsia="宋体" w:hint="default"/>
                <w:sz w:val="18"/>
                <w:szCs w:val="18"/>
              </w:rPr>
              <w:t>（包括募投项目投入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6,258.21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万元和支付的工程押金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用于暂时补充流动资金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6"/>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6,321.82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万元，累计收到的银行存款利息扣</w:t>
            </w:r>
          </w:p>
          <w:p>
            <w:pPr>
              <w:pStyle w:val="TableParagraph"/>
              <w:tabs>
                <w:tab w:pos="3372" w:val="left" w:leader="none"/>
              </w:tabs>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除银行手续费等的净额为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tab/>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日，募集资金余额为人民币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9,023.42 </w:t>
            </w:r>
            <w:r>
              <w:rPr>
                <w:rFonts w:ascii="宋体" w:hAnsi="宋体" w:cs="宋体" w:eastAsia="宋体" w:hint="default"/>
                <w:spacing w:val="-3"/>
                <w:sz w:val="18"/>
                <w:szCs w:val="18"/>
              </w:rPr>
              <w:t>万元（包括累计收到</w:t>
            </w:r>
            <w:r>
              <w:rPr>
                <w:rFonts w:ascii="宋体" w:hAnsi="宋体" w:cs="宋体" w:eastAsia="宋体" w:hint="default"/>
                <w:sz w:val="18"/>
                <w:szCs w:val="18"/>
              </w:rPr>
              <w:t> </w:t>
            </w:r>
            <w:r>
              <w:rPr>
                <w:rFonts w:ascii="宋体" w:hAnsi="宋体" w:cs="宋体" w:eastAsia="宋体" w:hint="default"/>
                <w:spacing w:val="-5"/>
                <w:sz w:val="18"/>
                <w:szCs w:val="18"/>
              </w:rPr>
              <w:t>的银行存款利息扣除银行手续费等的净额）。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5"/>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7"/>
        <w:gridCol w:w="716"/>
        <w:gridCol w:w="720"/>
        <w:gridCol w:w="718"/>
        <w:gridCol w:w="716"/>
        <w:gridCol w:w="719"/>
        <w:gridCol w:w="718"/>
        <w:gridCol w:w="718"/>
        <w:gridCol w:w="714"/>
      </w:tblGrid>
      <w:tr>
        <w:trPr>
          <w:trHeight w:val="101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3" w:right="62" w:firstLine="30"/>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3" w:right="83"/>
              <w:jc w:val="both"/>
              <w:rPr>
                <w:rFonts w:ascii="宋体" w:hAnsi="宋体" w:cs="宋体" w:eastAsia="宋体" w:hint="default"/>
                <w:sz w:val="18"/>
                <w:szCs w:val="18"/>
              </w:rPr>
            </w:pPr>
            <w:r>
              <w:rPr>
                <w:rFonts w:ascii="宋体" w:hAnsi="宋体" w:cs="宋体" w:eastAsia="宋体" w:hint="default"/>
                <w:sz w:val="18"/>
                <w:szCs w:val="18"/>
              </w:rPr>
              <w:t>募集资 金承诺 投资总</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82"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83" w:right="8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5" w:right="83"/>
              <w:jc w:val="both"/>
              <w:rPr>
                <w:rFonts w:ascii="宋体" w:hAnsi="宋体" w:cs="宋体" w:eastAsia="宋体" w:hint="default"/>
                <w:sz w:val="18"/>
                <w:szCs w:val="18"/>
              </w:rPr>
            </w:pPr>
            <w:r>
              <w:rPr>
                <w:rFonts w:ascii="宋体" w:hAnsi="宋体" w:cs="宋体" w:eastAsia="宋体" w:hint="default"/>
                <w:sz w:val="18"/>
                <w:szCs w:val="18"/>
              </w:rPr>
              <w:t>截至期 末累计 投入金</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8" w:right="67"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2" w:right="83"/>
              <w:jc w:val="both"/>
              <w:rPr>
                <w:rFonts w:ascii="宋体" w:hAnsi="宋体" w:cs="宋体" w:eastAsia="宋体" w:hint="default"/>
                <w:sz w:val="18"/>
                <w:szCs w:val="18"/>
              </w:rPr>
            </w:pPr>
            <w:r>
              <w:rPr>
                <w:rFonts w:ascii="宋体" w:hAnsi="宋体" w:cs="宋体" w:eastAsia="宋体" w:hint="default"/>
                <w:sz w:val="18"/>
                <w:szCs w:val="18"/>
              </w:rPr>
              <w:t>项目达 到预定 可使用</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85" w:right="8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3" w:right="83"/>
              <w:jc w:val="both"/>
              <w:rPr>
                <w:rFonts w:ascii="宋体" w:hAnsi="宋体" w:cs="宋体" w:eastAsia="宋体" w:hint="default"/>
                <w:sz w:val="18"/>
                <w:szCs w:val="18"/>
              </w:rPr>
            </w:pPr>
            <w:r>
              <w:rPr>
                <w:rFonts w:ascii="宋体" w:hAnsi="宋体" w:cs="宋体" w:eastAsia="宋体" w:hint="default"/>
                <w:sz w:val="18"/>
                <w:szCs w:val="18"/>
              </w:rPr>
              <w:t>截止报 告期末 累计实</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83"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82" w:right="79"/>
              <w:jc w:val="both"/>
              <w:rPr>
                <w:rFonts w:ascii="宋体" w:hAnsi="宋体" w:cs="宋体" w:eastAsia="宋体" w:hint="default"/>
                <w:sz w:val="18"/>
                <w:szCs w:val="18"/>
              </w:rPr>
            </w:pPr>
            <w:r>
              <w:rPr>
                <w:rFonts w:ascii="宋体" w:hAnsi="宋体" w:cs="宋体" w:eastAsia="宋体" w:hint="default"/>
                <w:sz w:val="18"/>
                <w:szCs w:val="18"/>
              </w:rPr>
              <w:t>项目可 行性是 否发生</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6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60" w:right="84" w:hanging="180"/>
              <w:jc w:val="left"/>
              <w:rPr>
                <w:rFonts w:ascii="宋体" w:hAnsi="宋体" w:cs="宋体" w:eastAsia="宋体" w:hint="default"/>
                <w:sz w:val="18"/>
                <w:szCs w:val="18"/>
              </w:rPr>
            </w:pPr>
            <w:r>
              <w:rPr>
                <w:rFonts w:ascii="宋体" w:hAnsi="宋体" w:cs="宋体" w:eastAsia="宋体" w:hint="default"/>
                <w:sz w:val="18"/>
                <w:szCs w:val="18"/>
              </w:rPr>
              <w:t>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61" w:right="84" w:hanging="180"/>
              <w:jc w:val="left"/>
              <w:rPr>
                <w:rFonts w:ascii="宋体" w:hAnsi="宋体" w:cs="宋体" w:eastAsia="宋体" w:hint="default"/>
                <w:sz w:val="18"/>
                <w:szCs w:val="18"/>
              </w:rPr>
            </w:pPr>
            <w:r>
              <w:rPr>
                <w:rFonts w:ascii="宋体" w:hAnsi="宋体" w:cs="宋体" w:eastAsia="宋体" w:hint="default"/>
                <w:sz w:val="18"/>
                <w:szCs w:val="18"/>
              </w:rPr>
              <w:t>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9" w:right="79" w:hanging="180"/>
              <w:jc w:val="left"/>
              <w:rPr>
                <w:rFonts w:ascii="宋体" w:hAnsi="宋体" w:cs="宋体" w:eastAsia="宋体" w:hint="default"/>
                <w:sz w:val="18"/>
                <w:szCs w:val="18"/>
              </w:rPr>
            </w:pPr>
            <w:r>
              <w:rPr>
                <w:rFonts w:ascii="宋体" w:hAnsi="宋体" w:cs="宋体" w:eastAsia="宋体" w:hint="default"/>
                <w:sz w:val="18"/>
                <w:szCs w:val="18"/>
              </w:rPr>
              <w:t>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13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吨塑料 电缆料颗粒项目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9,961.51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9,961.51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3,083.31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3,083.31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30.95%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3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吨塑料 电缆料颗粒项目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11,342.3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w w:val="95"/>
                <w:sz w:val="18"/>
              </w:rPr>
              <w:t>11,342.3</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3,174.9</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3,174.9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27.99%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21,303.8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21,303.8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6,258.21</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5"/>
              <w:jc w:val="left"/>
              <w:rPr>
                <w:rFonts w:ascii="Times New Roman" w:hAnsi="Times New Roman" w:cs="Times New Roman" w:eastAsia="Times New Roman" w:hint="default"/>
                <w:sz w:val="18"/>
                <w:szCs w:val="18"/>
              </w:rPr>
            </w:pPr>
            <w:r>
              <w:rPr>
                <w:rFonts w:ascii="Times New Roman"/>
                <w:sz w:val="18"/>
              </w:rPr>
              <w:t>6,258.21</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9"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21,303.8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3</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21,303.8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6,258.21</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91"/>
              <w:ind w:right="56"/>
              <w:jc w:val="right"/>
              <w:rPr>
                <w:rFonts w:ascii="Times New Roman" w:hAnsi="Times New Roman" w:cs="Times New Roman" w:eastAsia="Times New Roman" w:hint="default"/>
                <w:sz w:val="18"/>
                <w:szCs w:val="18"/>
              </w:rPr>
            </w:pPr>
            <w:r>
              <w:rPr>
                <w:rFonts w:ascii="Times New Roman"/>
                <w:sz w:val="18"/>
              </w:rPr>
              <w:t>6,258.2</w:t>
            </w:r>
          </w:p>
          <w:p>
            <w:pPr>
              <w:pStyle w:val="TableParagraph"/>
              <w:spacing w:line="240" w:lineRule="auto" w:before="105"/>
              <w:ind w:right="56"/>
              <w:jc w:val="right"/>
              <w:rPr>
                <w:rFonts w:ascii="Times New Roman" w:hAnsi="Times New Roman" w:cs="Times New Roman" w:eastAsia="Times New Roman" w:hint="default"/>
                <w:sz w:val="18"/>
                <w:szCs w:val="18"/>
              </w:rPr>
            </w:pPr>
            <w:r>
              <w:rPr>
                <w:rFonts w:ascii="Times New Roman"/>
                <w:sz w:val="18"/>
              </w:rPr>
              <w:t>1</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3"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根据天健会计师事务所（特殊普通合伙）于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日出具的天健审</w:t>
            </w:r>
            <w:r>
              <w:rPr>
                <w:rFonts w:ascii="Times New Roman" w:hAnsi="Times New Roman" w:cs="Times New Roman" w:eastAsia="Times New Roman" w:hint="default"/>
                <w:sz w:val="18"/>
                <w:szCs w:val="18"/>
              </w:rPr>
              <w:t>[2015]6022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号《关于杭州</w:t>
            </w:r>
          </w:p>
          <w:p>
            <w:pPr>
              <w:pStyle w:val="TableParagraph"/>
              <w:spacing w:line="240" w:lineRule="auto" w:before="61"/>
              <w:ind w:left="16" w:right="0"/>
              <w:jc w:val="both"/>
              <w:rPr>
                <w:rFonts w:ascii="宋体" w:hAnsi="宋体" w:cs="宋体" w:eastAsia="宋体" w:hint="default"/>
                <w:sz w:val="18"/>
                <w:szCs w:val="18"/>
              </w:rPr>
            </w:pPr>
            <w:r>
              <w:rPr>
                <w:rFonts w:ascii="宋体" w:hAnsi="宋体" w:cs="宋体" w:eastAsia="宋体" w:hint="default"/>
                <w:sz w:val="18"/>
                <w:szCs w:val="18"/>
              </w:rPr>
              <w:t>高新橡塑材料股份有限公司以自筹资金预先投入募投项目的鉴证报告</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33"/>
                <w:sz w:val="18"/>
                <w:szCs w:val="18"/>
              </w:rPr>
              <w:t>，</w:t>
            </w:r>
            <w:r>
              <w:rPr>
                <w:rFonts w:ascii="宋体" w:hAnsi="宋体" w:cs="宋体" w:eastAsia="宋体" w:hint="default"/>
                <w:sz w:val="18"/>
                <w:szCs w:val="18"/>
              </w:rPr>
              <w:t>本公</w:t>
            </w:r>
          </w:p>
          <w:p>
            <w:pPr>
              <w:pStyle w:val="TableParagraph"/>
              <w:spacing w:line="312" w:lineRule="auto" w:before="63"/>
              <w:ind w:left="16" w:right="20"/>
              <w:jc w:val="both"/>
              <w:rPr>
                <w:rFonts w:ascii="宋体" w:hAnsi="宋体" w:cs="宋体" w:eastAsia="宋体" w:hint="default"/>
                <w:sz w:val="18"/>
                <w:szCs w:val="18"/>
              </w:rPr>
            </w:pPr>
            <w:r>
              <w:rPr>
                <w:rFonts w:ascii="宋体" w:hAnsi="宋体" w:cs="宋体" w:eastAsia="宋体" w:hint="default"/>
                <w:sz w:val="18"/>
                <w:szCs w:val="18"/>
              </w:rPr>
              <w:t>司以自筹资金预先投入募集资金投资项目的实际投资金额为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2,956.53 </w:t>
            </w:r>
            <w:r>
              <w:rPr>
                <w:rFonts w:ascii="宋体" w:hAnsi="宋体" w:cs="宋体" w:eastAsia="宋体" w:hint="default"/>
                <w:spacing w:val="-13"/>
                <w:sz w:val="18"/>
                <w:szCs w:val="18"/>
              </w:rPr>
              <w:t>万元。公司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宋体" w:hAnsi="宋体" w:cs="宋体" w:eastAsia="宋体" w:hint="default"/>
                <w:spacing w:val="1"/>
                <w:sz w:val="18"/>
                <w:szCs w:val="18"/>
              </w:rPr>
              <w:t> </w:t>
            </w:r>
            <w:r>
              <w:rPr>
                <w:rFonts w:ascii="宋体" w:hAnsi="宋体" w:cs="宋体" w:eastAsia="宋体" w:hint="default"/>
                <w:spacing w:val="-2"/>
                <w:sz w:val="18"/>
                <w:szCs w:val="18"/>
              </w:rPr>
              <w:t>第二届董事会第七次会议决议、第二届监事会第三次会议决议、独立董事在审议相关材料后出具的独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立意见，同意公司使用募集资金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2,956.53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万元置换预先投入募集资金投资项目的自筹资金。公司保荐 </w:t>
            </w:r>
            <w:r>
              <w:rPr>
                <w:rFonts w:ascii="宋体" w:hAnsi="宋体" w:cs="宋体" w:eastAsia="宋体" w:hint="default"/>
                <w:spacing w:val="-2"/>
                <w:sz w:val="18"/>
                <w:szCs w:val="18"/>
              </w:rPr>
              <w:t>机构齐鲁证券有限公司出具了《齐鲁证券有限公司关于杭州高新橡塑材料股份有限公司以募集资金置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换预先投入募集资金投资项目自筹资金的专项意见》，同意公司以募集资金置换预先投入募集资金投</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资项目的自筹资金。</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vMerge/>
            <w:tcBorders>
              <w:left w:val="single" w:sz="9" w:space="0" w:color="D2D2D2"/>
              <w:right w:val="single" w:sz="4" w:space="0" w:color="000000"/>
            </w:tcBorders>
          </w:tcPr>
          <w:p>
            <w:pPr/>
          </w:p>
        </w:tc>
      </w:tr>
      <w:tr>
        <w:trPr>
          <w:trHeight w:val="98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19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日的第二届董事会第八次会议决议、第二届监事会第四次会议决议、独立董事在 </w:t>
            </w:r>
            <w:r>
              <w:rPr>
                <w:rFonts w:ascii="宋体" w:hAnsi="宋体" w:cs="宋体" w:eastAsia="宋体" w:hint="default"/>
                <w:spacing w:val="-2"/>
                <w:sz w:val="18"/>
                <w:szCs w:val="18"/>
              </w:rPr>
              <w:t>审议相关材料后出具的独立意见，同意公司在保证募集资金投资项目建设的资金需求、保证募集资金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投资项目正常进行的前提下，使用部分闲置募集资金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万元用于暂时补充生产经营性流动资金，</w:t>
            </w:r>
          </w:p>
          <w:p>
            <w:pPr>
              <w:pStyle w:val="TableParagraph"/>
              <w:spacing w:line="309" w:lineRule="auto" w:before="5"/>
              <w:ind w:left="22" w:right="47"/>
              <w:jc w:val="both"/>
              <w:rPr>
                <w:rFonts w:ascii="宋体" w:hAnsi="宋体" w:cs="宋体" w:eastAsia="宋体" w:hint="default"/>
                <w:sz w:val="18"/>
                <w:szCs w:val="18"/>
              </w:rPr>
            </w:pPr>
            <w:r>
              <w:rPr>
                <w:rFonts w:ascii="宋体" w:hAnsi="宋体" w:cs="宋体" w:eastAsia="宋体" w:hint="default"/>
                <w:sz w:val="18"/>
                <w:szCs w:val="18"/>
              </w:rPr>
              <w:t>使用期限不超过董事会批准之日起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个月。公司保荐机构齐鲁证券有限公司出具了《齐鲁证券有限 </w:t>
            </w:r>
            <w:r>
              <w:rPr>
                <w:rFonts w:ascii="宋体" w:hAnsi="宋体" w:cs="宋体" w:eastAsia="宋体" w:hint="default"/>
                <w:spacing w:val="-3"/>
                <w:sz w:val="18"/>
                <w:szCs w:val="18"/>
              </w:rPr>
              <w:t>公司关于杭州高新橡塑材料股份有限公司使用部分闲置募集资金暂时补充流动资金的核查意见》，同</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意公司使用闲置募集资金中的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截至报告期末，尚未使用的募集资金都存放于公司募集资金专户内。</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3"/>
        <w:rPr>
          <w:rFonts w:ascii="宋体" w:hAnsi="宋体" w:cs="宋体" w:eastAsia="宋体" w:hint="default"/>
          <w:sz w:val="19"/>
          <w:szCs w:val="19"/>
        </w:rPr>
      </w:pPr>
    </w:p>
    <w:p>
      <w:pPr>
        <w:pStyle w:val="Heading2"/>
        <w:spacing w:line="240" w:lineRule="auto"/>
        <w:ind w:left="113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75" w:right="8231"/>
        <w:jc w:val="center"/>
      </w:pPr>
      <w:r>
        <w:rPr/>
        <w:t>（一）电缆行业的政策环境</w:t>
      </w:r>
    </w:p>
    <w:p>
      <w:pPr>
        <w:spacing w:after="0" w:line="240" w:lineRule="auto"/>
        <w:jc w:val="center"/>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0" w:firstLine="360"/>
        <w:jc w:val="left"/>
      </w:pPr>
      <w:r>
        <w:rPr>
          <w:spacing w:val="-2"/>
        </w:rPr>
        <w:t>伴随经济的变化，我国电力供需进入了供应过剩的局面，电缆行业结束了多年的高速增长，步入中速发展期，未来电缆</w:t>
      </w:r>
      <w:r>
        <w:rPr/>
        <w:t> 行业的政策规划将以高效、绿色发展为目标。</w:t>
      </w:r>
    </w:p>
    <w:p>
      <w:pPr>
        <w:pStyle w:val="BodyText"/>
        <w:spacing w:line="300" w:lineRule="auto" w:before="19"/>
        <w:ind w:right="1070" w:firstLine="360"/>
        <w:jc w:val="both"/>
      </w:pPr>
      <w:r>
        <w:rPr>
          <w:rFonts w:ascii="Times New Roman" w:hAnsi="Times New Roman" w:cs="Times New Roman" w:eastAsia="Times New Roman" w:hint="default"/>
        </w:rPr>
        <w:t>2016</w:t>
      </w:r>
      <w:r>
        <w:rPr/>
        <w:t>年国家电网计划投资</w:t>
      </w:r>
      <w:r>
        <w:rPr>
          <w:rFonts w:ascii="Times New Roman" w:hAnsi="Times New Roman" w:cs="Times New Roman" w:eastAsia="Times New Roman" w:hint="default"/>
        </w:rPr>
        <w:t>4390</w:t>
      </w:r>
      <w:r>
        <w:rPr/>
        <w:t>亿元用于电网建设，较</w:t>
      </w:r>
      <w:r>
        <w:rPr>
          <w:rFonts w:ascii="Times New Roman" w:hAnsi="Times New Roman" w:cs="Times New Roman" w:eastAsia="Times New Roman" w:hint="default"/>
        </w:rPr>
        <w:t>2015</w:t>
      </w:r>
      <w:r>
        <w:rPr/>
        <w:t>年增长</w:t>
      </w:r>
      <w:r>
        <w:rPr>
          <w:rFonts w:ascii="Times New Roman" w:hAnsi="Times New Roman" w:cs="Times New Roman" w:eastAsia="Times New Roman" w:hint="default"/>
        </w:rPr>
        <w:t>4.5%</w:t>
      </w:r>
      <w:r>
        <w:rPr/>
        <w:t>，南方电网计划固定资产投资</w:t>
      </w:r>
      <w:r>
        <w:rPr>
          <w:rFonts w:ascii="Times New Roman" w:hAnsi="Times New Roman" w:cs="Times New Roman" w:eastAsia="Times New Roman" w:hint="default"/>
        </w:rPr>
        <w:t>960</w:t>
      </w:r>
      <w:r>
        <w:rPr/>
        <w:t>亿元。</w:t>
      </w:r>
      <w:r>
        <w:rPr>
          <w:rFonts w:ascii="Times New Roman" w:hAnsi="Times New Roman" w:cs="Times New Roman" w:eastAsia="Times New Roman" w:hint="default"/>
        </w:rPr>
        <w:t>2016</w:t>
      </w:r>
      <w:r>
        <w:rPr/>
        <w:t>年是 </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规划的开局之年，我国智能电网建设工程进度加快，输配电设备将进入更新换代周期，产品升级换代的需求旺盛， 并逐步增长。</w:t>
      </w:r>
    </w:p>
    <w:p>
      <w:pPr>
        <w:pStyle w:val="BodyText"/>
        <w:spacing w:line="300" w:lineRule="auto" w:before="31"/>
        <w:ind w:right="1130" w:firstLine="360"/>
        <w:jc w:val="both"/>
      </w:pPr>
      <w:r>
        <w:rPr>
          <w:spacing w:val="-3"/>
        </w:rPr>
        <w:t>按照国家电网公司规划，</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期间，在</w:t>
      </w:r>
      <w:r>
        <w:rPr>
          <w:rFonts w:ascii="Times New Roman" w:hAnsi="Times New Roman" w:cs="Times New Roman" w:eastAsia="Times New Roman" w:hint="default"/>
          <w:spacing w:val="-3"/>
        </w:rPr>
        <w:t>“</w:t>
      </w:r>
      <w:r>
        <w:rPr>
          <w:spacing w:val="-3"/>
        </w:rPr>
        <w:t>四交五直</w:t>
      </w:r>
      <w:r>
        <w:rPr>
          <w:rFonts w:ascii="Times New Roman" w:hAnsi="Times New Roman" w:cs="Times New Roman" w:eastAsia="Times New Roman" w:hint="default"/>
          <w:spacing w:val="-3"/>
        </w:rPr>
        <w:t>”</w:t>
      </w:r>
      <w:r>
        <w:rPr>
          <w:spacing w:val="-3"/>
        </w:rPr>
        <w:t>工程基础上，后续特高压工程将分三批建设，首先是加快建设</w:t>
      </w:r>
      <w:r>
        <w:rPr>
          <w:rFonts w:ascii="Times New Roman" w:hAnsi="Times New Roman" w:cs="Times New Roman" w:eastAsia="Times New Roman" w:hint="default"/>
          <w:spacing w:val="-3"/>
        </w:rPr>
        <w:t>“</w:t>
      </w:r>
      <w:r>
        <w:rPr>
          <w:spacing w:val="-3"/>
        </w:rPr>
        <w:t>五</w:t>
      </w:r>
      <w:r>
        <w:rPr/>
        <w:t> 交八直</w:t>
      </w:r>
      <w:r>
        <w:rPr>
          <w:rFonts w:ascii="Times New Roman" w:hAnsi="Times New Roman" w:cs="Times New Roman" w:eastAsia="Times New Roman" w:hint="default"/>
        </w:rPr>
        <w:t>”</w:t>
      </w:r>
      <w:r>
        <w:rPr/>
        <w:t>特高压工程，其次在</w:t>
      </w:r>
      <w:r>
        <w:rPr>
          <w:rFonts w:ascii="Times New Roman" w:hAnsi="Times New Roman" w:cs="Times New Roman" w:eastAsia="Times New Roman" w:hint="default"/>
        </w:rPr>
        <w:t>2018</w:t>
      </w:r>
      <w:r>
        <w:rPr/>
        <w:t>年以前开工建设</w:t>
      </w:r>
      <w:r>
        <w:rPr>
          <w:rFonts w:ascii="Times New Roman" w:hAnsi="Times New Roman" w:cs="Times New Roman" w:eastAsia="Times New Roman" w:hint="default"/>
        </w:rPr>
        <w:t>“</w:t>
      </w:r>
      <w:r>
        <w:rPr/>
        <w:t>十交两直</w:t>
      </w:r>
      <w:r>
        <w:rPr>
          <w:rFonts w:ascii="Times New Roman" w:hAnsi="Times New Roman" w:cs="Times New Roman" w:eastAsia="Times New Roman" w:hint="default"/>
        </w:rPr>
        <w:t>”</w:t>
      </w:r>
      <w:r>
        <w:rPr/>
        <w:t>特高压工程，据统计，从</w:t>
      </w:r>
      <w:r>
        <w:rPr>
          <w:rFonts w:ascii="Times New Roman" w:hAnsi="Times New Roman" w:cs="Times New Roman" w:eastAsia="Times New Roman" w:hint="default"/>
        </w:rPr>
        <w:t>2015</w:t>
      </w:r>
      <w:r>
        <w:rPr/>
        <w:t>年末到</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期末，特高压建 设线路长度和变电（换流）容量分别达到</w:t>
      </w:r>
      <w:r>
        <w:rPr>
          <w:rFonts w:ascii="Times New Roman" w:hAnsi="Times New Roman" w:cs="Times New Roman" w:eastAsia="Times New Roman" w:hint="default"/>
        </w:rPr>
        <w:t>8.9</w:t>
      </w:r>
      <w:r>
        <w:rPr/>
        <w:t>万公里、</w:t>
      </w:r>
      <w:r>
        <w:rPr>
          <w:rFonts w:ascii="Times New Roman" w:hAnsi="Times New Roman" w:cs="Times New Roman" w:eastAsia="Times New Roman" w:hint="default"/>
        </w:rPr>
        <w:t>7.8</w:t>
      </w:r>
      <w:r>
        <w:rPr/>
        <w:t>亿千伏安（千瓦）。</w:t>
      </w:r>
    </w:p>
    <w:p>
      <w:pPr>
        <w:pStyle w:val="BodyText"/>
        <w:spacing w:line="300" w:lineRule="auto" w:before="13"/>
        <w:ind w:right="1123" w:firstLine="360"/>
        <w:jc w:val="left"/>
      </w:pPr>
      <w:r>
        <w:rPr>
          <w:rFonts w:ascii="Times New Roman" w:hAnsi="Times New Roman" w:cs="Times New Roman" w:eastAsia="Times New Roman" w:hint="default"/>
        </w:rPr>
        <w:t>2015</w:t>
      </w:r>
      <w:r>
        <w:rPr/>
        <w:t>年，国家能源局印发《配电网建设改造行动计划》，提出</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2020</w:t>
      </w:r>
      <w:r>
        <w:rPr/>
        <w:t>年配网投资不低于</w:t>
      </w:r>
      <w:r>
        <w:rPr>
          <w:rFonts w:ascii="Times New Roman" w:hAnsi="Times New Roman" w:cs="Times New Roman" w:eastAsia="Times New Roman" w:hint="default"/>
        </w:rPr>
        <w:t>2</w:t>
      </w:r>
      <w:r>
        <w:rPr/>
        <w:t>万亿元。近期，国务院 总理李克强主持召开的国务院常务会议上，决定实施新一轮农村电网改造升级工程，预计总投资</w:t>
      </w:r>
      <w:r>
        <w:rPr>
          <w:rFonts w:ascii="Times New Roman" w:hAnsi="Times New Roman" w:cs="Times New Roman" w:eastAsia="Times New Roman" w:hint="default"/>
        </w:rPr>
        <w:t>7000</w:t>
      </w:r>
      <w:r>
        <w:rPr/>
        <w:t>亿元以上。 </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期间，铁路固定资产投资规模将达</w:t>
      </w:r>
      <w:r>
        <w:rPr>
          <w:rFonts w:ascii="Times New Roman" w:hAnsi="Times New Roman" w:cs="Times New Roman" w:eastAsia="Times New Roman" w:hint="default"/>
          <w:spacing w:val="-2"/>
        </w:rPr>
        <w:t>3.5</w:t>
      </w:r>
      <w:r>
        <w:rPr>
          <w:spacing w:val="-2"/>
        </w:rPr>
        <w:t>万亿至</w:t>
      </w:r>
      <w:r>
        <w:rPr>
          <w:rFonts w:ascii="Times New Roman" w:hAnsi="Times New Roman" w:cs="Times New Roman" w:eastAsia="Times New Roman" w:hint="default"/>
          <w:spacing w:val="-2"/>
        </w:rPr>
        <w:t>3.8</w:t>
      </w:r>
      <w:r>
        <w:rPr>
          <w:spacing w:val="-2"/>
        </w:rPr>
        <w:t>万亿元，建设新线</w:t>
      </w:r>
      <w:r>
        <w:rPr>
          <w:rFonts w:ascii="Times New Roman" w:hAnsi="Times New Roman" w:cs="Times New Roman" w:eastAsia="Times New Roman" w:hint="default"/>
          <w:spacing w:val="-2"/>
        </w:rPr>
        <w:t>3</w:t>
      </w:r>
      <w:r>
        <w:rPr>
          <w:spacing w:val="-2"/>
        </w:rPr>
        <w:t>万公里，至</w:t>
      </w:r>
      <w:r>
        <w:rPr>
          <w:rFonts w:ascii="Times New Roman" w:hAnsi="Times New Roman" w:cs="Times New Roman" w:eastAsia="Times New Roman" w:hint="default"/>
          <w:spacing w:val="-2"/>
        </w:rPr>
        <w:t>2020</w:t>
      </w:r>
      <w:r>
        <w:rPr>
          <w:spacing w:val="-2"/>
        </w:rPr>
        <w:t>年，全国铁路营业里程将达到</w:t>
      </w:r>
      <w:r>
        <w:rPr>
          <w:rFonts w:ascii="Times New Roman" w:hAnsi="Times New Roman" w:cs="Times New Roman" w:eastAsia="Times New Roman" w:hint="default"/>
          <w:spacing w:val="-2"/>
        </w:rPr>
        <w:t>15</w:t>
      </w:r>
      <w:r>
        <w:rPr>
          <w:rFonts w:ascii="Times New Roman" w:hAnsi="Times New Roman" w:cs="Times New Roman" w:eastAsia="Times New Roman" w:hint="default"/>
          <w:spacing w:val="13"/>
        </w:rPr>
        <w:t> </w:t>
      </w:r>
      <w:r>
        <w:rPr/>
        <w:t>万公里，其中高速铁路达</w:t>
      </w:r>
      <w:r>
        <w:rPr>
          <w:rFonts w:ascii="Times New Roman" w:hAnsi="Times New Roman" w:cs="Times New Roman" w:eastAsia="Times New Roman" w:hint="default"/>
        </w:rPr>
        <w:t>3</w:t>
      </w:r>
      <w:r>
        <w:rPr/>
        <w:t>万公里。</w:t>
      </w:r>
    </w:p>
    <w:p>
      <w:pPr>
        <w:pStyle w:val="BodyText"/>
        <w:spacing w:line="300" w:lineRule="auto" w:before="13"/>
        <w:ind w:right="1131" w:firstLine="360"/>
        <w:jc w:val="both"/>
      </w:pPr>
      <w:r>
        <w:rPr/>
        <w:t>李克强总理在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月份主持召开的国务院常务会议上，部署推进城市地下综合管廊建设，扩大公共产品供给提高新 </w:t>
      </w:r>
      <w:r>
        <w:rPr>
          <w:spacing w:val="-2"/>
        </w:rPr>
        <w:t>型城镇化质量。按目前的规划，如果每年地下管廊建设</w:t>
      </w:r>
      <w:r>
        <w:rPr>
          <w:rFonts w:ascii="Times New Roman" w:hAnsi="Times New Roman" w:cs="Times New Roman" w:eastAsia="Times New Roman" w:hint="default"/>
          <w:spacing w:val="-2"/>
        </w:rPr>
        <w:t>1000</w:t>
      </w:r>
      <w:r>
        <w:rPr>
          <w:spacing w:val="-2"/>
        </w:rPr>
        <w:t>公里，则每年需要投入</w:t>
      </w:r>
      <w:r>
        <w:rPr>
          <w:rFonts w:ascii="Times New Roman" w:hAnsi="Times New Roman" w:cs="Times New Roman" w:eastAsia="Times New Roman" w:hint="default"/>
          <w:spacing w:val="-2"/>
        </w:rPr>
        <w:t>1000</w:t>
      </w:r>
      <w:r>
        <w:rPr>
          <w:spacing w:val="-2"/>
        </w:rPr>
        <w:t>亿元左右，未来这将带来总量超过万</w:t>
      </w:r>
      <w:r>
        <w:rPr>
          <w:spacing w:val="-59"/>
        </w:rPr>
        <w:t> </w:t>
      </w:r>
      <w:r>
        <w:rPr>
          <w:spacing w:val="-59"/>
        </w:rPr>
      </w:r>
      <w:r>
        <w:rPr/>
        <w:t>亿元级的新增投资，这将给管网材料、安全监测和综合管廊工程等行业带来快速扩容机遇。</w:t>
      </w:r>
    </w:p>
    <w:p>
      <w:pPr>
        <w:pStyle w:val="BodyText"/>
        <w:spacing w:line="309" w:lineRule="auto" w:before="31"/>
        <w:ind w:right="1133" w:firstLine="360"/>
        <w:jc w:val="left"/>
      </w:pPr>
      <w:r>
        <w:rPr/>
        <w:t>（二）电缆料市场价格竞争激烈，国内领先企业不断寻求突破 国内的电缆材料行业，普遍存在着产能过剩、集中度不高、中低端产品竞争激烈的问题，这和整个电缆行业存在的</w:t>
      </w:r>
      <w:r>
        <w:rPr>
          <w:rFonts w:ascii="Times New Roman" w:hAnsi="Times New Roman" w:cs="Times New Roman" w:eastAsia="Times New Roman" w:hint="default"/>
        </w:rPr>
        <w:t>“</w:t>
      </w:r>
      <w:r>
        <w:rPr/>
        <w:t>产能过 剩和恶性竞争</w:t>
      </w:r>
      <w:r>
        <w:rPr>
          <w:rFonts w:ascii="Times New Roman" w:hAnsi="Times New Roman" w:cs="Times New Roman" w:eastAsia="Times New Roman" w:hint="default"/>
        </w:rPr>
        <w:t>”</w:t>
      </w:r>
      <w:r>
        <w:rPr/>
        <w:t>情况密切相关。</w:t>
      </w:r>
    </w:p>
    <w:p>
      <w:pPr>
        <w:pStyle w:val="BodyText"/>
        <w:spacing w:line="309" w:lineRule="auto" w:before="5"/>
        <w:ind w:right="1033" w:firstLine="360"/>
        <w:jc w:val="left"/>
      </w:pPr>
      <w:r>
        <w:rPr/>
        <w:t>近几年来，德威新材、万马高分子、三角洲都纷纷扩大产能，德威新材</w:t>
      </w:r>
      <w:r>
        <w:rPr>
          <w:rFonts w:ascii="Times New Roman" w:hAnsi="Times New Roman" w:cs="Times New Roman" w:eastAsia="Times New Roman" w:hint="default"/>
        </w:rPr>
        <w:t>2015</w:t>
      </w:r>
      <w:r>
        <w:rPr/>
        <w:t>年新增产能不少，三角洲产能扩大了</w:t>
      </w:r>
      <w:r>
        <w:rPr>
          <w:rFonts w:ascii="Times New Roman" w:hAnsi="Times New Roman" w:cs="Times New Roman" w:eastAsia="Times New Roman" w:hint="default"/>
        </w:rPr>
        <w:t>1</w:t>
      </w:r>
      <w:r>
        <w:rPr/>
        <w:t>倍有 余。万马高分子</w:t>
      </w:r>
      <w:r>
        <w:rPr>
          <w:rFonts w:ascii="Times New Roman" w:hAnsi="Times New Roman" w:cs="Times New Roman" w:eastAsia="Times New Roman" w:hint="default"/>
        </w:rPr>
        <w:t>2016</w:t>
      </w:r>
      <w:r>
        <w:rPr/>
        <w:t>年即将增加</w:t>
      </w:r>
      <w:r>
        <w:rPr>
          <w:rFonts w:ascii="Times New Roman" w:hAnsi="Times New Roman" w:cs="Times New Roman" w:eastAsia="Times New Roman" w:hint="default"/>
        </w:rPr>
        <w:t>56000</w:t>
      </w:r>
      <w:r>
        <w:rPr/>
        <w:t>吨的产能；原有的竞争格局将会更加激烈。 国内电缆料行业高端研发人员短缺，研发投入不足，长期以来，高端材料均为国外企业垄断，中低端材料的市场竞争激烈， </w:t>
      </w:r>
      <w:r>
        <w:rPr>
          <w:spacing w:val="-2"/>
        </w:rPr>
        <w:t>目前电缆材料行业仍然存在低端拼价格、高端靠进口的局面。铁路机车薄壁料、机器人电缆料、航空航天电缆料等都还未实</w:t>
      </w:r>
      <w:r>
        <w:rPr>
          <w:spacing w:val="-66"/>
        </w:rPr>
        <w:t> </w:t>
      </w:r>
      <w:r>
        <w:rPr>
          <w:spacing w:val="-66"/>
        </w:rPr>
      </w:r>
      <w:r>
        <w:rPr/>
        <w:t>现国产化。</w:t>
      </w:r>
    </w:p>
    <w:p>
      <w:pPr>
        <w:pStyle w:val="BodyText"/>
        <w:spacing w:line="316" w:lineRule="auto" w:before="24"/>
        <w:ind w:left="1134" w:right="1033" w:firstLine="360"/>
        <w:jc w:val="left"/>
      </w:pPr>
      <w:r>
        <w:rPr>
          <w:spacing w:val="-4"/>
        </w:rPr>
        <w:t>随着全球技术的进步，环保意识的提高以及国家政策的引导，线缆行业未来的发展将集中在以下几大领域：特高压电网、</w:t>
      </w:r>
      <w:r>
        <w:rPr/>
        <w:t> </w:t>
      </w:r>
      <w:r>
        <w:rPr>
          <w:spacing w:val="-2"/>
        </w:rPr>
        <w:t>轨道交通、新能源汽车及充电系统、海工装备、航空航天、智能机器人等，下游线缆行业的发展势必驱动和引导材料行业的</w:t>
      </w:r>
      <w:r>
        <w:rPr>
          <w:spacing w:val="-66"/>
        </w:rPr>
        <w:t> </w:t>
      </w:r>
      <w:r>
        <w:rPr>
          <w:spacing w:val="-66"/>
        </w:rPr>
      </w:r>
      <w:r>
        <w:rPr/>
        <w:t>发展。</w:t>
      </w:r>
    </w:p>
    <w:p>
      <w:pPr>
        <w:pStyle w:val="BodyText"/>
        <w:spacing w:line="314" w:lineRule="auto" w:before="19"/>
        <w:ind w:left="1134" w:right="0" w:firstLine="360"/>
        <w:jc w:val="left"/>
      </w:pPr>
      <w:r>
        <w:rPr>
          <w:spacing w:val="-2"/>
        </w:rPr>
        <w:t>伴随产业的变革，线缆材料的技术要求也在不断提高。线缆材料从最初的普通聚氯乙烯和普通橡胶材料发展成包括特种</w:t>
      </w:r>
      <w:r>
        <w:rPr/>
        <w:t> 聚氯乙烯、聚乙烯、无卤低烟聚烯烃、</w:t>
      </w:r>
      <w:r>
        <w:rPr>
          <w:rFonts w:ascii="Times New Roman" w:hAnsi="Times New Roman" w:cs="Times New Roman" w:eastAsia="Times New Roman" w:hint="default"/>
        </w:rPr>
        <w:t>PP</w:t>
      </w:r>
      <w:r>
        <w:rPr/>
        <w:t>材料、特种橡胶、热塑性弹性体等多种材质，并在耐压、耐高温、耐磨、耐油、 耐气候、阻燃、环保、超薄、柔软、防鼠防蚁等性能指标上不断提升。 </w:t>
      </w:r>
      <w:r>
        <w:rPr>
          <w:spacing w:val="-2"/>
        </w:rPr>
        <w:t>作为材料行业内的上市公司，我们深深地感受到这些痛点。如何在行业较差的大环境中发掘行业发展的积极因素，并积极地</w:t>
      </w:r>
      <w:r>
        <w:rPr>
          <w:spacing w:val="-66"/>
        </w:rPr>
        <w:t> </w:t>
      </w:r>
      <w:r>
        <w:rPr>
          <w:spacing w:val="-66"/>
        </w:rPr>
      </w:r>
      <w:r>
        <w:rPr/>
        <w:t>制定企业的发展战略，这是企业家的难题。</w:t>
      </w:r>
    </w:p>
    <w:p>
      <w:pPr>
        <w:pStyle w:val="BodyText"/>
        <w:spacing w:line="240" w:lineRule="auto" w:before="20"/>
        <w:ind w:left="1494" w:right="0"/>
        <w:jc w:val="left"/>
      </w:pPr>
      <w:r>
        <w:rPr/>
        <w:t>（三）</w:t>
      </w:r>
      <w:r>
        <w:rPr>
          <w:rFonts w:ascii="Times New Roman" w:hAnsi="Times New Roman" w:cs="Times New Roman" w:eastAsia="Times New Roman" w:hint="default"/>
        </w:rPr>
        <w:t>2016</w:t>
      </w:r>
      <w:r>
        <w:rPr/>
        <w:t>年工作目标</w:t>
      </w:r>
    </w:p>
    <w:p>
      <w:pPr>
        <w:pStyle w:val="BodyText"/>
        <w:spacing w:line="300" w:lineRule="auto" w:before="63"/>
        <w:ind w:right="1053" w:firstLine="360"/>
        <w:jc w:val="left"/>
      </w:pPr>
      <w:r>
        <w:rPr>
          <w:rFonts w:ascii="Times New Roman" w:hAnsi="Times New Roman" w:cs="Times New Roman" w:eastAsia="Times New Roman" w:hint="default"/>
          <w:spacing w:val="-2"/>
        </w:rPr>
        <w:t>2016</w:t>
      </w:r>
      <w:r>
        <w:rPr>
          <w:spacing w:val="-2"/>
        </w:rPr>
        <w:t>年，公司管理层将围绕</w:t>
      </w:r>
      <w:r>
        <w:rPr>
          <w:rFonts w:ascii="Times New Roman" w:hAnsi="Times New Roman" w:cs="Times New Roman" w:eastAsia="Times New Roman" w:hint="default"/>
          <w:spacing w:val="-2"/>
        </w:rPr>
        <w:t>“</w:t>
      </w:r>
      <w:r>
        <w:rPr>
          <w:spacing w:val="-2"/>
        </w:rPr>
        <w:t>科学发展、精心经营、开拓创新、规范提升</w:t>
      </w:r>
      <w:r>
        <w:rPr>
          <w:rFonts w:ascii="Times New Roman" w:hAnsi="Times New Roman" w:cs="Times New Roman" w:eastAsia="Times New Roman" w:hint="default"/>
          <w:spacing w:val="-2"/>
        </w:rPr>
        <w:t>”</w:t>
      </w:r>
      <w:r>
        <w:rPr>
          <w:spacing w:val="-2"/>
        </w:rPr>
        <w:t>的企业方略，以科学发展观为指导，以创建经</w:t>
      </w:r>
      <w:r>
        <w:rPr/>
        <w:t> 济效益、社会效益、生态环境效益三位一体的</w:t>
      </w:r>
      <w:r>
        <w:rPr>
          <w:rFonts w:ascii="Times New Roman" w:hAnsi="Times New Roman" w:cs="Times New Roman" w:eastAsia="Times New Roman" w:hint="default"/>
        </w:rPr>
        <w:t>“</w:t>
      </w:r>
      <w:r>
        <w:rPr/>
        <w:t>和谐示范企业</w:t>
      </w:r>
      <w:r>
        <w:rPr>
          <w:rFonts w:ascii="Times New Roman" w:hAnsi="Times New Roman" w:cs="Times New Roman" w:eastAsia="Times New Roman" w:hint="default"/>
        </w:rPr>
        <w:t>”</w:t>
      </w:r>
      <w:r>
        <w:rPr/>
        <w:t>为目标，以企业市值提升为工作重点，实现业绩的快速增长。 </w:t>
      </w:r>
      <w:r>
        <w:rPr>
          <w:rFonts w:ascii="Times New Roman" w:hAnsi="Times New Roman" w:cs="Times New Roman" w:eastAsia="Times New Roman" w:hint="default"/>
        </w:rPr>
        <w:t>2016</w:t>
      </w:r>
      <w:r>
        <w:rPr/>
        <w:t>年，公司具体目标如下</w:t>
      </w:r>
    </w:p>
    <w:p>
      <w:pPr>
        <w:pStyle w:val="BodyText"/>
        <w:spacing w:line="314" w:lineRule="auto" w:before="13"/>
        <w:ind w:left="1493" w:right="1453"/>
        <w:jc w:val="left"/>
      </w:pPr>
      <w:r>
        <w:rPr/>
        <w:t>战略目标：加快募投项目建设和现有产能的挖掘，深耕主业和外延扩张同时并行。 业绩目标：营业收入较</w:t>
      </w:r>
      <w:r>
        <w:rPr>
          <w:rFonts w:ascii="Times New Roman" w:hAnsi="Times New Roman" w:cs="Times New Roman" w:eastAsia="Times New Roman" w:hint="default"/>
        </w:rPr>
        <w:t>2015</w:t>
      </w:r>
      <w:r>
        <w:rPr/>
        <w:t>年增长</w:t>
      </w:r>
      <w:r>
        <w:rPr>
          <w:rFonts w:ascii="Times New Roman" w:hAnsi="Times New Roman" w:cs="Times New Roman" w:eastAsia="Times New Roman" w:hint="default"/>
        </w:rPr>
        <w:t>10%</w:t>
      </w:r>
      <w:r>
        <w:rPr/>
        <w:t>，实现营业收入</w:t>
      </w:r>
      <w:r>
        <w:rPr>
          <w:rFonts w:ascii="Times New Roman" w:hAnsi="Times New Roman" w:cs="Times New Roman" w:eastAsia="Times New Roman" w:hint="default"/>
        </w:rPr>
        <w:t>5.9654</w:t>
      </w:r>
      <w:r>
        <w:rPr/>
        <w:t>亿元，净利润较</w:t>
      </w:r>
      <w:r>
        <w:rPr>
          <w:rFonts w:ascii="Times New Roman" w:hAnsi="Times New Roman" w:cs="Times New Roman" w:eastAsia="Times New Roman" w:hint="default"/>
        </w:rPr>
        <w:t>2015</w:t>
      </w:r>
      <w:r>
        <w:rPr/>
        <w:t>年增长</w:t>
      </w:r>
      <w:r>
        <w:rPr>
          <w:rFonts w:ascii="Times New Roman" w:hAnsi="Times New Roman" w:cs="Times New Roman" w:eastAsia="Times New Roman" w:hint="default"/>
        </w:rPr>
        <w:t>10%</w:t>
      </w:r>
      <w:r>
        <w:rPr/>
        <w:t>，达到</w:t>
      </w:r>
      <w:r>
        <w:rPr>
          <w:rFonts w:ascii="Times New Roman" w:hAnsi="Times New Roman" w:cs="Times New Roman" w:eastAsia="Times New Roman" w:hint="default"/>
        </w:rPr>
        <w:t>4522.57</w:t>
      </w:r>
      <w:r>
        <w:rPr/>
        <w:t>万元。 产品目标：将公司产品线进一步向高端、环保、新材料领域延伸。 技术目标：研发高附加值的产品，构建技术壁垒。 管理目标：进一步规范和完善公司法人治理结构，夯实基础管理，加强内部控制。</w:t>
      </w:r>
    </w:p>
    <w:p>
      <w:pPr>
        <w:pStyle w:val="BodyText"/>
        <w:spacing w:line="240" w:lineRule="auto" w:before="21"/>
        <w:ind w:right="0"/>
        <w:jc w:val="left"/>
      </w:pPr>
      <w:r>
        <w:rPr/>
        <w:t>人力资源目标：引进高端人才，加强员工在专业技能方面的培训，建立符合公司未来发展目标和产业要求的团队。</w:t>
      </w:r>
    </w:p>
    <w:p>
      <w:pPr>
        <w:pStyle w:val="BodyText"/>
        <w:spacing w:line="240" w:lineRule="auto" w:before="76"/>
        <w:ind w:left="1493" w:right="0"/>
        <w:jc w:val="left"/>
      </w:pPr>
      <w:r>
        <w:rPr/>
        <w:t>（四）</w:t>
      </w:r>
      <w:r>
        <w:rPr>
          <w:rFonts w:ascii="Times New Roman" w:hAnsi="Times New Roman" w:cs="Times New Roman" w:eastAsia="Times New Roman" w:hint="default"/>
        </w:rPr>
        <w:t>2016</w:t>
      </w:r>
      <w:r>
        <w:rPr/>
        <w:t>年工作部署</w:t>
      </w:r>
    </w:p>
    <w:p>
      <w:pPr>
        <w:pStyle w:val="BodyText"/>
        <w:spacing w:line="300" w:lineRule="auto" w:before="63"/>
        <w:ind w:right="1186"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建立和强化销售体系，培育战略客户，强化大客户服务，增加客户粘度和市场渗透力，积极参加行业展会和活动， 积极开发国内外客户。优化产品结构，开发适应市场需求的中高端产品，扩大高毛利产品的销售，提升整理盈利水平。</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依托资本市场，增强产业研究能力，强化资本运营，深入分析行业机遇，甄别优质行业中的优质项目，既要巩固梳 </w:t>
      </w:r>
      <w:r>
        <w:rPr>
          <w:spacing w:val="-4"/>
        </w:rPr>
        <w:t>理好传统领域的基础业务，又要把握其他行业的发展机会，依靠在电缆料行业的经验逐步往外扩展，提高企业的抗风险能力。</w:t>
      </w:r>
    </w:p>
    <w:p>
      <w:pPr>
        <w:pStyle w:val="BodyText"/>
        <w:spacing w:line="300" w:lineRule="auto" w:before="31"/>
        <w:ind w:right="1186"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力争</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日前完成募投项目建设，项目建设中引进国外先进设备，提升装备工艺，提高设备智能化水平， 为公司的技术升级打下坚实的基础。</w:t>
      </w:r>
    </w:p>
    <w:p>
      <w:pPr>
        <w:pStyle w:val="BodyText"/>
        <w:spacing w:line="300" w:lineRule="auto" w:before="32"/>
        <w:ind w:right="1186" w:firstLine="36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加强品质管理，提升公司的制造水平，重点提高生产工艺水平，推行精细化管理模式，千方百计降成本，提升公司 市场竞争能力。</w:t>
      </w:r>
    </w:p>
    <w:p>
      <w:pPr>
        <w:pStyle w:val="BodyText"/>
        <w:spacing w:line="300" w:lineRule="auto" w:before="31"/>
        <w:ind w:right="1186" w:firstLine="36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引进高端人才，充分调动全体员工的积极性、责任感和使命感，建立完善各层级员工的培训体系，促进员工职业技 能和综合素质的全面提升。</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2015-01</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2015-02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613" w:right="0"/>
        <w:jc w:val="left"/>
      </w:pPr>
      <w:r>
        <w:rPr/>
        <w:t>公司</w:t>
      </w:r>
      <w:r>
        <w:rPr>
          <w:rFonts w:ascii="Times New Roman" w:hAnsi="Times New Roman" w:cs="Times New Roman" w:eastAsia="Times New Roman" w:hint="default"/>
        </w:rPr>
        <w:t>2014</w:t>
      </w:r>
      <w:r>
        <w:rPr/>
        <w:t>年度利润分配方案为：以截至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5000</w:t>
      </w:r>
      <w:r>
        <w:rPr/>
        <w:t>万股为基数，向全体股东每</w:t>
      </w:r>
      <w:r>
        <w:rPr>
          <w:rFonts w:ascii="Times New Roman" w:hAnsi="Times New Roman" w:cs="Times New Roman" w:eastAsia="Times New Roman" w:hint="default"/>
        </w:rPr>
        <w:t>10</w:t>
      </w:r>
      <w:r>
        <w:rPr/>
        <w:t>股派发现金红利</w:t>
      </w:r>
    </w:p>
    <w:p>
      <w:pPr>
        <w:pStyle w:val="BodyText"/>
        <w:spacing w:line="300" w:lineRule="auto" w:before="63"/>
        <w:ind w:left="1614" w:right="0" w:hanging="480"/>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元人民币（含税），共计派发现金红利人民币</w:t>
      </w:r>
      <w:r>
        <w:rPr>
          <w:rFonts w:ascii="Times New Roman" w:hAnsi="Times New Roman" w:cs="Times New Roman" w:eastAsia="Times New Roman" w:hint="default"/>
        </w:rPr>
        <w:t>750</w:t>
      </w:r>
      <w:r>
        <w:rPr/>
        <w:t>万元（含税）；资本公积不转增股本。 </w:t>
      </w:r>
      <w:r>
        <w:rPr>
          <w:spacing w:val="-1"/>
        </w:rPr>
        <w:t>此利润分配方案已于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23</w:t>
      </w:r>
      <w:r>
        <w:rPr>
          <w:spacing w:val="-1"/>
        </w:rPr>
        <w:t>日公司</w:t>
      </w:r>
      <w:r>
        <w:rPr>
          <w:rFonts w:ascii="Times New Roman" w:hAnsi="Times New Roman" w:cs="Times New Roman" w:eastAsia="Times New Roman" w:hint="default"/>
          <w:spacing w:val="-1"/>
        </w:rPr>
        <w:t>2014</w:t>
      </w:r>
      <w:r>
        <w:rPr>
          <w:spacing w:val="-1"/>
        </w:rPr>
        <w:t>年度股东大会审议通过，本议案符合公司章程等相关规定，并于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p>
    <w:p>
      <w:pPr>
        <w:pStyle w:val="BodyText"/>
        <w:spacing w:line="240" w:lineRule="auto" w:before="13"/>
        <w:ind w:right="0"/>
        <w:jc w:val="left"/>
      </w:pPr>
      <w:r>
        <w:rPr/>
        <w:t>月</w:t>
      </w:r>
      <w:r>
        <w:rPr>
          <w:rFonts w:ascii="Times New Roman" w:hAnsi="Times New Roman" w:cs="Times New Roman" w:eastAsia="Times New Roman" w:hint="default"/>
        </w:rPr>
        <w:t>19</w:t>
      </w:r>
      <w:r>
        <w:rPr/>
        <w:t>日实施。</w:t>
      </w:r>
    </w:p>
    <w:p>
      <w:pPr>
        <w:spacing w:line="240" w:lineRule="auto" w:before="13"/>
        <w:rPr>
          <w:rFonts w:ascii="宋体" w:hAnsi="宋体" w:cs="宋体" w:eastAsia="宋体" w:hint="default"/>
          <w:sz w:val="3"/>
          <w:szCs w:val="3"/>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66,670,000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10,000,500.00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41,114,297.43</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5"/>
                <w:sz w:val="18"/>
                <w:szCs w:val="18"/>
              </w:rPr>
              <w:t>董事会拟定如下分配预案：以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66,670,000 </w:t>
            </w:r>
            <w:r>
              <w:rPr>
                <w:rFonts w:ascii="宋体" w:hAnsi="宋体" w:cs="宋体" w:eastAsia="宋体" w:hint="default"/>
                <w:spacing w:val="-6"/>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18"/>
                <w:sz w:val="18"/>
                <w:szCs w:val="18"/>
              </w:rPr>
              <w:t>元（含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10,000,500.00 </w:t>
            </w:r>
            <w:r>
              <w:rPr>
                <w:rFonts w:ascii="宋体" w:hAnsi="宋体" w:cs="宋体" w:eastAsia="宋体" w:hint="default"/>
                <w:sz w:val="18"/>
                <w:szCs w:val="18"/>
              </w:rPr>
              <w:t>元（</w:t>
            </w:r>
            <w:r>
              <w:rPr>
                <w:rFonts w:ascii="宋体" w:hAnsi="宋体" w:cs="宋体" w:eastAsia="宋体" w:hint="default"/>
                <w:spacing w:val="-2"/>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。本预案尚需提交公司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w:t>
            </w:r>
          </w:p>
        </w:tc>
      </w:tr>
    </w:tbl>
    <w:p>
      <w:pPr>
        <w:pStyle w:val="BodyText"/>
        <w:spacing w:line="240" w:lineRule="auto" w:before="74"/>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left="1613" w:right="0"/>
        <w:jc w:val="left"/>
      </w:pPr>
      <w:r>
        <w:rPr/>
        <w:t>公司</w:t>
      </w:r>
      <w:r>
        <w:rPr>
          <w:rFonts w:ascii="Times New Roman" w:hAnsi="Times New Roman" w:cs="Times New Roman" w:eastAsia="Times New Roman" w:hint="default"/>
        </w:rPr>
        <w:t>2013</w:t>
      </w:r>
      <w:r>
        <w:rPr/>
        <w:t>年度利润分配方案为：以截至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5000</w:t>
      </w:r>
      <w:r>
        <w:rPr/>
        <w:t>万股为基数，向全体股东每</w:t>
      </w:r>
      <w:r>
        <w:rPr>
          <w:rFonts w:ascii="Times New Roman" w:hAnsi="Times New Roman" w:cs="Times New Roman" w:eastAsia="Times New Roman" w:hint="default"/>
        </w:rPr>
        <w:t>10</w:t>
      </w:r>
      <w:r>
        <w:rPr/>
        <w:t>股派发现金红利</w:t>
      </w:r>
    </w:p>
    <w:p>
      <w:pPr>
        <w:pStyle w:val="BodyText"/>
        <w:spacing w:line="240" w:lineRule="auto" w:before="63"/>
        <w:ind w:right="0"/>
        <w:jc w:val="left"/>
      </w:pPr>
      <w:r>
        <w:rPr>
          <w:rFonts w:ascii="Times New Roman" w:hAnsi="Times New Roman" w:cs="Times New Roman" w:eastAsia="Times New Roman" w:hint="default"/>
        </w:rPr>
        <w:t>1.5</w:t>
      </w:r>
      <w:r>
        <w:rPr/>
        <w:t>元人民币（含税），共计派发现金红利人民币</w:t>
      </w:r>
      <w:r>
        <w:rPr>
          <w:rFonts w:ascii="Times New Roman" w:hAnsi="Times New Roman" w:cs="Times New Roman" w:eastAsia="Times New Roman" w:hint="default"/>
        </w:rPr>
        <w:t>750</w:t>
      </w:r>
      <w:r>
        <w:rPr/>
        <w:t>万元（含税）；资本公积不转增股本。此利润分配方案已于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p>
    <w:p>
      <w:pPr>
        <w:pStyle w:val="BodyText"/>
        <w:spacing w:line="300" w:lineRule="auto" w:before="63"/>
        <w:ind w:left="1613" w:right="0" w:hanging="480"/>
        <w:jc w:val="left"/>
      </w:pP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2013</w:t>
      </w:r>
      <w:r>
        <w:rPr/>
        <w:t>年度股东大会审议通过，本议案符合公司章程等相关规定，并于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日实施。 </w:t>
      </w:r>
      <w:r>
        <w:rPr>
          <w:spacing w:val="-1"/>
        </w:rPr>
        <w:t>公司</w:t>
      </w:r>
      <w:r>
        <w:rPr>
          <w:rFonts w:ascii="Times New Roman" w:hAnsi="Times New Roman" w:cs="Times New Roman" w:eastAsia="Times New Roman" w:hint="default"/>
          <w:spacing w:val="-1"/>
        </w:rPr>
        <w:t>2014</w:t>
      </w:r>
      <w:r>
        <w:rPr>
          <w:spacing w:val="-1"/>
        </w:rPr>
        <w:t>年度利润分配方案为：以截至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5000</w:t>
      </w:r>
      <w:r>
        <w:rPr>
          <w:spacing w:val="-1"/>
        </w:rPr>
        <w:t>万股为基数，向全体股东每</w:t>
      </w:r>
      <w:r>
        <w:rPr>
          <w:rFonts w:ascii="Times New Roman" w:hAnsi="Times New Roman" w:cs="Times New Roman" w:eastAsia="Times New Roman" w:hint="default"/>
          <w:spacing w:val="-1"/>
        </w:rPr>
        <w:t>10</w:t>
      </w:r>
      <w:r>
        <w:rPr>
          <w:spacing w:val="-1"/>
        </w:rPr>
        <w:t>股派发现金红利</w:t>
      </w:r>
    </w:p>
    <w:p>
      <w:pPr>
        <w:pStyle w:val="BodyText"/>
        <w:spacing w:line="240" w:lineRule="auto" w:before="13"/>
        <w:ind w:right="0"/>
        <w:jc w:val="left"/>
      </w:pPr>
      <w:r>
        <w:rPr>
          <w:rFonts w:ascii="Times New Roman" w:hAnsi="Times New Roman" w:cs="Times New Roman" w:eastAsia="Times New Roman" w:hint="default"/>
        </w:rPr>
        <w:t>1.5</w:t>
      </w:r>
      <w:r>
        <w:rPr/>
        <w:t>元人民币（含税），共计派发现金红利人民币</w:t>
      </w:r>
      <w:r>
        <w:rPr>
          <w:rFonts w:ascii="Times New Roman" w:hAnsi="Times New Roman" w:cs="Times New Roman" w:eastAsia="Times New Roman" w:hint="default"/>
        </w:rPr>
        <w:t>750</w:t>
      </w:r>
      <w:r>
        <w:rPr/>
        <w:t>万元（含税）；资本公积不转增股本。此利润分配方案已于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pStyle w:val="BodyText"/>
        <w:spacing w:line="300" w:lineRule="auto" w:before="63"/>
        <w:ind w:left="1424" w:right="1028" w:hanging="291"/>
        <w:jc w:val="left"/>
      </w:pP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2014</w:t>
      </w:r>
      <w:r>
        <w:rPr/>
        <w:t>年度股东大会审议通过，本议案符合公司章程等相关规定，并于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日实施。 </w:t>
      </w:r>
      <w:r>
        <w:rPr>
          <w:spacing w:val="-2"/>
        </w:rPr>
        <w:t>报告期内，公司严格按照《公司章程》相关利润分配政策和审议程序实施利润分配方案，分红标准和分红比例明确清晰，</w:t>
      </w:r>
    </w:p>
    <w:p>
      <w:pPr>
        <w:pStyle w:val="BodyText"/>
        <w:spacing w:line="316" w:lineRule="auto" w:before="31"/>
        <w:ind w:right="0"/>
        <w:jc w:val="left"/>
      </w:pPr>
      <w:r>
        <w:rPr>
          <w:spacing w:val="-2"/>
        </w:rPr>
        <w:t>相关的决策程序和机制完备，相关的议案经董事会、监事会审议后提交股东大会审议，并由独立董事发表独立意见，审议通</w:t>
      </w:r>
      <w:r>
        <w:rPr>
          <w:spacing w:val="-66"/>
        </w:rPr>
        <w:t> </w:t>
      </w:r>
      <w:r>
        <w:rPr>
          <w:spacing w:val="-66"/>
        </w:rPr>
      </w:r>
      <w:r>
        <w:rPr/>
        <w:t>过后在规定时间内进行实施，切实保证了全体股东的利益。</w:t>
      </w:r>
    </w:p>
    <w:p>
      <w:pPr>
        <w:pStyle w:val="BodyText"/>
        <w:spacing w:line="240" w:lineRule="auto" w:before="59"/>
        <w:ind w:left="1134"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41,114,297.43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46,151,132.25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43,062,445.59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316" w:lineRule="auto" w:before="51"/>
              <w:ind w:left="17" w:right="21"/>
              <w:jc w:val="left"/>
              <w:rPr>
                <w:rFonts w:ascii="宋体" w:hAnsi="宋体" w:cs="宋体" w:eastAsia="宋体" w:hint="default"/>
                <w:sz w:val="18"/>
                <w:szCs w:val="18"/>
              </w:rPr>
            </w:pPr>
            <w:r>
              <w:rPr>
                <w:rFonts w:ascii="宋体" w:hAnsi="宋体" w:cs="宋体" w:eastAsia="宋体" w:hint="default"/>
                <w:sz w:val="18"/>
                <w:szCs w:val="18"/>
              </w:rPr>
              <w:t>公司控股股 东高兴控股 集团有限公 司，股东中国 双帆投资控 股集团（香 港）有限公 司、杭州天眼 投资有限公 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发行前股份 自愿锁定的 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自公司股票 上市之日起 三十六个月 </w:t>
            </w:r>
            <w:r>
              <w:rPr>
                <w:rFonts w:ascii="宋体" w:hAnsi="宋体" w:cs="宋体" w:eastAsia="宋体" w:hint="default"/>
                <w:spacing w:val="-2"/>
                <w:sz w:val="18"/>
                <w:szCs w:val="18"/>
              </w:rPr>
              <w:t>内，不转让直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接或间接持 有的公司股 </w:t>
            </w:r>
            <w:r>
              <w:rPr>
                <w:rFonts w:ascii="宋体" w:hAnsi="宋体" w:cs="宋体" w:eastAsia="宋体" w:hint="default"/>
                <w:spacing w:val="-2"/>
                <w:sz w:val="18"/>
                <w:szCs w:val="18"/>
              </w:rPr>
              <w:t>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司回购其持 </w:t>
            </w:r>
            <w:r>
              <w:rPr>
                <w:rFonts w:ascii="宋体" w:hAnsi="宋体" w:cs="宋体" w:eastAsia="宋体" w:hint="default"/>
                <w:spacing w:val="-2"/>
                <w:sz w:val="18"/>
                <w:szCs w:val="18"/>
              </w:rPr>
              <w:t>有的股份；所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持公司股份</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141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60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在锁定期满 后两年内减 </w:t>
            </w:r>
            <w:r>
              <w:rPr>
                <w:rFonts w:ascii="宋体" w:hAnsi="宋体" w:cs="宋体" w:eastAsia="宋体" w:hint="default"/>
                <w:spacing w:val="-2"/>
                <w:sz w:val="18"/>
                <w:szCs w:val="18"/>
              </w:rPr>
              <w:t>持的，减持价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格不低于首 次公开发行 股票的发行 </w:t>
            </w:r>
            <w:r>
              <w:rPr>
                <w:rFonts w:ascii="宋体" w:hAnsi="宋体" w:cs="宋体" w:eastAsia="宋体" w:hint="default"/>
                <w:spacing w:val="-2"/>
                <w:sz w:val="18"/>
                <w:szCs w:val="18"/>
              </w:rPr>
              <w:t>价；公司股份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上市交易后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个月内如连 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w:t>
            </w:r>
          </w:p>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12"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收盘价 低于发行价， 持有公司股 票的锁定期 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公司法人股 东浙江浙科 汇利创业投 资有限公司、 浙江金桥创 业投资有限 公司、浙江润 禾创业投资 合伙企业（有 </w:t>
            </w:r>
            <w:r>
              <w:rPr>
                <w:rFonts w:ascii="宋体" w:hAnsi="宋体" w:cs="宋体" w:eastAsia="宋体" w:hint="default"/>
                <w:spacing w:val="-15"/>
                <w:sz w:val="18"/>
                <w:szCs w:val="18"/>
              </w:rPr>
              <w:t>限合伙）、杭</w:t>
            </w:r>
            <w:r>
              <w:rPr>
                <w:rFonts w:ascii="宋体" w:hAnsi="宋体" w:cs="宋体" w:eastAsia="宋体" w:hint="default"/>
                <w:sz w:val="18"/>
                <w:szCs w:val="18"/>
              </w:rPr>
              <w:t> 州仁达龙扬 投资合伙企 业（有限合 </w:t>
            </w:r>
            <w:r>
              <w:rPr>
                <w:rFonts w:ascii="宋体" w:hAnsi="宋体" w:cs="宋体" w:eastAsia="宋体" w:hint="default"/>
                <w:spacing w:val="-15"/>
                <w:sz w:val="18"/>
                <w:szCs w:val="18"/>
              </w:rPr>
              <w:t>伙）、浙江悦</w:t>
            </w:r>
            <w:r>
              <w:rPr>
                <w:rFonts w:ascii="宋体" w:hAnsi="宋体" w:cs="宋体" w:eastAsia="宋体" w:hint="default"/>
                <w:sz w:val="18"/>
                <w:szCs w:val="18"/>
              </w:rPr>
              <w:t> 海创业投资 有限公司、绍 兴鸿禧投资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191"/>
              <w:jc w:val="both"/>
              <w:rPr>
                <w:rFonts w:ascii="宋体" w:hAnsi="宋体" w:cs="宋体" w:eastAsia="宋体" w:hint="default"/>
                <w:sz w:val="18"/>
                <w:szCs w:val="18"/>
              </w:rPr>
            </w:pPr>
            <w:r>
              <w:rPr>
                <w:rFonts w:ascii="宋体" w:hAnsi="宋体" w:cs="宋体" w:eastAsia="宋体" w:hint="default"/>
                <w:sz w:val="18"/>
                <w:szCs w:val="18"/>
              </w:rPr>
              <w:t>发行前股份 自愿锁定的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自公司股票 上市交易之 日起十二个 </w:t>
            </w:r>
            <w:r>
              <w:rPr>
                <w:rFonts w:ascii="宋体" w:hAnsi="宋体" w:cs="宋体" w:eastAsia="宋体" w:hint="default"/>
                <w:spacing w:val="-2"/>
                <w:sz w:val="18"/>
                <w:szCs w:val="18"/>
              </w:rPr>
              <w:t>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 人管理其持 有的公司股 </w:t>
            </w:r>
            <w:r>
              <w:rPr>
                <w:rFonts w:ascii="宋体" w:hAnsi="宋体" w:cs="宋体" w:eastAsia="宋体" w:hint="default"/>
                <w:spacing w:val="-2"/>
                <w:sz w:val="18"/>
                <w:szCs w:val="18"/>
              </w:rPr>
              <w:t>份，也不由公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司回购上述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高长虹、楼永 富、金桂良、 凌勇、沈治 华、胡炳林、 朱忠华、吴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both"/>
              <w:rPr>
                <w:rFonts w:ascii="宋体" w:hAnsi="宋体" w:cs="宋体" w:eastAsia="宋体" w:hint="default"/>
                <w:sz w:val="18"/>
                <w:szCs w:val="18"/>
              </w:rPr>
            </w:pPr>
            <w:r>
              <w:rPr>
                <w:rFonts w:ascii="宋体" w:hAnsi="宋体" w:cs="宋体" w:eastAsia="宋体" w:hint="default"/>
                <w:sz w:val="18"/>
                <w:szCs w:val="18"/>
              </w:rPr>
              <w:t>发行前股份 自愿锁定的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在担任公司 </w:t>
            </w:r>
            <w:r>
              <w:rPr>
                <w:rFonts w:ascii="宋体" w:hAnsi="宋体" w:cs="宋体" w:eastAsia="宋体" w:hint="default"/>
                <w:spacing w:val="-2"/>
                <w:sz w:val="18"/>
                <w:szCs w:val="18"/>
              </w:rPr>
              <w:t>董事、监事或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 员期间每年 转让的股份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上述特定期 </w:t>
            </w:r>
            <w:r>
              <w:rPr>
                <w:rFonts w:ascii="宋体" w:hAnsi="宋体" w:cs="宋体" w:eastAsia="宋体" w:hint="default"/>
                <w:spacing w:val="-3"/>
                <w:sz w:val="18"/>
                <w:szCs w:val="18"/>
              </w:rPr>
              <w:t>限、任职期间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以及离职后 的特定时间</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both"/>
              <w:rPr>
                <w:rFonts w:ascii="宋体" w:hAnsi="宋体" w:cs="宋体" w:eastAsia="宋体" w:hint="default"/>
                <w:sz w:val="18"/>
                <w:szCs w:val="18"/>
              </w:rPr>
            </w:pPr>
            <w:r>
              <w:rPr>
                <w:rFonts w:ascii="宋体" w:hAnsi="宋体" w:cs="宋体" w:eastAsia="宋体" w:hint="default"/>
                <w:sz w:val="18"/>
                <w:szCs w:val="18"/>
              </w:rPr>
              <w:t>畏、周黎隽、 问泽文、周建 深、缪勇刚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不超过本人 直接和间接 持有公司股 份总数的百 分之二十五； 不再担任上 述职务后半 年内，不转让 本人持有的 公司股份。如 在公司股票 上市之日起 六个月内申 报离职的，自 申报离职之 日起十八个 月内不转让 本人所持有 的本公司股 份，如在股票 上市之日起 第七个月至 第十二个月 之间申报离 职的，自申报 离职之日起 十二个月内 不转让本人 持有的公司 股份；所持股 份在锁定期 满后两年内 减持的，其减 持价格不低 于发行价；公 司上市后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月内如公司 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于发行价，或 者上市后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月期末（</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日）收盘价低 于发行价，持 有公司股票 的锁定期限 自动延长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月，上述承诺 不会因为本 人职务的变 更或离职等 原因而改变。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63"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公司控股股 东高兴控股 集团有限公 </w:t>
            </w:r>
            <w:r>
              <w:rPr>
                <w:rFonts w:ascii="宋体" w:hAnsi="宋体" w:cs="宋体" w:eastAsia="宋体" w:hint="default"/>
                <w:spacing w:val="-2"/>
                <w:sz w:val="18"/>
                <w:szCs w:val="18"/>
              </w:rPr>
              <w:t>司、实际控制</w:t>
            </w:r>
            <w:r>
              <w:rPr>
                <w:rFonts w:ascii="宋体" w:hAnsi="宋体" w:cs="宋体" w:eastAsia="宋体" w:hint="default"/>
                <w:sz w:val="18"/>
                <w:szCs w:val="18"/>
              </w:rPr>
              <w:t> </w:t>
            </w:r>
            <w:r>
              <w:rPr>
                <w:rFonts w:ascii="宋体" w:hAnsi="宋体" w:cs="宋体" w:eastAsia="宋体" w:hint="default"/>
                <w:spacing w:val="-2"/>
                <w:sz w:val="18"/>
                <w:szCs w:val="18"/>
              </w:rPr>
              <w:t>人高长虹、法</w:t>
            </w:r>
            <w:r>
              <w:rPr>
                <w:rFonts w:ascii="宋体" w:hAnsi="宋体" w:cs="宋体" w:eastAsia="宋体" w:hint="default"/>
                <w:sz w:val="18"/>
                <w:szCs w:val="18"/>
              </w:rPr>
              <w:t> 人股东中国 双帆投资控 股集团（香 </w:t>
            </w:r>
            <w:r>
              <w:rPr>
                <w:rFonts w:ascii="宋体" w:hAnsi="宋体" w:cs="宋体" w:eastAsia="宋体" w:hint="default"/>
                <w:spacing w:val="-2"/>
                <w:sz w:val="18"/>
                <w:szCs w:val="18"/>
              </w:rPr>
              <w:t>港）有限公司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所持公司股 票在锁定期 满后两年内 减持不超过 其直接和间 接所持股份 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；在锁</w:t>
            </w:r>
            <w:r>
              <w:rPr>
                <w:rFonts w:ascii="宋体" w:hAnsi="宋体" w:cs="宋体" w:eastAsia="宋体" w:hint="default"/>
                <w:sz w:val="18"/>
                <w:szCs w:val="18"/>
              </w:rPr>
              <w:t> 定期满后两 年内减持公 </w:t>
            </w:r>
            <w:r>
              <w:rPr>
                <w:rFonts w:ascii="宋体" w:hAnsi="宋体" w:cs="宋体" w:eastAsia="宋体" w:hint="default"/>
                <w:spacing w:val="-2"/>
                <w:sz w:val="18"/>
                <w:szCs w:val="18"/>
              </w:rPr>
              <w:t>司股份的，将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提前三个交 易日通知公 司并予以公 </w:t>
            </w:r>
            <w:r>
              <w:rPr>
                <w:rFonts w:ascii="宋体" w:hAnsi="宋体" w:cs="宋体" w:eastAsia="宋体" w:hint="default"/>
                <w:spacing w:val="-2"/>
                <w:sz w:val="18"/>
                <w:szCs w:val="18"/>
              </w:rPr>
              <w:t>告，并承诺将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按照《公司 </w:t>
            </w:r>
            <w:r>
              <w:rPr>
                <w:rFonts w:ascii="宋体" w:hAnsi="宋体" w:cs="宋体" w:eastAsia="宋体" w:hint="default"/>
                <w:spacing w:val="-30"/>
                <w:sz w:val="18"/>
                <w:szCs w:val="18"/>
              </w:rPr>
              <w:t>法》、《证券</w:t>
            </w:r>
            <w:r>
              <w:rPr>
                <w:rFonts w:ascii="宋体" w:hAnsi="宋体" w:cs="宋体" w:eastAsia="宋体" w:hint="default"/>
                <w:sz w:val="18"/>
                <w:szCs w:val="18"/>
              </w:rPr>
              <w:t> </w:t>
            </w:r>
            <w:r>
              <w:rPr>
                <w:rFonts w:ascii="宋体" w:hAnsi="宋体" w:cs="宋体" w:eastAsia="宋体" w:hint="default"/>
                <w:spacing w:val="-15"/>
                <w:sz w:val="18"/>
                <w:szCs w:val="18"/>
              </w:rPr>
              <w:t>法》、中国证</w:t>
            </w:r>
            <w:r>
              <w:rPr>
                <w:rFonts w:ascii="宋体" w:hAnsi="宋体" w:cs="宋体" w:eastAsia="宋体" w:hint="default"/>
                <w:sz w:val="18"/>
                <w:szCs w:val="18"/>
              </w:rPr>
              <w:t> 监会及深圳 证券交易所 相关规定办 </w:t>
            </w:r>
            <w:r>
              <w:rPr>
                <w:rFonts w:ascii="宋体" w:hAnsi="宋体" w:cs="宋体" w:eastAsia="宋体" w:hint="default"/>
                <w:spacing w:val="-2"/>
                <w:sz w:val="18"/>
                <w:szCs w:val="18"/>
              </w:rPr>
              <w:t>理；锁定期满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后两年内减 持公司股票 </w:t>
            </w:r>
            <w:r>
              <w:rPr>
                <w:rFonts w:ascii="宋体" w:hAnsi="宋体" w:cs="宋体" w:eastAsia="宋体" w:hint="default"/>
                <w:spacing w:val="-2"/>
                <w:sz w:val="18"/>
                <w:szCs w:val="18"/>
              </w:rPr>
              <w:t>的，减持价格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不低于本次 </w:t>
            </w:r>
            <w:r>
              <w:rPr>
                <w:rFonts w:ascii="宋体" w:hAnsi="宋体" w:cs="宋体" w:eastAsia="宋体" w:hint="default"/>
                <w:spacing w:val="-2"/>
                <w:sz w:val="18"/>
                <w:szCs w:val="18"/>
              </w:rPr>
              <w:t>发行价格，公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司上市后发 生除权除息 </w:t>
            </w:r>
            <w:r>
              <w:rPr>
                <w:rFonts w:ascii="宋体" w:hAnsi="宋体" w:cs="宋体" w:eastAsia="宋体" w:hint="default"/>
                <w:spacing w:val="-2"/>
                <w:sz w:val="18"/>
                <w:szCs w:val="18"/>
              </w:rPr>
              <w:t>事项的，上述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发行价格做 相应调整。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上述特定期 限</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杭州天眼投 资有限公司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公司董事、监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人员通过本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86"/>
              <w:jc w:val="left"/>
              <w:rPr>
                <w:rFonts w:ascii="宋体" w:hAnsi="宋体" w:cs="宋体" w:eastAsia="宋体" w:hint="default"/>
                <w:sz w:val="18"/>
                <w:szCs w:val="18"/>
              </w:rPr>
            </w:pPr>
            <w:r>
              <w:rPr>
                <w:rFonts w:ascii="宋体" w:hAnsi="宋体" w:cs="宋体" w:eastAsia="宋体" w:hint="default"/>
                <w:sz w:val="18"/>
                <w:szCs w:val="18"/>
              </w:rPr>
              <w:t>上述特定期 限</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5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公司所持发 行人股票在 锁定期满后 两年内每年 减持不超过 上一年末所 持股份的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；其余股 东通过本公 司所持公司 股票在锁定 期满后两年 内减持完毕； 在锁定期满 后两年内减 持公司股份 的，将提前三 个交易日通 知公司并予 以公告，并承 诺将按照《公 </w:t>
            </w:r>
            <w:r>
              <w:rPr>
                <w:rFonts w:ascii="宋体" w:hAnsi="宋体" w:cs="宋体" w:eastAsia="宋体" w:hint="default"/>
                <w:spacing w:val="-28"/>
                <w:sz w:val="18"/>
                <w:szCs w:val="18"/>
              </w:rPr>
              <w:t>司法》、《证券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5"/>
                <w:sz w:val="18"/>
                <w:szCs w:val="18"/>
              </w:rPr>
              <w:t>法》、中国证</w:t>
            </w:r>
            <w:r>
              <w:rPr>
                <w:rFonts w:ascii="宋体" w:hAnsi="宋体" w:cs="宋体" w:eastAsia="宋体" w:hint="default"/>
                <w:sz w:val="18"/>
                <w:szCs w:val="18"/>
              </w:rPr>
              <w:t> 监会及深圳 证券交易所 相关规定办 理；锁定期满 后两年内减 持公司股票 的，减持价格 不低于本次 发行价格，公 司上市后发 生除权除息 事项的，上述 发行价格做 相应调整。</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如《招股说明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书》有虚假记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遗漏，对判断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公司是否符 合法律规定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的发行条件 </w:t>
            </w:r>
            <w:r>
              <w:rPr>
                <w:rFonts w:ascii="宋体" w:hAnsi="宋体" w:cs="宋体" w:eastAsia="宋体" w:hint="default"/>
                <w:spacing w:val="-2"/>
                <w:sz w:val="18"/>
                <w:szCs w:val="18"/>
              </w:rPr>
              <w:t>构成重大、实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质影响的，公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司将依法回 购首次公开 发行的全部 </w:t>
            </w:r>
            <w:r>
              <w:rPr>
                <w:rFonts w:ascii="宋体" w:hAnsi="宋体" w:cs="宋体" w:eastAsia="宋体" w:hint="default"/>
                <w:spacing w:val="-2"/>
                <w:sz w:val="18"/>
                <w:szCs w:val="18"/>
              </w:rPr>
              <w:t>新股，回购价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格为以发行 价和市场价 </w:t>
            </w:r>
            <w:r>
              <w:rPr>
                <w:rFonts w:ascii="宋体" w:hAnsi="宋体" w:cs="宋体" w:eastAsia="宋体" w:hint="default"/>
                <w:spacing w:val="-2"/>
                <w:sz w:val="18"/>
                <w:szCs w:val="18"/>
              </w:rPr>
              <w:t>孰高为准。公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司将在有关 事项经有权 机关认定后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 </w:t>
            </w:r>
            <w:r>
              <w:rPr>
                <w:rFonts w:ascii="宋体" w:hAnsi="宋体" w:cs="宋体" w:eastAsia="宋体" w:hint="default"/>
                <w:spacing w:val="-2"/>
                <w:sz w:val="18"/>
                <w:szCs w:val="18"/>
              </w:rPr>
              <w:t>回购，并依法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履行相关审 </w:t>
            </w:r>
            <w:r>
              <w:rPr>
                <w:rFonts w:ascii="宋体" w:hAnsi="宋体" w:cs="宋体" w:eastAsia="宋体" w:hint="default"/>
                <w:spacing w:val="-2"/>
                <w:sz w:val="18"/>
                <w:szCs w:val="18"/>
              </w:rPr>
              <w:t>批程序，控股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股东、实际控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制人将督促 公司实施回 </w:t>
            </w:r>
            <w:r>
              <w:rPr>
                <w:rFonts w:ascii="宋体" w:hAnsi="宋体" w:cs="宋体" w:eastAsia="宋体" w:hint="default"/>
                <w:spacing w:val="-2"/>
                <w:sz w:val="18"/>
                <w:szCs w:val="18"/>
              </w:rPr>
              <w:t>购方案。公司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上市后发生 除权除息事 </w:t>
            </w:r>
            <w:r>
              <w:rPr>
                <w:rFonts w:ascii="宋体" w:hAnsi="宋体" w:cs="宋体" w:eastAsia="宋体" w:hint="default"/>
                <w:spacing w:val="-2"/>
                <w:sz w:val="18"/>
                <w:szCs w:val="18"/>
              </w:rPr>
              <w:t>项的，上述发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行价格及回 购股份数量</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做相应调整。 公司招股说 明书和有关 申报文件有 虚假记载、误 导性陈述或 者重大遗漏， 致使投资者 在证券交易 中遭受损失 的，公司将在 有关事项经 有权机关认 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 依法赔偿投 资者损失。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90"/>
              <w:jc w:val="left"/>
              <w:rPr>
                <w:rFonts w:ascii="宋体" w:hAnsi="宋体" w:cs="宋体" w:eastAsia="宋体" w:hint="default"/>
                <w:sz w:val="18"/>
                <w:szCs w:val="18"/>
              </w:rPr>
            </w:pPr>
            <w:r>
              <w:rPr>
                <w:rFonts w:ascii="宋体" w:hAnsi="宋体" w:cs="宋体" w:eastAsia="宋体" w:hint="default"/>
                <w:sz w:val="18"/>
                <w:szCs w:val="18"/>
              </w:rPr>
              <w:t>公司控股股 东高兴控股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2"/>
              <w:jc w:val="left"/>
              <w:rPr>
                <w:rFonts w:ascii="宋体" w:hAnsi="宋体" w:cs="宋体" w:eastAsia="宋体" w:hint="default"/>
                <w:sz w:val="18"/>
                <w:szCs w:val="18"/>
              </w:rPr>
            </w:pPr>
            <w:r>
              <w:rPr>
                <w:rFonts w:ascii="宋体" w:hAnsi="宋体" w:cs="宋体" w:eastAsia="宋体" w:hint="default"/>
                <w:sz w:val="18"/>
                <w:szCs w:val="18"/>
              </w:rPr>
              <w:t>公司首次公 开发行股票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集团有限公 </w:t>
            </w:r>
            <w:r>
              <w:rPr>
                <w:rFonts w:ascii="宋体" w:hAnsi="宋体" w:cs="宋体" w:eastAsia="宋体" w:hint="default"/>
                <w:spacing w:val="-2"/>
                <w:sz w:val="18"/>
                <w:szCs w:val="18"/>
              </w:rPr>
              <w:t>司、实际控制</w:t>
            </w:r>
            <w:r>
              <w:rPr>
                <w:rFonts w:ascii="宋体" w:hAnsi="宋体" w:cs="宋体" w:eastAsia="宋体" w:hint="default"/>
                <w:sz w:val="18"/>
                <w:szCs w:val="18"/>
              </w:rPr>
              <w:t> 人高长虹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招股说明书 和有关申报 文件不存在 虚假记载、误 导性陈述或 者重大遗漏。 若公司招股 说明书和有 关申报文件 有虚假记载、 误导性陈述 或者重大遗 漏，对判断公 司是否符合 法律规定的 发行条件构 成重大、实质 影响的，将依 法回购首次 公开发行时 已转让的限 售股份，回购 价格为以发 行价和市场 价孰高为准。 公司控股股 东、实际控制 人将在有关 事项经有权 机关认定后</w:t>
            </w:r>
          </w:p>
          <w:p>
            <w:pPr>
              <w:pStyle w:val="TableParagraph"/>
              <w:spacing w:line="316" w:lineRule="auto" w:before="19"/>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 回购，并依法 履行相关审 批程序。公司 上市后发生 除权除息事 项的，上述发 行价格及回 购股份数量 做相应调整。 公司招股说 明书和有关 申报文件有 虚假记载、误</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导性陈述或 者重大遗漏， 致使投资者 在证券交易 中遭受损失 的，公司控股 股东、实际控 制人将在有 关事项经有 权机关认定</w:t>
            </w:r>
          </w:p>
          <w:p>
            <w:pPr>
              <w:pStyle w:val="TableParagraph"/>
              <w:spacing w:line="309" w:lineRule="auto" w:before="19"/>
              <w:ind w:left="22" w:right="103"/>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日内依 法赔偿投资 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21"/>
              <w:jc w:val="left"/>
              <w:rPr>
                <w:rFonts w:ascii="宋体" w:hAnsi="宋体" w:cs="宋体" w:eastAsia="宋体" w:hint="default"/>
                <w:sz w:val="18"/>
                <w:szCs w:val="18"/>
              </w:rPr>
            </w:pPr>
            <w:r>
              <w:rPr>
                <w:rFonts w:ascii="宋体" w:hAnsi="宋体" w:cs="宋体" w:eastAsia="宋体" w:hint="default"/>
                <w:spacing w:val="-2"/>
                <w:sz w:val="18"/>
                <w:szCs w:val="18"/>
              </w:rPr>
              <w:t>公司、控股股</w:t>
            </w:r>
            <w:r>
              <w:rPr>
                <w:rFonts w:ascii="宋体" w:hAnsi="宋体" w:cs="宋体" w:eastAsia="宋体" w:hint="default"/>
                <w:sz w:val="18"/>
                <w:szCs w:val="18"/>
              </w:rPr>
              <w:t> 东高兴控股 集团有限公 </w:t>
            </w:r>
            <w:r>
              <w:rPr>
                <w:rFonts w:ascii="宋体" w:hAnsi="宋体" w:cs="宋体" w:eastAsia="宋体" w:hint="default"/>
                <w:spacing w:val="-2"/>
                <w:sz w:val="18"/>
                <w:szCs w:val="18"/>
              </w:rPr>
              <w:t>司、实际控制</w:t>
            </w:r>
            <w:r>
              <w:rPr>
                <w:rFonts w:ascii="宋体" w:hAnsi="宋体" w:cs="宋体" w:eastAsia="宋体" w:hint="default"/>
                <w:sz w:val="18"/>
                <w:szCs w:val="18"/>
              </w:rPr>
              <w:t> </w:t>
            </w:r>
            <w:r>
              <w:rPr>
                <w:rFonts w:ascii="宋体" w:hAnsi="宋体" w:cs="宋体" w:eastAsia="宋体" w:hint="default"/>
                <w:spacing w:val="-2"/>
                <w:sz w:val="18"/>
                <w:szCs w:val="18"/>
              </w:rPr>
              <w:t>人高长虹、董</w:t>
            </w:r>
            <w:r>
              <w:rPr>
                <w:rFonts w:ascii="宋体" w:hAnsi="宋体" w:cs="宋体" w:eastAsia="宋体" w:hint="default"/>
                <w:sz w:val="18"/>
                <w:szCs w:val="18"/>
              </w:rPr>
              <w:t> </w:t>
            </w:r>
            <w:r>
              <w:rPr>
                <w:rFonts w:ascii="宋体" w:hAnsi="宋体" w:cs="宋体" w:eastAsia="宋体" w:hint="default"/>
                <w:spacing w:val="-2"/>
                <w:sz w:val="18"/>
                <w:szCs w:val="18"/>
              </w:rPr>
              <w:t>事、监事、高</w:t>
            </w:r>
            <w:r>
              <w:rPr>
                <w:rFonts w:ascii="宋体" w:hAnsi="宋体" w:cs="宋体" w:eastAsia="宋体" w:hint="default"/>
                <w:sz w:val="18"/>
                <w:szCs w:val="18"/>
              </w:rPr>
              <w:t> 级管理人员</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如《招股说明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书》有虚假记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载、误导性陈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述或者重大 </w:t>
            </w:r>
            <w:r>
              <w:rPr>
                <w:rFonts w:ascii="宋体" w:hAnsi="宋体" w:cs="宋体" w:eastAsia="宋体" w:hint="default"/>
                <w:spacing w:val="-2"/>
                <w:sz w:val="18"/>
                <w:szCs w:val="18"/>
              </w:rPr>
              <w:t>遗漏，致使投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资者在证券 交易中遭受 </w:t>
            </w:r>
            <w:r>
              <w:rPr>
                <w:rFonts w:ascii="宋体" w:hAnsi="宋体" w:cs="宋体" w:eastAsia="宋体" w:hint="default"/>
                <w:spacing w:val="-2"/>
                <w:sz w:val="18"/>
                <w:szCs w:val="18"/>
              </w:rPr>
              <w:t>损失的，将在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有关事项经 有权机关认 定后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 依法赔偿投 资者损失。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、本人目前 未直接或间 接从事与股 份公司存在 同业竞争的 业务及活动； 本人的配偶、 父母及配偶 的父母、兄弟 姐妹及其配 偶、年满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 及其配偶、配 偶的兄弟姐 妹和子女配 偶的父母，目 前均未直接 或间接从事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6" w:lineRule="auto"/>
              <w:ind w:left="22" w:right="186"/>
              <w:jc w:val="left"/>
              <w:rPr>
                <w:rFonts w:ascii="宋体" w:hAnsi="宋体" w:cs="宋体" w:eastAsia="宋体" w:hint="default"/>
                <w:sz w:val="18"/>
                <w:szCs w:val="18"/>
              </w:rPr>
            </w:pPr>
            <w:r>
              <w:rPr>
                <w:rFonts w:ascii="宋体" w:hAnsi="宋体" w:cs="宋体" w:eastAsia="宋体" w:hint="default"/>
                <w:sz w:val="18"/>
                <w:szCs w:val="18"/>
              </w:rPr>
              <w:t>作为股份公 司股东期间</w:t>
            </w:r>
          </w:p>
          <w:p>
            <w:pPr>
              <w:pStyle w:val="TableParagraph"/>
              <w:spacing w:line="319" w:lineRule="auto" w:before="19"/>
              <w:ind w:left="22" w:right="96"/>
              <w:jc w:val="left"/>
              <w:rPr>
                <w:rFonts w:ascii="宋体" w:hAnsi="宋体" w:cs="宋体" w:eastAsia="宋体" w:hint="default"/>
                <w:sz w:val="18"/>
                <w:szCs w:val="18"/>
              </w:rPr>
            </w:pPr>
            <w:r>
              <w:rPr>
                <w:rFonts w:ascii="宋体" w:hAnsi="宋体" w:cs="宋体" w:eastAsia="宋体" w:hint="default"/>
                <w:sz w:val="18"/>
                <w:szCs w:val="18"/>
              </w:rPr>
              <w:t>（直接或间 </w:t>
            </w:r>
            <w:r>
              <w:rPr>
                <w:rFonts w:ascii="宋体" w:hAnsi="宋体" w:cs="宋体" w:eastAsia="宋体" w:hint="default"/>
                <w:spacing w:val="-15"/>
                <w:sz w:val="18"/>
                <w:szCs w:val="18"/>
              </w:rPr>
              <w:t>接）、担任股</w:t>
            </w:r>
            <w:r>
              <w:rPr>
                <w:rFonts w:ascii="宋体" w:hAnsi="宋体" w:cs="宋体" w:eastAsia="宋体" w:hint="default"/>
                <w:sz w:val="18"/>
                <w:szCs w:val="18"/>
              </w:rPr>
              <w:t> 份公司董事 长期间及辞 去在股份公 司职务后六 个月内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788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before="0"/>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w:t>
            </w:r>
            <w:r>
              <w:rPr>
                <w:rFonts w:ascii="Times New Roman" w:hAnsi="Times New Roman" w:cs="Times New Roman" w:eastAsia="Times New Roman" w:hint="default"/>
                <w:sz w:val="18"/>
                <w:szCs w:val="18"/>
              </w:rPr>
              <w:t>B</w:t>
            </w:r>
            <w:r>
              <w:rPr>
                <w:rFonts w:ascii="宋体" w:hAnsi="宋体" w:cs="宋体" w:eastAsia="宋体" w:hint="default"/>
                <w:sz w:val="18"/>
                <w:szCs w:val="18"/>
              </w:rPr>
              <w:t>、本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人愿意促使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企业将来不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公司业务有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经营活动；</w:t>
            </w:r>
            <w:r>
              <w:rPr>
                <w:rFonts w:ascii="Times New Roman" w:hAnsi="Times New Roman" w:cs="Times New Roman" w:eastAsia="Times New Roman" w:hint="default"/>
                <w:spacing w:val="-7"/>
                <w:sz w:val="18"/>
                <w:szCs w:val="18"/>
              </w:rPr>
              <w:t>C</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中国境内外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任何在商业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上对股份公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司构成竞争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的业务及活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动或拥有与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在竞争关系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的任何经济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实体、机构、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权益；或以其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取得该经济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实体、机构、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控制权；或在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该经济实体、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机构、经济组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织中担任高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或核心技术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w:t>
            </w:r>
            <w:r>
              <w:rPr>
                <w:rFonts w:ascii="Times New Roman" w:hAnsi="Times New Roman" w:cs="Times New Roman" w:eastAsia="Times New Roman" w:hint="default"/>
                <w:sz w:val="18"/>
                <w:szCs w:val="18"/>
              </w:rPr>
              <w:t>D</w:t>
            </w:r>
            <w:r>
              <w:rPr>
                <w:rFonts w:ascii="宋体" w:hAnsi="宋体" w:cs="宋体" w:eastAsia="宋体" w:hint="default"/>
                <w:sz w:val="18"/>
                <w:szCs w:val="18"/>
              </w:rPr>
              <w:t>、未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来如有在股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范围内相关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业务的商业</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机会，本人将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介绍给股份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公司；对股份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公司已进行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建设或拟投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资兴建的项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目，本人将在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投资方向与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项目选择上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公司相同或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相似；</w:t>
            </w:r>
            <w:r>
              <w:rPr>
                <w:rFonts w:ascii="Times New Roman" w:hAnsi="Times New Roman" w:cs="Times New Roman" w:eastAsia="Times New Roman" w:hint="default"/>
                <w:sz w:val="18"/>
                <w:szCs w:val="18"/>
              </w:rPr>
              <w:t>E</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未来本人所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拟进行与股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或相似的经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将行使否决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权，避免与股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或相似，不与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以维护股份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、本人在作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股东期间（直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司董事长期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间及辞去在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务后六个月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内，本承诺为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w:t>
            </w:r>
            <w:r>
              <w:rPr>
                <w:rFonts w:ascii="宋体" w:hAnsi="宋体" w:cs="宋体" w:eastAsia="宋体" w:hint="default"/>
                <w:sz w:val="18"/>
                <w:szCs w:val="18"/>
              </w:rPr>
              <w:t>、本人愿意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承担因违反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造成的全部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经济损失。</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326.7pt;mso-position-horizontal-relative:page;mso-position-vertical-relative:page;z-index:-7888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6"/>
                      <w:szCs w:val="16"/>
                    </w:rPr>
                  </w:pPr>
                </w:p>
                <w:p>
                  <w:pPr>
                    <w:pStyle w:val="BodyText"/>
                    <w:spacing w:line="240" w:lineRule="auto" w:before="0"/>
                    <w:ind w:left="0" w:right="0"/>
                    <w:jc w:val="left"/>
                  </w:pPr>
                  <w:r>
                    <w:rPr/>
                    <w:t>、</w:t>
                  </w:r>
                </w:p>
              </w:txbxContent>
            </v:textbox>
            <w10:wrap type="none"/>
          </v:shape>
        </w:pict>
      </w:r>
      <w:r>
        <w:rPr/>
        <w:pict>
          <v:group style="position:absolute;margin-left:367.660004pt;margin-top:72.47998pt;width:55.85pt;height:326.7pt;mso-position-horizontal-relative:page;mso-position-vertical-relative:page;z-index:-788848" coordorigin="7353,1450" coordsize="1117,6534">
            <v:shape style="position:absolute;left:7353;top:1450;width:1117;height:6534" coordorigin="7353,1450" coordsize="1117,6534" path="m7353,7983l8470,7983,8470,1450,7353,1450,7353,798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宋体" w:hAnsi="宋体" w:cs="宋体" w:eastAsia="宋体" w:hint="default"/>
                <w:sz w:val="18"/>
                <w:szCs w:val="18"/>
              </w:rPr>
              <w:t>、本公司将</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不在中国境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内外直接或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间接从事或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参与任何在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商业上对股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份公司构成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及活动或拥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有与股份公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司存在竞争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关系的任何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经济实体、机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构、经济组织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的权益；或以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其他任何形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式取得该经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济实体、机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东高兴控股</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构、经济组织</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集团有限公</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的控制权。</w:t>
            </w:r>
            <w:r>
              <w:rPr>
                <w:rFonts w:ascii="Times New Roman" w:hAnsi="Times New Roman" w:cs="Times New Roman" w:eastAsia="Times New Roman" w:hint="default"/>
                <w:spacing w:val="-7"/>
                <w:sz w:val="18"/>
                <w:szCs w:val="18"/>
              </w:rPr>
              <w:t>B</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司，法人股东</w:t>
            </w:r>
            <w:r>
              <w:rPr>
                <w:rFonts w:ascii="宋体" w:hAnsi="宋体" w:cs="宋体" w:eastAsia="宋体" w:hint="default"/>
                <w:sz w:val="18"/>
                <w:szCs w:val="18"/>
              </w:rPr>
              <w:t> 中国双帆投 资控股集团</w:t>
            </w:r>
          </w:p>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（香港）有限</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9" w:lineRule="auto" w:before="15"/>
              <w:ind w:left="22" w:right="192"/>
              <w:jc w:val="both"/>
              <w:rPr>
                <w:rFonts w:ascii="宋体" w:hAnsi="宋体" w:cs="宋体" w:eastAsia="宋体" w:hint="default"/>
                <w:sz w:val="18"/>
                <w:szCs w:val="18"/>
              </w:rPr>
            </w:pPr>
            <w:r>
              <w:rPr>
                <w:rFonts w:ascii="宋体" w:hAnsi="宋体" w:cs="宋体" w:eastAsia="宋体" w:hint="default"/>
                <w:sz w:val="18"/>
                <w:szCs w:val="18"/>
              </w:rPr>
              <w:t>本公司或本 公司控制的 企业如出售 与股份公司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09" w:lineRule="auto" w:before="152"/>
              <w:ind w:left="22" w:right="83"/>
              <w:jc w:val="left"/>
              <w:rPr>
                <w:rFonts w:ascii="宋体" w:hAnsi="宋体" w:cs="宋体" w:eastAsia="宋体" w:hint="default"/>
                <w:sz w:val="18"/>
                <w:szCs w:val="18"/>
              </w:rPr>
            </w:pPr>
            <w:r>
              <w:rPr>
                <w:rFonts w:ascii="宋体" w:hAnsi="宋体" w:cs="宋体" w:eastAsia="宋体" w:hint="default"/>
                <w:sz w:val="18"/>
                <w:szCs w:val="18"/>
              </w:rPr>
              <w:t>不再持有股 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 以上股份</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公司、杭州天</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生产、经营相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眼投资有限</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关的任何资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产、业务或权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益，股份公司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均享有优先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购买权；且本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公司保证在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出售或转让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有关资产或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业务时给予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条件与本公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司或本公司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向任何独立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第三人提供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的条件相当。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宋体" w:hAnsi="宋体" w:cs="宋体" w:eastAsia="宋体" w:hint="default"/>
                <w:sz w:val="18"/>
                <w:szCs w:val="18"/>
              </w:rPr>
              <w:t>、未来如有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在股份公司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经营范围内</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相关业务的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公司将介绍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已进行建设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或拟投资兴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建的项目，本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公司将在投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资方向与项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目选择上避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免与股份公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w:t>
            </w:r>
            <w:r>
              <w:rPr>
                <w:rFonts w:ascii="Times New Roman" w:hAnsi="Times New Roman" w:cs="Times New Roman" w:eastAsia="Times New Roman" w:hint="default"/>
                <w:sz w:val="18"/>
                <w:szCs w:val="18"/>
              </w:rPr>
              <w:t>D</w:t>
            </w:r>
            <w:r>
              <w:rPr>
                <w:rFonts w:ascii="宋体" w:hAnsi="宋体" w:cs="宋体" w:eastAsia="宋体" w:hint="default"/>
                <w:sz w:val="18"/>
                <w:szCs w:val="18"/>
              </w:rPr>
              <w:t>、如未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来本公司所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拟进行与股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或相似的经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司将行使否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决权，避免与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同或相似，不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争，以维护股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E</w:t>
            </w:r>
            <w:r>
              <w:rPr>
                <w:rFonts w:ascii="宋体" w:hAnsi="宋体" w:cs="宋体" w:eastAsia="宋体" w:hint="default"/>
                <w:sz w:val="18"/>
                <w:szCs w:val="18"/>
              </w:rPr>
              <w:t>、本公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司签署本承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诺书的行为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已取得本公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司权力机关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的同意，亦已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的权力机关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同意，因而本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公司签署本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承诺书的行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为代表本公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司和本公司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的真实意思。</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F</w:t>
            </w:r>
            <w:r>
              <w:rPr>
                <w:rFonts w:ascii="宋体" w:hAnsi="宋体" w:cs="宋体" w:eastAsia="宋体" w:hint="default"/>
                <w:sz w:val="18"/>
                <w:szCs w:val="18"/>
              </w:rPr>
              <w:t>、本承诺书 所载的每一 项承诺均为 可独立执行 之承诺。任何 一项承诺若 被视为无效 或终止将不 影响其他各 项承诺的有 效性；本公司 愿意承担因 违反上述承 诺而给股份 公司造成的 全部经济损 失。本公司在 不再持有股 份公司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 以上股份前， 本承诺为有 效之承诺。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实际控制人 高长虹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如本人和本 人控制的其 他企业今后 与股份公司 不可避免地 出现关联交 易时，将依照 市场规则，本 着一般商业 原则，通过签 订书面协议， 并严格按照</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《公司章 </w:t>
            </w:r>
            <w:r>
              <w:rPr>
                <w:rFonts w:ascii="宋体" w:hAnsi="宋体" w:cs="宋体" w:eastAsia="宋体" w:hint="default"/>
                <w:spacing w:val="-15"/>
                <w:sz w:val="18"/>
                <w:szCs w:val="18"/>
              </w:rPr>
              <w:t>程》、股份公</w:t>
            </w:r>
            <w:r>
              <w:rPr>
                <w:rFonts w:ascii="宋体" w:hAnsi="宋体" w:cs="宋体" w:eastAsia="宋体" w:hint="default"/>
                <w:sz w:val="18"/>
                <w:szCs w:val="18"/>
              </w:rPr>
              <w:t> </w:t>
            </w:r>
            <w:r>
              <w:rPr>
                <w:rFonts w:ascii="宋体" w:hAnsi="宋体" w:cs="宋体" w:eastAsia="宋体" w:hint="default"/>
                <w:spacing w:val="-2"/>
                <w:sz w:val="18"/>
                <w:szCs w:val="18"/>
              </w:rPr>
              <w:t>司《关联交易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公允决策制 </w:t>
            </w:r>
            <w:r>
              <w:rPr>
                <w:rFonts w:ascii="宋体" w:hAnsi="宋体" w:cs="宋体" w:eastAsia="宋体" w:hint="default"/>
                <w:spacing w:val="-2"/>
                <w:sz w:val="18"/>
                <w:szCs w:val="18"/>
              </w:rPr>
              <w:t>度》等制度规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定的程序和 方式履行关 联交易审批 </w:t>
            </w:r>
            <w:r>
              <w:rPr>
                <w:rFonts w:ascii="宋体" w:hAnsi="宋体" w:cs="宋体" w:eastAsia="宋体" w:hint="default"/>
                <w:spacing w:val="-2"/>
                <w:sz w:val="18"/>
                <w:szCs w:val="18"/>
              </w:rPr>
              <w:t>程序，公平合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理交易。涉及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到本人的关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将在相关股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东大会和董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事会中回避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表决，不利用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本人在股份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公司中的地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位，为本人在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与股份公司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中谋取不正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当的利益。本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严格遵守股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份公司《防范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公司资金专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项制度》的相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关规定，不以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间接的形式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占用股份公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司资金，不与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生非经营性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资金往来。如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承诺，与股份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公司发生非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经营性资金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往来，需在任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意股东、监事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或董事会要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求时立即返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还资金，并赔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偿公司相当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于银行同期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贷款利率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6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left"/>
              <w:rPr>
                <w:rFonts w:ascii="宋体" w:hAnsi="宋体" w:cs="宋体" w:eastAsia="宋体" w:hint="default"/>
                <w:sz w:val="18"/>
                <w:szCs w:val="18"/>
              </w:rPr>
            </w:pPr>
            <w:r>
              <w:rPr>
                <w:rFonts w:ascii="宋体" w:hAnsi="宋体" w:cs="宋体" w:eastAsia="宋体" w:hint="default"/>
                <w:sz w:val="18"/>
                <w:szCs w:val="18"/>
              </w:rPr>
              <w:t>倍的资金占 用费。</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孙文军、边珊姗</w:t>
            </w:r>
          </w:p>
        </w:tc>
      </w:tr>
    </w:tbl>
    <w:p>
      <w:pPr>
        <w:pStyle w:val="BodyText"/>
        <w:spacing w:line="240" w:lineRule="auto" w:before="51"/>
        <w:ind w:left="1134" w:right="0"/>
        <w:jc w:val="left"/>
      </w:pPr>
      <w:r>
        <w:rPr/>
        <w:t>是否改聘会计师事务所</w:t>
      </w:r>
    </w:p>
    <w:p>
      <w:pPr>
        <w:pStyle w:val="BodyText"/>
        <w:spacing w:line="240" w:lineRule="auto" w:before="117"/>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聘请内部控制审计会计师事务所、财务顾问或保荐人情况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left="1134" w:right="1131"/>
        <w:jc w:val="both"/>
      </w:pPr>
      <w:r>
        <w:rPr/>
        <w:t>公司及董事、监事</w:t>
      </w:r>
      <w:r>
        <w:rPr>
          <w:spacing w:val="-42"/>
        </w:rPr>
        <w:t> </w:t>
      </w:r>
      <w:r>
        <w:rPr/>
        <w:t>、高级管理人员</w:t>
      </w:r>
      <w:r>
        <w:rPr>
          <w:spacing w:val="-42"/>
        </w:rPr>
        <w:t> </w:t>
      </w:r>
      <w:r>
        <w:rPr/>
        <w:t>、控股股东、实际控制人在报告期不存在被有权机关调查，被司法机关或纪检部门采取</w:t>
      </w:r>
      <w:r>
        <w:rPr/>
        <w:t> </w:t>
      </w:r>
      <w:r>
        <w:rPr>
          <w:spacing w:val="-2"/>
        </w:rPr>
        <w:t>强制措施，被移送司法机关或追究刑事责任，被中国证监会立案调查或行政处罚、被采取市场禁入措施、被认定为不适当人</w:t>
      </w:r>
      <w:r>
        <w:rPr>
          <w:spacing w:val="-66"/>
        </w:rPr>
        <w:t> </w:t>
      </w:r>
      <w:r>
        <w:rPr>
          <w:spacing w:val="-66"/>
        </w:rPr>
      </w:r>
      <w:r>
        <w:rPr/>
        <w:t>选，被环保、安监、税务等其他行政管理部门给予重大行政处罚，以及被交易所公开谴责的情形。</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公司报告期未发生资产或股权收购、出售的关联交易。</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39"/>
        <w:ind w:left="16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日，公司和高兴控股集团有限公司签订《房屋租赁协议》，高兴控股集团有限公司向公司租赁面积为</w:t>
      </w:r>
    </w:p>
    <w:p>
      <w:pPr>
        <w:pStyle w:val="BodyText"/>
        <w:spacing w:line="240" w:lineRule="auto" w:before="63"/>
        <w:ind w:left="1134" w:right="0"/>
        <w:jc w:val="left"/>
      </w:pPr>
      <w:r>
        <w:rPr>
          <w:rFonts w:ascii="Times New Roman" w:hAnsi="Times New Roman" w:cs="Times New Roman" w:eastAsia="Times New Roman" w:hint="default"/>
        </w:rPr>
        <w:t>1,434.80</w:t>
      </w:r>
      <w:r>
        <w:rPr/>
        <w:t>平方米的办公楼，协议规定租赁期限自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日，租金为每平方米每月</w:t>
      </w:r>
      <w:r>
        <w:rPr>
          <w:rFonts w:ascii="Times New Roman" w:hAnsi="Times New Roman" w:cs="Times New Roman" w:eastAsia="Times New Roman" w:hint="default"/>
        </w:rPr>
        <w:t>5</w:t>
      </w:r>
      <w:r>
        <w:rPr/>
        <w:t>元</w:t>
      </w:r>
      <w:r>
        <w:rPr>
          <w:rFonts w:ascii="Times New Roman" w:hAnsi="Times New Roman" w:cs="Times New Roman" w:eastAsia="Times New Roman" w:hint="default"/>
        </w:rPr>
        <w:t>,</w:t>
      </w:r>
      <w:r>
        <w:rPr/>
        <w:t>以后每年度增加</w:t>
      </w:r>
    </w:p>
    <w:p>
      <w:pPr>
        <w:pStyle w:val="BodyText"/>
        <w:spacing w:line="300" w:lineRule="auto" w:before="63"/>
        <w:ind w:right="0"/>
        <w:jc w:val="left"/>
      </w:pPr>
      <w:r>
        <w:rPr>
          <w:rFonts w:ascii="Times New Roman" w:hAnsi="Times New Roman" w:cs="Times New Roman" w:eastAsia="Times New Roman" w:hint="default"/>
        </w:rPr>
        <w:t>10%</w:t>
      </w:r>
      <w:r>
        <w:rPr/>
        <w:t>，即当年度租金为上年度的</w:t>
      </w:r>
      <w:r>
        <w:rPr>
          <w:rFonts w:ascii="Times New Roman" w:hAnsi="Times New Roman" w:cs="Times New Roman" w:eastAsia="Times New Roman" w:hint="default"/>
        </w:rPr>
        <w:t>1.1</w:t>
      </w:r>
      <w:r>
        <w:rPr/>
        <w:t>倍。截至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日，根据上述租金标准及实际租赁时间，公司</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2015</w:t>
      </w:r>
      <w:r>
        <w:rPr/>
        <w:t>年租</w:t>
      </w:r>
      <w:r>
        <w:rPr>
          <w:spacing w:val="-17"/>
        </w:rPr>
        <w:t> </w:t>
      </w:r>
      <w:r>
        <w:rPr/>
        <w:t>金已全部收到。</w:t>
      </w:r>
    </w:p>
    <w:p>
      <w:pPr>
        <w:pStyle w:val="BodyText"/>
        <w:spacing w:line="300" w:lineRule="auto" w:before="31"/>
        <w:ind w:right="1130"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年公司购入的杭州余杭华英羊业有限公司土地及厂房，其中一幢原已出租给第三方杭州东昌机械制造有限公 司，经三方协商一致，公司购入后继续执行原租赁协议。根据租赁协议，公司出租房屋面积约</w:t>
      </w:r>
      <w:r>
        <w:rPr>
          <w:rFonts w:ascii="Times New Roman" w:hAnsi="Times New Roman" w:cs="Times New Roman" w:eastAsia="Times New Roman" w:hint="default"/>
        </w:rPr>
        <w:t>1,333.60</w:t>
      </w:r>
      <w:r>
        <w:rPr/>
        <w:t>平方米，租赁期限为</w:t>
      </w:r>
      <w:r>
        <w:rPr>
          <w:spacing w:val="-84"/>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日，租金为前三年</w:t>
      </w:r>
      <w:r>
        <w:rPr>
          <w:rFonts w:ascii="Times New Roman" w:hAnsi="Times New Roman" w:cs="Times New Roman" w:eastAsia="Times New Roman" w:hint="default"/>
        </w:rPr>
        <w:t>18</w:t>
      </w:r>
      <w:r>
        <w:rPr/>
        <w:t>万元</w:t>
      </w:r>
      <w:r>
        <w:rPr>
          <w:rFonts w:ascii="Times New Roman" w:hAnsi="Times New Roman" w:cs="Times New Roman" w:eastAsia="Times New Roman" w:hint="default"/>
        </w:rPr>
        <w:t>/</w:t>
      </w:r>
      <w:r>
        <w:rPr/>
        <w:t>年，每三年在上一年基础上递增</w:t>
      </w:r>
      <w:r>
        <w:rPr>
          <w:rFonts w:ascii="Times New Roman" w:hAnsi="Times New Roman" w:cs="Times New Roman" w:eastAsia="Times New Roman" w:hint="default"/>
        </w:rPr>
        <w:t>1</w:t>
      </w:r>
      <w:r>
        <w:rPr/>
        <w:t>万元</w:t>
      </w:r>
      <w:r>
        <w:rPr>
          <w:rFonts w:ascii="Times New Roman" w:hAnsi="Times New Roman" w:cs="Times New Roman" w:eastAsia="Times New Roman" w:hint="default"/>
        </w:rPr>
        <w:t>/</w:t>
      </w:r>
      <w:r>
        <w:rPr/>
        <w:t>年。截至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40" w:lineRule="auto" w:before="13"/>
        <w:ind w:right="6059"/>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月租金已全部收到。 为公司带来的损益达到公司报告期利润总额</w:t>
      </w:r>
      <w:r>
        <w:rPr>
          <w:spacing w:val="-46"/>
        </w:rPr>
        <w:t> </w:t>
      </w:r>
      <w:r>
        <w:rPr>
          <w:rFonts w:ascii="Times New Roman" w:hAnsi="Times New Roman" w:cs="Times New Roman" w:eastAsia="Times New Roman" w:hint="default"/>
        </w:rPr>
        <w:t>10%</w:t>
      </w:r>
      <w:r>
        <w:rPr/>
        <w:t>以上的项目</w:t>
      </w:r>
    </w:p>
    <w:p>
      <w:pPr>
        <w:spacing w:after="0" w:line="3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5" w:id="98"/>
      <w:bookmarkStart w:name="第六节 股份变动及股东情况" w:id="99"/>
      <w:r>
        <w:rPr>
          <w:b w:val="0"/>
          <w:bCs w:val="0"/>
        </w:rPr>
      </w:r>
      <w:r>
        <w:rPr/>
        <w:t>第六节</w:t>
      </w:r>
      <w:r>
        <w:rPr>
          <w:spacing w:val="-10"/>
        </w:rPr>
        <w:t> </w:t>
      </w:r>
      <w:r>
        <w:rPr/>
        <w:t>股份变动及股东情况</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56.25%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54.00%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18.75%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38" w:lineRule="auto" w:before="117"/>
        <w:ind w:right="42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报告期内，股份变动的原因是因为公司公开发行人民币普通股（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1,667</w:t>
      </w:r>
      <w:r>
        <w:rPr/>
        <w:t>万股。</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股份变动的批准情况</w:t>
      </w:r>
    </w:p>
    <w:p>
      <w:pPr>
        <w:pStyle w:val="BodyText"/>
        <w:spacing w:line="319"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957</w:t>
      </w:r>
      <w:r>
        <w:rPr>
          <w:spacing w:val="-2"/>
        </w:rPr>
        <w:t>号文核准，深圳证券交易所深证上（</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258</w:t>
      </w:r>
      <w:r>
        <w:rPr>
          <w:spacing w:val="-2"/>
        </w:rPr>
        <w:t>号文同意，首次向社会</w:t>
      </w:r>
      <w:r>
        <w:rPr>
          <w:spacing w:val="-56"/>
        </w:rPr>
        <w:t> </w:t>
      </w:r>
      <w:r>
        <w:rPr>
          <w:spacing w:val="-56"/>
        </w:rPr>
      </w:r>
      <w:r>
        <w:rPr/>
        <w:t>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股）</w:t>
      </w:r>
      <w:r>
        <w:rPr>
          <w:rFonts w:ascii="Times New Roman" w:hAnsi="Times New Roman" w:cs="Times New Roman" w:eastAsia="Times New Roman" w:hint="default"/>
        </w:rPr>
        <w:t>1,667</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日在深证证券交易所创业板上市。</w:t>
      </w:r>
    </w:p>
    <w:p>
      <w:pPr>
        <w:pStyle w:val="BodyText"/>
        <w:spacing w:line="240" w:lineRule="auto" w:before="38"/>
        <w:ind w:left="1134" w:right="0"/>
        <w:jc w:val="left"/>
      </w:pPr>
      <w:r>
        <w:rPr/>
        <w:t>股份变动的过户情况</w:t>
      </w:r>
    </w:p>
    <w:p>
      <w:pPr>
        <w:pStyle w:val="BodyText"/>
        <w:spacing w:line="340" w:lineRule="auto" w:before="116"/>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1424" w:right="1033"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日发行新股，总股本由</w:t>
      </w:r>
      <w:r>
        <w:rPr>
          <w:rFonts w:ascii="Times New Roman" w:hAnsi="Times New Roman" w:cs="Times New Roman" w:eastAsia="Times New Roman" w:hint="default"/>
          <w:spacing w:val="-2"/>
        </w:rPr>
        <w:t>5,000</w:t>
      </w:r>
      <w:r>
        <w:rPr>
          <w:spacing w:val="-2"/>
        </w:rPr>
        <w:t>万股增加至</w:t>
      </w:r>
      <w:r>
        <w:rPr>
          <w:rFonts w:ascii="Times New Roman" w:hAnsi="Times New Roman" w:cs="Times New Roman" w:eastAsia="Times New Roman" w:hint="default"/>
          <w:spacing w:val="-2"/>
        </w:rPr>
        <w:t>6,667</w:t>
      </w:r>
      <w:r>
        <w:rPr>
          <w:spacing w:val="-2"/>
        </w:rPr>
        <w:t>万股。本次股份变动，对公司最近一期的基本每股收益、</w:t>
      </w:r>
    </w:p>
    <w:p>
      <w:pPr>
        <w:pStyle w:val="BodyText"/>
        <w:spacing w:line="217" w:lineRule="exact" w:before="0"/>
        <w:ind w:left="1134" w:right="0"/>
        <w:jc w:val="left"/>
      </w:pPr>
      <w:r>
        <w:rPr/>
        <w:t>稀释每股收益及归属于公司普通股股东的每股净资产等财务指标的影响情况下：报告期公司基本每股收益、稀释每股收益均</w:t>
      </w:r>
    </w:p>
    <w:p>
      <w:pPr>
        <w:pStyle w:val="BodyText"/>
        <w:spacing w:line="340" w:lineRule="auto" w:before="76"/>
        <w:ind w:right="2613"/>
        <w:jc w:val="left"/>
      </w:pPr>
      <w:r>
        <w:rPr/>
        <w:t>为</w:t>
      </w:r>
      <w:r>
        <w:rPr>
          <w:rFonts w:ascii="Times New Roman" w:hAnsi="Times New Roman" w:cs="Times New Roman" w:eastAsia="Times New Roman" w:hint="default"/>
        </w:rPr>
        <w:t>0.70</w:t>
      </w:r>
      <w:r>
        <w:rPr/>
        <w:t>元</w:t>
      </w:r>
      <w:r>
        <w:rPr>
          <w:rFonts w:ascii="Times New Roman" w:hAnsi="Times New Roman" w:cs="Times New Roman" w:eastAsia="Times New Roman" w:hint="default"/>
        </w:rPr>
        <w:t>/</w:t>
      </w:r>
      <w:r>
        <w:rPr/>
        <w:t>股，比去年减少</w:t>
      </w:r>
      <w:r>
        <w:rPr>
          <w:rFonts w:ascii="Times New Roman" w:hAnsi="Times New Roman" w:cs="Times New Roman" w:eastAsia="Times New Roman" w:hint="default"/>
        </w:rPr>
        <w:t>23.91%</w:t>
      </w:r>
      <w:r>
        <w:rPr/>
        <w:t>，归属于公司普通股股东的每股净资产</w:t>
      </w:r>
      <w:r>
        <w:rPr>
          <w:rFonts w:ascii="Times New Roman" w:hAnsi="Times New Roman" w:cs="Times New Roman" w:eastAsia="Times New Roman" w:hint="default"/>
        </w:rPr>
        <w:t>7.34</w:t>
      </w:r>
      <w:r>
        <w:rPr/>
        <w:t>元</w:t>
      </w:r>
      <w:r>
        <w:rPr>
          <w:rFonts w:ascii="Times New Roman" w:hAnsi="Times New Roman" w:cs="Times New Roman" w:eastAsia="Times New Roman" w:hint="default"/>
        </w:rPr>
        <w:t>/</w:t>
      </w:r>
      <w:r>
        <w:rPr/>
        <w:t>股，比去年增长</w:t>
      </w:r>
      <w:r>
        <w:rPr>
          <w:rFonts w:ascii="Times New Roman" w:hAnsi="Times New Roman" w:cs="Times New Roman" w:eastAsia="Times New Roman" w:hint="default"/>
        </w:rPr>
        <w:t>51.03%</w:t>
      </w:r>
      <w:r>
        <w:rPr/>
        <w:t>。 公司认为必要或证券监管机构要求披露的其他内容</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浙江金桥创业投 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-1,500,000</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首发前机构类限 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2016-6-9</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吴海龙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因司法拍卖竞得 浙江金桥创业投 资有限公司持有 本公司的股份。</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2016-6-9</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16,670,000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报告期内证券发行（不含优先股）情况的说明</w:t>
      </w:r>
    </w:p>
    <w:p>
      <w:pPr>
        <w:pStyle w:val="BodyText"/>
        <w:spacing w:line="300" w:lineRule="auto" w:before="115"/>
        <w:ind w:right="0"/>
        <w:jc w:val="left"/>
      </w:pPr>
      <w:r>
        <w:rPr>
          <w:spacing w:val="-2"/>
        </w:rPr>
        <w:t>公司经中国证券监督管理委员会证监许可（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957</w:t>
      </w:r>
      <w:r>
        <w:rPr>
          <w:spacing w:val="-2"/>
        </w:rPr>
        <w:t>号文核准，深圳证券交易所深证上（</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258</w:t>
      </w:r>
      <w:r>
        <w:rPr>
          <w:spacing w:val="-2"/>
        </w:rPr>
        <w:t>号文同意，首次向社会</w:t>
      </w:r>
      <w:r>
        <w:rPr>
          <w:spacing w:val="-56"/>
        </w:rPr>
        <w:t> </w:t>
      </w:r>
      <w:r>
        <w:rPr>
          <w:spacing w:val="-56"/>
        </w:rPr>
      </w:r>
      <w:r>
        <w:rPr/>
        <w:t>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4"/>
        </w:rPr>
        <w:t> </w:t>
      </w:r>
      <w:r>
        <w:rPr/>
        <w:t>股）</w:t>
      </w:r>
      <w:r>
        <w:rPr>
          <w:rFonts w:ascii="Times New Roman" w:hAnsi="Times New Roman" w:cs="Times New Roman" w:eastAsia="Times New Roman" w:hint="default"/>
        </w:rPr>
        <w:t>1,667</w:t>
      </w:r>
      <w:r>
        <w:rPr/>
        <w:t>万股，并于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日在深证证券交易所创业板上市。</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957</w:t>
      </w:r>
      <w:r>
        <w:rPr>
          <w:spacing w:val="-2"/>
        </w:rPr>
        <w:t>号文核准，深圳证券交易所深证上（</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258</w:t>
      </w:r>
      <w:r>
        <w:rPr>
          <w:spacing w:val="-2"/>
        </w:rPr>
        <w:t>号文同意，</w:t>
      </w:r>
      <w:r>
        <w:rPr>
          <w:spacing w:val="-36"/>
        </w:rPr>
        <w:t> </w:t>
      </w:r>
      <w:r>
        <w:rPr/>
        <w:t>首次向社会公开发行人民币普通股（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20"/>
        </w:rPr>
        <w:t> </w:t>
      </w:r>
      <w:r>
        <w:rPr/>
        <w:t>股）</w:t>
      </w:r>
      <w:r>
        <w:rPr>
          <w:rFonts w:ascii="Times New Roman" w:hAnsi="Times New Roman" w:cs="Times New Roman" w:eastAsia="Times New Roman" w:hint="default"/>
        </w:rPr>
        <w:t>1,667</w:t>
      </w:r>
      <w:r>
        <w:rPr/>
        <w:t>万股，每股发行价格</w:t>
      </w:r>
      <w:r>
        <w:rPr>
          <w:rFonts w:ascii="Times New Roman" w:hAnsi="Times New Roman" w:cs="Times New Roman" w:eastAsia="Times New Roman" w:hint="default"/>
        </w:rPr>
        <w:t>14.84</w:t>
      </w:r>
      <w:r>
        <w:rPr/>
        <w:t>元，新股发行募集资金总额为</w:t>
      </w:r>
      <w:r>
        <w:rPr>
          <w:rFonts w:ascii="Times New Roman" w:hAnsi="Times New Roman" w:cs="Times New Roman" w:eastAsia="Times New Roman" w:hint="default"/>
        </w:rPr>
        <w:t>247,382,800.00</w:t>
      </w:r>
      <w:r>
        <w:rPr/>
        <w:t>元，</w:t>
      </w:r>
    </w:p>
    <w:p>
      <w:pPr>
        <w:pStyle w:val="BodyText"/>
        <w:spacing w:line="300" w:lineRule="auto" w:before="0"/>
        <w:ind w:right="1123"/>
        <w:jc w:val="left"/>
      </w:pPr>
      <w:r>
        <w:rPr/>
        <w:t>减除发行费用人民币</w:t>
      </w:r>
      <w:r>
        <w:rPr>
          <w:rFonts w:ascii="Times New Roman" w:hAnsi="Times New Roman" w:cs="Times New Roman" w:eastAsia="Times New Roman" w:hint="default"/>
        </w:rPr>
        <w:t>34,348,135.15</w:t>
      </w:r>
      <w:r>
        <w:rPr/>
        <w:t>元后，募集资金净额为</w:t>
      </w:r>
      <w:r>
        <w:rPr>
          <w:rFonts w:ascii="Times New Roman" w:hAnsi="Times New Roman" w:cs="Times New Roman" w:eastAsia="Times New Roman" w:hint="default"/>
        </w:rPr>
        <w:t>213,034,664.85</w:t>
      </w:r>
      <w:r>
        <w:rPr/>
        <w:t>元。因此，公司股本增加，由</w:t>
      </w:r>
      <w:r>
        <w:rPr>
          <w:rFonts w:ascii="Times New Roman" w:hAnsi="Times New Roman" w:cs="Times New Roman" w:eastAsia="Times New Roman" w:hint="default"/>
        </w:rPr>
        <w:t>5,000</w:t>
      </w:r>
      <w:r>
        <w:rPr/>
        <w:t>万变为</w:t>
      </w:r>
      <w:r>
        <w:rPr>
          <w:rFonts w:ascii="Times New Roman" w:hAnsi="Times New Roman" w:cs="Times New Roman" w:eastAsia="Times New Roman" w:hint="default"/>
        </w:rPr>
        <w:t>6,667</w:t>
      </w:r>
      <w:r>
        <w:rPr/>
        <w:t>万； 股东结构发生变动，增加了占公司总股本</w:t>
      </w:r>
      <w:r>
        <w:rPr>
          <w:rFonts w:ascii="Times New Roman" w:hAnsi="Times New Roman" w:cs="Times New Roman" w:eastAsia="Times New Roman" w:hint="default"/>
        </w:rPr>
        <w:t>25%</w:t>
      </w:r>
      <w:r>
        <w:rPr/>
        <w:t>的社会公众股东；并且公司资产增加、负债减少。</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pict>
          <v:shape style="position:absolute;margin-left:449.277008pt;margin-top:68.311707pt;width:85.6pt;height:31.2pt;mso-position-horizontal-relative:page;mso-position-vertical-relative:paragraph;z-index:-788824"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68.311707pt;width:52.45pt;height:31.2pt;mso-position-horizontal-relative:page;mso-position-vertical-relative:paragraph;z-index:-788800"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9,520</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9" w:right="0"/>
              <w:jc w:val="left"/>
              <w:rPr>
                <w:rFonts w:ascii="Times New Roman" w:hAnsi="Times New Roman" w:cs="Times New Roman" w:eastAsia="Times New Roman" w:hint="default"/>
                <w:sz w:val="18"/>
                <w:szCs w:val="18"/>
              </w:rPr>
            </w:pPr>
            <w:r>
              <w:rPr>
                <w:rFonts w:ascii="Times New Roman"/>
                <w:sz w:val="18"/>
              </w:rPr>
              <w:t>9,351</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高兴控股集团有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38.25%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25,500,00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23,610,000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中国双帆投资控 </w:t>
            </w:r>
            <w:r>
              <w:rPr>
                <w:rFonts w:ascii="宋体" w:hAnsi="宋体" w:cs="宋体" w:eastAsia="宋体" w:hint="default"/>
                <w:spacing w:val="-4"/>
                <w:sz w:val="18"/>
                <w:szCs w:val="18"/>
              </w:rPr>
              <w:t>股集团（香港）有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18.75%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12,500,00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杭州天眼投资有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6.75%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4,500,000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4,500,000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浙江浙科汇利创 业投资有限公司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3.37%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2,250,000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吴海龙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2.25%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1,500,000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1,500,000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浙江润禾创业投 </w:t>
            </w:r>
            <w:r>
              <w:rPr>
                <w:rFonts w:ascii="宋体" w:hAnsi="宋体" w:cs="宋体" w:eastAsia="宋体" w:hint="default"/>
                <w:spacing w:val="-4"/>
                <w:sz w:val="18"/>
                <w:szCs w:val="18"/>
              </w:rPr>
              <w:t>资合伙企业（有限</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1,250,000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1,250,000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杭州仁达龙扬投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浙江悦海创业投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浙江金桥创业投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绍兴鸿禧投资有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3"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both"/>
              <w:rPr>
                <w:rFonts w:ascii="宋体" w:hAnsi="宋体" w:cs="宋体" w:eastAsia="宋体" w:hint="default"/>
                <w:sz w:val="18"/>
                <w:szCs w:val="18"/>
              </w:rPr>
            </w:pPr>
            <w:r>
              <w:rPr>
                <w:rFonts w:ascii="宋体" w:hAnsi="宋体" w:cs="宋体" w:eastAsia="宋体" w:hint="default"/>
                <w:spacing w:val="-1"/>
                <w:sz w:val="18"/>
                <w:szCs w:val="18"/>
              </w:rPr>
              <w:t>高兴控股集团有限公司和中国双帆投资控股集团（香港）有限公司都受公司实际控制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人高长虹先生控制；杭州天眼投资有限公司为公司股权激励平台，持股人员主要是公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司董事、监事、高管、中层管理人员和业务骨干，公司实际控制人高长虹担任杭州天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眼投资有限公司的法定代表人。公司未曾知悉其他股东间是否存在关联关系或属于</w:t>
            </w:r>
          </w:p>
          <w:p>
            <w:pPr>
              <w:pStyle w:val="TableParagraph"/>
              <w:spacing w:line="240" w:lineRule="auto" w:before="20"/>
              <w:ind w:left="16" w:right="0"/>
              <w:jc w:val="both"/>
              <w:rPr>
                <w:rFonts w:ascii="宋体" w:hAnsi="宋体" w:cs="宋体" w:eastAsia="宋体" w:hint="default"/>
                <w:sz w:val="18"/>
                <w:szCs w:val="18"/>
              </w:rPr>
            </w:pPr>
            <w:r>
              <w:rPr>
                <w:rFonts w:ascii="宋体" w:hAnsi="宋体" w:cs="宋体" w:eastAsia="宋体" w:hint="default"/>
                <w:sz w:val="18"/>
                <w:szCs w:val="18"/>
              </w:rPr>
              <w:t>《上市公司股东持股变动信息披露管理办法》规定的一致行动人。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473"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张能斌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168,032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汤一锋</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157,264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路云龙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王战胜</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莫武元</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116,899</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茅贞勇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李雪君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钟慧敏</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罗新伟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96,900</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公司未曾知悉前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w:t>
            </w:r>
            <w:r>
              <w:rPr>
                <w:rFonts w:ascii="宋体" w:hAnsi="宋体" w:cs="宋体" w:eastAsia="宋体" w:hint="default"/>
                <w:spacing w:val="-1"/>
                <w:sz w:val="18"/>
                <w:szCs w:val="18"/>
              </w:rPr>
              <w:t>股东之间是否存在关联关系或属于《上市公司股东持股变动信息披露管理办法》规定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的一致行动人。</w:t>
            </w:r>
          </w:p>
        </w:tc>
      </w:tr>
      <w:tr>
        <w:trPr>
          <w:trHeight w:val="98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公司股东路云龙除通过普通证券账户持有公司股票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股外，还通过投资者信用账户持</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140,000 </w:t>
            </w:r>
            <w:r>
              <w:rPr>
                <w:rFonts w:ascii="宋体" w:hAnsi="宋体" w:cs="宋体" w:eastAsia="宋体" w:hint="default"/>
                <w:sz w:val="18"/>
                <w:szCs w:val="18"/>
              </w:rPr>
              <w:t>股；公司股东茅贞勇除通过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r>
              <w:rPr>
                <w:rFonts w:ascii="宋体" w:hAnsi="宋体" w:cs="宋体" w:eastAsia="宋体" w:hint="default"/>
                <w:spacing w:val="-75"/>
                <w:sz w:val="18"/>
                <w:szCs w:val="18"/>
              </w:rPr>
              <w:t>，</w:t>
            </w:r>
            <w:r>
              <w:rPr>
                <w:rFonts w:ascii="宋体" w:hAnsi="宋体" w:cs="宋体" w:eastAsia="宋体" w:hint="default"/>
                <w:sz w:val="18"/>
                <w:szCs w:val="18"/>
              </w:rPr>
              <w:t>还通过投资者信用账户持有公司股票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96,500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005" w:lineRule="exact"/>
        <w:ind w:left="1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478.95pt;height:50.3pt;mso-position-horizontal-relative:char;mso-position-vertical-relative:line" coordorigin="0,0" coordsize="9579,1006">
            <v:group style="position:absolute;left:10;top:14;width:2871;height:977" coordorigin="10,14" coordsize="2871,977">
              <v:shape style="position:absolute;left:10;top:14;width:2871;height:977" coordorigin="10,14" coordsize="2871,977" path="m10,991l2880,991,2880,14,10,14,10,991xe" filled="true" fillcolor="#d2d2d2" stroked="false">
                <v:path arrowok="t"/>
                <v:fill type="solid"/>
              </v:shape>
            </v:group>
            <v:group style="position:absolute;left:10;top:10;width:2871;height:2" coordorigin="10,10" coordsize="2871,2">
              <v:shape style="position:absolute;left:10;top:10;width:2871;height:2" coordorigin="10,10" coordsize="2871,0" path="m10,10l2880,10e" filled="false" stroked="true" strokeweight=".48pt" strokecolor="#000000">
                <v:path arrowok="t"/>
              </v:shape>
            </v:group>
            <v:group style="position:absolute;left:2890;top:10;width:6679;height:2" coordorigin="2890,10" coordsize="6679,2">
              <v:shape style="position:absolute;left:2890;top:10;width:6679;height:2" coordorigin="2890,10" coordsize="6679,0" path="m2890,10l9569,10e" filled="false" stroked="true" strokeweight=".48pt" strokecolor="#000000">
                <v:path arrowok="t"/>
              </v:shape>
            </v:group>
            <v:group style="position:absolute;left:5;top:5;width:2;height:996" coordorigin="5,5" coordsize="2,996">
              <v:shape style="position:absolute;left:5;top:5;width:2;height:996" coordorigin="5,5" coordsize="0,996" path="m5,5l5,1001e" filled="false" stroked="true" strokeweight=".48pt" strokecolor="#000000">
                <v:path arrowok="t"/>
              </v:shape>
            </v:group>
            <v:group style="position:absolute;left:10;top:996;width:2871;height:2" coordorigin="10,996" coordsize="2871,2">
              <v:shape style="position:absolute;left:10;top:996;width:2871;height:2" coordorigin="10,996" coordsize="2871,0" path="m10,996l2880,996e" filled="false" stroked="true" strokeweight=".48pt" strokecolor="#000000">
                <v:path arrowok="t"/>
              </v:shape>
            </v:group>
            <v:group style="position:absolute;left:2885;top:5;width:2;height:996" coordorigin="2885,5" coordsize="2,996">
              <v:shape style="position:absolute;left:2885;top:5;width:2;height:996" coordorigin="2885,5" coordsize="0,996" path="m2885,5l2885,1001e" filled="false" stroked="true" strokeweight=".48pt" strokecolor="#000000">
                <v:path arrowok="t"/>
              </v:shape>
            </v:group>
            <v:group style="position:absolute;left:2890;top:996;width:6679;height:2" coordorigin="2890,996" coordsize="6679,2">
              <v:shape style="position:absolute;left:2890;top:996;width:6679;height:2" coordorigin="2890,996" coordsize="6679,0" path="m2890,996l9569,996e" filled="false" stroked="true" strokeweight=".48pt" strokecolor="#000000">
                <v:path arrowok="t"/>
              </v:shape>
            </v:group>
            <v:group style="position:absolute;left:9574;top:5;width:2;height:996" coordorigin="9574,5" coordsize="2,996">
              <v:shape style="position:absolute;left:9574;top:5;width:2;height:996" coordorigin="9574,5" coordsize="0,996" path="m9574,5l9574,1001e" filled="false" stroked="true" strokeweight=".48pt" strokecolor="#000000">
                <v:path arrowok="t"/>
              </v:shape>
              <v:shape style="position:absolute;left:2885;top:10;width:6689;height:987" type="#_x0000_t202" filled="false" stroked="false">
                <v:textbox inset="0,0,0,0">
                  <w:txbxContent>
                    <w:p>
                      <w:pPr>
                        <w:spacing w:before="15"/>
                        <w:ind w:left="27" w:right="0" w:firstLine="0"/>
                        <w:jc w:val="left"/>
                        <w:rPr>
                          <w:rFonts w:ascii="宋体" w:hAnsi="宋体" w:cs="宋体" w:eastAsia="宋体" w:hint="default"/>
                          <w:sz w:val="18"/>
                          <w:szCs w:val="18"/>
                        </w:rPr>
                      </w:pPr>
                      <w:r>
                        <w:rPr>
                          <w:rFonts w:ascii="宋体" w:hAnsi="宋体" w:cs="宋体" w:eastAsia="宋体" w:hint="default"/>
                          <w:sz w:val="18"/>
                          <w:szCs w:val="18"/>
                        </w:rPr>
                        <w:t>股，实际合计持有公司股票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股；公司股东李雪君除通过普通证券账户持有公</w:t>
                      </w:r>
                    </w:p>
                    <w:p>
                      <w:pPr>
                        <w:spacing w:before="63"/>
                        <w:ind w:left="27" w:right="0" w:firstLine="0"/>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57,900 </w:t>
                      </w:r>
                      <w:r>
                        <w:rPr>
                          <w:rFonts w:ascii="宋体" w:hAnsi="宋体" w:cs="宋体" w:eastAsia="宋体" w:hint="default"/>
                          <w:sz w:val="18"/>
                          <w:szCs w:val="18"/>
                        </w:rPr>
                        <w:t>股外，还通过投资者信用账户持有公司股票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spacing w:before="64"/>
                        <w:ind w:left="27" w:right="0" w:firstLine="0"/>
                        <w:jc w:val="left"/>
                        <w:rPr>
                          <w:rFonts w:ascii="宋体" w:hAnsi="宋体" w:cs="宋体" w:eastAsia="宋体" w:hint="default"/>
                          <w:sz w:val="18"/>
                          <w:szCs w:val="18"/>
                        </w:rPr>
                      </w:pPr>
                      <w:r>
                        <w:rPr>
                          <w:rFonts w:ascii="宋体" w:hAnsi="宋体" w:cs="宋体" w:eastAsia="宋体" w:hint="default"/>
                          <w:sz w:val="18"/>
                          <w:szCs w:val="18"/>
                        </w:rPr>
                        <w:t>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106,400 </w:t>
                      </w:r>
                      <w:r>
                        <w:rPr>
                          <w:rFonts w:ascii="宋体" w:hAnsi="宋体" w:cs="宋体" w:eastAsia="宋体" w:hint="default"/>
                          <w:sz w:val="18"/>
                          <w:szCs w:val="18"/>
                        </w:rPr>
                        <w:t>股。</w:t>
                      </w:r>
                    </w:p>
                  </w:txbxContent>
                </v:textbox>
                <w10:wrap type="none"/>
              </v:shape>
            </v:group>
          </v:group>
        </w:pict>
      </w:r>
      <w:r>
        <w:rPr>
          <w:rFonts w:ascii="Times New Roman" w:hAnsi="Times New Roman" w:cs="Times New Roman" w:eastAsia="Times New Roman" w:hint="default"/>
          <w:position w:val="-19"/>
          <w:sz w:val="20"/>
          <w:szCs w:val="20"/>
        </w:rPr>
      </w:r>
    </w:p>
    <w:p>
      <w:pPr>
        <w:pStyle w:val="BodyText"/>
        <w:spacing w:line="240" w:lineRule="auto" w:before="47"/>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9"/>
              <w:jc w:val="righ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19"/>
              <w:jc w:val="right"/>
              <w:rPr>
                <w:rFonts w:ascii="Times New Roman" w:hAnsi="Times New Roman" w:cs="Times New Roman" w:eastAsia="Times New Roman" w:hint="default"/>
                <w:sz w:val="18"/>
                <w:szCs w:val="18"/>
              </w:rPr>
            </w:pPr>
            <w:r>
              <w:rPr>
                <w:rFonts w:ascii="Times New Roman"/>
                <w:spacing w:val="-1"/>
                <w:sz w:val="18"/>
              </w:rPr>
              <w:t>913301107996754972</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企业投资、管理，旅游景点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开发，货物及技术进出口 等。</w:t>
            </w:r>
          </w:p>
        </w:tc>
      </w:tr>
      <w:tr>
        <w:trPr>
          <w:trHeight w:val="1026"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4" w:right="8412"/>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年起至今任公司董事长，</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年起至今任高兴控股集团有限公司董事长。</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7035" w:lineRule="exact"/>
        <w:ind w:left="1134" w:right="0" w:firstLine="0"/>
        <w:rPr>
          <w:rFonts w:ascii="宋体" w:hAnsi="宋体" w:cs="宋体" w:eastAsia="宋体" w:hint="default"/>
          <w:sz w:val="20"/>
          <w:szCs w:val="20"/>
        </w:rPr>
      </w:pPr>
      <w:r>
        <w:rPr>
          <w:rFonts w:ascii="宋体" w:hAnsi="宋体" w:cs="宋体" w:eastAsia="宋体" w:hint="default"/>
          <w:position w:val="-140"/>
          <w:sz w:val="20"/>
          <w:szCs w:val="20"/>
        </w:rPr>
        <w:drawing>
          <wp:inline distT="0" distB="0" distL="0" distR="0">
            <wp:extent cx="6435338" cy="44672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6435338" cy="4467225"/>
                    </a:xfrm>
                    <a:prstGeom prst="rect">
                      <a:avLst/>
                    </a:prstGeom>
                  </pic:spPr>
                </pic:pic>
              </a:graphicData>
            </a:graphic>
          </wp:inline>
        </w:drawing>
      </w:r>
      <w:r>
        <w:rPr>
          <w:rFonts w:ascii="宋体" w:hAnsi="宋体" w:cs="宋体" w:eastAsia="宋体" w:hint="default"/>
          <w:position w:val="-140"/>
          <w:sz w:val="20"/>
          <w:szCs w:val="20"/>
        </w:rPr>
      </w:r>
    </w:p>
    <w:p>
      <w:pPr>
        <w:spacing w:line="240" w:lineRule="auto" w:before="6"/>
        <w:rPr>
          <w:rFonts w:ascii="宋体" w:hAnsi="宋体" w:cs="宋体" w:eastAsia="宋体" w:hint="default"/>
          <w:sz w:val="16"/>
          <w:szCs w:val="16"/>
        </w:rPr>
      </w:pPr>
    </w:p>
    <w:p>
      <w:pPr>
        <w:spacing w:before="26"/>
        <w:ind w:left="113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4"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中国双帆投资控股集团（香港） 有限公司</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万港币</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企业投资</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2" w:lineRule="auto" w:before="101"/>
        <w:ind w:right="1042" w:firstLine="480"/>
        <w:jc w:val="both"/>
      </w:pPr>
      <w:r>
        <w:rPr/>
        <w:t>公司控股股东高兴控股集团有限公司，股东中国双帆投资控股集团（香港）有限公司、杭州天眼投资有限公司承诺： </w:t>
      </w:r>
      <w:r>
        <w:rPr>
          <w:spacing w:val="-2"/>
        </w:rPr>
        <w:t>自公司股票上市之日起三十六个月内，不转让直接或间接持有的公司股份，也不由公司回购其持有的股份；所持公司股份在</w:t>
      </w:r>
      <w:r>
        <w:rPr>
          <w:spacing w:val="-66"/>
        </w:rPr>
        <w:t> </w:t>
      </w:r>
      <w:r>
        <w:rPr>
          <w:spacing w:val="-66"/>
        </w:rPr>
      </w:r>
      <w:r>
        <w:rPr/>
        <w:t>锁定期满后两年内减持的，减持价格不低于首次公开发行股票的发行价；公司股份上市交易后</w:t>
      </w:r>
      <w:r>
        <w:rPr>
          <w:rFonts w:ascii="Times New Roman" w:hAnsi="Times New Roman" w:cs="Times New Roman" w:eastAsia="Times New Roman" w:hint="default"/>
        </w:rPr>
        <w:t>6</w:t>
      </w:r>
      <w:r>
        <w:rPr/>
        <w:t>个月内如连续</w:t>
      </w:r>
      <w:r>
        <w:rPr>
          <w:rFonts w:ascii="Times New Roman" w:hAnsi="Times New Roman" w:cs="Times New Roman" w:eastAsia="Times New Roman" w:hint="default"/>
        </w:rPr>
        <w:t>20</w:t>
      </w:r>
      <w:r>
        <w:rPr/>
        <w:t>个交易日的</w:t>
      </w:r>
      <w:r>
        <w:rPr>
          <w:spacing w:val="-82"/>
        </w:rPr>
        <w:t> </w:t>
      </w:r>
      <w:r>
        <w:rPr>
          <w:spacing w:val="-2"/>
        </w:rPr>
        <w:t>收盘价均低于发行价，或者上市后</w:t>
      </w:r>
      <w:r>
        <w:rPr>
          <w:rFonts w:ascii="Times New Roman" w:hAnsi="Times New Roman" w:cs="Times New Roman" w:eastAsia="Times New Roman" w:hint="default"/>
          <w:spacing w:val="-2"/>
        </w:rPr>
        <w:t>6</w:t>
      </w:r>
      <w:r>
        <w:rPr>
          <w:spacing w:val="-2"/>
        </w:rPr>
        <w:t>个月期末</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w:t>
      </w:r>
      <w:r>
        <w:rPr>
          <w:spacing w:val="-2"/>
        </w:rPr>
        <w:t>收盘价低于发行价，持有公司股票的锁定期限自动延长</w:t>
      </w:r>
      <w:r>
        <w:rPr>
          <w:rFonts w:ascii="Times New Roman" w:hAnsi="Times New Roman" w:cs="Times New Roman" w:eastAsia="Times New Roman" w:hint="default"/>
          <w:spacing w:val="-2"/>
        </w:rPr>
        <w:t>6</w:t>
      </w:r>
      <w:r>
        <w:rPr>
          <w:spacing w:val="-2"/>
        </w:rPr>
        <w:t>个月。</w:t>
      </w:r>
    </w:p>
    <w:p>
      <w:pPr>
        <w:pStyle w:val="BodyText"/>
        <w:spacing w:line="240" w:lineRule="auto" w:before="3"/>
        <w:ind w:left="1613" w:right="0"/>
        <w:jc w:val="left"/>
      </w:pPr>
      <w:r>
        <w:rPr/>
        <w:t>公司股东浙江浙科汇利创业投资有限公司、浙江金桥创业投资有限公司、浙江润禾创业投资合伙企业（有限合伙）、</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0"/>
        <w:jc w:val="left"/>
      </w:pPr>
      <w:r>
        <w:rPr>
          <w:spacing w:val="-2"/>
        </w:rPr>
        <w:t>杭州仁达龙扬投资合伙企业（有限合伙）、浙江悦海创业投资有限公司、绍兴鸿禧投资有限公司承诺：自公司股票上市交易</w:t>
      </w:r>
      <w:r>
        <w:rPr>
          <w:spacing w:val="-66"/>
        </w:rPr>
        <w:t> </w:t>
      </w:r>
      <w:r>
        <w:rPr>
          <w:spacing w:val="-66"/>
        </w:rPr>
      </w:r>
      <w:r>
        <w:rPr/>
        <w:t>之日起十二个月内，不转让或者委托他人管理其持有的公司股份，也不由公司回购上述股份。</w:t>
      </w:r>
    </w:p>
    <w:p>
      <w:pPr>
        <w:pStyle w:val="BodyText"/>
        <w:spacing w:line="312" w:lineRule="auto" w:before="19"/>
        <w:ind w:right="1130" w:firstLine="480"/>
        <w:jc w:val="both"/>
      </w:pPr>
      <w:r>
        <w:rPr>
          <w:spacing w:val="-1"/>
        </w:rPr>
        <w:t>高长虹、楼永富、金桂良、凌勇、沈治华、胡炳林、朱忠华、吴畏、周黎隽、问泽文、周建深、缪勇刚还承诺：在担</w:t>
      </w:r>
      <w:r>
        <w:rPr/>
        <w:t> </w:t>
      </w:r>
      <w:r>
        <w:rPr>
          <w:spacing w:val="-2"/>
        </w:rPr>
        <w:t>任公司董事、监事或高级管理人员期间每年转让的股份不超过本人直接和间接持有公司股份总数的百分之二十五；不再担任</w:t>
      </w:r>
      <w:r>
        <w:rPr>
          <w:spacing w:val="-64"/>
        </w:rPr>
        <w:t> </w:t>
      </w:r>
      <w:r>
        <w:rPr>
          <w:spacing w:val="-64"/>
        </w:rPr>
      </w:r>
      <w:r>
        <w:rPr>
          <w:spacing w:val="-2"/>
        </w:rPr>
        <w:t>上述职务后半年内，不转让本人持有的公司股份。如在公司股票上市之日起六个月内申报离职的，自申报离职之日起十八个</w:t>
      </w:r>
      <w:r>
        <w:rPr>
          <w:spacing w:val="-66"/>
        </w:rPr>
        <w:t> </w:t>
      </w:r>
      <w:r>
        <w:rPr>
          <w:spacing w:val="-66"/>
        </w:rPr>
      </w:r>
      <w:r>
        <w:rPr>
          <w:spacing w:val="-2"/>
        </w:rPr>
        <w:t>月内不转让本人所持有的本公司股份，如在股票上市之日起第七个月至第十二个月之间申报离职的，自申报离职之日起十二</w:t>
      </w:r>
      <w:r>
        <w:rPr>
          <w:spacing w:val="-64"/>
        </w:rPr>
        <w:t> </w:t>
      </w:r>
      <w:r>
        <w:rPr>
          <w:spacing w:val="-64"/>
        </w:rPr>
      </w:r>
      <w:r>
        <w:rPr>
          <w:spacing w:val="-2"/>
        </w:rPr>
        <w:t>个月内不转让本人持有的公司股份；持有公司股份的董事和高级管理人员还承诺：所持股份在锁定期满后两年内减持的，其</w:t>
      </w:r>
      <w:r>
        <w:rPr>
          <w:spacing w:val="-66"/>
        </w:rPr>
        <w:t> </w:t>
      </w:r>
      <w:r>
        <w:rPr>
          <w:spacing w:val="-66"/>
        </w:rPr>
      </w:r>
      <w:r>
        <w:rPr>
          <w:spacing w:val="-5"/>
        </w:rPr>
        <w:t>减持价格不低于发行价；公司上市后</w:t>
      </w:r>
      <w:r>
        <w:rPr>
          <w:rFonts w:ascii="Times New Roman" w:hAnsi="Times New Roman" w:cs="Times New Roman" w:eastAsia="Times New Roman" w:hint="default"/>
          <w:spacing w:val="-5"/>
        </w:rPr>
        <w:t>6</w:t>
      </w:r>
      <w:r>
        <w:rPr>
          <w:spacing w:val="-5"/>
        </w:rPr>
        <w:t>个月内如公司股票连续</w:t>
      </w:r>
      <w:r>
        <w:rPr>
          <w:rFonts w:ascii="Times New Roman" w:hAnsi="Times New Roman" w:cs="Times New Roman" w:eastAsia="Times New Roman" w:hint="default"/>
          <w:spacing w:val="-5"/>
        </w:rPr>
        <w:t>20</w:t>
      </w:r>
      <w:r>
        <w:rPr>
          <w:spacing w:val="-5"/>
        </w:rPr>
        <w:t>个交易日的收盘价均低于发行价，或者上市后</w:t>
      </w:r>
      <w:r>
        <w:rPr>
          <w:rFonts w:ascii="Times New Roman" w:hAnsi="Times New Roman" w:cs="Times New Roman" w:eastAsia="Times New Roman" w:hint="default"/>
          <w:spacing w:val="-5"/>
        </w:rPr>
        <w:t>6</w:t>
      </w:r>
      <w:r>
        <w:rPr>
          <w:spacing w:val="-5"/>
        </w:rPr>
        <w:t>个月期末（</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日）收盘价低于发行价，持有公司股票的锁定期限自动延长</w:t>
      </w:r>
      <w:r>
        <w:rPr>
          <w:rFonts w:ascii="Times New Roman" w:hAnsi="Times New Roman" w:cs="Times New Roman" w:eastAsia="Times New Roman" w:hint="default"/>
        </w:rPr>
        <w:t>6</w:t>
      </w:r>
      <w:r>
        <w:rPr/>
        <w:t>个月，上述承诺不会因为本人职务的变更或离职等原</w:t>
      </w:r>
      <w:r>
        <w:rPr>
          <w:spacing w:val="-83"/>
        </w:rPr>
        <w:t> </w:t>
      </w:r>
      <w:r>
        <w:rPr>
          <w:spacing w:val="-83"/>
        </w:rPr>
      </w:r>
      <w:r>
        <w:rPr/>
        <w:t>因而改变。</w:t>
      </w:r>
    </w:p>
    <w:p>
      <w:pPr>
        <w:pStyle w:val="BodyText"/>
        <w:spacing w:line="316" w:lineRule="auto" w:before="22"/>
        <w:ind w:left="1134" w:right="1131" w:firstLine="480"/>
        <w:jc w:val="both"/>
      </w:pPr>
      <w:r>
        <w:rPr>
          <w:spacing w:val="-1"/>
        </w:rPr>
        <w:t>公司控股股东高兴控股集团有限公司、实际控制人高长虹承诺：所持公司股票在锁定期满后两年内减持不超过其直接</w:t>
      </w:r>
      <w:r>
        <w:rPr/>
        <w:t> 和间接所持股份的</w:t>
      </w:r>
      <w:r>
        <w:rPr>
          <w:rFonts w:ascii="宋体" w:hAnsi="宋体" w:cs="宋体" w:eastAsia="宋体" w:hint="default"/>
        </w:rPr>
        <w:t>20%</w:t>
      </w:r>
      <w:r>
        <w:rPr/>
        <w:t>；在锁定期满后两年内减持公司股份的，将提前三个交易日通知公司并予以公告，并承诺将按照《公</w:t>
      </w:r>
      <w:r>
        <w:rPr>
          <w:spacing w:val="-83"/>
        </w:rPr>
        <w:t> </w:t>
      </w:r>
      <w:r>
        <w:rPr>
          <w:spacing w:val="-83"/>
        </w:rPr>
      </w:r>
      <w:r>
        <w:rPr>
          <w:spacing w:val="-2"/>
        </w:rPr>
        <w:t>司法》、《证券法》、中国证监会及深圳证券交易所相关规定办理；锁定期满后两年内减持公司股票的，减持价格不低于本</w:t>
      </w:r>
      <w:r>
        <w:rPr>
          <w:spacing w:val="-70"/>
        </w:rPr>
        <w:t> </w:t>
      </w:r>
      <w:r>
        <w:rPr>
          <w:spacing w:val="-70"/>
        </w:rPr>
      </w:r>
      <w:r>
        <w:rPr/>
        <w:t>次发行价格，公司上市后发生除权除息事项的，上述发行价格做相应调整。</w:t>
      </w:r>
    </w:p>
    <w:p>
      <w:pPr>
        <w:pStyle w:val="BodyText"/>
        <w:spacing w:line="316" w:lineRule="auto" w:before="19"/>
        <w:ind w:right="1131" w:firstLine="480"/>
        <w:jc w:val="both"/>
      </w:pPr>
      <w:r>
        <w:rPr/>
        <w:t>中国双帆投资控股集团（香港）有限公司承诺：所持公司股票在锁定期满后两年内减持不超过</w:t>
      </w:r>
      <w:r>
        <w:rPr>
          <w:rFonts w:ascii="宋体" w:hAnsi="宋体" w:cs="宋体" w:eastAsia="宋体" w:hint="default"/>
        </w:rPr>
        <w:t>20%</w:t>
      </w:r>
      <w:r>
        <w:rPr/>
        <w:t>；在锁定期满后两 </w:t>
      </w:r>
      <w:r>
        <w:rPr>
          <w:spacing w:val="-2"/>
        </w:rPr>
        <w:t>年内减持公司股份的，将提前三个交易日通知公司并予以公告，并承诺将按照《公司法》、《证券法》、中国证监会及深圳</w:t>
      </w:r>
      <w:r>
        <w:rPr>
          <w:spacing w:val="-66"/>
        </w:rPr>
        <w:t> </w:t>
      </w:r>
      <w:r>
        <w:rPr>
          <w:spacing w:val="-66"/>
        </w:rPr>
      </w:r>
      <w:r>
        <w:rPr>
          <w:spacing w:val="-2"/>
        </w:rPr>
        <w:t>证券交易所相关规定办理；锁定期满后两年内减持公司股票的，减持价格不低于本次发行价格，公司上市后发生除权除息事</w:t>
      </w:r>
      <w:r>
        <w:rPr>
          <w:spacing w:val="-66"/>
        </w:rPr>
        <w:t> </w:t>
      </w:r>
      <w:r>
        <w:rPr>
          <w:spacing w:val="-66"/>
        </w:rPr>
      </w:r>
      <w:r>
        <w:rPr/>
        <w:t>项的，上述发行价格做相应调整。</w:t>
      </w:r>
    </w:p>
    <w:p>
      <w:pPr>
        <w:pStyle w:val="BodyText"/>
        <w:spacing w:line="314" w:lineRule="auto" w:before="19"/>
        <w:ind w:right="1033" w:firstLine="384"/>
        <w:jc w:val="left"/>
      </w:pPr>
      <w:r>
        <w:rPr/>
        <w:t>杭州天眼投资有限公司承诺：公司董事、监事、高级管理人员通过本公司所持公司股票在锁定期满后两年内每年减持 不超过上一年末所持股份的</w:t>
      </w:r>
      <w:r>
        <w:rPr>
          <w:rFonts w:ascii="Times New Roman" w:hAnsi="Times New Roman" w:cs="Times New Roman" w:eastAsia="Times New Roman" w:hint="default"/>
        </w:rPr>
        <w:t>25%</w:t>
      </w:r>
      <w:r>
        <w:rPr/>
        <w:t>；其余股东通过本公司所持公司股票在锁定期满后两年内减持完毕；在锁定期满后两年内减 </w:t>
      </w:r>
      <w:r>
        <w:rPr>
          <w:spacing w:val="-2"/>
        </w:rPr>
        <w:t>持公司股份的，将提前三个交易日通知公司并予以公告，并承诺将按照《公司法》、《证券法》、中国证监会及深圳证券交</w:t>
      </w:r>
      <w:r>
        <w:rPr>
          <w:spacing w:val="-67"/>
        </w:rPr>
        <w:t> </w:t>
      </w:r>
      <w:r>
        <w:rPr>
          <w:spacing w:val="-67"/>
        </w:rPr>
      </w:r>
      <w:r>
        <w:rPr/>
        <w:t>易所相关规定办理；锁定期满后两年内减持公司股票的，减持价格不低于本次发行价格，公司上市后发生除权除息事项的， 上述发行价格做相应调整。</w:t>
      </w:r>
    </w:p>
    <w:p>
      <w:pPr>
        <w:spacing w:after="0" w:line="314"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475"/>
        <w:jc w:val="center"/>
        <w:rPr>
          <w:b w:val="0"/>
          <w:bCs w:val="0"/>
        </w:rPr>
      </w:pPr>
      <w:bookmarkStart w:name="_TOC_250004" w:id="113"/>
      <w:bookmarkStart w:name="第七节 优先股相关情况" w:id="114"/>
      <w:r>
        <w:rPr>
          <w:b w:val="0"/>
          <w:bCs w:val="0"/>
        </w:rPr>
      </w:r>
      <w:r>
        <w:rPr/>
        <w:t>第七节</w:t>
      </w:r>
      <w:r>
        <w:rPr>
          <w:spacing w:val="-8"/>
        </w:rPr>
        <w:t> </w:t>
      </w:r>
      <w:r>
        <w:rPr/>
        <w:t>优先股相关情况</w:t>
      </w:r>
      <w:bookmarkEnd w:id="113"/>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3" w:id="115"/>
      <w:bookmarkStart w:name="第八节 董事、监事、高级管理人员和员工情况" w:id="116"/>
      <w:r>
        <w:rPr>
          <w:b w:val="0"/>
          <w:bCs w:val="0"/>
        </w:rPr>
      </w:r>
      <w:r>
        <w:rPr/>
        <w:t>第八节</w:t>
      </w:r>
      <w:r>
        <w:rPr>
          <w:spacing w:val="-16"/>
        </w:rPr>
        <w:t> </w:t>
      </w:r>
      <w:r>
        <w:rPr/>
        <w:t>董事、监事、高级管理人员和员工情况</w:t>
      </w:r>
      <w:bookmarkEnd w:id="1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王合军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问泽文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周黎隽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王合军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任职情况" w:id="119"/>
      <w:bookmarkEnd w:id="119"/>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240" w:lineRule="auto" w:before="125"/>
        <w:ind w:left="1143" w:right="0"/>
        <w:jc w:val="left"/>
      </w:pPr>
      <w:r>
        <w:rPr/>
        <w:t>（一）董事会成员</w:t>
      </w:r>
    </w:p>
    <w:p>
      <w:pPr>
        <w:pStyle w:val="BodyText"/>
        <w:spacing w:line="312" w:lineRule="auto" w:before="86"/>
        <w:ind w:right="1128" w:firstLine="480"/>
        <w:jc w:val="both"/>
      </w:pPr>
      <w:r>
        <w:rPr>
          <w:rFonts w:ascii="Times New Roman" w:hAnsi="Times New Roman" w:cs="Times New Roman" w:eastAsia="Times New Roman" w:hint="default"/>
        </w:rPr>
        <w:t>1</w:t>
      </w:r>
      <w:r>
        <w:rPr/>
        <w:t>、高长虹先生：董事长，</w:t>
      </w:r>
      <w:r>
        <w:rPr>
          <w:rFonts w:ascii="Times New Roman" w:hAnsi="Times New Roman" w:cs="Times New Roman" w:eastAsia="Times New Roman" w:hint="default"/>
        </w:rPr>
        <w:t>1966</w:t>
      </w:r>
      <w:r>
        <w:rPr/>
        <w:t>年生，中国国籍，工商管理硕士，高级经济师，无永久境外居留权。高长虹先生</w:t>
      </w:r>
      <w:r>
        <w:rPr>
          <w:rFonts w:ascii="Times New Roman" w:hAnsi="Times New Roman" w:cs="Times New Roman" w:eastAsia="Times New Roman" w:hint="default"/>
        </w:rPr>
        <w:t>2000 </w:t>
      </w:r>
      <w:r>
        <w:rPr/>
        <w:t>年度被评为</w:t>
      </w:r>
      <w:r>
        <w:rPr>
          <w:rFonts w:ascii="Times New Roman" w:hAnsi="Times New Roman" w:cs="Times New Roman" w:eastAsia="Times New Roman" w:hint="default"/>
        </w:rPr>
        <w:t>“</w:t>
      </w:r>
      <w:r>
        <w:rPr/>
        <w:t>杭州市劳动模范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杭州市优秀社会主义事业建设者</w:t>
      </w:r>
      <w:r>
        <w:rPr>
          <w:rFonts w:ascii="Times New Roman" w:hAnsi="Times New Roman" w:cs="Times New Roman" w:eastAsia="Times New Roman" w:hint="default"/>
        </w:rPr>
        <w:t>”,2001</w:t>
      </w:r>
      <w:r>
        <w:rPr/>
        <w:t>年度被国家农业部授予</w:t>
      </w:r>
      <w:r>
        <w:rPr>
          <w:rFonts w:ascii="Times New Roman" w:hAnsi="Times New Roman" w:cs="Times New Roman" w:eastAsia="Times New Roman" w:hint="default"/>
        </w:rPr>
        <w:t>“</w:t>
      </w:r>
      <w:r>
        <w:rPr/>
        <w:t>第四届全国乡镇企业家</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曾 </w:t>
      </w:r>
      <w:r>
        <w:rPr>
          <w:spacing w:val="-2"/>
        </w:rPr>
        <w:t>担任杭州市第八届政协委员、第九届政协委员、杭州市余杭区第十三届人大代表，现任杭州市余杭区第十四届人大代表、杭</w:t>
      </w:r>
      <w:r>
        <w:rPr>
          <w:spacing w:val="-66"/>
        </w:rPr>
        <w:t> </w:t>
      </w:r>
      <w:r>
        <w:rPr>
          <w:spacing w:val="-66"/>
        </w:rPr>
      </w:r>
      <w:r>
        <w:rPr>
          <w:spacing w:val="-2"/>
        </w:rPr>
        <w:t>州市第十二届人大代表、浙江省工商联执委、浙江省光彩事业促进会常务理事、浙江省电线电缆行业协会常务理事、中国电</w:t>
      </w:r>
      <w:r>
        <w:rPr>
          <w:spacing w:val="-66"/>
        </w:rPr>
        <w:t> </w:t>
      </w:r>
      <w:r>
        <w:rPr>
          <w:spacing w:val="-66"/>
        </w:rPr>
      </w:r>
      <w:r>
        <w:rPr>
          <w:spacing w:val="-2"/>
        </w:rPr>
        <w:t>器工业协会电线电缆分会线缆材料专委会副主任委员、杭州市总商会副会长、余杭区工商联副主席、余杭区劳动模范协会会</w:t>
      </w:r>
      <w:r>
        <w:rPr>
          <w:spacing w:val="-66"/>
        </w:rPr>
        <w:t> </w:t>
      </w:r>
      <w:r>
        <w:rPr>
          <w:spacing w:val="-66"/>
        </w:rPr>
      </w:r>
      <w:r>
        <w:rPr/>
        <w:t>长、径山镇商会会长。</w:t>
      </w:r>
    </w:p>
    <w:p>
      <w:pPr>
        <w:pStyle w:val="BodyText"/>
        <w:spacing w:line="300" w:lineRule="auto" w:before="22"/>
        <w:ind w:right="1109" w:firstLine="480"/>
        <w:jc w:val="both"/>
      </w:pPr>
      <w:r>
        <w:rPr/>
        <w:t>高长虹先生为公司的创始人，</w:t>
      </w:r>
      <w:r>
        <w:rPr>
          <w:rFonts w:ascii="Times New Roman" w:hAnsi="Times New Roman" w:cs="Times New Roman" w:eastAsia="Times New Roman" w:hint="default"/>
        </w:rPr>
        <w:t>1984</w:t>
      </w:r>
      <w:r>
        <w:rPr/>
        <w:t>年起在余杭市鸬鸟中心学校任教，</w:t>
      </w:r>
      <w:r>
        <w:rPr>
          <w:rFonts w:ascii="Times New Roman" w:hAnsi="Times New Roman" w:cs="Times New Roman" w:eastAsia="Times New Roman" w:hint="default"/>
        </w:rPr>
        <w:t>1990</w:t>
      </w:r>
      <w:r>
        <w:rPr/>
        <w:t>年从学校离职进入线缆用高分子材料行业， </w:t>
      </w:r>
      <w:r>
        <w:rPr>
          <w:spacing w:val="-2"/>
        </w:rPr>
        <w:t>先后从事了销售、管理等工作，于</w:t>
      </w:r>
      <w:r>
        <w:rPr>
          <w:rFonts w:ascii="Times New Roman" w:hAnsi="Times New Roman" w:cs="Times New Roman" w:eastAsia="Times New Roman" w:hint="default"/>
          <w:spacing w:val="-2"/>
        </w:rPr>
        <w:t>1995</w:t>
      </w:r>
      <w:r>
        <w:rPr>
          <w:spacing w:val="-2"/>
        </w:rPr>
        <w:t>年创办塑料厂并担任厂长，于</w:t>
      </w:r>
      <w:r>
        <w:rPr>
          <w:rFonts w:ascii="Times New Roman" w:hAnsi="Times New Roman" w:cs="Times New Roman" w:eastAsia="Times New Roman" w:hint="default"/>
          <w:spacing w:val="-2"/>
        </w:rPr>
        <w:t>2004</w:t>
      </w:r>
      <w:r>
        <w:rPr>
          <w:spacing w:val="-2"/>
        </w:rPr>
        <w:t>年创办本公司并在随后由本公司承接了塑料厂的资</w:t>
      </w:r>
      <w:r>
        <w:rPr>
          <w:spacing w:val="-58"/>
        </w:rPr>
        <w:t> </w:t>
      </w:r>
      <w:r>
        <w:rPr>
          <w:spacing w:val="-2"/>
        </w:rPr>
        <w:t>产和业务。在线缆用高分子材料领域之外，高长虹先生在旅游行业也进行了一定的投资。高长虹先生目前主要负责公司重大</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经营决策等工作。</w:t>
      </w:r>
    </w:p>
    <w:p>
      <w:pPr>
        <w:pStyle w:val="BodyText"/>
        <w:spacing w:line="300" w:lineRule="auto" w:before="76"/>
        <w:ind w:right="1136" w:firstLine="480"/>
        <w:jc w:val="both"/>
      </w:pPr>
      <w:r>
        <w:rPr>
          <w:rFonts w:ascii="Times New Roman" w:hAnsi="Times New Roman" w:cs="Times New Roman" w:eastAsia="Times New Roman" w:hint="default"/>
        </w:rPr>
        <w:t>2</w:t>
      </w:r>
      <w:r>
        <w:rPr/>
        <w:t>、楼永富先生：董事、总经理，</w:t>
      </w:r>
      <w:r>
        <w:rPr>
          <w:rFonts w:ascii="Times New Roman" w:hAnsi="Times New Roman" w:cs="Times New Roman" w:eastAsia="Times New Roman" w:hint="default"/>
        </w:rPr>
        <w:t>1968</w:t>
      </w:r>
      <w:r>
        <w:rPr/>
        <w:t>年出生，中国国籍，大专学历，体育专业，曾任余杭市临平镇第一中学教师， 现任公司董事、总经理。楼永富先生全面负责公司的日常生产经营管理。</w:t>
      </w:r>
    </w:p>
    <w:p>
      <w:pPr>
        <w:pStyle w:val="BodyText"/>
        <w:spacing w:line="309" w:lineRule="auto" w:before="31"/>
        <w:ind w:right="1129" w:firstLine="480"/>
        <w:jc w:val="both"/>
      </w:pPr>
      <w:r>
        <w:rPr>
          <w:rFonts w:ascii="Times New Roman" w:hAnsi="Times New Roman" w:cs="Times New Roman" w:eastAsia="Times New Roman" w:hint="default"/>
        </w:rPr>
        <w:t>3</w:t>
      </w:r>
      <w:r>
        <w:rPr/>
        <w:t>、金桂良先生：董事，</w:t>
      </w:r>
      <w:r>
        <w:rPr>
          <w:rFonts w:ascii="Times New Roman" w:hAnsi="Times New Roman" w:cs="Times New Roman" w:eastAsia="Times New Roman" w:hint="default"/>
        </w:rPr>
        <w:t>1967</w:t>
      </w:r>
      <w:r>
        <w:rPr/>
        <w:t>年出生，中国国籍，大学本科学历，会计学专业，高级会计师，曾任鸬鸟中心学校、超 </w:t>
      </w:r>
      <w:r>
        <w:rPr>
          <w:spacing w:val="-2"/>
        </w:rPr>
        <w:t>山中心学校教师、曾在妙艺圣诞礼品有限公司工作。现任高兴集团董事、财务总监、山沟沟旅游董事、天眼投资监事、本公</w:t>
      </w:r>
      <w:r>
        <w:rPr>
          <w:spacing w:val="-68"/>
        </w:rPr>
        <w:t> </w:t>
      </w:r>
      <w:r>
        <w:rPr>
          <w:spacing w:val="-68"/>
        </w:rPr>
      </w:r>
      <w:r>
        <w:rPr/>
        <w:t>司董事。金桂良先生目前实际负责高兴集团的财务工作。</w:t>
      </w:r>
    </w:p>
    <w:p>
      <w:pPr>
        <w:pStyle w:val="BodyText"/>
        <w:spacing w:line="302" w:lineRule="auto" w:before="24"/>
        <w:ind w:right="1130" w:firstLine="480"/>
        <w:jc w:val="both"/>
      </w:pPr>
      <w:r>
        <w:rPr>
          <w:rFonts w:ascii="Times New Roman" w:hAnsi="Times New Roman" w:cs="Times New Roman" w:eastAsia="Times New Roman" w:hint="default"/>
        </w:rPr>
        <w:t>4</w:t>
      </w:r>
      <w:r>
        <w:rPr/>
        <w:t>、吴畏先生：董事、总工程师，</w:t>
      </w:r>
      <w:r>
        <w:rPr>
          <w:rFonts w:ascii="Times New Roman" w:hAnsi="Times New Roman" w:cs="Times New Roman" w:eastAsia="Times New Roman" w:hint="default"/>
        </w:rPr>
        <w:t>1962</w:t>
      </w:r>
      <w:r>
        <w:rPr/>
        <w:t>年出生，中国国籍，硕士研究生学历，电工材料专业，高级工程师，曾在福建 </w:t>
      </w:r>
      <w:r>
        <w:rPr>
          <w:spacing w:val="-2"/>
        </w:rPr>
        <w:t>南平电缆厂、厦门卡安特塑化有限公司、安徽欣意电缆有限公司、广东东莞周氏电业有限公司工作，现任公司董事、总工程</w:t>
      </w:r>
      <w:r>
        <w:rPr>
          <w:spacing w:val="-66"/>
        </w:rPr>
        <w:t> </w:t>
      </w:r>
      <w:r>
        <w:rPr>
          <w:spacing w:val="-66"/>
        </w:rPr>
      </w:r>
      <w:r>
        <w:rPr/>
        <w:t>师。吴畏先生主持研发的额定电压</w:t>
      </w:r>
      <w:r>
        <w:rPr>
          <w:rFonts w:ascii="Times New Roman" w:hAnsi="Times New Roman" w:cs="Times New Roman" w:eastAsia="Times New Roman" w:hint="default"/>
        </w:rPr>
        <w:t>35kV</w:t>
      </w:r>
      <w:r>
        <w:rPr/>
        <w:t>及以下铜芯、铝芯交联聚乙烯绝缘电力电缆项目荣获安徽省乡镇企业科技进步一等</w:t>
      </w:r>
      <w:r>
        <w:rPr>
          <w:spacing w:val="-43"/>
        </w:rPr>
        <w:t> </w:t>
      </w:r>
      <w:r>
        <w:rPr>
          <w:spacing w:val="-43"/>
        </w:rPr>
      </w:r>
      <w:r>
        <w:rPr/>
        <w:t>奖；主持研发的阻燃低卤</w:t>
      </w:r>
      <w:r>
        <w:rPr>
          <w:rFonts w:ascii="Times New Roman" w:hAnsi="Times New Roman" w:cs="Times New Roman" w:eastAsia="Times New Roman" w:hint="default"/>
        </w:rPr>
        <w:t>PVC</w:t>
      </w:r>
      <w:r>
        <w:rPr/>
        <w:t>护套电力电缆项目荣获南平地区科技进步三等奖；由吴畏先生担任总负责人的</w:t>
      </w:r>
      <w:r>
        <w:rPr>
          <w:rFonts w:ascii="Times New Roman" w:hAnsi="Times New Roman" w:cs="Times New Roman" w:eastAsia="Times New Roman" w:hint="default"/>
        </w:rPr>
        <w:t>“</w:t>
      </w:r>
      <w:r>
        <w:rPr/>
        <w:t>重型特种移动</w:t>
      </w:r>
      <w:r>
        <w:rPr>
          <w:spacing w:val="-65"/>
        </w:rPr>
        <w:t> </w:t>
      </w:r>
      <w:r>
        <w:rPr>
          <w:spacing w:val="-65"/>
        </w:rPr>
      </w:r>
      <w:r>
        <w:rPr/>
        <w:t>设备专用乙丙橡胶电缆料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特种移动设备橡套软电缆用</w:t>
      </w:r>
      <w:r>
        <w:rPr>
          <w:rFonts w:ascii="Times New Roman" w:hAnsi="Times New Roman" w:cs="Times New Roman" w:eastAsia="Times New Roman" w:hint="default"/>
        </w:rPr>
        <w:t>CPE</w:t>
      </w:r>
      <w:r>
        <w:rPr/>
        <w:t>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w:t>
      </w:r>
      <w:r>
        <w:rPr>
          <w:spacing w:val="-87"/>
        </w:rPr>
        <w:t> </w:t>
      </w:r>
      <w:r>
        <w:rPr>
          <w:spacing w:val="-87"/>
        </w:rPr>
      </w:r>
      <w:r>
        <w:rPr/>
        <w:t>中密度聚乙烯护套料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通过了省级科技成果鉴定。吴畏先生目前主要负责公司产品配方技 术、生产工艺以及新产品研发工作。</w:t>
      </w:r>
    </w:p>
    <w:p>
      <w:pPr>
        <w:pStyle w:val="BodyText"/>
        <w:spacing w:line="300" w:lineRule="auto" w:before="29"/>
        <w:ind w:left="1134" w:right="1050" w:firstLine="480"/>
        <w:jc w:val="both"/>
      </w:pPr>
      <w:r>
        <w:rPr>
          <w:rFonts w:ascii="Times New Roman" w:hAnsi="Times New Roman" w:cs="Times New Roman" w:eastAsia="Times New Roman" w:hint="default"/>
        </w:rPr>
        <w:t>5</w:t>
      </w:r>
      <w:r>
        <w:rPr/>
        <w:t>、凌勇先生：董事、副总经理，</w:t>
      </w:r>
      <w:r>
        <w:rPr>
          <w:rFonts w:ascii="Times New Roman" w:hAnsi="Times New Roman" w:cs="Times New Roman" w:eastAsia="Times New Roman" w:hint="default"/>
        </w:rPr>
        <w:t>1968</w:t>
      </w:r>
      <w:r>
        <w:rPr/>
        <w:t>年出生，中国国籍，大专学历，公共管理专业，曾在余杭县二轻塑料厂、余杭 市鸬鸟全新塑料厂工作，现任公司董事、副总经理，目前主要负责公司管理体系的运营，基建工程，人事及后勤管理工作。</w:t>
      </w:r>
    </w:p>
    <w:p>
      <w:pPr>
        <w:pStyle w:val="BodyText"/>
        <w:spacing w:line="300" w:lineRule="auto" w:before="31"/>
        <w:ind w:right="1130" w:firstLine="480"/>
        <w:jc w:val="both"/>
      </w:pPr>
      <w:r>
        <w:rPr>
          <w:rFonts w:ascii="Times New Roman" w:hAnsi="Times New Roman" w:cs="Times New Roman" w:eastAsia="Times New Roman" w:hint="default"/>
        </w:rPr>
        <w:t>6</w:t>
      </w:r>
      <w:r>
        <w:rPr/>
        <w:t>、邵少敏先生：独立董事，</w:t>
      </w:r>
      <w:r>
        <w:rPr>
          <w:rFonts w:ascii="Times New Roman" w:hAnsi="Times New Roman" w:cs="Times New Roman" w:eastAsia="Times New Roman" w:hint="default"/>
        </w:rPr>
        <w:t>1964</w:t>
      </w:r>
      <w:r>
        <w:rPr>
          <w:rFonts w:ascii="Times New Roman" w:hAnsi="Times New Roman" w:cs="Times New Roman" w:eastAsia="Times New Roman" w:hint="default"/>
          <w:spacing w:val="22"/>
        </w:rPr>
        <w:t> </w:t>
      </w:r>
      <w:r>
        <w:rPr/>
        <w:t>年出生，中国国籍，无境外永久居留权，浙江大学经济学博士，高级会计师、注册 会计师，浙江财经大学</w:t>
      </w:r>
      <w:r>
        <w:rPr>
          <w:rFonts w:ascii="Times New Roman" w:hAnsi="Times New Roman" w:cs="Times New Roman" w:eastAsia="Times New Roman" w:hint="default"/>
        </w:rPr>
        <w:t>MBA</w:t>
      </w:r>
      <w:r>
        <w:rPr/>
        <w:t>导师，杭州市仲裁委仲裁员。历任浙江省德清县副县长，浙江省体改委证券处副处长，浙商证</w:t>
      </w:r>
      <w:r>
        <w:rPr>
          <w:spacing w:val="-48"/>
        </w:rPr>
        <w:t> </w:t>
      </w:r>
      <w:r>
        <w:rPr>
          <w:spacing w:val="-48"/>
        </w:rPr>
      </w:r>
      <w:r>
        <w:rPr>
          <w:spacing w:val="-2"/>
        </w:rPr>
        <w:t>券（原金信证券）党委书记、总裁，浙江省证券委办公室副处长，浙江省证管办发行上市部副主任，中国证监会浙江监管局</w:t>
      </w:r>
    </w:p>
    <w:p>
      <w:pPr>
        <w:pStyle w:val="BodyText"/>
        <w:spacing w:line="316" w:lineRule="auto" w:before="31"/>
        <w:ind w:left="1134" w:right="1032"/>
        <w:jc w:val="left"/>
      </w:pPr>
      <w:r>
        <w:rPr/>
        <w:t>（原杭州特派办）上市公司监管处处长、稽查处处长，浙江上三高速公路有限公司副总经理，杭州平海投资有限公司总裁。 现任广宇集团股份有限公司董事、副总裁等职。</w:t>
      </w:r>
    </w:p>
    <w:p>
      <w:pPr>
        <w:pStyle w:val="BodyText"/>
        <w:spacing w:line="307" w:lineRule="auto" w:before="19"/>
        <w:ind w:right="1129" w:firstLine="480"/>
        <w:jc w:val="both"/>
      </w:pPr>
      <w:r>
        <w:rPr>
          <w:rFonts w:ascii="Times New Roman" w:hAnsi="Times New Roman" w:cs="Times New Roman" w:eastAsia="Times New Roman" w:hint="default"/>
        </w:rPr>
        <w:t>7</w:t>
      </w:r>
      <w:r>
        <w:rPr/>
        <w:t>、傅黎瑛女士：独立董事，</w:t>
      </w:r>
      <w:r>
        <w:rPr>
          <w:rFonts w:ascii="Times New Roman" w:hAnsi="Times New Roman" w:cs="Times New Roman" w:eastAsia="Times New Roman" w:hint="default"/>
        </w:rPr>
        <w:t>1969</w:t>
      </w:r>
      <w:r>
        <w:rPr/>
        <w:t>年出生，中国国籍，中国人民大学管理学博士，美国纽约州立大学（布法罗）访问 学者。现为浙江财经大学会计学院教授、硕士生导师，国际教育交流中心主任，浙江省新世纪</w:t>
      </w:r>
      <w:r>
        <w:rPr>
          <w:rFonts w:ascii="Times New Roman" w:hAnsi="Times New Roman" w:cs="Times New Roman" w:eastAsia="Times New Roman" w:hint="default"/>
        </w:rPr>
        <w:t>151</w:t>
      </w:r>
      <w:r>
        <w:rPr/>
        <w:t>第三层次培养对象，国际</w:t>
      </w:r>
      <w:r>
        <w:rPr>
          <w:spacing w:val="-82"/>
        </w:rPr>
        <w:t> </w:t>
      </w:r>
      <w:r>
        <w:rPr>
          <w:spacing w:val="-82"/>
        </w:rPr>
      </w:r>
      <w:r>
        <w:rPr>
          <w:spacing w:val="-2"/>
        </w:rPr>
        <w:t>注册内部审计师协会（北美区）会员，浙江阳光照明股份有限公司、宁波震裕科技股份有限公司、浙江合盛硅业股份有限公</w:t>
      </w:r>
      <w:r>
        <w:rPr>
          <w:spacing w:val="-66"/>
        </w:rPr>
        <w:t> </w:t>
      </w:r>
      <w:r>
        <w:rPr>
          <w:spacing w:val="-66"/>
        </w:rPr>
      </w:r>
      <w:r>
        <w:rPr/>
        <w:t>司独立董事。</w:t>
      </w:r>
    </w:p>
    <w:p>
      <w:pPr>
        <w:pStyle w:val="BodyText"/>
        <w:spacing w:line="302" w:lineRule="auto" w:before="26"/>
        <w:ind w:right="0" w:firstLine="480"/>
        <w:jc w:val="left"/>
      </w:pPr>
      <w:r>
        <w:rPr>
          <w:rFonts w:ascii="Times New Roman" w:hAnsi="Times New Roman" w:cs="Times New Roman" w:eastAsia="Times New Roman" w:hint="default"/>
          <w:spacing w:val="-1"/>
        </w:rPr>
        <w:t>8</w:t>
      </w:r>
      <w:r>
        <w:rPr>
          <w:spacing w:val="-1"/>
        </w:rPr>
        <w:t>、李勇进先生：独立董事，</w:t>
      </w:r>
      <w:r>
        <w:rPr>
          <w:rFonts w:ascii="Times New Roman" w:hAnsi="Times New Roman" w:cs="Times New Roman" w:eastAsia="Times New Roman" w:hint="default"/>
          <w:spacing w:val="-1"/>
        </w:rPr>
        <w:t>1973</w:t>
      </w:r>
      <w:r>
        <w:rPr>
          <w:spacing w:val="-1"/>
        </w:rPr>
        <w:t>年出生，中国国籍，工学博士、教授、博导。现为杭州师范大学教授、博士生导师，</w:t>
      </w:r>
      <w:r>
        <w:rPr/>
        <w:t> 浙江省钱江高级人才特聘教授</w:t>
      </w:r>
      <w:r>
        <w:rPr>
          <w:rFonts w:ascii="Times New Roman" w:hAnsi="Times New Roman" w:cs="Times New Roman" w:eastAsia="Times New Roman" w:hint="default"/>
        </w:rPr>
        <w:t>, </w:t>
      </w:r>
      <w:r>
        <w:rPr/>
        <w:t>浙江省塑料工程协会副理事长，浙江省化工协会理事，浙江省</w:t>
      </w:r>
      <w:r>
        <w:rPr>
          <w:spacing w:val="-34"/>
        </w:rPr>
        <w:t> </w:t>
      </w:r>
      <w:r>
        <w:rPr>
          <w:rFonts w:ascii="Times New Roman" w:hAnsi="Times New Roman" w:cs="Times New Roman" w:eastAsia="Times New Roman" w:hint="default"/>
        </w:rPr>
        <w:t>“</w:t>
      </w:r>
      <w:r>
        <w:rPr/>
        <w:t>千人计划</w:t>
      </w:r>
      <w:r>
        <w:rPr>
          <w:rFonts w:ascii="Times New Roman" w:hAnsi="Times New Roman" w:cs="Times New Roman" w:eastAsia="Times New Roman" w:hint="default"/>
        </w:rPr>
        <w:t>”</w:t>
      </w:r>
      <w:r>
        <w:rPr/>
        <w:t>人选，</w:t>
      </w:r>
      <w:r>
        <w:rPr>
          <w:rFonts w:ascii="Times New Roman" w:hAnsi="Times New Roman" w:cs="Times New Roman" w:eastAsia="Times New Roman" w:hint="default"/>
        </w:rPr>
        <w:t>2013</w:t>
      </w:r>
      <w:r>
        <w:rPr/>
        <w:t>年入选 </w:t>
      </w:r>
      <w:r>
        <w:rPr>
          <w:spacing w:val="-4"/>
        </w:rPr>
        <w:t>教育部新世纪优秀人才支持计划，主要研究方向为高分子成型加工新方法，绿色高分子基纳米复合材料，高分子凝聚态物理，</w:t>
      </w:r>
      <w:r>
        <w:rPr>
          <w:spacing w:val="-44"/>
        </w:rPr>
        <w:t> </w:t>
      </w:r>
      <w:r>
        <w:rPr>
          <w:spacing w:val="-44"/>
        </w:rPr>
      </w:r>
      <w:r>
        <w:rPr>
          <w:spacing w:val="-2"/>
        </w:rPr>
        <w:t>高分子能源材料等。</w:t>
      </w:r>
      <w:r>
        <w:rPr>
          <w:rFonts w:ascii="Times New Roman" w:hAnsi="Times New Roman" w:cs="Times New Roman" w:eastAsia="Times New Roman" w:hint="default"/>
          <w:spacing w:val="-2"/>
        </w:rPr>
        <w:t>1996</w:t>
      </w:r>
      <w:r>
        <w:rPr>
          <w:spacing w:val="-2"/>
        </w:rPr>
        <w:t>年毕业于同济大学材料科学与工程学院，获工学学士学位；</w:t>
      </w:r>
      <w:r>
        <w:rPr>
          <w:rFonts w:ascii="Times New Roman" w:hAnsi="Times New Roman" w:cs="Times New Roman" w:eastAsia="Times New Roman" w:hint="default"/>
          <w:spacing w:val="-2"/>
        </w:rPr>
        <w:t>1996</w:t>
      </w:r>
      <w:r>
        <w:rPr>
          <w:spacing w:val="-2"/>
        </w:rPr>
        <w:t>年起师从中国科学院院士颜德岳教</w:t>
      </w:r>
      <w:r>
        <w:rPr>
          <w:spacing w:val="-58"/>
        </w:rPr>
        <w:t> </w:t>
      </w:r>
      <w:r>
        <w:rPr/>
        <w:t>授，</w:t>
      </w:r>
      <w:r>
        <w:rPr>
          <w:rFonts w:ascii="Times New Roman" w:hAnsi="Times New Roman" w:cs="Times New Roman" w:eastAsia="Times New Roman" w:hint="default"/>
        </w:rPr>
        <w:t>2002</w:t>
      </w:r>
      <w:r>
        <w:rPr/>
        <w:t>年获上海交通大学工学博士学位；同年</w:t>
      </w:r>
      <w:r>
        <w:rPr>
          <w:rFonts w:ascii="Times New Roman" w:hAnsi="Times New Roman" w:cs="Times New Roman" w:eastAsia="Times New Roman" w:hint="default"/>
        </w:rPr>
        <w:t>3</w:t>
      </w:r>
      <w:r>
        <w:rPr/>
        <w:t>月受日本学术振兴会</w:t>
      </w:r>
      <w:r>
        <w:rPr>
          <w:rFonts w:ascii="Times New Roman" w:hAnsi="Times New Roman" w:cs="Times New Roman" w:eastAsia="Times New Roman" w:hint="default"/>
        </w:rPr>
        <w:t>(JSPS)</w:t>
      </w:r>
      <w:r>
        <w:rPr/>
        <w:t>资助在日本国立产业技术综合研究所高分子研</w:t>
      </w:r>
      <w:r>
        <w:rPr>
          <w:spacing w:val="-42"/>
        </w:rPr>
        <w:t> </w:t>
      </w:r>
      <w:r>
        <w:rPr>
          <w:spacing w:val="-42"/>
        </w:rPr>
      </w:r>
      <w:r>
        <w:rPr/>
        <w:t>究中心从事博士后研究工作。</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w:t>
      </w:r>
      <w:r>
        <w:rPr/>
        <w:t>月起受聘该研究所正式研究员，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月成为该所终身研究员，</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月受聘杭州</w:t>
      </w:r>
      <w:r>
        <w:rPr>
          <w:spacing w:val="-83"/>
        </w:rPr>
        <w:t> </w:t>
      </w:r>
      <w:r>
        <w:rPr>
          <w:spacing w:val="-83"/>
        </w:rPr>
      </w:r>
      <w:r>
        <w:rPr/>
        <w:t>师范大学材料与化学化工学院教授。</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月获得第</w:t>
      </w:r>
      <w:r>
        <w:rPr>
          <w:rFonts w:ascii="Times New Roman" w:hAnsi="Times New Roman" w:cs="Times New Roman" w:eastAsia="Times New Roman" w:hint="default"/>
        </w:rPr>
        <w:t>18</w:t>
      </w:r>
      <w:r>
        <w:rPr/>
        <w:t>届日本筑波化学生物奖，</w:t>
      </w:r>
      <w:r>
        <w:rPr>
          <w:rFonts w:ascii="Times New Roman" w:hAnsi="Times New Roman" w:cs="Times New Roman" w:eastAsia="Times New Roman" w:hint="default"/>
        </w:rPr>
        <w:t>2013</w:t>
      </w:r>
      <w:r>
        <w:rPr/>
        <w:t>年获得杭州市青年科技奖，</w:t>
      </w:r>
      <w:r>
        <w:rPr>
          <w:rFonts w:ascii="Times New Roman" w:hAnsi="Times New Roman" w:cs="Times New Roman" w:eastAsia="Times New Roman" w:hint="default"/>
        </w:rPr>
        <w:t>2014</w:t>
      </w:r>
      <w:r>
        <w:rPr/>
        <w:t>年获</w:t>
      </w:r>
      <w:r>
        <w:rPr>
          <w:spacing w:val="-83"/>
        </w:rPr>
        <w:t> </w:t>
      </w:r>
      <w:r>
        <w:rPr/>
        <w:t>得杭州市市政府特种补贴。</w:t>
      </w:r>
    </w:p>
    <w:p>
      <w:pPr>
        <w:pStyle w:val="BodyText"/>
        <w:spacing w:line="240" w:lineRule="auto" w:before="29"/>
        <w:ind w:right="0"/>
        <w:jc w:val="left"/>
      </w:pPr>
      <w:r>
        <w:rPr/>
        <w:t>（二）监事会成员</w:t>
      </w:r>
    </w:p>
    <w:p>
      <w:pPr>
        <w:pStyle w:val="BodyText"/>
        <w:spacing w:line="309" w:lineRule="auto" w:before="76"/>
        <w:ind w:right="1131" w:firstLine="480"/>
        <w:jc w:val="both"/>
      </w:pPr>
      <w:r>
        <w:rPr>
          <w:rFonts w:ascii="Times New Roman" w:hAnsi="Times New Roman" w:cs="Times New Roman" w:eastAsia="Times New Roman" w:hint="default"/>
        </w:rPr>
        <w:t>1</w:t>
      </w:r>
      <w:r>
        <w:rPr/>
        <w:t>、问泽文先生：监事会主席，</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11</w:t>
      </w:r>
      <w:r>
        <w:rPr/>
        <w:t>月出生，中国国籍，大专学历，人力资源管理专业，曾在杭州磁带厂、杭州 </w:t>
      </w:r>
      <w:r>
        <w:rPr>
          <w:spacing w:val="-2"/>
        </w:rPr>
        <w:t>江干区景芳派出所、杭州江干区凯旋派出所工作，现任公司监事会主席、办公室主任。问泽文先生目前主要具体负责公司行</w:t>
      </w:r>
      <w:r>
        <w:rPr>
          <w:spacing w:val="-66"/>
        </w:rPr>
        <w:t> </w:t>
      </w:r>
      <w:r>
        <w:rPr>
          <w:spacing w:val="-66"/>
        </w:rPr>
      </w:r>
      <w:r>
        <w:rPr/>
        <w:t>政、后勤事务。</w:t>
      </w:r>
    </w:p>
    <w:p>
      <w:pPr>
        <w:pStyle w:val="BodyText"/>
        <w:spacing w:line="300" w:lineRule="auto" w:before="24"/>
        <w:ind w:right="1129" w:firstLine="480"/>
        <w:jc w:val="both"/>
      </w:pPr>
      <w:r>
        <w:rPr>
          <w:rFonts w:ascii="Times New Roman" w:hAnsi="Times New Roman" w:cs="Times New Roman" w:eastAsia="Times New Roman" w:hint="default"/>
          <w:spacing w:val="-1"/>
        </w:rPr>
        <w:t>2</w:t>
      </w:r>
      <w:r>
        <w:rPr>
          <w:spacing w:val="-1"/>
        </w:rPr>
        <w:t>、周建深先生：监事，</w:t>
      </w:r>
      <w:r>
        <w:rPr>
          <w:rFonts w:ascii="Times New Roman" w:hAnsi="Times New Roman" w:cs="Times New Roman" w:eastAsia="Times New Roman" w:hint="default"/>
          <w:spacing w:val="-1"/>
        </w:rPr>
        <w:t>1976</w:t>
      </w:r>
      <w:r>
        <w:rPr>
          <w:spacing w:val="-1"/>
        </w:rPr>
        <w:t>年</w:t>
      </w:r>
      <w:r>
        <w:rPr>
          <w:rFonts w:ascii="Times New Roman" w:hAnsi="Times New Roman" w:cs="Times New Roman" w:eastAsia="Times New Roman" w:hint="default"/>
          <w:spacing w:val="-1"/>
        </w:rPr>
        <w:t>8</w:t>
      </w:r>
      <w:r>
        <w:rPr>
          <w:spacing w:val="-1"/>
        </w:rPr>
        <w:t>月出生，中国国籍，大学本科学历，化学专业，曾任杭州通达高分子材料有限公司值</w:t>
      </w:r>
      <w:r>
        <w:rPr/>
        <w:t> 班长、技术开发处处长、硅烷交联分厂生产厂长、</w:t>
      </w:r>
      <w:r>
        <w:rPr>
          <w:rFonts w:ascii="Times New Roman" w:hAnsi="Times New Roman" w:cs="Times New Roman" w:eastAsia="Times New Roman" w:hint="default"/>
        </w:rPr>
        <w:t>PE</w:t>
      </w:r>
      <w:r>
        <w:rPr/>
        <w:t>技术厂长、技术中心主任助理职务，现任公司监事、公司技术开发中</w:t>
      </w:r>
      <w:r>
        <w:rPr>
          <w:spacing w:val="-32"/>
        </w:rPr>
        <w:t> </w:t>
      </w:r>
      <w:r>
        <w:rPr>
          <w:spacing w:val="-32"/>
        </w:rPr>
      </w:r>
      <w:r>
        <w:rPr>
          <w:spacing w:val="-2"/>
        </w:rPr>
        <w:t>心主任。以周建深先生为核心研发人员的</w:t>
      </w:r>
      <w:r>
        <w:rPr>
          <w:rFonts w:ascii="Times New Roman" w:hAnsi="Times New Roman" w:cs="Times New Roman" w:eastAsia="Times New Roman" w:hint="default"/>
          <w:spacing w:val="-2"/>
        </w:rPr>
        <w:t>“</w:t>
      </w:r>
      <w:r>
        <w:rPr>
          <w:spacing w:val="-2"/>
        </w:rPr>
        <w:t>一步法硅烷交联聚乙烯绝缘料</w:t>
      </w:r>
      <w:r>
        <w:rPr>
          <w:rFonts w:ascii="Times New Roman" w:hAnsi="Times New Roman" w:cs="Times New Roman" w:eastAsia="Times New Roman" w:hint="default"/>
          <w:spacing w:val="-2"/>
        </w:rPr>
        <w:t>”</w:t>
      </w:r>
      <w:r>
        <w:rPr>
          <w:spacing w:val="-2"/>
        </w:rPr>
        <w:t>研发项目</w:t>
      </w:r>
      <w:r>
        <w:rPr>
          <w:rFonts w:ascii="Times New Roman" w:hAnsi="Times New Roman" w:cs="Times New Roman" w:eastAsia="Times New Roman" w:hint="default"/>
          <w:spacing w:val="-2"/>
        </w:rPr>
        <w:t>2011</w:t>
      </w:r>
      <w:r>
        <w:rPr>
          <w:spacing w:val="-2"/>
        </w:rPr>
        <w:t>年度获得余杭区科技计划项目补助资</w:t>
      </w:r>
      <w:r>
        <w:rPr>
          <w:spacing w:val="-40"/>
        </w:rPr>
        <w:t> </w:t>
      </w:r>
      <w:r>
        <w:rPr>
          <w:spacing w:val="-2"/>
        </w:rPr>
        <w:t>金，由周建深先生担任产品设计的</w:t>
      </w:r>
      <w:r>
        <w:rPr>
          <w:rFonts w:ascii="Times New Roman" w:hAnsi="Times New Roman" w:cs="Times New Roman" w:eastAsia="Times New Roman" w:hint="default"/>
          <w:spacing w:val="-2"/>
        </w:rPr>
        <w:t>“</w:t>
      </w:r>
      <w:r>
        <w:rPr>
          <w:spacing w:val="-2"/>
        </w:rPr>
        <w:t>重型特种移动设备专用乙丙橡胶电缆料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特种移动设备橡套软电缆用</w:t>
      </w:r>
      <w:r>
        <w:rPr>
          <w:rFonts w:ascii="Times New Roman" w:hAnsi="Times New Roman" w:cs="Times New Roman" w:eastAsia="Times New Roman" w:hint="default"/>
          <w:spacing w:val="-2"/>
        </w:rPr>
        <w:t>CPE</w:t>
      </w:r>
      <w:r>
        <w:rPr>
          <w:spacing w:val="-2"/>
        </w:rPr>
        <w:t>护套料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w:t>
      </w:r>
      <w:r>
        <w:rPr>
          <w:spacing w:val="-68"/>
        </w:rPr>
        <w:t> </w:t>
      </w:r>
      <w:r>
        <w:rPr/>
        <w:t>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抗开裂黑色中密度聚乙烯护套料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耐热</w:t>
      </w:r>
      <w:r>
        <w:rPr>
          <w:rFonts w:ascii="Times New Roman" w:hAnsi="Times New Roman" w:cs="Times New Roman" w:eastAsia="Times New Roman" w:hint="default"/>
        </w:rPr>
        <w:t>150</w:t>
      </w:r>
      <w:r>
        <w:rPr/>
        <w:t>℃环境</w:t>
      </w:r>
      <w:r>
        <w:rPr>
          <w:spacing w:val="-35"/>
        </w:rPr>
        <w:t> </w:t>
      </w:r>
      <w:r>
        <w:rPr>
          <w:spacing w:val="-35"/>
        </w:rPr>
      </w:r>
      <w:r>
        <w:rPr>
          <w:spacing w:val="-2"/>
        </w:rPr>
        <w:t>友好型辐照交联聚烯烃绝缘料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耐热</w:t>
      </w:r>
      <w:r>
        <w:rPr>
          <w:rFonts w:ascii="Times New Roman" w:hAnsi="Times New Roman" w:cs="Times New Roman" w:eastAsia="Times New Roman" w:hint="default"/>
          <w:spacing w:val="-2"/>
        </w:rPr>
        <w:t>125</w:t>
      </w:r>
      <w:r>
        <w:rPr>
          <w:spacing w:val="-2"/>
        </w:rPr>
        <w:t>℃环境友好型辐照交联聚烯烃护套料</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“10kV</w:t>
      </w:r>
      <w:r>
        <w:rPr>
          <w:spacing w:val="-2"/>
        </w:rPr>
        <w:t>快速硅烷交联聚乙烯绝缘料</w:t>
      </w:r>
      <w:r>
        <w:rPr>
          <w:rFonts w:ascii="Times New Roman" w:hAnsi="Times New Roman" w:cs="Times New Roman" w:eastAsia="Times New Roman" w:hint="default"/>
          <w:spacing w:val="-2"/>
        </w:rPr>
        <w:t>”</w:t>
      </w:r>
      <w:r>
        <w:rPr>
          <w:spacing w:val="-2"/>
        </w:rPr>
        <w:t>通过省</w:t>
      </w:r>
      <w:r>
        <w:rPr>
          <w:spacing w:val="-46"/>
        </w:rPr>
        <w:t> </w:t>
      </w:r>
      <w:r>
        <w:rPr/>
        <w:t>级科技成果鉴定。周建深先生目前主要负责具体的产品技术研究开发工作。</w:t>
      </w:r>
    </w:p>
    <w:p>
      <w:pPr>
        <w:pStyle w:val="BodyText"/>
        <w:spacing w:line="240" w:lineRule="auto" w:before="31"/>
        <w:ind w:left="1613" w:right="0"/>
        <w:jc w:val="left"/>
      </w:pPr>
      <w:r>
        <w:rPr>
          <w:rFonts w:ascii="Times New Roman" w:hAnsi="Times New Roman" w:cs="Times New Roman" w:eastAsia="Times New Roman" w:hint="default"/>
        </w:rPr>
        <w:t>3</w:t>
      </w:r>
      <w:r>
        <w:rPr/>
        <w:t>、林峰先生：监事，</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5</w:t>
      </w:r>
      <w:r>
        <w:rPr/>
        <w:t>月出生，中国国籍，大学本科学历，先后在建设银行、光大银行、民生银行、中信银行</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0"/>
        <w:jc w:val="left"/>
      </w:pPr>
      <w:r>
        <w:rPr>
          <w:spacing w:val="-2"/>
        </w:rPr>
        <w:t>工作，现任浙江金桥控股集团有限公司董事兼总经理、浙江金桥担保有限公司董事兼总经理、浙江金桥创业投资有限公司监</w:t>
      </w:r>
      <w:r>
        <w:rPr>
          <w:spacing w:val="-66"/>
        </w:rPr>
        <w:t> </w:t>
      </w:r>
      <w:r>
        <w:rPr>
          <w:spacing w:val="-66"/>
        </w:rPr>
      </w:r>
      <w:r>
        <w:rPr/>
        <w:t>事、公司监事。</w:t>
      </w:r>
    </w:p>
    <w:p>
      <w:pPr>
        <w:pStyle w:val="BodyText"/>
        <w:spacing w:line="240" w:lineRule="auto" w:before="19"/>
        <w:ind w:right="0"/>
        <w:jc w:val="left"/>
      </w:pPr>
      <w:r>
        <w:rPr/>
        <w:t>（三）高级管理人员</w:t>
      </w:r>
    </w:p>
    <w:p>
      <w:pPr>
        <w:pStyle w:val="BodyText"/>
        <w:spacing w:line="240" w:lineRule="auto" w:before="76"/>
        <w:ind w:left="1613" w:right="0"/>
        <w:jc w:val="left"/>
      </w:pPr>
      <w:r>
        <w:rPr>
          <w:rFonts w:ascii="Times New Roman" w:hAnsi="Times New Roman" w:cs="Times New Roman" w:eastAsia="Times New Roman" w:hint="default"/>
        </w:rPr>
        <w:t>1</w:t>
      </w:r>
      <w:r>
        <w:rPr/>
        <w:t>、楼永富先生：董事、总经理，其简历见本节（一）董事会成员相关内容。</w:t>
      </w:r>
    </w:p>
    <w:p>
      <w:pPr>
        <w:pStyle w:val="BodyText"/>
        <w:spacing w:line="240" w:lineRule="auto" w:before="63"/>
        <w:ind w:left="1613" w:right="0"/>
        <w:jc w:val="left"/>
      </w:pPr>
      <w:r>
        <w:rPr>
          <w:rFonts w:ascii="Times New Roman" w:hAnsi="Times New Roman" w:cs="Times New Roman" w:eastAsia="Times New Roman" w:hint="default"/>
        </w:rPr>
        <w:t>2</w:t>
      </w:r>
      <w:r>
        <w:rPr/>
        <w:t>、吴畏先生：董事、总工程师，其简历见本节（一）董事会成员相关内容。</w:t>
      </w:r>
    </w:p>
    <w:p>
      <w:pPr>
        <w:pStyle w:val="BodyText"/>
        <w:spacing w:line="240" w:lineRule="auto" w:before="63"/>
        <w:ind w:left="1613" w:right="0"/>
        <w:jc w:val="left"/>
      </w:pPr>
      <w:r>
        <w:rPr>
          <w:rFonts w:ascii="Times New Roman" w:hAnsi="Times New Roman" w:cs="Times New Roman" w:eastAsia="Times New Roman" w:hint="default"/>
        </w:rPr>
        <w:t>3</w:t>
      </w:r>
      <w:r>
        <w:rPr/>
        <w:t>、凌勇先生：董事、副总经理，其简历见本节（一）董事会成员相关内容。</w:t>
      </w:r>
    </w:p>
    <w:p>
      <w:pPr>
        <w:pStyle w:val="BodyText"/>
        <w:spacing w:line="300" w:lineRule="auto" w:before="63"/>
        <w:ind w:right="1130" w:firstLine="480"/>
        <w:jc w:val="both"/>
      </w:pPr>
      <w:r>
        <w:rPr>
          <w:rFonts w:ascii="Times New Roman" w:hAnsi="Times New Roman" w:cs="Times New Roman" w:eastAsia="Times New Roman" w:hint="default"/>
          <w:spacing w:val="-1"/>
        </w:rPr>
        <w:t>4</w:t>
      </w:r>
      <w:r>
        <w:rPr>
          <w:spacing w:val="-1"/>
        </w:rPr>
        <w:t>、沈治华先生：副总经理，</w:t>
      </w:r>
      <w:r>
        <w:rPr>
          <w:rFonts w:ascii="Times New Roman" w:hAnsi="Times New Roman" w:cs="Times New Roman" w:eastAsia="Times New Roman" w:hint="default"/>
          <w:spacing w:val="-1"/>
        </w:rPr>
        <w:t>1970</w:t>
      </w:r>
      <w:r>
        <w:rPr>
          <w:spacing w:val="-1"/>
        </w:rPr>
        <w:t>年</w:t>
      </w:r>
      <w:r>
        <w:rPr>
          <w:rFonts w:ascii="Times New Roman" w:hAnsi="Times New Roman" w:cs="Times New Roman" w:eastAsia="Times New Roman" w:hint="default"/>
          <w:spacing w:val="-1"/>
        </w:rPr>
        <w:t>8</w:t>
      </w:r>
      <w:r>
        <w:rPr>
          <w:spacing w:val="-1"/>
        </w:rPr>
        <w:t>月出生，中国国籍，大专学历，公共管理专业，现任公司副总经理。沈治华先生</w:t>
      </w:r>
      <w:r>
        <w:rPr/>
        <w:t> 参与了公司多个产品的技术配方设计及企业产品执行标准的起草，</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月被中共杭州市余杭区委、杭州市余杭区人民政</w:t>
      </w:r>
      <w:r>
        <w:rPr>
          <w:spacing w:val="-82"/>
        </w:rPr>
        <w:t> </w:t>
      </w:r>
      <w:r>
        <w:rPr>
          <w:spacing w:val="-82"/>
        </w:rPr>
      </w:r>
      <w:r>
        <w:rPr>
          <w:spacing w:val="2"/>
        </w:rPr>
        <w:t>府授予</w:t>
      </w:r>
      <w:r>
        <w:rPr>
          <w:rFonts w:ascii="Times New Roman" w:hAnsi="Times New Roman" w:cs="Times New Roman" w:eastAsia="Times New Roman" w:hint="default"/>
          <w:spacing w:val="2"/>
        </w:rPr>
        <w:t>“</w:t>
      </w:r>
      <w:r>
        <w:rPr>
          <w:spacing w:val="2"/>
        </w:rPr>
        <w:t>余杭区科技工作先进工作个人</w:t>
      </w:r>
      <w:r>
        <w:rPr>
          <w:rFonts w:ascii="Times New Roman" w:hAnsi="Times New Roman" w:cs="Times New Roman" w:eastAsia="Times New Roman" w:hint="default"/>
          <w:spacing w:val="2"/>
        </w:rPr>
        <w:t>”</w:t>
      </w:r>
      <w:r>
        <w:rPr>
          <w:spacing w:val="2"/>
        </w:rPr>
        <w:t>称号，参加的浙江省重大科技专项重点项目</w:t>
      </w:r>
      <w:r>
        <w:rPr>
          <w:rFonts w:ascii="Times New Roman" w:hAnsi="Times New Roman" w:cs="Times New Roman" w:eastAsia="Times New Roman" w:hint="default"/>
          <w:spacing w:val="2"/>
        </w:rPr>
        <w:t>“</w:t>
      </w:r>
      <w:r>
        <w:rPr>
          <w:spacing w:val="2"/>
        </w:rPr>
        <w:t>辐照交联低烟无卤阻燃聚乙烯电缆料</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5"/>
        </w:rPr>
        <w:t> </w:t>
      </w:r>
      <w:r>
        <w:rPr/>
        <w:t>于</w:t>
      </w:r>
      <w:r>
        <w:rPr>
          <w:rFonts w:ascii="Times New Roman" w:hAnsi="Times New Roman" w:cs="Times New Roman" w:eastAsia="Times New Roman" w:hint="default"/>
        </w:rPr>
        <w:t>2010</w:t>
      </w:r>
      <w:r>
        <w:rPr/>
        <w:t>年被评为</w:t>
      </w:r>
      <w:r>
        <w:rPr>
          <w:rFonts w:ascii="Times New Roman" w:hAnsi="Times New Roman" w:cs="Times New Roman" w:eastAsia="Times New Roman" w:hint="default"/>
        </w:rPr>
        <w:t>“</w:t>
      </w:r>
      <w:r>
        <w:rPr/>
        <w:t>杭州市优秀新产品、新技术奖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2013</w:t>
      </w:r>
      <w:r>
        <w:rPr/>
        <w:t>年被评为</w:t>
      </w:r>
      <w:r>
        <w:rPr>
          <w:rFonts w:ascii="Times New Roman" w:hAnsi="Times New Roman" w:cs="Times New Roman" w:eastAsia="Times New Roman" w:hint="default"/>
        </w:rPr>
        <w:t>“</w:t>
      </w:r>
      <w:r>
        <w:rPr/>
        <w:t>余杭区劳动模范</w:t>
      </w:r>
      <w:r>
        <w:rPr>
          <w:rFonts w:ascii="Times New Roman" w:hAnsi="Times New Roman" w:cs="Times New Roman" w:eastAsia="Times New Roman" w:hint="default"/>
        </w:rPr>
        <w:t>”</w:t>
      </w:r>
      <w:r>
        <w:rPr/>
        <w:t>。沈治华先生为</w:t>
      </w:r>
      <w:r>
        <w:rPr>
          <w:rFonts w:ascii="Times New Roman" w:hAnsi="Times New Roman" w:cs="Times New Roman" w:eastAsia="Times New Roman" w:hint="default"/>
        </w:rPr>
        <w:t>“</w:t>
      </w:r>
      <w:r>
        <w:rPr/>
        <w:t>连续自动炼塑的双辊筒</w:t>
      </w:r>
      <w:r>
        <w:rPr>
          <w:spacing w:val="-44"/>
        </w:rPr>
        <w:t> </w:t>
      </w:r>
      <w:r>
        <w:rPr>
          <w:spacing w:val="-44"/>
        </w:rPr>
      </w:r>
      <w:r>
        <w:rPr/>
        <w:t>炼塑机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带有上料装置的强力加压密炼机</w:t>
      </w:r>
      <w:r>
        <w:rPr>
          <w:rFonts w:ascii="Times New Roman" w:hAnsi="Times New Roman" w:cs="Times New Roman" w:eastAsia="Times New Roman" w:hint="default"/>
        </w:rPr>
        <w:t>”2</w:t>
      </w:r>
      <w:r>
        <w:rPr/>
        <w:t>项实用新型专利的发明人。由沈治华先生担任工艺设计的</w:t>
      </w:r>
      <w:r>
        <w:rPr>
          <w:rFonts w:ascii="Times New Roman" w:hAnsi="Times New Roman" w:cs="Times New Roman" w:eastAsia="Times New Roman" w:hint="default"/>
        </w:rPr>
        <w:t>“</w:t>
      </w:r>
      <w:r>
        <w:rPr/>
        <w:t>重型特种移动设备</w:t>
      </w:r>
      <w:r>
        <w:rPr>
          <w:spacing w:val="-50"/>
        </w:rPr>
        <w:t> </w:t>
      </w:r>
      <w:r>
        <w:rPr>
          <w:spacing w:val="-50"/>
        </w:rPr>
      </w:r>
      <w:r>
        <w:rPr/>
        <w:t>专用乙丙橡胶电缆料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特种移动设备橡套软电缆用</w:t>
      </w:r>
      <w:r>
        <w:rPr>
          <w:rFonts w:ascii="Times New Roman" w:hAnsi="Times New Roman" w:cs="Times New Roman" w:eastAsia="Times New Roman" w:hint="default"/>
        </w:rPr>
        <w:t>CPE</w:t>
      </w:r>
      <w:r>
        <w:rPr/>
        <w:t>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一步法硅烷自然交联聚乙烯绝缘料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抗开裂黑色中密</w:t>
      </w:r>
      <w:r>
        <w:rPr>
          <w:spacing w:val="-86"/>
        </w:rPr>
        <w:t> </w:t>
      </w:r>
      <w:r>
        <w:rPr>
          <w:spacing w:val="-86"/>
        </w:rPr>
      </w:r>
      <w:r>
        <w:rPr/>
        <w:t>度聚乙烯护套料</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耐候线性低密度聚乙烯绝缘料</w:t>
      </w:r>
      <w:r>
        <w:rPr>
          <w:rFonts w:ascii="Times New Roman" w:hAnsi="Times New Roman" w:cs="Times New Roman" w:eastAsia="Times New Roman" w:hint="default"/>
        </w:rPr>
        <w:t>”</w:t>
      </w:r>
      <w:r>
        <w:rPr/>
        <w:t>通过了省级科技成果鉴定。沈治华先生主要负责公司的生产、生产工艺</w:t>
      </w:r>
      <w:r>
        <w:rPr>
          <w:spacing w:val="-56"/>
        </w:rPr>
        <w:t> </w:t>
      </w:r>
      <w:r>
        <w:rPr>
          <w:spacing w:val="-56"/>
        </w:rPr>
      </w:r>
      <w:r>
        <w:rPr/>
        <w:t>的改进及生产设备的技术改造等工作。</w:t>
      </w:r>
    </w:p>
    <w:p>
      <w:pPr>
        <w:pStyle w:val="BodyText"/>
        <w:spacing w:line="300" w:lineRule="auto" w:before="31"/>
        <w:ind w:left="1134" w:right="1136" w:firstLine="480"/>
        <w:jc w:val="both"/>
      </w:pPr>
      <w:r>
        <w:rPr>
          <w:rFonts w:ascii="Times New Roman" w:hAnsi="Times New Roman" w:cs="Times New Roman" w:eastAsia="Times New Roman" w:hint="default"/>
        </w:rPr>
        <w:t>5</w:t>
      </w:r>
      <w:r>
        <w:rPr/>
        <w:t>、胡炳林先生：副总经理，</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11</w:t>
      </w:r>
      <w:r>
        <w:rPr/>
        <w:t>月出生，中国国籍，大专学历，行政管理专业，现任公司副总经理。胡炳林先 生主要负责公司质量管理及售后服务工作。</w:t>
      </w:r>
    </w:p>
    <w:p>
      <w:pPr>
        <w:pStyle w:val="BodyText"/>
        <w:spacing w:line="300" w:lineRule="auto" w:before="31"/>
        <w:ind w:left="1134" w:right="1136" w:firstLine="480"/>
        <w:jc w:val="both"/>
      </w:pPr>
      <w:r>
        <w:rPr>
          <w:rFonts w:ascii="Times New Roman" w:hAnsi="Times New Roman" w:cs="Times New Roman" w:eastAsia="Times New Roman" w:hint="default"/>
        </w:rPr>
        <w:t>6</w:t>
      </w:r>
      <w:r>
        <w:rPr/>
        <w:t>、朱忠华先生：副总经理，</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月出生，中国国籍，大专学历，工商管理专业，现任公司副总经理。朱忠华先 生主要负责公司产品推广和销售工作。</w:t>
      </w:r>
    </w:p>
    <w:p>
      <w:pPr>
        <w:pStyle w:val="BodyText"/>
        <w:spacing w:line="312" w:lineRule="auto" w:before="31"/>
        <w:ind w:left="1134" w:right="1109" w:firstLine="480"/>
        <w:jc w:val="both"/>
      </w:pPr>
      <w:r>
        <w:rPr>
          <w:rFonts w:ascii="Times New Roman" w:hAnsi="Times New Roman" w:cs="Times New Roman" w:eastAsia="Times New Roman" w:hint="default"/>
        </w:rPr>
        <w:t>7</w:t>
      </w:r>
      <w:r>
        <w:rPr/>
        <w:t>、周黎隽女士：副总经理、董事会秘书，</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w:t>
      </w:r>
      <w:r>
        <w:rPr/>
        <w:t>月出生，中国国籍，比较文学与世界文学专业硕士，高级经济师， </w:t>
      </w:r>
      <w:r>
        <w:rPr>
          <w:spacing w:val="-2"/>
        </w:rPr>
        <w:t>取得国家法律职业资格，曾任浙江省家庭教育杂志社编辑、浙江钱塘控股集团有限公司综合管理部经理、杭州兴源过滤科技</w:t>
      </w:r>
      <w:r>
        <w:rPr>
          <w:spacing w:val="-66"/>
        </w:rPr>
        <w:t> </w:t>
      </w:r>
      <w:r>
        <w:rPr>
          <w:spacing w:val="-66"/>
        </w:rPr>
      </w:r>
      <w:r>
        <w:rPr>
          <w:spacing w:val="-2"/>
        </w:rPr>
        <w:t>股份有限公司董事会办公室主任兼证券事务代表，现任公司副总经理、董事会秘书。周黎隽女士主要负责公司信息披露、投</w:t>
      </w:r>
      <w:r>
        <w:rPr>
          <w:spacing w:val="-66"/>
        </w:rPr>
        <w:t> </w:t>
      </w:r>
      <w:r>
        <w:rPr>
          <w:spacing w:val="-66"/>
        </w:rPr>
      </w:r>
      <w:r>
        <w:rPr/>
        <w:t>资者关系管理及投资并购等相关工作。</w:t>
      </w:r>
    </w:p>
    <w:p>
      <w:pPr>
        <w:pStyle w:val="BodyText"/>
        <w:spacing w:line="300" w:lineRule="auto" w:before="63"/>
        <w:ind w:left="1134" w:right="1133" w:firstLine="434"/>
        <w:jc w:val="both"/>
      </w:pPr>
      <w:r>
        <w:rPr>
          <w:rFonts w:ascii="Times New Roman" w:hAnsi="Times New Roman" w:cs="Times New Roman" w:eastAsia="Times New Roman" w:hint="default"/>
          <w:spacing w:val="-2"/>
        </w:rPr>
        <w:t>8</w:t>
      </w:r>
      <w:r>
        <w:rPr>
          <w:spacing w:val="-2"/>
        </w:rPr>
        <w:t>、缪勇刚先生：财务总监，</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10</w:t>
      </w:r>
      <w:r>
        <w:rPr>
          <w:spacing w:val="-2"/>
        </w:rPr>
        <w:t>月出生，中国国籍，本科学历，会计学专业，现任公司财务总监。缪勇刚先生主</w:t>
      </w:r>
      <w:r>
        <w:rPr/>
        <w:t> 要负责公司财务工作。</w:t>
      </w:r>
    </w:p>
    <w:p>
      <w:pPr>
        <w:pStyle w:val="BodyText"/>
        <w:spacing w:line="240" w:lineRule="auto" w:before="72"/>
        <w:ind w:left="1134" w:right="0"/>
        <w:jc w:val="left"/>
      </w:pPr>
      <w:r>
        <w:rPr/>
        <w:t>在股东单位任职情况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董事长、总经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杭州天眼投资有限公司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中国双帆投资控股集团（香港）有限公司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董事、财务总</w:t>
            </w:r>
            <w:r>
              <w:rPr>
                <w:rFonts w:ascii="宋体" w:hAnsi="宋体" w:cs="宋体" w:eastAsia="宋体" w:hint="default"/>
                <w:sz w:val="18"/>
                <w:szCs w:val="18"/>
              </w:rPr>
              <w:t> 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浙江金桥创业投资有限公司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杭州双溪旅游开发有限公司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杭州山沟沟旅游度假有限公司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杭州临安东天目山旅游有限公司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杭州双溪禅茶文化有限公司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杭州陆羽泉文化旅游有限公司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杭州高新塑料厂</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厂长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浙江广宇创业投资管理有限公司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杭州市上城区广宇小额贷款有限公司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董事、副总裁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浙江广宇元上资产管理有限公司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杭州师范大学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浙江金桥控股集团有限公司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浙江金桥担保有限公司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pStyle w:val="BodyText"/>
        <w:spacing w:line="240" w:lineRule="auto" w:before="115"/>
        <w:ind w:left="1591"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日，公司第二届董事会第四次会议审议通过了《关于公司</w:t>
      </w:r>
      <w:r>
        <w:rPr>
          <w:rFonts w:ascii="Times New Roman" w:hAnsi="Times New Roman" w:cs="Times New Roman" w:eastAsia="Times New Roman" w:hint="default"/>
        </w:rPr>
        <w:t>2015</w:t>
      </w:r>
      <w:r>
        <w:rPr/>
        <w:t>年高级管理人员薪酬的议案》。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ind w:right="1033"/>
        <w:jc w:val="left"/>
      </w:pP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2014</w:t>
      </w:r>
      <w:r>
        <w:rPr/>
        <w:t>年度股东大会审议通过了《关于公司董事</w:t>
      </w:r>
      <w:r>
        <w:rPr>
          <w:rFonts w:ascii="Times New Roman" w:hAnsi="Times New Roman" w:cs="Times New Roman" w:eastAsia="Times New Roman" w:hint="default"/>
        </w:rPr>
        <w:t>2015</w:t>
      </w:r>
      <w:r>
        <w:rPr/>
        <w:t>年度薪酬的议案》和《关于公司监事</w:t>
      </w:r>
      <w:r>
        <w:rPr>
          <w:rFonts w:ascii="Times New Roman" w:hAnsi="Times New Roman" w:cs="Times New Roman" w:eastAsia="Times New Roman" w:hint="default"/>
        </w:rPr>
        <w:t>2015</w:t>
      </w:r>
      <w:r>
        <w:rPr/>
        <w:t>年度薪酬的议案》。 </w:t>
      </w:r>
      <w:r>
        <w:rPr>
          <w:spacing w:val="-2"/>
        </w:rPr>
        <w:t>董事、监事和高级管理人员的报酬按照公司董事会《薪酬与考核委员会实施细则》等规定，结合其经营绩效、工作能力、岗</w:t>
      </w:r>
      <w:r>
        <w:rPr>
          <w:spacing w:val="-67"/>
        </w:rPr>
        <w:t> </w:t>
      </w:r>
      <w:r>
        <w:rPr>
          <w:spacing w:val="-67"/>
        </w:rPr>
      </w:r>
      <w:r>
        <w:rPr/>
        <w:t>位职责等考核确定。董事、监事和高级管理人员的报酬公司按月支付。</w:t>
      </w:r>
    </w:p>
    <w:p>
      <w:pPr>
        <w:pStyle w:val="BodyText"/>
        <w:spacing w:line="240" w:lineRule="auto" w:before="65"/>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楼永富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凌勇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沈治华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胡炳林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周黎隽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董秘、副总经理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问泽文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缪勇刚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金桂良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王合军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4768"/>
        <w:gridCol w:w="4790"/>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840"/>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840"/>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本科及以上学历</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134" w:right="1042" w:firstLine="480"/>
        <w:jc w:val="both"/>
      </w:pPr>
      <w:r>
        <w:rPr/>
        <w:t>公司高度重视人力资源建设，根据发展战略，结合人力资源现状和未来需求预测，建立和实施了薪酬管理制度，制度 </w:t>
      </w:r>
      <w:r>
        <w:rPr>
          <w:spacing w:val="-2"/>
        </w:rPr>
        <w:t>是根据岗位职级与岗位类别进行制定，并切实做到岗位薪资与业绩挂钩，以提高员工的满意度，鼓励员工长期稳定的在企业</w:t>
      </w:r>
      <w:r>
        <w:rPr>
          <w:spacing w:val="-66"/>
        </w:rPr>
        <w:t> </w:t>
      </w:r>
      <w:r>
        <w:rPr>
          <w:spacing w:val="-66"/>
        </w:rPr>
      </w:r>
      <w:r>
        <w:rPr>
          <w:spacing w:val="-4"/>
        </w:rPr>
        <w:t>发展，同时为企业的发展做出应有的贡献。在本公司领取薪酬的人员，按国家及地方的有关规定享受本公司提供的社会保障。</w:t>
      </w:r>
    </w:p>
    <w:p>
      <w:pPr>
        <w:pStyle w:val="BodyText"/>
        <w:spacing w:line="319" w:lineRule="auto" w:before="58"/>
        <w:ind w:left="1134" w:right="1032"/>
        <w:jc w:val="left"/>
      </w:pPr>
      <w:r>
        <w:rPr/>
        <w:t>根据公司薪酬管理制度，公司员工薪酬由基本工资和绩效薪酬所组成。其中，基本工资系根据工作岗位的主要范围、职责、 重要性以及其他相关企业相关岗位的薪酬水平制定，绩效薪酬则根据绩效考核结果确定。</w:t>
      </w:r>
    </w:p>
    <w:p>
      <w:pPr>
        <w:spacing w:line="240" w:lineRule="auto" w:before="3"/>
        <w:rPr>
          <w:rFonts w:ascii="宋体" w:hAnsi="宋体" w:cs="宋体" w:eastAsia="宋体" w:hint="default"/>
          <w:sz w:val="22"/>
          <w:szCs w:val="22"/>
        </w:rPr>
      </w:pPr>
    </w:p>
    <w:p>
      <w:pPr>
        <w:pStyle w:val="Heading3"/>
        <w:spacing w:line="240" w:lineRule="auto"/>
        <w:ind w:left="1134"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left="1134" w:right="1039" w:firstLine="457"/>
        <w:jc w:val="left"/>
      </w:pPr>
      <w:r>
        <w:rPr>
          <w:spacing w:val="-2"/>
        </w:rPr>
        <w:t>根据各部门提交的培训需求结合公司实际发展需要制定公司年度培训计划，坚持务求实效的原则，加强内部培训力度，</w:t>
      </w:r>
      <w:r>
        <w:rPr/>
        <w:t> </w:t>
      </w:r>
      <w:r>
        <w:rPr>
          <w:spacing w:val="-2"/>
        </w:rPr>
        <w:t>重点开展新员工入职教育培训以及各岗位人员系统的业务能力提升培训，不断激发员工潜能，增强员工凝聚力，进而增强企</w:t>
      </w:r>
      <w:r>
        <w:rPr>
          <w:spacing w:val="-66"/>
        </w:rPr>
        <w:t> </w:t>
      </w:r>
      <w:r>
        <w:rPr>
          <w:spacing w:val="-66"/>
        </w:rPr>
      </w:r>
      <w:r>
        <w:rPr/>
        <w:t>业核心竞争力。</w:t>
      </w:r>
    </w:p>
    <w:p>
      <w:pPr>
        <w:spacing w:line="240" w:lineRule="auto" w:before="7"/>
        <w:rPr>
          <w:rFonts w:ascii="宋体" w:hAnsi="宋体" w:cs="宋体" w:eastAsia="宋体" w:hint="default"/>
          <w:sz w:val="22"/>
          <w:szCs w:val="22"/>
        </w:rPr>
      </w:pPr>
    </w:p>
    <w:p>
      <w:pPr>
        <w:pStyle w:val="Heading3"/>
        <w:spacing w:line="240" w:lineRule="auto"/>
        <w:ind w:left="1134"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2" w:id="126"/>
      <w:bookmarkStart w:name="第九节 公司治理" w:id="127"/>
      <w:r>
        <w:rPr>
          <w:b w:val="0"/>
          <w:bCs w:val="0"/>
        </w:rPr>
      </w:r>
      <w:r>
        <w:rPr/>
        <w:t>第九节</w:t>
      </w:r>
      <w:r>
        <w:rPr>
          <w:spacing w:val="-5"/>
        </w:rPr>
        <w:t> </w:t>
      </w:r>
      <w:r>
        <w:rPr/>
        <w:t>公司治理</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613" w:right="0"/>
        <w:jc w:val="left"/>
      </w:pPr>
      <w:r>
        <w:rPr>
          <w:spacing w:val="-6"/>
        </w:rPr>
        <w:t>报告期内，公司严格按照《公司法》、《证券法》、《上市公司治理准则》、《深圳证券交易所创业板股票上市规则》、</w:t>
      </w:r>
    </w:p>
    <w:p>
      <w:pPr>
        <w:pStyle w:val="BodyText"/>
        <w:spacing w:line="316" w:lineRule="auto" w:before="76"/>
        <w:ind w:right="1033"/>
        <w:jc w:val="left"/>
      </w:pPr>
      <w:r>
        <w:rPr>
          <w:spacing w:val="-2"/>
        </w:rPr>
        <w:t>《深圳证券交易所创业板上市公司规范运作指引》等法律、法规和中国证监会有关法律法规等的要求，不断完善公司的法人</w:t>
      </w:r>
      <w:r>
        <w:rPr>
          <w:spacing w:val="-66"/>
        </w:rPr>
        <w:t> </w:t>
      </w:r>
      <w:r>
        <w:rPr>
          <w:spacing w:val="-66"/>
        </w:rPr>
      </w:r>
      <w:r>
        <w:rPr/>
        <w:t>治理结构，建立健全公司内部管理和控制制度，持续深入开展公司治理活动，促进了公司规范运作，提高了公司治理水平。</w:t>
      </w:r>
    </w:p>
    <w:p>
      <w:pPr>
        <w:pStyle w:val="BodyText"/>
        <w:spacing w:line="316" w:lineRule="auto" w:before="19"/>
        <w:ind w:right="1093" w:firstLine="480"/>
        <w:jc w:val="left"/>
      </w:pPr>
      <w:r>
        <w:rPr/>
        <w:t>截至报告期末，公司治理的实际状况符合《上市公司治理准则》和《深圳证券交易所创业板上市公司规范运作指引》 等要求，在企业管理各个流程、重大事项、重大风险等方面发挥了较好的控制和防范作用。</w:t>
      </w:r>
    </w:p>
    <w:p>
      <w:pPr>
        <w:pStyle w:val="BodyText"/>
        <w:spacing w:line="316" w:lineRule="auto" w:before="19"/>
        <w:ind w:left="1613" w:right="0"/>
        <w:jc w:val="left"/>
      </w:pPr>
      <w:r>
        <w:rPr/>
        <w:t>（一）关于股东与股东大会 </w:t>
      </w:r>
      <w:r>
        <w:rPr>
          <w:spacing w:val="-1"/>
        </w:rPr>
        <w:t>公司严格按照《公司法》、《上市公司股东大会规则》、《深圳证券交易所创业板上市公司规范运作指引》、《公司</w:t>
      </w:r>
    </w:p>
    <w:p>
      <w:pPr>
        <w:pStyle w:val="BodyText"/>
        <w:spacing w:line="316" w:lineRule="auto" w:before="19"/>
        <w:ind w:right="0"/>
        <w:jc w:val="left"/>
      </w:pPr>
      <w:r>
        <w:rPr>
          <w:spacing w:val="-4"/>
        </w:rPr>
        <w:t>章程》和公司《股东大会议事规则》等的规定和要求召集、召开股东大会，能够确保全体股东特别是中小股东享有平等地位，</w:t>
      </w:r>
      <w:r>
        <w:rPr>
          <w:spacing w:val="-44"/>
        </w:rPr>
        <w:t> </w:t>
      </w:r>
      <w:r>
        <w:rPr>
          <w:spacing w:val="-44"/>
        </w:rPr>
      </w:r>
      <w:r>
        <w:rPr>
          <w:spacing w:val="-2"/>
        </w:rPr>
        <w:t>充分行使自己的权力。同时，公司聘请专业律师见证股东大会，确保会议召集召开以及表决程序符合相关法律规定，维护股</w:t>
      </w:r>
      <w:r>
        <w:rPr>
          <w:spacing w:val="-66"/>
        </w:rPr>
        <w:t> </w:t>
      </w:r>
      <w:r>
        <w:rPr>
          <w:spacing w:val="-66"/>
        </w:rPr>
      </w:r>
      <w:r>
        <w:rPr/>
        <w:t>东的合法权益。报告期内公司共召开了</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3</w:t>
      </w:r>
      <w:r>
        <w:rPr/>
        <w:t>次临时股东大会，会议均由董事会召集召开。</w:t>
      </w:r>
    </w:p>
    <w:p>
      <w:pPr>
        <w:pStyle w:val="BodyText"/>
        <w:spacing w:line="316" w:lineRule="auto" w:before="0"/>
        <w:ind w:left="1613" w:right="0"/>
        <w:jc w:val="left"/>
      </w:pPr>
      <w:r>
        <w:rPr/>
        <w:t>（二）关于公司与控股股东 </w:t>
      </w:r>
      <w:r>
        <w:rPr>
          <w:spacing w:val="-1"/>
        </w:rPr>
        <w:t>公司控股股东能严格规范自己的行为，通过股东大会依法行使其权利并承担义务，没有超越股东大会直接或间接干预</w:t>
      </w:r>
    </w:p>
    <w:p>
      <w:pPr>
        <w:pStyle w:val="BodyText"/>
        <w:spacing w:line="316" w:lineRule="auto" w:before="19"/>
        <w:ind w:right="0"/>
        <w:jc w:val="left"/>
      </w:pPr>
      <w:r>
        <w:rPr>
          <w:spacing w:val="-2"/>
        </w:rPr>
        <w:t>公司经营活动。报告期内，公司没有为控股股东提供担保，亦不存在控股股东非经营性占用公司资金的行为。公司拥有独立</w:t>
      </w:r>
      <w:r>
        <w:rPr>
          <w:spacing w:val="-66"/>
        </w:rPr>
        <w:t> </w:t>
      </w:r>
      <w:r>
        <w:rPr>
          <w:spacing w:val="-66"/>
        </w:rPr>
      </w:r>
      <w:r>
        <w:rPr/>
        <w:t>完整的业务和自主经营能力，在业务、人员、资产、机构、财务上独立于控股股东。</w:t>
      </w:r>
    </w:p>
    <w:p>
      <w:pPr>
        <w:pStyle w:val="BodyText"/>
        <w:spacing w:line="316" w:lineRule="auto" w:before="19"/>
        <w:ind w:left="1613" w:right="0"/>
        <w:jc w:val="left"/>
      </w:pPr>
      <w:r>
        <w:rPr/>
        <w:t>（三）关于董事和董事会 </w:t>
      </w:r>
      <w:r>
        <w:rPr>
          <w:spacing w:val="-1"/>
        </w:rPr>
        <w:t>公司已制定《董事会议事规则》、《独立董事制度》等制度确保董事会规范、高效运作和审慎、科学决策。公司董事</w:t>
      </w:r>
    </w:p>
    <w:p>
      <w:pPr>
        <w:pStyle w:val="BodyText"/>
        <w:spacing w:line="309" w:lineRule="auto" w:before="19"/>
        <w:ind w:right="1129"/>
        <w:jc w:val="both"/>
      </w:pPr>
      <w:r>
        <w:rPr>
          <w:spacing w:val="-2"/>
        </w:rPr>
        <w:t>会由九名成员组成，其中独立董事三名。董事会成员具有履行职务所必需的知识、技能和素质，按规定出席董事会和股东大</w:t>
      </w:r>
      <w:r>
        <w:rPr>
          <w:spacing w:val="-66"/>
        </w:rPr>
        <w:t> </w:t>
      </w:r>
      <w:r>
        <w:rPr>
          <w:spacing w:val="-66"/>
        </w:rPr>
      </w:r>
      <w:r>
        <w:rPr/>
        <w:t>会，勤勉尽责的履行职责和义务，同时积极参加相关培训，熟悉相关法律法规。报告期共召开董事会会议</w:t>
      </w:r>
      <w:r>
        <w:rPr>
          <w:rFonts w:ascii="Times New Roman" w:hAnsi="Times New Roman" w:cs="Times New Roman" w:eastAsia="Times New Roman" w:hint="default"/>
        </w:rPr>
        <w:t>8</w:t>
      </w:r>
      <w:r>
        <w:rPr/>
        <w:t>次。公司董事会</w:t>
      </w:r>
      <w:r>
        <w:rPr>
          <w:spacing w:val="-81"/>
        </w:rPr>
        <w:t> </w:t>
      </w:r>
      <w:r>
        <w:rPr>
          <w:spacing w:val="-81"/>
        </w:rPr>
      </w:r>
      <w:r>
        <w:rPr/>
        <w:t>会议能够按照有关规定召集、召开，记录完整、准确，并妥善保存。</w:t>
      </w:r>
    </w:p>
    <w:p>
      <w:pPr>
        <w:pStyle w:val="BodyText"/>
        <w:spacing w:line="316" w:lineRule="auto" w:before="24"/>
        <w:ind w:left="1614" w:right="0"/>
        <w:jc w:val="left"/>
      </w:pPr>
      <w:r>
        <w:rPr/>
        <w:t>（四）关于监事与监事会 </w:t>
      </w:r>
      <w:r>
        <w:rPr>
          <w:spacing w:val="-6"/>
        </w:rPr>
        <w:t>公司监事会设监事</w:t>
      </w:r>
      <w:r>
        <w:rPr>
          <w:rFonts w:ascii="Times New Roman" w:hAnsi="Times New Roman" w:cs="Times New Roman" w:eastAsia="Times New Roman" w:hint="default"/>
          <w:spacing w:val="-6"/>
        </w:rPr>
        <w:t>3</w:t>
      </w:r>
      <w:r>
        <w:rPr>
          <w:spacing w:val="-6"/>
        </w:rPr>
        <w:t>名，其中职工监事</w:t>
      </w:r>
      <w:r>
        <w:rPr>
          <w:rFonts w:ascii="Times New Roman" w:hAnsi="Times New Roman" w:cs="Times New Roman" w:eastAsia="Times New Roman" w:hint="default"/>
          <w:spacing w:val="-6"/>
        </w:rPr>
        <w:t>1</w:t>
      </w:r>
      <w:r>
        <w:rPr>
          <w:spacing w:val="-6"/>
        </w:rPr>
        <w:t>名，监事会的人数和构成符合法律、法规的要求。各位监事严格按照《公司法》、</w:t>
      </w:r>
    </w:p>
    <w:p>
      <w:pPr>
        <w:pStyle w:val="BodyText"/>
        <w:spacing w:line="309" w:lineRule="auto" w:before="0"/>
        <w:ind w:right="1130"/>
        <w:jc w:val="both"/>
      </w:pPr>
      <w:r>
        <w:rPr>
          <w:spacing w:val="-2"/>
        </w:rPr>
        <w:t>《公司章程》和《监事会议事规则》的有关规定认真履行职责，对公司财务状况、重大事项以及公司董事及高级管理人员履</w:t>
      </w:r>
      <w:r>
        <w:rPr>
          <w:spacing w:val="-66"/>
        </w:rPr>
        <w:t> </w:t>
      </w:r>
      <w:r>
        <w:rPr>
          <w:spacing w:val="-66"/>
        </w:rPr>
      </w:r>
      <w:r>
        <w:rPr/>
        <w:t>行职责的合法合规性等进行监督，维护公司及股东的合法权益。报告期内，公司共召开</w:t>
      </w:r>
      <w:r>
        <w:rPr>
          <w:rFonts w:ascii="Times New Roman" w:hAnsi="Times New Roman" w:cs="Times New Roman" w:eastAsia="Times New Roman" w:hint="default"/>
        </w:rPr>
        <w:t>5</w:t>
      </w:r>
      <w:r>
        <w:rPr/>
        <w:t>次监事会，会议均由监事会主席召</w:t>
      </w:r>
      <w:r>
        <w:rPr>
          <w:spacing w:val="-82"/>
        </w:rPr>
        <w:t> </w:t>
      </w:r>
      <w:r>
        <w:rPr>
          <w:spacing w:val="-82"/>
        </w:rPr>
      </w:r>
      <w:r>
        <w:rPr/>
        <w:t>集召开。</w:t>
      </w:r>
    </w:p>
    <w:p>
      <w:pPr>
        <w:pStyle w:val="BodyText"/>
        <w:spacing w:line="314" w:lineRule="auto" w:before="24"/>
        <w:ind w:left="1134" w:right="1118" w:firstLine="480"/>
        <w:jc w:val="left"/>
      </w:pPr>
      <w:r>
        <w:rPr/>
        <w:t>（五）关于信息披露与透明度 </w:t>
      </w:r>
      <w:r>
        <w:rPr>
          <w:spacing w:val="-2"/>
        </w:rPr>
        <w:t>公司严格按照有关法律法规和公司《信息披露管理制度》的规定，加强信息披露事务管理，履行信息披露义务，并指定《证</w:t>
      </w:r>
      <w:r>
        <w:rPr>
          <w:spacing w:val="-68"/>
        </w:rPr>
        <w:t> </w:t>
      </w:r>
      <w:r>
        <w:rPr>
          <w:spacing w:val="-68"/>
        </w:rPr>
      </w:r>
      <w:r>
        <w:rPr>
          <w:spacing w:val="8"/>
        </w:rPr>
        <w:t>券时报》、《中国证券报》、《上海证券报》、《证券日报》和中国证监会指定的创业板信息披露网站（巨潮资讯网</w:t>
      </w:r>
      <w:r>
        <w:rPr>
          <w:spacing w:val="-65"/>
        </w:rPr>
        <w:t> </w:t>
      </w:r>
      <w:r>
        <w:rPr>
          <w:spacing w:val="-65"/>
        </w:rPr>
      </w:r>
      <w:hyperlink r:id="rId11">
        <w:r>
          <w:rPr>
            <w:rFonts w:ascii="Times New Roman" w:hAnsi="Times New Roman" w:cs="Times New Roman" w:eastAsia="Times New Roman" w:hint="default"/>
          </w:rPr>
          <w:t>www.cninfo.com.cn</w:t>
        </w:r>
      </w:hyperlink>
      <w:r>
        <w:rPr/>
        <w:t>）为公司信息披露报纸和网站，真实、准确、及时、完整的披露信息，确保所有投资者公平获取公司信</w:t>
      </w:r>
      <w:r>
        <w:rPr>
          <w:spacing w:val="-34"/>
        </w:rPr>
        <w:t> </w:t>
      </w:r>
      <w:r>
        <w:rPr>
          <w:spacing w:val="-34"/>
        </w:rPr>
      </w:r>
      <w:r>
        <w:rPr/>
        <w:t>息。</w:t>
      </w:r>
    </w:p>
    <w:p>
      <w:pPr>
        <w:pStyle w:val="BodyText"/>
        <w:spacing w:line="240" w:lineRule="auto" w:before="61"/>
        <w:ind w:left="1134"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131" w:firstLine="480"/>
        <w:jc w:val="both"/>
      </w:pPr>
      <w:r>
        <w:rPr>
          <w:rFonts w:ascii="Times New Roman" w:hAnsi="Times New Roman" w:cs="Times New Roman" w:eastAsia="Times New Roman" w:hint="default"/>
        </w:rPr>
        <w:t>1</w:t>
      </w:r>
      <w:r>
        <w:rPr/>
        <w:t>、公司的人员独立：公司的董事、监事以及高级管理人员均严格按照法定程序产生。本公司已建立独立的劳动、人 </w:t>
      </w:r>
      <w:r>
        <w:rPr>
          <w:spacing w:val="-2"/>
        </w:rPr>
        <w:t>事、社会保障体系及工资管理体系，与员工签订了劳动合同，并按国家规定办理了社会保险。除本公司的总经理兼任公司控</w:t>
      </w:r>
      <w:r>
        <w:rPr>
          <w:spacing w:val="-66"/>
        </w:rPr>
        <w:t> </w:t>
      </w:r>
      <w:r>
        <w:rPr>
          <w:spacing w:val="-66"/>
        </w:rPr>
      </w:r>
      <w:r>
        <w:rPr>
          <w:spacing w:val="-2"/>
        </w:rPr>
        <w:t>股股东的董事外，公司副总经理、财务总监和董事会秘书均未在本公司的控股股东、实际控制人及其控制的其他企业中担任</w:t>
      </w:r>
    </w:p>
    <w:p>
      <w:pPr>
        <w:spacing w:after="0" w:line="30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0"/>
        <w:jc w:val="left"/>
      </w:pPr>
      <w:r>
        <w:rPr>
          <w:spacing w:val="-2"/>
        </w:rPr>
        <w:t>除董事、监事以外的其他职务，且均未在本公司的控股股东、实际控制人及其控制的其他企业领薪。本公司的财务人员也未</w:t>
      </w:r>
      <w:r>
        <w:rPr>
          <w:spacing w:val="-66"/>
        </w:rPr>
        <w:t> </w:t>
      </w:r>
      <w:r>
        <w:rPr>
          <w:spacing w:val="-66"/>
        </w:rPr>
      </w:r>
      <w:r>
        <w:rPr/>
        <w:t>在本公司的控股股东、实际控制人及其控制的其他企业中兼职。</w:t>
      </w:r>
    </w:p>
    <w:p>
      <w:pPr>
        <w:pStyle w:val="BodyText"/>
        <w:spacing w:line="309" w:lineRule="auto" w:before="19"/>
        <w:ind w:right="1133" w:firstLine="480"/>
        <w:jc w:val="both"/>
      </w:pPr>
      <w:r>
        <w:rPr>
          <w:rFonts w:ascii="Times New Roman" w:hAnsi="Times New Roman" w:cs="Times New Roman" w:eastAsia="Times New Roman" w:hint="default"/>
        </w:rPr>
        <w:t>2</w:t>
      </w:r>
      <w:r>
        <w:rPr/>
        <w:t>、公司的资产独立完整、权属清晰：公司拥有独立的经营和办公场所，拥有经营所需的设备和其他资产，合法拥有 </w:t>
      </w:r>
      <w:r>
        <w:rPr>
          <w:spacing w:val="-2"/>
        </w:rPr>
        <w:t>与生产经营有关的注册商标、专利、非专利技术、著作权的所有权或使用权，与公司股东及实际控制人的资产完全分离，产</w:t>
      </w:r>
      <w:r>
        <w:rPr>
          <w:spacing w:val="-66"/>
        </w:rPr>
        <w:t> </w:t>
      </w:r>
      <w:r>
        <w:rPr>
          <w:spacing w:val="-66"/>
        </w:rPr>
      </w:r>
      <w:r>
        <w:rPr/>
        <w:t>权关系清晰，公司的资产独立完整。</w:t>
      </w:r>
    </w:p>
    <w:p>
      <w:pPr>
        <w:pStyle w:val="BodyText"/>
        <w:spacing w:line="309" w:lineRule="auto" w:before="24"/>
        <w:ind w:right="1133" w:firstLine="480"/>
        <w:jc w:val="both"/>
      </w:pPr>
      <w:r>
        <w:rPr>
          <w:rFonts w:ascii="Times New Roman" w:hAnsi="Times New Roman" w:cs="Times New Roman" w:eastAsia="Times New Roman" w:hint="default"/>
        </w:rPr>
        <w:t>3</w:t>
      </w:r>
      <w:r>
        <w:rPr/>
        <w:t>、公司财务独立：公司建立了独立的财务部门以及独立的财务核算体系，能够独立作出财务决策，具有规范、独立 </w:t>
      </w:r>
      <w:r>
        <w:rPr>
          <w:spacing w:val="-2"/>
        </w:rPr>
        <w:t>的财务会计制度和对分支机构的财务管理制度，并拥有独立的财务会计账簿。公司拥有独立的银行帐户，未与其股东或关联</w:t>
      </w:r>
      <w:r>
        <w:rPr>
          <w:spacing w:val="-66"/>
        </w:rPr>
        <w:t> </w:t>
      </w:r>
      <w:r>
        <w:rPr>
          <w:spacing w:val="-66"/>
        </w:rPr>
      </w:r>
      <w:r>
        <w:rPr/>
        <w:t>企业共用银行帐户。</w:t>
      </w:r>
    </w:p>
    <w:p>
      <w:pPr>
        <w:pStyle w:val="BodyText"/>
        <w:spacing w:line="309" w:lineRule="auto" w:before="24"/>
        <w:ind w:right="0" w:firstLine="480"/>
        <w:jc w:val="left"/>
      </w:pPr>
      <w:r>
        <w:rPr>
          <w:rFonts w:ascii="Times New Roman" w:hAnsi="Times New Roman" w:cs="Times New Roman" w:eastAsia="Times New Roman" w:hint="default"/>
        </w:rPr>
        <w:t>4</w:t>
      </w:r>
      <w:r>
        <w:rPr/>
        <w:t>、公司机构独立：公司按照有关法律、法规、《公司章程》设立的董事会、监事会，均分别对公司股东大会负责。 </w:t>
      </w:r>
      <w:r>
        <w:rPr>
          <w:spacing w:val="-4"/>
        </w:rPr>
        <w:t>公司的机构独立于股东的机构，不存在与股东合署办公的情况。公司已建立健全内部经营管理机构，独立行使经营管理职权，</w:t>
      </w:r>
      <w:r>
        <w:rPr>
          <w:spacing w:val="-44"/>
        </w:rPr>
        <w:t> </w:t>
      </w:r>
      <w:r>
        <w:rPr>
          <w:spacing w:val="-44"/>
        </w:rPr>
      </w:r>
      <w:r>
        <w:rPr/>
        <w:t>不存在与股东机构混同的情形。</w:t>
      </w:r>
    </w:p>
    <w:p>
      <w:pPr>
        <w:pStyle w:val="BodyText"/>
        <w:spacing w:line="300" w:lineRule="auto" w:before="65"/>
        <w:ind w:left="1134" w:right="0"/>
        <w:jc w:val="left"/>
      </w:pPr>
      <w:r>
        <w:rPr>
          <w:rFonts w:ascii="Times New Roman" w:hAnsi="Times New Roman" w:cs="Times New Roman" w:eastAsia="Times New Roman" w:hint="default"/>
        </w:rPr>
        <w:t>5</w:t>
      </w:r>
      <w:r>
        <w:rPr/>
        <w:t>、公司业务独立：公司通过自身开展生产、销售业务，拥有完整的业务体系。公司独立开展业务，具备直接面向市场独立</w:t>
      </w:r>
      <w:r>
        <w:rPr>
          <w:spacing w:val="-81"/>
        </w:rPr>
        <w:t> </w:t>
      </w:r>
      <w:r>
        <w:rPr>
          <w:spacing w:val="-81"/>
        </w:rPr>
      </w:r>
      <w:r>
        <w:rPr>
          <w:spacing w:val="-4"/>
        </w:rPr>
        <w:t>经营的能力。公司的业务独立于控股股东、实际控制人，与控股股东、实际控制人不存在同业竞争或者显失公平的关联交易。</w:t>
      </w:r>
    </w:p>
    <w:p>
      <w:pPr>
        <w:spacing w:line="240" w:lineRule="auto" w:before="8"/>
        <w:rPr>
          <w:rFonts w:ascii="宋体" w:hAnsi="宋体" w:cs="宋体" w:eastAsia="宋体" w:hint="default"/>
          <w:sz w:val="21"/>
          <w:szCs w:val="21"/>
        </w:rPr>
      </w:pPr>
    </w:p>
    <w:p>
      <w:pPr>
        <w:pStyle w:val="Heading2"/>
        <w:spacing w:line="240" w:lineRule="auto"/>
        <w:ind w:left="1134"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both"/>
              <w:rPr>
                <w:rFonts w:ascii="Times New Roman" w:hAnsi="Times New Roman" w:cs="Times New Roman" w:eastAsia="Times New Roman" w:hint="default"/>
                <w:sz w:val="18"/>
                <w:szCs w:val="18"/>
              </w:rPr>
            </w:pPr>
            <w:hyperlink r:id="rId11">
              <w:r>
                <w:rPr>
                  <w:rFonts w:ascii="Times New Roman"/>
                  <w:sz w:val="18"/>
                </w:rPr>
                <w:t>www.cninfo.com.cn</w:t>
              </w:r>
            </w:hyperlink>
          </w:p>
          <w:p>
            <w:pPr>
              <w:pStyle w:val="TableParagraph"/>
              <w:spacing w:line="309" w:lineRule="auto" w:before="64"/>
              <w:ind w:left="23" w:right="7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8"/>
                <w:sz w:val="18"/>
                <w:szCs w:val="18"/>
              </w:rPr>
              <w:t>告》（</w:t>
            </w:r>
            <w:r>
              <w:rPr>
                <w:rFonts w:ascii="Times New Roman" w:hAnsi="Times New Roman" w:cs="Times New Roman" w:eastAsia="Times New Roman" w:hint="default"/>
                <w:spacing w:val="-8"/>
                <w:sz w:val="18"/>
                <w:szCs w:val="18"/>
              </w:rPr>
              <w:t>2015-016</w:t>
            </w:r>
            <w:r>
              <w:rPr>
                <w:rFonts w:ascii="宋体" w:hAnsi="宋体" w:cs="宋体" w:eastAsia="宋体" w:hint="default"/>
                <w:spacing w:val="-8"/>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2" w:lineRule="exact"/>
        <w:ind w:left="1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2d2d2" stroked="true" strokeweight=".48pt" strokecolor="#000000">
            <w10:anchorlock/>
            <v:textbox inset="0,0,0,0">
              <w:txbxContent>
                <w:p>
                  <w:pPr>
                    <w:pStyle w:val="BodyText"/>
                    <w:spacing w:line="240" w:lineRule="auto" w:before="51"/>
                    <w:ind w:left="-1" w:right="0"/>
                    <w:jc w:val="center"/>
                  </w:pPr>
                  <w:r>
                    <w:rPr/>
                    <w:t>独立董事出席董事会情况</w:t>
                  </w:r>
                </w:p>
              </w:txbxContent>
            </v:textbox>
            <v:fill type="solid"/>
          </v:shape>
        </w:pict>
      </w:r>
      <w:r>
        <w:rPr>
          <w:rFonts w:ascii="宋体" w:hAnsi="宋体" w:cs="宋体" w:eastAsia="宋体" w:hint="default"/>
          <w:position w:val="-7"/>
          <w:sz w:val="20"/>
          <w:szCs w:val="20"/>
        </w:rPr>
      </w:r>
    </w:p>
    <w:p>
      <w:pPr>
        <w:spacing w:after="0" w:line="402" w:lineRule="exact"/>
        <w:rPr>
          <w:rFonts w:ascii="宋体" w:hAnsi="宋体" w:cs="宋体" w:eastAsia="宋体" w:hint="default"/>
          <w:sz w:val="20"/>
          <w:szCs w:val="20"/>
        </w:rPr>
        <w:sectPr>
          <w:footerReference w:type="default" r:id="rId14"/>
          <w:pgSz w:w="11910" w:h="16840"/>
          <w:pgMar w:footer="979" w:header="747" w:top="1060" w:bottom="1160" w:left="0" w:right="0"/>
          <w:pgNumType w:start="6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邵少敏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傅黎瑛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李勇进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left="1134"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left="1134" w:right="0"/>
        <w:jc w:val="both"/>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both"/>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right="0"/>
        <w:jc w:val="both"/>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33"/>
        <w:jc w:val="both"/>
      </w:pPr>
      <w:r>
        <w:rPr>
          <w:spacing w:val="-5"/>
        </w:rPr>
        <w:t>独立董事在任职期间严格按照《公司法》、《深圳证券交易所创业板上市公司规范运作指引》、《上市公司治理准则》、《关</w:t>
      </w:r>
      <w:r>
        <w:rPr>
          <w:spacing w:val="-81"/>
        </w:rPr>
        <w:t> </w:t>
      </w:r>
      <w:r>
        <w:rPr>
          <w:spacing w:val="-81"/>
        </w:rPr>
      </w:r>
      <w:r>
        <w:rPr>
          <w:spacing w:val="-2"/>
        </w:rPr>
        <w:t>于在上市公司建立独立董事制度的指导意见》、《关于加强社会公众股股东权益保护的若干规定》、《公司章程》、《独立</w:t>
      </w:r>
      <w:r>
        <w:rPr>
          <w:spacing w:val="-70"/>
        </w:rPr>
        <w:t> </w:t>
      </w:r>
      <w:r>
        <w:rPr>
          <w:spacing w:val="-70"/>
        </w:rPr>
      </w:r>
      <w:r>
        <w:rPr>
          <w:spacing w:val="-2"/>
        </w:rPr>
        <w:t>董事工作制度》等相关法律、法规、规章制度及规范性文件的规定和要求，认真行权，依法履职，做到不受公司大股东、实</w:t>
      </w:r>
      <w:r>
        <w:rPr>
          <w:spacing w:val="-71"/>
        </w:rPr>
        <w:t> </w:t>
      </w:r>
      <w:r>
        <w:rPr>
          <w:spacing w:val="-71"/>
        </w:rPr>
      </w:r>
      <w:r>
        <w:rPr>
          <w:spacing w:val="-2"/>
        </w:rPr>
        <w:t>际控制人或者其他与公司存在利害关系的单位或个人的影响与左右，充分发挥独立董事的作用，监督公司规范化运作，维护</w:t>
      </w:r>
      <w:r>
        <w:rPr>
          <w:spacing w:val="-66"/>
        </w:rPr>
        <w:t> </w:t>
      </w:r>
      <w:r>
        <w:rPr>
          <w:spacing w:val="-66"/>
        </w:rPr>
      </w:r>
      <w:r>
        <w:rPr/>
        <w:t>公司和股东尤其是中小股东的利益的原则，积极参与公司的各项事务，客观、公正、独立地履行职责。</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before="0"/>
        <w:ind w:right="1133" w:firstLine="480"/>
        <w:jc w:val="both"/>
      </w:pPr>
      <w:r>
        <w:rPr>
          <w:spacing w:val="-1"/>
        </w:rPr>
        <w:t>公司董事会下设有审计委员会、提名委员会、薪酬与考核委员会和战略委员会四个专门委员会，并制定各委员会实施</w:t>
      </w:r>
      <w:r>
        <w:rPr/>
        <w:t> </w:t>
      </w:r>
      <w:r>
        <w:rPr>
          <w:spacing w:val="-2"/>
        </w:rPr>
        <w:t>细则。</w:t>
      </w:r>
      <w:r>
        <w:rPr>
          <w:rFonts w:ascii="Times New Roman" w:hAnsi="Times New Roman" w:cs="Times New Roman" w:eastAsia="Times New Roman" w:hint="default"/>
          <w:spacing w:val="-2"/>
        </w:rPr>
        <w:t>2015</w:t>
      </w:r>
      <w:r>
        <w:rPr>
          <w:spacing w:val="-2"/>
        </w:rPr>
        <w:t>年度，各专门委员会本着勤勉尽责的原则，按照有关法律、法规、规范性文件及公司各专门委员会工作细则的规</w:t>
      </w:r>
      <w:r>
        <w:rPr>
          <w:spacing w:val="-62"/>
        </w:rPr>
        <w:t> </w:t>
      </w:r>
      <w:r>
        <w:rPr>
          <w:spacing w:val="-62"/>
        </w:rPr>
      </w:r>
      <w:r>
        <w:rPr/>
        <w:t>定开展相关工作。报告期内，各专门委员会履职情况如下：</w:t>
      </w:r>
    </w:p>
    <w:p>
      <w:pPr>
        <w:pStyle w:val="BodyText"/>
        <w:spacing w:line="309" w:lineRule="auto" w:before="24"/>
        <w:ind w:left="1134" w:right="1043" w:firstLine="480"/>
        <w:jc w:val="both"/>
      </w:pPr>
      <w:r>
        <w:rPr>
          <w:rFonts w:ascii="Times New Roman" w:hAnsi="Times New Roman" w:cs="Times New Roman" w:eastAsia="Times New Roman" w:hint="default"/>
        </w:rPr>
        <w:t>1</w:t>
      </w:r>
      <w:r>
        <w:rPr/>
        <w:t>、审计委员会履职情况：报告期内审计委员会严格按照相关法律法规及《公司章程》、《审计委员会实施细则》的 </w:t>
      </w:r>
      <w:r>
        <w:rPr>
          <w:spacing w:val="-2"/>
        </w:rPr>
        <w:t>相关规定，积极履行职责；报告期内，审计委员会共召开三次会议，重点对公司定期财务报告、利润分配、内部控制等事项</w:t>
      </w:r>
      <w:r>
        <w:rPr>
          <w:spacing w:val="-68"/>
        </w:rPr>
        <w:t> </w:t>
      </w:r>
      <w:r>
        <w:rPr>
          <w:spacing w:val="-68"/>
        </w:rPr>
      </w:r>
      <w:r>
        <w:rPr>
          <w:spacing w:val="-4"/>
        </w:rPr>
        <w:t>进行审议。审计委员会强化了公司董事会决策功能，确保董事会对高级管理人员的有效监督，进一步完善了公司的治理结构。</w:t>
      </w:r>
    </w:p>
    <w:p>
      <w:pPr>
        <w:pStyle w:val="BodyText"/>
        <w:spacing w:line="309" w:lineRule="auto" w:before="24"/>
        <w:ind w:left="1134" w:right="1130" w:firstLine="480"/>
        <w:jc w:val="both"/>
      </w:pPr>
      <w:r>
        <w:rPr>
          <w:rFonts w:ascii="Times New Roman" w:hAnsi="Times New Roman" w:cs="Times New Roman" w:eastAsia="Times New Roman" w:hint="default"/>
        </w:rPr>
        <w:t>2</w:t>
      </w:r>
      <w:r>
        <w:rPr/>
        <w:t>、提名委员会履职情况：报告期内提名委员会严格按照相关法律法规及《公司章程》、《提名委员会实施细则》的 </w:t>
      </w:r>
      <w:r>
        <w:rPr>
          <w:spacing w:val="-5"/>
        </w:rPr>
        <w:t>相关规定，积极履行职责。报告期内，提名委员会共召开一次会议，对拟聘任的高级管理人的任职资格进行审查，未发现《公</w:t>
      </w:r>
      <w:r>
        <w:rPr>
          <w:spacing w:val="-81"/>
        </w:rPr>
        <w:t> </w:t>
      </w:r>
      <w:r>
        <w:rPr>
          <w:spacing w:val="-81"/>
        </w:rPr>
      </w:r>
      <w:r>
        <w:rPr/>
        <w:t>司法》及相关法律禁止任职的情形。</w:t>
      </w:r>
    </w:p>
    <w:p>
      <w:pPr>
        <w:pStyle w:val="BodyText"/>
        <w:spacing w:line="309" w:lineRule="auto" w:before="24"/>
        <w:ind w:left="1134" w:right="1130" w:firstLine="480"/>
        <w:jc w:val="both"/>
      </w:pPr>
      <w:r>
        <w:rPr>
          <w:rFonts w:ascii="Times New Roman" w:hAnsi="Times New Roman" w:cs="Times New Roman" w:eastAsia="Times New Roman" w:hint="default"/>
        </w:rPr>
        <w:t>3</w:t>
      </w:r>
      <w:r>
        <w:rPr/>
        <w:t>、薪酬与考核委员会履职情况：报告期内薪酬与考核委员会严格按照相关法律法规及《公司章程》、《薪酬与考核 </w:t>
      </w:r>
      <w:r>
        <w:rPr>
          <w:spacing w:val="-2"/>
        </w:rPr>
        <w:t>委员会实施细则》的相关规定，积极履行职责。报告期内，薪酬与考核委员会共召开一次会议，董事、监事和高级管理人员</w:t>
      </w:r>
      <w:r>
        <w:rPr>
          <w:spacing w:val="-67"/>
        </w:rPr>
        <w:t> </w:t>
      </w:r>
      <w:r>
        <w:rPr>
          <w:spacing w:val="-67"/>
        </w:rPr>
      </w:r>
      <w:r>
        <w:rPr/>
        <w:t>薪酬情况等事项进行审核。</w:t>
      </w:r>
    </w:p>
    <w:p>
      <w:pPr>
        <w:pStyle w:val="BodyText"/>
        <w:spacing w:line="300" w:lineRule="auto" w:before="65"/>
        <w:ind w:left="1134" w:right="1032"/>
        <w:jc w:val="left"/>
      </w:pPr>
      <w:r>
        <w:rPr>
          <w:rFonts w:ascii="Times New Roman" w:hAnsi="Times New Roman" w:cs="Times New Roman" w:eastAsia="Times New Roman" w:hint="default"/>
        </w:rPr>
        <w:t>4</w:t>
      </w:r>
      <w:r>
        <w:rPr/>
        <w:t>、战略委员会履职情况：报告期内战略委员会严格按照相关法律法规及《公司章程》、《战略委员会工作细则》的有关规</w:t>
      </w:r>
      <w:r>
        <w:rPr>
          <w:spacing w:val="-83"/>
        </w:rPr>
        <w:t> </w:t>
      </w:r>
      <w:r>
        <w:rPr>
          <w:spacing w:val="-83"/>
        </w:rPr>
      </w:r>
      <w:r>
        <w:rPr/>
        <w:t>定开展工作，认真履行职责。报告期内，战略委员会共召开了一次会议，结合公司所处行业发展情况及公司自身发展状况，</w:t>
      </w:r>
    </w:p>
    <w:p>
      <w:pPr>
        <w:spacing w:after="0" w:line="30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及时进行了战略规划研究，并根据公司的实际情况，对发展战略的实施提出了合理的建议。</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监事会在报告期内的监督活动是否发现公司存在风险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480"/>
        <w:jc w:val="both"/>
      </w:pPr>
      <w:r>
        <w:rPr>
          <w:spacing w:val="-1"/>
        </w:rPr>
        <w:t>公司建立了完善的薪酬管理制度和绩效考核管理制度，设立董事会薪酬和考核委员会，负责公司高级管理人员绩效考</w:t>
      </w:r>
      <w:r>
        <w:rPr/>
        <w:t> </w:t>
      </w:r>
      <w:r>
        <w:rPr>
          <w:spacing w:val="-2"/>
        </w:rPr>
        <w:t>核制度、流程的制定，以及考核标准及关键指标的确立。薪酬和考核委员会负责对公司高级管理人员进行绩效考核，公司根</w:t>
      </w:r>
      <w:r>
        <w:rPr>
          <w:spacing w:val="-66"/>
        </w:rPr>
        <w:t> </w:t>
      </w:r>
      <w:r>
        <w:rPr>
          <w:spacing w:val="-66"/>
        </w:rPr>
      </w:r>
      <w:r>
        <w:rPr>
          <w:spacing w:val="-2"/>
        </w:rPr>
        <w:t>据绩效考核结果实施相应的奖惩。报告期内，公司高级管理人员的薪酬由基本工资和绩效薪酬所组成。其中，基本工资系根</w:t>
      </w:r>
      <w:r>
        <w:rPr>
          <w:spacing w:val="-66"/>
        </w:rPr>
        <w:t> </w:t>
      </w:r>
      <w:r>
        <w:rPr>
          <w:spacing w:val="-66"/>
        </w:rPr>
      </w:r>
      <w:r>
        <w:rPr>
          <w:spacing w:val="-2"/>
        </w:rPr>
        <w:t>据高级管理人员工作岗位的主要范围、职责、重要性以及其他相关企业相关岗位的薪酬水平制定，绩效薪酬则根据绩效考核</w:t>
      </w:r>
      <w:r>
        <w:rPr>
          <w:spacing w:val="-66"/>
        </w:rPr>
        <w:t> </w:t>
      </w:r>
      <w:r>
        <w:rPr>
          <w:spacing w:val="-66"/>
        </w:rPr>
      </w:r>
      <w:r>
        <w:rPr/>
        <w:t>结果确定。</w:t>
      </w:r>
    </w:p>
    <w:p>
      <w:pPr>
        <w:pStyle w:val="BodyText"/>
        <w:spacing w:line="300" w:lineRule="auto" w:before="59"/>
        <w:ind w:right="0" w:firstLine="290"/>
        <w:jc w:val="left"/>
      </w:pPr>
      <w:r>
        <w:rPr>
          <w:spacing w:val="-1"/>
        </w:rPr>
        <w:t>公司董事会薪酬和考核委员会根据实际情况对公司高级管理人员进行考核后，一致认为：</w:t>
      </w:r>
      <w:r>
        <w:rPr>
          <w:rFonts w:ascii="Times New Roman" w:hAnsi="Times New Roman" w:cs="Times New Roman" w:eastAsia="Times New Roman" w:hint="default"/>
          <w:spacing w:val="-1"/>
        </w:rPr>
        <w:t>2015</w:t>
      </w:r>
      <w:r>
        <w:rPr>
          <w:spacing w:val="-1"/>
        </w:rPr>
        <w:t>年度公司高级管理人员薪</w:t>
      </w:r>
      <w:r>
        <w:rPr/>
        <w:t> 酬方案严格执行了公司薪酬管理制度，绩效考核和薪酬发放的程序符合有关法律、法规、公司章程、规章制度等规定。</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ind w:left="0" w:right="1139"/>
        <w:jc w:val="right"/>
      </w:pPr>
      <w:r>
        <w:rPr/>
        <w:pict>
          <v:shape style="position:absolute;margin-left:56.459999pt;margin-top:-21.008278pt;width:479.2pt;height:279.650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41"/>
                    <w:gridCol w:w="303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w:t>
                        </w:r>
                        <w:r>
                          <w:rPr>
                            <w:rFonts w:ascii="宋体" w:hAnsi="宋体" w:cs="宋体" w:eastAsia="宋体" w:hint="default"/>
                            <w:spacing w:val="1"/>
                            <w:sz w:val="18"/>
                            <w:szCs w:val="18"/>
                          </w:rPr>
                          <w:t>巨</w:t>
                        </w:r>
                        <w:r>
                          <w:rPr>
                            <w:rFonts w:ascii="宋体" w:hAnsi="宋体" w:cs="宋体" w:eastAsia="宋体" w:hint="default"/>
                            <w:sz w:val="18"/>
                            <w:szCs w:val="18"/>
                          </w:rPr>
                          <w:t>潮资讯网刊登</w:t>
                        </w:r>
                        <w:r>
                          <w:rPr>
                            <w:rFonts w:ascii="宋体" w:hAnsi="宋体" w:cs="宋体" w:eastAsia="宋体" w:hint="default"/>
                            <w:spacing w:val="-90"/>
                            <w:sz w:val="18"/>
                            <w:szCs w:val="18"/>
                          </w:rPr>
                          <w:t>的</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年度内部控制自我评价报告</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7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300" w:lineRule="auto" w:before="52"/>
                          <w:ind w:left="22" w:right="2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、财务报告重大缺陷的迹象包括：①公司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董事、监事和高级管理人员的舞弊行为；</w:t>
                        </w:r>
                      </w:p>
                      <w:p>
                        <w:pPr>
                          <w:pStyle w:val="TableParagraph"/>
                          <w:spacing w:line="319" w:lineRule="auto" w:before="31"/>
                          <w:ind w:left="22" w:right="53"/>
                          <w:jc w:val="both"/>
                          <w:rPr>
                            <w:rFonts w:ascii="宋体" w:hAnsi="宋体" w:cs="宋体" w:eastAsia="宋体" w:hint="default"/>
                            <w:sz w:val="18"/>
                            <w:szCs w:val="18"/>
                          </w:rPr>
                        </w:pPr>
                        <w:r>
                          <w:rPr>
                            <w:rFonts w:ascii="宋体" w:hAnsi="宋体" w:cs="宋体" w:eastAsia="宋体" w:hint="default"/>
                            <w:sz w:val="18"/>
                            <w:szCs w:val="18"/>
                          </w:rPr>
                          <w:t>②公司更正已公布的财务报告；③注册会 计师发现当期财务报告存在重大错误，而 内部控制在运行过程中未能发现该错报；</w:t>
                        </w:r>
                      </w:p>
                      <w:p>
                        <w:pPr>
                          <w:pStyle w:val="TableParagraph"/>
                          <w:spacing w:line="309" w:lineRule="auto" w:before="17"/>
                          <w:ind w:left="22" w:right="-35"/>
                          <w:jc w:val="left"/>
                          <w:rPr>
                            <w:rFonts w:ascii="宋体" w:hAnsi="宋体" w:cs="宋体" w:eastAsia="宋体" w:hint="default"/>
                            <w:sz w:val="18"/>
                            <w:szCs w:val="18"/>
                          </w:rPr>
                        </w:pPr>
                        <w:r>
                          <w:rPr>
                            <w:rFonts w:ascii="宋体" w:hAnsi="宋体" w:cs="宋体" w:eastAsia="宋体" w:hint="default"/>
                            <w:sz w:val="18"/>
                            <w:szCs w:val="18"/>
                          </w:rPr>
                          <w:t>④审计委员会和审计部门对公司的对外财 务报告和财务报告内部控制监督无效。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财务报告重要缺陷的迹象包括：①未依照</w:t>
                        </w:r>
                      </w:p>
                    </w:tc>
                    <w:tc>
                      <w:tcPr>
                        <w:tcW w:w="3039" w:type="dxa"/>
                        <w:vMerge w:val="restart"/>
                        <w:tcBorders>
                          <w:top w:val="single" w:sz="4" w:space="0" w:color="000000"/>
                          <w:left w:val="single" w:sz="9" w:space="0" w:color="FFFFFF"/>
                          <w:right w:val="single" w:sz="4" w:space="0" w:color="000000"/>
                        </w:tcBorders>
                      </w:tcPr>
                      <w:p>
                        <w:pPr>
                          <w:pStyle w:val="TableParagraph"/>
                          <w:spacing w:line="312" w:lineRule="auto" w:before="52"/>
                          <w:ind w:left="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、非财务报告重大缺陷的存在迹象包 括：①违反国家法律法规或规范性文 </w:t>
                        </w:r>
                        <w:r>
                          <w:rPr>
                            <w:rFonts w:ascii="宋体" w:hAnsi="宋体" w:cs="宋体" w:eastAsia="宋体" w:hint="default"/>
                            <w:spacing w:val="-4"/>
                            <w:sz w:val="18"/>
                            <w:szCs w:val="18"/>
                          </w:rPr>
                          <w:t>件；②公司重大决策程序不科学；③重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要业务缺乏制度控制或制度系统性失 </w:t>
                        </w:r>
                        <w:r>
                          <w:rPr>
                            <w:rFonts w:ascii="宋体" w:hAnsi="宋体" w:cs="宋体" w:eastAsia="宋体" w:hint="default"/>
                            <w:spacing w:val="-4"/>
                            <w:sz w:val="18"/>
                            <w:szCs w:val="18"/>
                          </w:rPr>
                          <w:t>效；④内部控制评价的结果特别是重大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或重要缺陷未得到整改；⑤其他对公司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负面影响重大的情形。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、其他情形按 影响程度分别确定为重要缺陷或一般</w:t>
                        </w:r>
                      </w:p>
                    </w:tc>
                  </w:tr>
                  <w:tr>
                    <w:trPr>
                      <w:trHeight w:val="393"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1076"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0" w:right="1150"/>
        <w:jc w:val="right"/>
      </w:pPr>
      <w:r>
        <w:rPr/>
        <w:pict>
          <v:shape style="position:absolute;margin-left:56.459999pt;margin-top:-206.188263pt;width:479.2pt;height:306.3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285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both"/>
                          <w:rPr>
                            <w:rFonts w:ascii="宋体" w:hAnsi="宋体" w:cs="宋体" w:eastAsia="宋体" w:hint="default"/>
                            <w:sz w:val="18"/>
                            <w:szCs w:val="18"/>
                          </w:rPr>
                        </w:pPr>
                        <w:r>
                          <w:rPr>
                            <w:rFonts w:ascii="宋体" w:hAnsi="宋体" w:cs="宋体" w:eastAsia="宋体" w:hint="default"/>
                            <w:sz w:val="18"/>
                            <w:szCs w:val="18"/>
                          </w:rPr>
                          <w:t>公认会计准则选择和应用会计政策、未建 立反舞弊程序和控制措施；②对于非常规 或特殊交易的账务处理没有建立相应的控 制机制或没有实施且没有相应的补偿性控 制；③对于期末财务报告过程的控制存在 一项或多项缺陷且不能合理保证编制的财 </w:t>
                        </w:r>
                        <w:r>
                          <w:rPr>
                            <w:rFonts w:ascii="宋体" w:hAnsi="宋体" w:cs="宋体" w:eastAsia="宋体" w:hint="default"/>
                            <w:spacing w:val="-4"/>
                            <w:sz w:val="18"/>
                            <w:szCs w:val="18"/>
                          </w:rPr>
                          <w:t>务报表达到真实、准确的目标。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告一般缺陷是指上述重大缺陷、重要缺陷 之外的其他控制缺陷。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缺陷。</w:t>
                        </w: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20"/>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考虑补偿性控制措施和实际偏差率后，对 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的错报认定为重大 </w:t>
                        </w:r>
                        <w:r>
                          <w:rPr>
                            <w:rFonts w:ascii="宋体" w:hAnsi="宋体" w:cs="宋体" w:eastAsia="宋体" w:hint="default"/>
                            <w:spacing w:val="-3"/>
                            <w:sz w:val="18"/>
                            <w:szCs w:val="18"/>
                          </w:rPr>
                          <w:t>错报，对金额超过资产总额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的错报认 定为重要错报，其余为一般错误。</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w:t>
                        </w:r>
                        <w:r>
                          <w:rPr>
                            <w:rFonts w:ascii="宋体" w:hAnsi="宋体" w:cs="宋体" w:eastAsia="宋体" w:hint="default"/>
                            <w:spacing w:val="-4"/>
                            <w:sz w:val="18"/>
                            <w:szCs w:val="18"/>
                          </w:rPr>
                          <w:t>以涉及金额大小为标准，造成直接财务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损失占公司资产总额的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的为重大缺 </w:t>
                        </w:r>
                        <w:r>
                          <w:rPr>
                            <w:rFonts w:ascii="宋体" w:hAnsi="宋体" w:cs="宋体" w:eastAsia="宋体" w:hint="default"/>
                            <w:spacing w:val="-4"/>
                            <w:sz w:val="18"/>
                            <w:szCs w:val="18"/>
                          </w:rPr>
                          <w:t>陷，造成直接财产损失占公司资产总额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的为重要缺陷，其余为一般缺陷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2"/>
        <w:spacing w:line="240" w:lineRule="auto" w:before="26"/>
        <w:ind w:left="113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_TOC_250001" w:id="145"/>
      <w:bookmarkStart w:name="第十节 财务报告" w:id="146"/>
      <w:r>
        <w:rPr>
          <w:b w:val="0"/>
          <w:bCs w:val="0"/>
        </w:rPr>
      </w:r>
      <w:r>
        <w:rPr/>
        <w:t>第十节</w:t>
      </w:r>
      <w:r>
        <w:rPr>
          <w:spacing w:val="-5"/>
        </w:rPr>
        <w:t> </w:t>
      </w:r>
      <w:r>
        <w:rPr/>
        <w:t>财务报告</w:t>
      </w:r>
      <w:bookmarkEnd w:id="14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  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孙文军、边珊姗</w:t>
            </w:r>
          </w:p>
        </w:tc>
      </w:tr>
    </w:tbl>
    <w:p>
      <w:pPr>
        <w:pStyle w:val="BodyText"/>
        <w:spacing w:line="240" w:lineRule="auto" w:before="51"/>
        <w:ind w:left="1475" w:right="1474"/>
        <w:jc w:val="center"/>
      </w:pPr>
      <w:r>
        <w:rPr/>
        <w:t>审计报告正文</w:t>
      </w:r>
    </w:p>
    <w:p>
      <w:pPr>
        <w:tabs>
          <w:tab w:pos="668" w:val="left" w:leader="none"/>
          <w:tab w:pos="1337" w:val="left" w:leader="none"/>
          <w:tab w:pos="2005" w:val="left" w:leader="none"/>
        </w:tabs>
        <w:spacing w:before="125"/>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审</w:t>
        <w:tab/>
        <w:t>计</w:t>
        <w:tab/>
        <w:t>报</w:t>
        <w:tab/>
      </w:r>
      <w:r>
        <w:rPr>
          <w:rFonts w:ascii="宋体" w:hAnsi="宋体" w:cs="宋体" w:eastAsia="宋体" w:hint="default"/>
          <w:b/>
          <w:bCs/>
          <w:sz w:val="36"/>
          <w:szCs w:val="36"/>
        </w:rPr>
        <w:t>告</w:t>
      </w:r>
      <w:r>
        <w:rPr>
          <w:rFonts w:ascii="宋体" w:hAnsi="宋体" w:cs="宋体" w:eastAsia="宋体" w:hint="default"/>
          <w:sz w:val="36"/>
          <w:szCs w:val="36"/>
        </w:rPr>
      </w:r>
    </w:p>
    <w:p>
      <w:pPr>
        <w:pStyle w:val="BodyText"/>
        <w:spacing w:line="240" w:lineRule="auto" w:before="142"/>
        <w:ind w:left="5162" w:right="0"/>
        <w:jc w:val="left"/>
      </w:pPr>
      <w:r>
        <w:rPr/>
        <w:t>天健审〔</w:t>
      </w:r>
      <w:r>
        <w:rPr>
          <w:rFonts w:ascii="Times New Roman" w:hAnsi="Times New Roman" w:cs="Times New Roman" w:eastAsia="Times New Roman" w:hint="default"/>
        </w:rPr>
        <w:t>2016</w:t>
      </w:r>
      <w:r>
        <w:rPr/>
        <w:t>〕</w:t>
      </w:r>
      <w:r>
        <w:rPr>
          <w:spacing w:val="55"/>
        </w:rPr>
        <w:t> </w:t>
      </w:r>
      <w:r>
        <w:rPr/>
        <w:t>号</w:t>
      </w:r>
    </w:p>
    <w:p>
      <w:pPr>
        <w:spacing w:line="240" w:lineRule="auto" w:before="0"/>
        <w:rPr>
          <w:rFonts w:ascii="宋体" w:hAnsi="宋体" w:cs="宋体" w:eastAsia="宋体" w:hint="default"/>
          <w:sz w:val="18"/>
          <w:szCs w:val="18"/>
        </w:rPr>
      </w:pPr>
    </w:p>
    <w:p>
      <w:pPr>
        <w:pStyle w:val="BodyText"/>
        <w:spacing w:line="316" w:lineRule="auto" w:before="139"/>
        <w:ind w:left="1613" w:right="0" w:hanging="480"/>
        <w:jc w:val="left"/>
      </w:pPr>
      <w:r>
        <w:rPr/>
        <w:t>杭州高新橡塑材料股份有限公司全体股东： </w:t>
      </w:r>
      <w:r>
        <w:rPr>
          <w:spacing w:val="-1"/>
        </w:rPr>
        <w:t>我们审计了后附的杭州高新橡塑材料股份有限公司（以下简称杭州高新公司）财务报表，包括</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日的资产</w:t>
      </w:r>
    </w:p>
    <w:p>
      <w:pPr>
        <w:pStyle w:val="BodyText"/>
        <w:spacing w:line="248" w:lineRule="exact" w:before="0"/>
        <w:ind w:right="0"/>
        <w:jc w:val="left"/>
      </w:pPr>
      <w:r>
        <w:rPr/>
        <w:t>负债表，</w:t>
      </w:r>
      <w:r>
        <w:rPr>
          <w:rFonts w:ascii="Times New Roman" w:hAnsi="Times New Roman" w:cs="Times New Roman" w:eastAsia="Times New Roman" w:hint="default"/>
        </w:rPr>
        <w:t>2015</w:t>
      </w:r>
      <w:r>
        <w:rPr/>
        <w:t>年度的利润表、现金流量表和所有者权益变动表，以及财务报表附注。</w:t>
      </w:r>
    </w:p>
    <w:p>
      <w:pPr>
        <w:spacing w:line="240" w:lineRule="auto" w:before="0"/>
        <w:rPr>
          <w:rFonts w:ascii="宋体" w:hAnsi="宋体" w:cs="宋体" w:eastAsia="宋体" w:hint="default"/>
          <w:sz w:val="18"/>
          <w:szCs w:val="18"/>
        </w:rPr>
      </w:pPr>
    </w:p>
    <w:p>
      <w:pPr>
        <w:spacing w:line="316" w:lineRule="auto" w:before="139"/>
        <w:ind w:left="1613" w:right="0"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编制和公允列报财务报表是杭州高新公司管理层的责任，这种责任包括：（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w:t>
      </w:r>
    </w:p>
    <w:p>
      <w:pPr>
        <w:pStyle w:val="BodyText"/>
        <w:spacing w:line="248" w:lineRule="exact" w:before="0"/>
        <w:ind w:right="0"/>
        <w:jc w:val="left"/>
      </w:pPr>
      <w:r>
        <w:rPr/>
        <w:t>表，并使其实现公允反映；（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pStyle w:val="BodyText"/>
        <w:spacing w:line="316" w:lineRule="auto" w:before="139"/>
        <w:ind w:left="1614" w:right="0" w:firstLine="2"/>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19"/>
        <w:ind w:left="1134" w:right="0"/>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pStyle w:val="BodyText"/>
        <w:spacing w:line="312" w:lineRule="auto" w:before="19"/>
        <w:ind w:left="1134" w:right="0"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w:t>
      </w:r>
      <w:r>
        <w:rPr>
          <w:rFonts w:ascii="宋体" w:hAnsi="宋体" w:cs="宋体" w:eastAsia="宋体" w:hint="default"/>
          <w:i/>
          <w:spacing w:val="-2"/>
          <w:sz w:val="19"/>
          <w:szCs w:val="19"/>
        </w:rPr>
        <w:t>，</w:t>
      </w:r>
      <w:r>
        <w:rPr>
          <w:spacing w:val="-2"/>
        </w:rPr>
        <w:t>但目的并非对内部控制的有效性发表意见。审计工作还包括评价管理层选用会</w:t>
      </w:r>
      <w:r>
        <w:rPr>
          <w:spacing w:val="-76"/>
        </w:rPr>
        <w:t> </w:t>
      </w:r>
      <w:r>
        <w:rPr>
          <w:spacing w:val="-76"/>
        </w:rPr>
      </w:r>
      <w:r>
        <w:rPr/>
        <w:t>计政策的恰当性和作出会计估计的合理性，以及评价财务报表的总体列报。</w:t>
      </w:r>
    </w:p>
    <w:p>
      <w:pPr>
        <w:pStyle w:val="BodyText"/>
        <w:spacing w:line="240" w:lineRule="auto" w:before="22"/>
        <w:ind w:left="1613" w:right="0"/>
        <w:jc w:val="left"/>
      </w:pPr>
      <w:r>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pStyle w:val="BodyText"/>
        <w:spacing w:line="316" w:lineRule="auto" w:before="153"/>
        <w:ind w:left="1613" w:right="1118" w:firstLine="2"/>
        <w:jc w:val="left"/>
        <w:rPr>
          <w:rFonts w:ascii="Times New Roman" w:hAnsi="Times New Roman" w:cs="Times New Roman" w:eastAsia="Times New Roman" w:hint="default"/>
        </w:rPr>
      </w:pPr>
      <w:r>
        <w:rPr>
          <w:rFonts w:ascii="宋体" w:hAnsi="宋体" w:cs="宋体" w:eastAsia="宋体" w:hint="default"/>
          <w:b/>
          <w:bCs/>
        </w:rPr>
        <w:t>三、审计意见</w:t>
      </w:r>
      <w:r>
        <w:rPr>
          <w:rFonts w:ascii="宋体" w:hAnsi="宋体" w:cs="宋体" w:eastAsia="宋体" w:hint="default"/>
          <w:b/>
          <w:bCs/>
          <w:w w:val="99"/>
        </w:rPr>
        <w:t> </w:t>
      </w:r>
      <w:r>
        <w:rPr>
          <w:spacing w:val="-1"/>
        </w:rPr>
        <w:t>我们认为，杭州高新公司财务报表在所有重大方面按照企业会计准则的规定编制，公允反映了杭州高新公司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p>
    <w:p>
      <w:pPr>
        <w:pStyle w:val="BodyText"/>
        <w:spacing w:line="248" w:lineRule="exact" w:before="0"/>
        <w:ind w:right="0"/>
        <w:jc w:val="left"/>
      </w:pP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2015</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tabs>
          <w:tab w:pos="8794" w:val="left" w:leader="none"/>
        </w:tabs>
        <w:spacing w:line="636" w:lineRule="auto" w:before="0"/>
        <w:ind w:left="6522" w:right="1130" w:hanging="1523"/>
        <w:jc w:val="left"/>
      </w:pPr>
      <w:r>
        <w:rPr/>
        <w:t>天健会计师事务所（特殊普通合伙）</w:t>
        <w:tab/>
        <w:t>中国注册会计师：孙文军 </w:t>
      </w:r>
      <w:r>
        <w:rPr>
          <w:spacing w:val="-1"/>
        </w:rPr>
        <w:t>中国</w:t>
      </w:r>
      <w:r>
        <w:rPr>
          <w:rFonts w:ascii="Times New Roman" w:hAnsi="Times New Roman" w:cs="Times New Roman" w:eastAsia="Times New Roman" w:hint="default"/>
          <w:spacing w:val="-1"/>
        </w:rPr>
        <w:t>·</w:t>
      </w:r>
      <w:r>
        <w:rPr>
          <w:spacing w:val="-1"/>
        </w:rPr>
        <w:t>杭州</w:t>
        <w:tab/>
        <w:t>中国注册会计师：边珊姗</w:t>
      </w:r>
    </w:p>
    <w:p>
      <w:pPr>
        <w:spacing w:after="0" w:line="63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240" w:lineRule="auto" w:before="26"/>
        <w:ind w:right="0"/>
        <w:jc w:val="left"/>
        <w:rPr>
          <w:b w:val="0"/>
          <w:bCs w:val="0"/>
        </w:rPr>
      </w:pPr>
      <w:bookmarkStart w:name="二、财务报表" w:id="148"/>
      <w:bookmarkEnd w:id="148"/>
      <w:r>
        <w:rPr>
          <w:b w:val="0"/>
          <w:bCs w:val="0"/>
        </w:rPr>
      </w:r>
      <w:r>
        <w:rPr/>
        <w:t>二、财务报表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资产负债表" w:id="149"/>
      <w:bookmarkEnd w:id="149"/>
      <w:r>
        <w:rPr>
          <w:b w:val="0"/>
          <w:bCs w:val="0"/>
        </w:rPr>
      </w:r>
      <w:r>
        <w:rPr>
          <w:rFonts w:ascii="Times New Roman" w:hAnsi="Times New Roman" w:cs="Times New Roman" w:eastAsia="Times New Roman" w:hint="default"/>
        </w:rPr>
        <w:t>1</w:t>
      </w:r>
      <w:r>
        <w:rPr/>
        <w:t>、资产负债表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t>编制单位：杭州高新橡塑材料股份有限公司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6"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153,202,224.79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49,090,702.39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51,193,357.63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72,267,849.25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168,837,356.41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133,973,043.67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552,991.45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4,332,410.12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4,301,340.40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3,852,834.90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48,354,774.23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30,279,449.25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298,110.49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247,008.55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426,740,155.40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294,043,298.13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4,194,042.59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4,423,948.79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69,259,478.58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61,485,748.41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41,023,130.51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6,162,672.53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47,893,227.87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53,709,972.79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1,444,655.63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1,491,238.25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163,814,535.18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127,273,580.77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590,554,690.58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421,316,878.90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5,448,249.79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17,298,429.75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27,558,125.69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35,198,874.93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873,053.84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265,569.03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2,070,658.19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1,759,896.88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6,531,796.22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6,014,784.80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85,825.97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230,885.48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2,360,918.33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471,337.76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100,928,628.03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178,339,778.63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100,928,628.03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178,339,778.63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240,142,564.59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43,777,899.74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30,249,524.71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24,082,380.10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152,563,973.25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125,116,820.43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489,626,062.55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242,977,100.27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489,626,062.55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242,977,100.27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590,554,690.58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421,316,878.90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法定代表人：高长虹</w:t>
        <w:tab/>
        <w:t>主管会计工作负责人：楼永富</w:t>
        <w:tab/>
        <w:t>会计机构负责人：缪勇刚</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利润表" w:id="150"/>
      <w:bookmarkEnd w:id="150"/>
      <w:r>
        <w:rPr>
          <w:b w:val="0"/>
          <w:bCs w:val="0"/>
        </w:rPr>
      </w:r>
      <w:r>
        <w:rPr>
          <w:rFonts w:ascii="Times New Roman" w:hAnsi="Times New Roman" w:cs="Times New Roman" w:eastAsia="Times New Roman" w:hint="default"/>
        </w:rPr>
        <w:t>2</w:t>
      </w:r>
      <w:r>
        <w:rPr/>
        <w:t>、利润表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542,310,639.42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572,955,064.27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542,310,639.42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572,955,064.27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499,787,219.44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523,945,740.59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414,050,711.04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442,621,816.03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1,624,767.90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2,023,547.72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31,452,028.88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30,810,743.59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46,214,488.47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36,956,226.31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6,523,642.64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8,855,915.68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-78,419.49</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2,677,491.26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26.29998pt;width:157.7pt;height:19.650pt;mso-position-horizontal-relative:page;mso-position-vertical-relative:page;z-index:-788656" coordorigin="4242,2526" coordsize="3154,393">
            <v:shape style="position:absolute;left:4242;top:2526;width:3154;height:393" coordorigin="4242,2526" coordsize="3154,393" path="m4242,2919l7396,2919,7396,2526,4242,2526,4242,2919xe" filled="true" fillcolor="#ffffff" stroked="false">
              <v:path arrowok="t"/>
              <v:fill type="solid"/>
            </v:shape>
            <w10:wrap type="none"/>
          </v:group>
        </w:pict>
      </w:r>
      <w:r>
        <w:rPr/>
        <w:pict>
          <v:group style="position:absolute;margin-left:212.119995pt;margin-top:246.919983pt;width:157.7pt;height:19.650pt;mso-position-horizontal-relative:page;mso-position-vertical-relative:page;z-index:-788632" coordorigin="4242,4938" coordsize="3154,393">
            <v:shape style="position:absolute;left:4242;top:4938;width:3154;height:393" coordorigin="4242,4938" coordsize="3154,393" path="m4242,5331l7396,5331,7396,4938,4242,4938,4242,53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42,523,419.98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49,009,323.68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3,819,911.38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3,752,991.11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1,858,375.20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303,722.86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233,035.76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213,312.37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63,018.65</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46,039,608.50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52,529,279.03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4,925,311.07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6,378,146.78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41,114,297.43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46,151,132.25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41,114,297.43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46,151,132.25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41,114,297.43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46,151,132.25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41,114,297.43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46,151,132.25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bl>
    <w:p>
      <w:pPr>
        <w:pStyle w:val="BodyText"/>
        <w:tabs>
          <w:tab w:pos="4554" w:val="left" w:leader="none"/>
          <w:tab w:pos="86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法定代表人：高长虹</w:t>
        <w:tab/>
        <w:t>主管会计工作负责人：楼永富</w:t>
        <w:tab/>
        <w:t>会计机构负责人：缪勇刚 </w:t>
      </w:r>
      <w:bookmarkStart w:name="3、现金流量表" w:id="151"/>
      <w:bookmarkEnd w:id="15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、现金流量表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241,334,098.59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315,337,877.21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457,865.35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431,798.17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8,134,708.66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9,077,388.18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249,926,672.60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324,847,063.56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158,987,745.55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219,972,037.82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29,710,349.77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24,835,828.98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21,248,216.00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23,911,314.53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37,453,012.05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43,095,595.40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247,399,323.37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311,814,776.73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2,527,349.23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13,032,286.83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7,416,100.00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32,641.00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7,416,100.00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32,641.00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43,420,731.24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34,758,642.15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581,147.79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44,001,879.03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38,358,642.15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-36,585,779.03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-38,326,001.15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229,592,176.00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380,592,176.00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13,537,355.48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14,093,883.16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11,484,869.66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237,122,225.14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143,093,883.16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143,469,950.86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12,006,116.84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109,411,522.40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-13,287,597.41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43,790,702.39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57,078,299.80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153,202,224.79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43,790,702.39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4、所有者权益变动表" w:id="152"/>
      <w:bookmarkEnd w:id="152"/>
      <w:r>
        <w:rPr>
          <w:b w:val="0"/>
          <w:bCs w:val="0"/>
        </w:rPr>
      </w:r>
      <w:r>
        <w:rPr>
          <w:rFonts w:ascii="Times New Roman" w:hAnsi="Times New Roman" w:cs="Times New Roman" w:eastAsia="Times New Roman" w:hint="default"/>
        </w:rPr>
        <w:t>4</w:t>
      </w:r>
      <w:r>
        <w:rPr/>
        <w:t>、所有者权益变动表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899.74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24,082,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380.10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125,116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,820.43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242,977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,100.27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899.74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24,082,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380.10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125,116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,820.43</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242,977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,100.27</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1"/>
              <w:jc w:val="right"/>
              <w:rPr>
                <w:rFonts w:ascii="宋体" w:hAnsi="宋体" w:cs="宋体" w:eastAsia="宋体" w:hint="default"/>
                <w:sz w:val="18"/>
                <w:szCs w:val="18"/>
              </w:rPr>
            </w:pPr>
            <w:r>
              <w:rPr>
                <w:rFonts w:ascii="宋体" w:hAnsi="宋体" w:cs="宋体" w:eastAsia="宋体" w:hint="default"/>
                <w:spacing w:val="-8"/>
                <w:sz w:val="18"/>
                <w:szCs w:val="18"/>
              </w:rPr>
              <w:t>三、本期增减变动</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16,670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6" w:right="0"/>
              <w:jc w:val="left"/>
              <w:rPr>
                <w:rFonts w:ascii="Times New Roman" w:hAnsi="Times New Roman" w:cs="Times New Roman" w:eastAsia="Times New Roman" w:hint="default"/>
                <w:sz w:val="18"/>
                <w:szCs w:val="18"/>
              </w:rPr>
            </w:pPr>
            <w:r>
              <w:rPr>
                <w:rFonts w:ascii="Times New Roman"/>
                <w:sz w:val="18"/>
              </w:rPr>
              <w:t>196,364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6,167,1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27,447,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246,648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1" w:right="0"/>
              <w:jc w:val="left"/>
              <w:rPr>
                <w:rFonts w:ascii="Times New Roman" w:hAnsi="Times New Roman" w:cs="Times New Roman" w:eastAsia="Times New Roman" w:hint="default"/>
                <w:sz w:val="18"/>
                <w:szCs w:val="18"/>
              </w:rPr>
            </w:pPr>
            <w:r>
              <w:rPr>
                <w:rFonts w:ascii="Times New Roman"/>
                <w:sz w:val="18"/>
              </w:rPr>
              <w:t>,664.85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44.61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152.82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,962.28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41,114,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297.43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41,114,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297.43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196,364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,664.85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213,034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,664.85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16,670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196,364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,664.85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213,034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,664.85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6,167,1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44.61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-13,667,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144.61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6,167,1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44.61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-6,167,1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240,142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524.71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152,563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,973.25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489,626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,062.55</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899.74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17,159,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710.26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93,388,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358.02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204,325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,968.02</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899.74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17,159,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710.26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93,388,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358.02</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204,325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,968.02</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6,922,6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31,728,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462.41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38,651,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132.25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46,151,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132.25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46,151,</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132.25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6,922,6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-14,422,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669.84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6,922,6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69.84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-6,922,6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69.84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43,777,</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899.74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24,082,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380.10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125,116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,820.43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242,977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,100.27</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53"/>
      <w:bookmarkEnd w:id="153"/>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4" w:lineRule="auto" w:before="0"/>
        <w:ind w:right="1129" w:firstLine="420"/>
        <w:jc w:val="both"/>
      </w:pPr>
      <w:r>
        <w:rPr/>
        <w:t>杭州高新橡塑材料股份有限公司（以下简称公司或本公司）之前身杭州高新绝缘材料有限公司（以下简称高新绝缘材 </w:t>
      </w:r>
      <w:r>
        <w:rPr>
          <w:spacing w:val="-2"/>
        </w:rPr>
        <w:t>料公司），系经杭州市余杭区对外贸易经济合作局余外经贸资〔</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88</w:t>
      </w:r>
      <w:r>
        <w:rPr>
          <w:spacing w:val="-2"/>
        </w:rPr>
        <w:t>号文件批准，由杭州高新塑料厂与中国双帆投资控</w:t>
      </w:r>
      <w:r>
        <w:rPr>
          <w:spacing w:val="-59"/>
        </w:rPr>
        <w:t> </w:t>
      </w:r>
      <w:r>
        <w:rPr>
          <w:spacing w:val="-59"/>
        </w:rPr>
      </w:r>
      <w:r>
        <w:rPr>
          <w:spacing w:val="-1"/>
        </w:rPr>
        <w:t>股集团</w:t>
      </w:r>
      <w:r>
        <w:rPr>
          <w:rFonts w:ascii="Times New Roman" w:hAnsi="Times New Roman" w:cs="Times New Roman" w:eastAsia="Times New Roman" w:hint="default"/>
          <w:spacing w:val="-1"/>
        </w:rPr>
        <w:t>(</w:t>
      </w:r>
      <w:r>
        <w:rPr>
          <w:spacing w:val="-1"/>
        </w:rPr>
        <w:t>香港</w:t>
      </w:r>
      <w:r>
        <w:rPr>
          <w:rFonts w:ascii="Times New Roman" w:hAnsi="Times New Roman" w:cs="Times New Roman" w:eastAsia="Times New Roman" w:hint="default"/>
          <w:spacing w:val="-1"/>
        </w:rPr>
        <w:t>)</w:t>
      </w:r>
      <w:r>
        <w:rPr>
          <w:spacing w:val="-1"/>
        </w:rPr>
        <w:t>有限公司共同投资设立的中外合资企业，于</w:t>
      </w: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日在杭州市工商行政管理局登记注册，总部位于浙江</w:t>
      </w:r>
      <w:r>
        <w:rPr>
          <w:spacing w:val="-53"/>
        </w:rPr>
        <w:t> </w:t>
      </w:r>
      <w:r>
        <w:rPr>
          <w:spacing w:val="-53"/>
        </w:rPr>
      </w:r>
      <w:r>
        <w:rPr>
          <w:spacing w:val="-2"/>
        </w:rPr>
        <w:t>省杭州市。公司现持有统一社会信用代码为</w:t>
      </w:r>
      <w:r>
        <w:rPr>
          <w:rFonts w:ascii="Times New Roman" w:hAnsi="Times New Roman" w:cs="Times New Roman" w:eastAsia="Times New Roman" w:hint="default"/>
          <w:spacing w:val="-2"/>
        </w:rPr>
        <w:t>91330000768295527</w:t>
      </w:r>
      <w:r>
        <w:rPr>
          <w:spacing w:val="-2"/>
        </w:rPr>
        <w:t>《营业执照》，注册资本</w:t>
      </w:r>
      <w:r>
        <w:rPr>
          <w:rFonts w:ascii="Times New Roman" w:hAnsi="Times New Roman" w:cs="Times New Roman" w:eastAsia="Times New Roman" w:hint="default"/>
          <w:spacing w:val="-2"/>
        </w:rPr>
        <w:t>6,667</w:t>
      </w:r>
      <w:r>
        <w:rPr>
          <w:spacing w:val="-2"/>
        </w:rPr>
        <w:t>万元，股份总数</w:t>
      </w:r>
      <w:r>
        <w:rPr>
          <w:rFonts w:ascii="Times New Roman" w:hAnsi="Times New Roman" w:cs="Times New Roman" w:eastAsia="Times New Roman" w:hint="default"/>
          <w:spacing w:val="-2"/>
        </w:rPr>
        <w:t>6,667</w:t>
      </w:r>
      <w:r>
        <w:rPr>
          <w:spacing w:val="-2"/>
        </w:rPr>
        <w:t>万股（每</w:t>
      </w:r>
      <w:r>
        <w:rPr>
          <w:spacing w:val="-43"/>
        </w:rPr>
        <w:t> </w:t>
      </w:r>
      <w:r>
        <w:rPr>
          <w:spacing w:val="-43"/>
        </w:rPr>
      </w:r>
      <w:r>
        <w:rPr/>
        <w:t>股面值</w:t>
      </w:r>
      <w:r>
        <w:rPr>
          <w:rFonts w:ascii="Times New Roman" w:hAnsi="Times New Roman" w:cs="Times New Roman" w:eastAsia="Times New Roman" w:hint="default"/>
        </w:rPr>
        <w:t>1</w:t>
      </w:r>
      <w:r>
        <w:rPr/>
        <w:t>元）。其中，有限售条件的流通股份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5,000</w:t>
      </w:r>
      <w:r>
        <w:rPr/>
        <w:t>万股；无限售条件的流通股份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1,667</w:t>
      </w:r>
      <w:r>
        <w:rPr/>
        <w:t>万股。公司股票已于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10</w:t>
      </w:r>
      <w:r>
        <w:rPr/>
        <w:t>日在深圳证券交易所挂牌交易。</w:t>
      </w:r>
    </w:p>
    <w:p>
      <w:pPr>
        <w:pStyle w:val="BodyText"/>
        <w:spacing w:line="316" w:lineRule="auto" w:before="9"/>
        <w:ind w:left="1134" w:right="1043" w:firstLine="420"/>
        <w:jc w:val="both"/>
      </w:pPr>
      <w:r>
        <w:rPr/>
        <w:t>本公司属高分子橡塑电缆料制造行业。公司经营范围：高分子橡塑材料的研发、生产（上述经营范围内涉及前置审批 </w:t>
      </w:r>
      <w:r>
        <w:rPr>
          <w:spacing w:val="-7"/>
        </w:rPr>
        <w:t>项目的，在批准的有效期内方可经营）及销售；橡塑材料批发及进出口（涉及国家专项规定管理的商品按国家有关规定办理）。</w:t>
      </w:r>
    </w:p>
    <w:p>
      <w:pPr>
        <w:pStyle w:val="BodyText"/>
        <w:spacing w:line="338" w:lineRule="auto" w:before="60"/>
        <w:ind w:right="4973" w:firstLine="290"/>
        <w:jc w:val="left"/>
      </w:pPr>
      <w:r>
        <w:rPr/>
        <w:t>本财务报表业经公司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日二届十二次董事会批准对外报出。 公司本期无合并财务报表</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四、财务报表的编制基础" w:id="154"/>
      <w:bookmarkEnd w:id="154"/>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编制基础" w:id="155"/>
      <w:bookmarkEnd w:id="15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129"/>
        <w:jc w:val="both"/>
      </w:pPr>
      <w:r>
        <w:rPr>
          <w:spacing w:val="-2"/>
        </w:rPr>
        <w:t>本公司财务报表以持续经营为编制基础，根据实际发生的交易和事项，按照财政部颁布的《企业会计准则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w:t>
      </w:r>
      <w:r>
        <w:rPr>
          <w:spacing w:val="-66"/>
        </w:rPr>
        <w:t> </w:t>
      </w:r>
      <w:r>
        <w:rPr>
          <w:spacing w:val="-66"/>
        </w:rPr>
      </w:r>
      <w:r>
        <w:rPr>
          <w:spacing w:val="-2"/>
        </w:rPr>
        <w:t>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w:t>
      </w:r>
      <w:r>
        <w:rPr>
          <w:spacing w:val="-45"/>
        </w:rPr>
        <w:t> </w:t>
      </w:r>
      <w:r>
        <w:rPr>
          <w:spacing w:val="-45"/>
        </w:rPr>
      </w:r>
      <w:r>
        <w:rPr/>
        <w:t>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持续经营" w:id="156"/>
      <w:bookmarkEnd w:id="15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1131"/>
        <w:jc w:val="both"/>
      </w:pPr>
      <w:r>
        <w:rPr>
          <w:spacing w:val="-2"/>
        </w:rPr>
        <w:t>从公司目前获知的信息，综合考虑宏观政策风险、市场经营风险、企业目前或长期的盈利能力、偿债能力、财务资源支持等</w:t>
      </w:r>
      <w:r>
        <w:rPr>
          <w:spacing w:val="-66"/>
        </w:rPr>
        <w:t> </w:t>
      </w:r>
      <w:r>
        <w:rPr>
          <w:spacing w:val="-66"/>
        </w:rPr>
      </w:r>
      <w:r>
        <w:rPr>
          <w:spacing w:val="-2"/>
        </w:rPr>
        <w:t>因素，本公司认为不存在对公司报告期未来</w:t>
      </w:r>
      <w:r>
        <w:rPr>
          <w:rFonts w:ascii="Times New Roman" w:hAnsi="Times New Roman" w:cs="Times New Roman" w:eastAsia="Times New Roman" w:hint="default"/>
          <w:spacing w:val="-2"/>
        </w:rPr>
        <w:t>12</w:t>
      </w:r>
      <w:r>
        <w:rPr>
          <w:spacing w:val="-2"/>
        </w:rPr>
        <w:t>个月持续经营假设产生重大疑虑的事项或情况，以持续经营为基础编制财务报</w:t>
      </w:r>
      <w:r>
        <w:rPr>
          <w:spacing w:val="-62"/>
        </w:rPr>
        <w:t> </w:t>
      </w:r>
      <w:r>
        <w:rPr>
          <w:spacing w:val="-62"/>
        </w:rPr>
      </w:r>
      <w:r>
        <w:rPr/>
        <w:t>表是合理的。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18"/>
        <w:ind w:left="1134" w:right="0"/>
        <w:jc w:val="both"/>
        <w:rPr>
          <w:b w:val="0"/>
          <w:bCs w:val="0"/>
        </w:rPr>
      </w:pPr>
      <w:bookmarkStart w:name="五、重要会计政策及会计估计" w:id="157"/>
      <w:bookmarkEnd w:id="157"/>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left="1134" w:right="8232"/>
        <w:jc w:val="left"/>
      </w:pPr>
      <w:r>
        <w:rPr/>
        <w:t>具体会计政策和会计估计提示： 具体会计政策和会计估计提示：</w:t>
      </w:r>
    </w:p>
    <w:p>
      <w:pPr>
        <w:pStyle w:val="BodyText"/>
        <w:spacing w:line="240" w:lineRule="auto" w:before="25"/>
        <w:ind w:left="1134" w:right="0"/>
        <w:jc w:val="both"/>
      </w:pPr>
      <w:r>
        <w:rPr/>
        <w:t>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63"/>
        <w:ind w:right="0"/>
        <w:jc w:val="both"/>
      </w:pPr>
      <w:r>
        <w:rPr/>
        <w:t>《企业会计准则</w:t>
      </w:r>
      <w:r>
        <w:rPr>
          <w:rFonts w:ascii="Times New Roman" w:hAnsi="Times New Roman" w:cs="Times New Roman" w:eastAsia="Times New Roman" w:hint="default"/>
        </w:rPr>
        <w:t>—</w:t>
      </w:r>
      <w:r>
        <w:rPr/>
        <w:t>基本准则》（修订）、</w:t>
      </w:r>
    </w:p>
    <w:p>
      <w:pPr>
        <w:pStyle w:val="BodyText"/>
        <w:spacing w:line="240" w:lineRule="auto" w:before="63"/>
        <w:ind w:right="0"/>
        <w:jc w:val="both"/>
      </w:pPr>
      <w:r>
        <w:rPr/>
        <w:t>《企业会计准则第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职工薪酬》（修订）、</w:t>
      </w:r>
    </w:p>
    <w:p>
      <w:pPr>
        <w:pStyle w:val="BodyText"/>
        <w:spacing w:line="240" w:lineRule="auto" w:before="63"/>
        <w:ind w:left="1134" w:right="0"/>
        <w:jc w:val="both"/>
      </w:pPr>
      <w:r>
        <w:rPr/>
        <w:t>《企业会计准则第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财务报表列报》（修订）、</w:t>
      </w:r>
    </w:p>
    <w:p>
      <w:pPr>
        <w:pStyle w:val="BodyText"/>
        <w:spacing w:line="240" w:lineRule="auto" w:before="63"/>
        <w:ind w:left="1134" w:right="0"/>
        <w:jc w:val="both"/>
      </w:pPr>
      <w:r>
        <w:rPr/>
        <w:t>《企业会计准则第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合并财务报表》（修订）、</w:t>
      </w:r>
    </w:p>
    <w:p>
      <w:pPr>
        <w:pStyle w:val="BodyText"/>
        <w:spacing w:line="240" w:lineRule="auto" w:before="63"/>
        <w:ind w:left="1134" w:right="0"/>
        <w:jc w:val="both"/>
      </w:pPr>
      <w:r>
        <w:rPr/>
        <w:t>《企业会计准则第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金融工具列报》（修订）、</w:t>
      </w:r>
    </w:p>
    <w:p>
      <w:pPr>
        <w:pStyle w:val="BodyText"/>
        <w:spacing w:line="240" w:lineRule="auto" w:before="63"/>
        <w:ind w:left="1134" w:right="0"/>
        <w:jc w:val="both"/>
      </w:pPr>
      <w:r>
        <w:rPr/>
        <w:t>《企业会计准则第</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公允价值计量》。</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遵循企业会计准则的声明" w:id="158"/>
      <w:bookmarkEnd w:id="15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spacing w:val="-4"/>
        </w:rPr>
        <w:t>本公司所编制的财务报表符合企业会计准则的要求，真实、完整地反映了公司的财务状况、经营成果和现金流量等有关信息。</w:t>
      </w:r>
    </w:p>
    <w:p>
      <w:pPr>
        <w:spacing w:line="240" w:lineRule="auto" w:before="12"/>
        <w:rPr>
          <w:rFonts w:ascii="宋体" w:hAnsi="宋体" w:cs="宋体" w:eastAsia="宋体" w:hint="default"/>
          <w:sz w:val="26"/>
          <w:szCs w:val="26"/>
        </w:rPr>
      </w:pPr>
    </w:p>
    <w:p>
      <w:pPr>
        <w:spacing w:line="547" w:lineRule="auto" w:before="0"/>
        <w:ind w:left="1133" w:right="7513" w:firstLine="0"/>
        <w:jc w:val="left"/>
        <w:rPr>
          <w:rFonts w:ascii="宋体" w:hAnsi="宋体" w:cs="宋体" w:eastAsia="宋体" w:hint="default"/>
          <w:sz w:val="21"/>
          <w:szCs w:val="21"/>
        </w:rPr>
      </w:pPr>
      <w:bookmarkStart w:name="2、会计期间" w:id="159"/>
      <w:bookmarkEnd w:id="15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60"/>
      <w:bookmarkEnd w:id="16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both"/>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4、记账本位币" w:id="161"/>
      <w:bookmarkEnd w:id="16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采用人民币为记账本位币。</w:t>
      </w:r>
    </w:p>
    <w:p>
      <w:pPr>
        <w:spacing w:after="0" w:line="240"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5、同一控制下和非同一控制下企业合并的会计处理方法" w:id="162"/>
      <w:bookmarkEnd w:id="16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6、合并财务报表的编制方法" w:id="163"/>
      <w:bookmarkEnd w:id="16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7、合营安排分类及共同经营会计处理方法" w:id="164"/>
      <w:bookmarkEnd w:id="16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8、现金及现金等价物的确定标准" w:id="165"/>
      <w:bookmarkEnd w:id="16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jc w:val="left"/>
      </w:pPr>
      <w:r>
        <w:rPr>
          <w:spacing w:val="-2"/>
        </w:rPr>
        <w:t>列示于现金流量表中的现金是指库存现金以及可以随时用于支付的存款。现金等价物是指企业持有的期限短、流动性强、易</w:t>
      </w:r>
      <w:r>
        <w:rPr>
          <w:spacing w:val="-65"/>
        </w:rPr>
        <w:t> </w:t>
      </w:r>
      <w:r>
        <w:rPr>
          <w:spacing w:val="-65"/>
        </w:rPr>
      </w:r>
      <w:r>
        <w:rPr/>
        <w:t>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66"/>
      <w:bookmarkEnd w:id="16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3"/>
        <w:rPr>
          <w:rFonts w:ascii="宋体" w:hAnsi="宋体" w:cs="宋体" w:eastAsia="宋体" w:hint="default"/>
          <w:b/>
          <w:bCs/>
          <w:sz w:val="25"/>
          <w:szCs w:val="25"/>
        </w:rPr>
      </w:pPr>
    </w:p>
    <w:p>
      <w:pPr>
        <w:pStyle w:val="Heading5"/>
        <w:spacing w:line="271" w:lineRule="auto"/>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外币业务折算</w:t>
      </w:r>
      <w:r>
        <w:rPr>
          <w:w w:val="100"/>
        </w:rPr>
        <w:t> </w:t>
      </w:r>
      <w:r>
        <w:rPr/>
        <w:t>外币交易在初始确认时，采用交易发生日的即期汇率折算为人民币金额。资产负债表日，外币货币性项目</w:t>
      </w:r>
    </w:p>
    <w:p>
      <w:pPr>
        <w:pStyle w:val="Heading5"/>
        <w:spacing w:line="285" w:lineRule="auto" w:before="24"/>
        <w:ind w:right="1135"/>
        <w:jc w:val="both"/>
      </w:pPr>
      <w:r>
        <w:rPr/>
        <w:t>采用资产负债表日即期汇率折算，因汇率不同而产生的汇兑差额，除与购建符合资本化条件资产有关的外币专</w:t>
      </w:r>
      <w:r>
        <w:rPr>
          <w:spacing w:val="-65"/>
        </w:rPr>
        <w:t> </w:t>
      </w:r>
      <w:r>
        <w:rPr>
          <w:spacing w:val="-65"/>
        </w:rPr>
      </w:r>
      <w:r>
        <w:rPr/>
        <w:t>门借款本金及利息的汇兑差额外，计入当期损益；以历史成本计量的外币非货币性项目仍采用交易发生日的即</w:t>
      </w:r>
      <w:r>
        <w:rPr>
          <w:spacing w:val="-65"/>
        </w:rPr>
        <w:t> </w:t>
      </w:r>
      <w:r>
        <w:rPr>
          <w:spacing w:val="-65"/>
        </w:rPr>
      </w:r>
      <w:r>
        <w:rPr/>
        <w:t>期汇率折算，不改变其人民币金额；以公允价值计量的外币非货币性项目，采用公允价值确定日的即期汇率折</w:t>
      </w:r>
      <w:r>
        <w:rPr>
          <w:spacing w:val="-65"/>
        </w:rPr>
        <w:t> </w:t>
      </w:r>
      <w:r>
        <w:rPr>
          <w:spacing w:val="-65"/>
        </w:rPr>
      </w:r>
      <w:r>
        <w:rPr/>
        <w:t>算，差额计入当期损益或其他综合收益。</w:t>
      </w:r>
    </w:p>
    <w:p>
      <w:pPr>
        <w:pStyle w:val="Heading5"/>
        <w:spacing w:line="276" w:lineRule="auto" w:before="12"/>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外币财务报表折算</w:t>
      </w:r>
      <w:r>
        <w:rPr>
          <w:w w:val="100"/>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w:t>
      </w:r>
      <w:r>
        <w:rPr>
          <w:spacing w:val="-56"/>
        </w:rPr>
        <w:t> </w:t>
      </w:r>
      <w:r>
        <w:rPr>
          <w:spacing w:val="-56"/>
        </w:rPr>
      </w:r>
      <w:r>
        <w:rPr/>
        <w:t>其他项目采用交易发生日的即期汇率折算；利润表中的收入和费用项目，采用交易发生日的即期汇率折算。按</w:t>
      </w:r>
      <w:r>
        <w:rPr>
          <w:spacing w:val="-65"/>
        </w:rPr>
        <w:t> </w:t>
      </w:r>
      <w:r>
        <w:rPr>
          <w:spacing w:val="-65"/>
        </w:rPr>
      </w:r>
      <w:r>
        <w:rPr/>
        <w:t>照上述折算产生的外币财务报表折算差额，计入其他综合收益。</w:t>
      </w:r>
    </w:p>
    <w:p>
      <w:pPr>
        <w:spacing w:line="240" w:lineRule="auto" w:before="11"/>
        <w:rPr>
          <w:rFonts w:ascii="宋体" w:hAnsi="宋体" w:cs="宋体" w:eastAsia="宋体" w:hint="default"/>
          <w:sz w:val="23"/>
          <w:szCs w:val="23"/>
        </w:rPr>
      </w:pPr>
    </w:p>
    <w:p>
      <w:pPr>
        <w:pStyle w:val="Heading3"/>
        <w:spacing w:line="240" w:lineRule="auto"/>
        <w:ind w:right="0"/>
        <w:jc w:val="both"/>
        <w:rPr>
          <w:b w:val="0"/>
          <w:bCs w:val="0"/>
        </w:rPr>
      </w:pPr>
      <w:bookmarkStart w:name="10、金融工具" w:id="167"/>
      <w:bookmarkEnd w:id="16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3"/>
        <w:rPr>
          <w:rFonts w:ascii="宋体" w:hAnsi="宋体" w:cs="宋体" w:eastAsia="宋体" w:hint="default"/>
          <w:b/>
          <w:bCs/>
          <w:sz w:val="25"/>
          <w:szCs w:val="25"/>
        </w:rPr>
      </w:pPr>
    </w:p>
    <w:p>
      <w:pPr>
        <w:pStyle w:val="Heading5"/>
        <w:spacing w:line="271" w:lineRule="auto"/>
        <w:ind w:left="1554" w:right="11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金融资产和金融负债的分类</w:t>
      </w:r>
      <w:r>
        <w:rPr>
          <w:w w:val="100"/>
        </w:rPr>
        <w:t> </w:t>
      </w:r>
      <w:r>
        <w:rPr/>
        <w:t>金融资产在初始确认时划分为以下四类：以公允价值计量且其变动计入当期损益的金融资产（包括交易性</w:t>
      </w:r>
    </w:p>
    <w:p>
      <w:pPr>
        <w:pStyle w:val="Heading5"/>
        <w:spacing w:line="285" w:lineRule="auto" w:before="24"/>
        <w:ind w:left="1134" w:right="0"/>
        <w:jc w:val="left"/>
      </w:pPr>
      <w:r>
        <w:rPr/>
        <w:t>金融资产和在初始确认时指定为以公允价值计量且其变动计入当期损益的金融资产）、持有至到期投资、贷款</w:t>
      </w:r>
      <w:r>
        <w:rPr>
          <w:spacing w:val="-62"/>
        </w:rPr>
        <w:t> </w:t>
      </w:r>
      <w:r>
        <w:rPr>
          <w:spacing w:val="-62"/>
        </w:rPr>
      </w:r>
      <w:r>
        <w:rPr/>
        <w:t>和应收款项、可供出售金融资产。</w:t>
      </w:r>
    </w:p>
    <w:p>
      <w:pPr>
        <w:pStyle w:val="Heading5"/>
        <w:spacing w:line="285" w:lineRule="auto" w:before="12"/>
        <w:ind w:left="1134" w:right="1133" w:firstLine="420"/>
        <w:jc w:val="both"/>
      </w:pPr>
      <w:r>
        <w:rPr/>
        <w:t>金融负债在初始确认时划分为以下两类：以公允价值计量且其变动计入当期损益的金融负债（包括交易性</w:t>
      </w:r>
      <w:r>
        <w:rPr>
          <w:w w:val="100"/>
        </w:rPr>
        <w:t> </w:t>
      </w:r>
      <w:r>
        <w:rPr/>
        <w:t>金融负债和在初始确认时指定为以公允价值计量且其变动计入当期损益的金融负债）、其他金融负债。</w:t>
      </w:r>
    </w:p>
    <w:p>
      <w:pPr>
        <w:pStyle w:val="Heading5"/>
        <w:spacing w:line="271" w:lineRule="auto" w:before="12"/>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金融资产和金融负债的确认依据、计量方法和终止确认条件</w:t>
      </w:r>
      <w:r>
        <w:rPr>
          <w:w w:val="100"/>
        </w:rPr>
        <w:t> </w:t>
      </w:r>
      <w:r>
        <w:rPr/>
        <w:t>公司成为金融工具合同的一方时，确认一项金融资产或金融负债。初始确认金融资产或金融负债时，按照</w:t>
      </w:r>
    </w:p>
    <w:p>
      <w:pPr>
        <w:pStyle w:val="Heading5"/>
        <w:spacing w:line="285" w:lineRule="auto" w:before="24"/>
        <w:ind w:right="0"/>
        <w:jc w:val="left"/>
      </w:pPr>
      <w:r>
        <w:rPr/>
        <w:t>公允价值计量；对于以公允价值计量且其变动计入当期损益的金融资产和金融负债，相关交易费用直接计入当</w:t>
      </w:r>
      <w:r>
        <w:rPr>
          <w:spacing w:val="-65"/>
        </w:rPr>
        <w:t> </w:t>
      </w:r>
      <w:r>
        <w:rPr>
          <w:spacing w:val="-65"/>
        </w:rPr>
      </w:r>
      <w:r>
        <w:rPr/>
        <w:t>期损益；对于其他类别的金融资产或金融负债，相关交易费用计入初始确认金额。</w:t>
      </w:r>
    </w:p>
    <w:p>
      <w:pPr>
        <w:pStyle w:val="Heading5"/>
        <w:spacing w:line="280" w:lineRule="auto" w:before="12"/>
        <w:ind w:right="1133" w:firstLine="420"/>
        <w:jc w:val="both"/>
      </w:pPr>
      <w:r>
        <w:rPr/>
        <w:t>公司按照公允价值对金融资产进行后续计量，且不扣除将来处置该金融资产时可能发生的交易费用，但下</w:t>
      </w:r>
      <w:r>
        <w:rPr>
          <w:w w:val="100"/>
        </w:rPr>
        <w:t> </w:t>
      </w:r>
      <w:r>
        <w:rPr/>
        <w:t>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在活跃市场中没</w:t>
      </w:r>
      <w:r>
        <w:rPr>
          <w:w w:val="100"/>
        </w:rPr>
        <w:t> </w:t>
      </w:r>
      <w:r>
        <w:rPr/>
        <w:t>有报价且其公允价值不能可靠计量的权益工具投资，以及与该权益工具挂钩并须通过交付该权益工具结算的衍</w:t>
      </w:r>
      <w:r>
        <w:rPr>
          <w:spacing w:val="-65"/>
        </w:rPr>
        <w:t> </w:t>
      </w:r>
      <w:r>
        <w:rPr>
          <w:spacing w:val="-65"/>
        </w:rPr>
      </w:r>
      <w:r>
        <w:rPr/>
        <w:t>生金融资产，按照成本计量。</w:t>
      </w:r>
    </w:p>
    <w:p>
      <w:pPr>
        <w:pStyle w:val="Heading5"/>
        <w:spacing w:line="273" w:lineRule="auto" w:before="16"/>
        <w:ind w:left="1134" w:right="1130" w:firstLine="420"/>
        <w:jc w:val="both"/>
      </w:pPr>
      <w:r>
        <w:rPr>
          <w:spacing w:val="-4"/>
        </w:rPr>
        <w:t>公司采用实际利率法，按摊余成本对金融负债进行后续计量，但下列情况除外：</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18"/>
        </w:rPr>
        <w:t> </w:t>
      </w:r>
      <w:r>
        <w:rPr/>
        <w:t>以公允价值计量且其变</w:t>
      </w:r>
      <w:r>
        <w:rPr>
          <w:w w:val="100"/>
        </w:rPr>
        <w:t> </w:t>
      </w:r>
      <w:r>
        <w:rPr>
          <w:spacing w:val="-3"/>
        </w:rPr>
        <w:t>动计入当期损益的金融负债，按照公允价值计量，且不扣除将来结清金融负债时可能发生的交易费用；</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6"/>
        </w:rPr>
        <w:t> </w:t>
      </w:r>
      <w:r>
        <w:rPr/>
        <w:t>与在</w:t>
      </w:r>
      <w:r>
        <w:rPr>
          <w:spacing w:val="-89"/>
        </w:rPr>
        <w:t> </w:t>
      </w:r>
      <w:r>
        <w:rPr/>
        <w:t>活跃市场中没有报价、公允价值不能可靠计量的权益工具挂钩并须通过交付该权益工具结算的衍生金融负债，</w:t>
      </w:r>
      <w:r>
        <w:rPr>
          <w:spacing w:val="-65"/>
        </w:rPr>
        <w:t> </w:t>
      </w:r>
      <w:r>
        <w:rPr>
          <w:spacing w:val="-65"/>
        </w:rPr>
      </w:r>
      <w:r>
        <w:rPr>
          <w:spacing w:val="-5"/>
        </w:rPr>
        <w:t>按照成本计量；</w:t>
      </w:r>
      <w:r>
        <w:rPr>
          <w:rFonts w:ascii="Times New Roman" w:hAnsi="Times New Roman" w:cs="Times New Roman" w:eastAsia="Times New Roman" w:hint="default"/>
          <w:spacing w:val="-5"/>
        </w:rPr>
        <w:t>(3)</w:t>
      </w:r>
      <w:r>
        <w:rPr>
          <w:rFonts w:ascii="Times New Roman" w:hAnsi="Times New Roman" w:cs="Times New Roman" w:eastAsia="Times New Roman" w:hint="default"/>
        </w:rPr>
        <w:t> </w:t>
      </w:r>
      <w:r>
        <w:rPr/>
        <w:t>不属于指定为以公允价值计量且其变动计入当期损益的金融负债的财务担保合同，或没有指</w:t>
      </w:r>
      <w:r>
        <w:rPr>
          <w:w w:val="100"/>
        </w:rPr>
        <w:t> </w:t>
      </w:r>
      <w:r>
        <w:rPr/>
        <w:t>定为以公允价值计量且其变动计入当期损益并将以低于市场利率贷款的贷款承诺，在初始确认后按照下列两项</w:t>
      </w:r>
    </w:p>
    <w:p>
      <w:pPr>
        <w:spacing w:after="0" w:line="273" w:lineRule="auto"/>
        <w:jc w:val="both"/>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5"/>
        <w:spacing w:line="271" w:lineRule="auto" w:before="38"/>
        <w:ind w:left="1134" w:right="1131"/>
        <w:jc w:val="both"/>
      </w:pPr>
      <w:r>
        <w:rPr/>
        <w:t>金额之中的较高者进行后续计量：</w:t>
      </w:r>
      <w:r>
        <w:rPr>
          <w:rFonts w:ascii="Times New Roman" w:hAnsi="Times New Roman" w:cs="Times New Roman" w:eastAsia="Times New Roman" w:hint="default"/>
        </w:rPr>
        <w:t>1) </w:t>
      </w:r>
      <w:r>
        <w:rPr>
          <w:spacing w:val="-3"/>
        </w:rPr>
        <w:t>按照《企业会计准则第</w:t>
      </w:r>
      <w:r>
        <w:rPr>
          <w:rFonts w:ascii="Times New Roman" w:hAnsi="Times New Roman" w:cs="Times New Roman" w:eastAsia="Times New Roman" w:hint="default"/>
          <w:spacing w:val="-3"/>
        </w:rPr>
        <w:t>13</w:t>
      </w:r>
      <w:r>
        <w:rPr>
          <w:spacing w:val="-3"/>
        </w:rPr>
        <w:t>号</w:t>
      </w:r>
      <w:r>
        <w:rPr>
          <w:rFonts w:ascii="Times New Roman" w:hAnsi="Times New Roman" w:cs="Times New Roman" w:eastAsia="Times New Roman" w:hint="default"/>
          <w:spacing w:val="-3"/>
        </w:rPr>
        <w:t>——</w:t>
      </w:r>
      <w:r>
        <w:rPr>
          <w:spacing w:val="-3"/>
        </w:rPr>
        <w:t>或有事项》确定的金额；</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24"/>
        </w:rPr>
        <w:t> </w:t>
      </w:r>
      <w:r>
        <w:rPr/>
        <w:t>初始确认金额</w:t>
      </w:r>
      <w:r>
        <w:rPr>
          <w:w w:val="100"/>
        </w:rPr>
        <w:t> </w:t>
      </w:r>
      <w:r>
        <w:rPr/>
        <w:t>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收入》的原则确定的累积摊销额后的余额。</w:t>
      </w:r>
    </w:p>
    <w:p>
      <w:pPr>
        <w:pStyle w:val="Heading5"/>
        <w:spacing w:line="280" w:lineRule="auto" w:before="6"/>
        <w:ind w:right="1130" w:firstLine="420"/>
        <w:jc w:val="both"/>
      </w:pPr>
      <w:r>
        <w:rPr>
          <w:spacing w:val="-3"/>
        </w:rPr>
        <w:t>金融资产或金融负债公允价值变动形成的利得或损失，除与套期保值有关外，按照如下方法处理：</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7"/>
        </w:rPr>
        <w:t> </w:t>
      </w:r>
      <w:r>
        <w:rPr/>
        <w:t>以公</w:t>
      </w:r>
      <w:r>
        <w:rPr>
          <w:w w:val="100"/>
        </w:rPr>
        <w:t> </w:t>
      </w:r>
      <w:r>
        <w:rPr/>
        <w:t>允价值计量且其变动计入当期损益的金融资产或金融负债公允价值变动形成的利得或损失，计入公允价值变动</w:t>
      </w:r>
      <w:r>
        <w:rPr>
          <w:spacing w:val="-65"/>
        </w:rPr>
        <w:t> </w:t>
      </w:r>
      <w:r>
        <w:rPr>
          <w:spacing w:val="-65"/>
        </w:rPr>
      </w:r>
      <w:r>
        <w:rPr/>
        <w:t>收益；在资产持有期间所取得的利息或现金股利，确认为投资收益；处置时，将实际收到的金额与初始入账金</w:t>
      </w:r>
      <w:r>
        <w:rPr>
          <w:spacing w:val="-65"/>
        </w:rPr>
        <w:t> </w:t>
      </w:r>
      <w:r>
        <w:rPr>
          <w:spacing w:val="-65"/>
        </w:rPr>
      </w:r>
      <w:r>
        <w:rPr>
          <w:spacing w:val="-4"/>
        </w:rPr>
        <w:t>额之间的差额确认为投资收益，同时调整公允价值变动收益。</w:t>
      </w:r>
      <w:r>
        <w:rPr>
          <w:rFonts w:ascii="Times New Roman" w:hAnsi="Times New Roman" w:cs="Times New Roman" w:eastAsia="Times New Roman" w:hint="default"/>
          <w:spacing w:val="-4"/>
        </w:rPr>
        <w:t>(2) </w:t>
      </w:r>
      <w:r>
        <w:rPr/>
        <w:t>可供出售金融资产的公允价值变动计入其他综</w:t>
      </w:r>
      <w:r>
        <w:rPr>
          <w:spacing w:val="-80"/>
        </w:rPr>
        <w:t> </w:t>
      </w:r>
      <w:r>
        <w:rPr>
          <w:spacing w:val="-80"/>
        </w:rPr>
      </w:r>
      <w:r>
        <w:rPr/>
        <w:t>合收益；持有期间按实际利率法计算的利息，计入投资收益；可供出售权益工具投资的现金股利，于被投资单</w:t>
      </w:r>
      <w:r>
        <w:rPr>
          <w:spacing w:val="-65"/>
        </w:rPr>
        <w:t> </w:t>
      </w:r>
      <w:r>
        <w:rPr>
          <w:spacing w:val="-65"/>
        </w:rPr>
      </w:r>
      <w:r>
        <w:rPr/>
        <w:t>位宣告发放股利时计入投资收益；处置时，将实际收到的金额与账面价值扣除原直接计入其他综合收益的公允</w:t>
      </w:r>
      <w:r>
        <w:rPr>
          <w:spacing w:val="-65"/>
        </w:rPr>
        <w:t> </w:t>
      </w:r>
      <w:r>
        <w:rPr>
          <w:spacing w:val="-65"/>
        </w:rPr>
      </w:r>
      <w:r>
        <w:rPr/>
        <w:t>价值变动累计额之后的差额确认为投资收益。</w:t>
      </w:r>
    </w:p>
    <w:p>
      <w:pPr>
        <w:pStyle w:val="Heading5"/>
        <w:spacing w:line="285" w:lineRule="auto" w:before="16"/>
        <w:ind w:left="1134" w:right="1133" w:firstLine="420"/>
        <w:jc w:val="both"/>
      </w:pPr>
      <w:r>
        <w:rPr/>
        <w:t>当收取某项金融资产现金流量的合同权利已终止或该金融资产所有权上几乎所有的风险和报酬已转移时，</w:t>
      </w:r>
      <w:r>
        <w:rPr>
          <w:w w:val="100"/>
        </w:rPr>
        <w:t> </w:t>
      </w:r>
      <w:r>
        <w:rPr/>
        <w:t>终止确认该金融资产；当金融负债的现时义务全部或部分解除时，相应终止确认该金融负债或其一部分。</w:t>
      </w:r>
    </w:p>
    <w:p>
      <w:pPr>
        <w:pStyle w:val="Heading5"/>
        <w:spacing w:line="271" w:lineRule="auto" w:before="12"/>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金融资产转移的确认依据和计量方法</w:t>
      </w:r>
      <w:r>
        <w:rPr>
          <w:w w:val="100"/>
        </w:rPr>
        <w:t> </w:t>
      </w:r>
      <w:r>
        <w:rPr/>
        <w:t>公司已将金融资产所有权上几乎所有的风险和报酬转移给了转入方的，终止确认该金融资产；保留了金融</w:t>
      </w:r>
    </w:p>
    <w:p>
      <w:pPr>
        <w:pStyle w:val="Heading5"/>
        <w:spacing w:line="276" w:lineRule="auto" w:before="24"/>
        <w:ind w:right="1130"/>
        <w:jc w:val="both"/>
      </w:pPr>
      <w:r>
        <w:rPr/>
        <w:t>资产所有权上几乎所有的风险和报酬的，继续确认所转移的金融资产，并将收到的对价确认为一项金融负债。</w:t>
      </w:r>
      <w:r>
        <w:rPr>
          <w:spacing w:val="-62"/>
        </w:rPr>
        <w:t> </w:t>
      </w:r>
      <w:r>
        <w:rPr>
          <w:spacing w:val="-62"/>
        </w:rPr>
      </w:r>
      <w:r>
        <w:rPr>
          <w:spacing w:val="-3"/>
        </w:rPr>
        <w:t>公司既没有转移也没有保留金融资产所有权上几乎所有的风险和报酬的，分别下列情况处理：</w:t>
      </w:r>
      <w:r>
        <w:rPr>
          <w:rFonts w:ascii="Times New Roman" w:hAnsi="Times New Roman" w:cs="Times New Roman" w:eastAsia="Times New Roman" w:hint="default"/>
          <w:spacing w:val="-3"/>
        </w:rPr>
        <w:t>(1) </w:t>
      </w:r>
      <w:r>
        <w:rPr/>
        <w:t>放弃了对该金</w:t>
      </w:r>
      <w:r>
        <w:rPr>
          <w:spacing w:val="-70"/>
        </w:rPr>
        <w:t> </w:t>
      </w:r>
      <w:r>
        <w:rPr>
          <w:spacing w:val="-70"/>
        </w:rPr>
      </w:r>
      <w:r>
        <w:rPr>
          <w:spacing w:val="-4"/>
        </w:rPr>
        <w:t>融资产控制的，终止确认该金融资产；</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3"/>
        </w:rPr>
        <w:t> </w:t>
      </w:r>
      <w:r>
        <w:rPr/>
        <w:t>未放弃对该金融资产控制的，按照继续涉入所转移金融资产的程度确</w:t>
      </w:r>
      <w:r>
        <w:rPr>
          <w:w w:val="100"/>
        </w:rPr>
        <w:t> </w:t>
      </w:r>
      <w:r>
        <w:rPr/>
        <w:t>认有关金融资产，并相应确认有关负债。</w:t>
      </w:r>
    </w:p>
    <w:p>
      <w:pPr>
        <w:pStyle w:val="Heading5"/>
        <w:spacing w:line="273" w:lineRule="auto" w:before="20"/>
        <w:ind w:left="1134" w:right="1130" w:firstLine="420"/>
        <w:jc w:val="both"/>
      </w:pPr>
      <w:r>
        <w:rPr>
          <w:spacing w:val="-4"/>
        </w:rPr>
        <w:t>金融资产整体转移满足终止确认条件的，将下列两项金额的差额计入当期损益：</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3"/>
        </w:rPr>
        <w:t> </w:t>
      </w:r>
      <w:r>
        <w:rPr/>
        <w:t>所转移金融资产的账面</w:t>
      </w:r>
      <w:r>
        <w:rPr>
          <w:w w:val="100"/>
        </w:rPr>
        <w:t> </w:t>
      </w:r>
      <w:r>
        <w:rPr>
          <w:spacing w:val="-5"/>
        </w:rPr>
        <w:t>价值；</w:t>
      </w:r>
      <w:r>
        <w:rPr>
          <w:rFonts w:ascii="Times New Roman" w:hAnsi="Times New Roman" w:cs="Times New Roman" w:eastAsia="Times New Roman" w:hint="default"/>
          <w:spacing w:val="-5"/>
        </w:rPr>
        <w:t>(2)</w:t>
      </w:r>
      <w:r>
        <w:rPr>
          <w:rFonts w:ascii="Times New Roman" w:hAnsi="Times New Roman" w:cs="Times New Roman" w:eastAsia="Times New Roman" w:hint="default"/>
        </w:rPr>
        <w:t> </w:t>
      </w:r>
      <w:r>
        <w:rPr>
          <w:spacing w:val="-2"/>
        </w:rPr>
        <w:t>因转移而收到的对价，与原直接计入所有者权益的公允价值变动累计额之和。金融资产部分转移满足</w:t>
      </w:r>
      <w:r>
        <w:rPr>
          <w:spacing w:val="-91"/>
        </w:rPr>
        <w:t> </w:t>
      </w:r>
      <w:r>
        <w:rPr>
          <w:spacing w:val="-91"/>
        </w:rPr>
      </w:r>
      <w:r>
        <w:rPr/>
        <w:t>终止确认条件的，将所转移金融资产整体的账面价值，在终止确认部分和未终止确认部分之间，按照各自的相</w:t>
      </w:r>
      <w:r>
        <w:rPr>
          <w:spacing w:val="-64"/>
        </w:rPr>
        <w:t> </w:t>
      </w:r>
      <w:r>
        <w:rPr>
          <w:spacing w:val="-64"/>
        </w:rPr>
      </w:r>
      <w:r>
        <w:rPr/>
        <w:t>对公允价值进行分摊，并将下列两项金额的差额计入当期损益：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终止确认部</w:t>
      </w:r>
      <w:r>
        <w:rPr>
          <w:w w:val="100"/>
        </w:rPr>
        <w:t> </w:t>
      </w:r>
      <w:r>
        <w:rPr/>
        <w:t>分的对价，与原直接计入所有者权益的公允价值变动累计额中对应终止确认部分的金额之和。</w:t>
      </w:r>
    </w:p>
    <w:p>
      <w:pPr>
        <w:pStyle w:val="Heading5"/>
        <w:spacing w:line="271" w:lineRule="auto" w:before="22"/>
        <w:ind w:left="1554" w:right="113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金融资产和金融负债的公允价值确定方法</w:t>
      </w:r>
      <w:r>
        <w:rPr>
          <w:w w:val="100"/>
        </w:rPr>
        <w:t> </w:t>
      </w:r>
      <w:r>
        <w:rPr/>
        <w:t>公司采用在当前情况下适用并且有足够可利用数据和其他信息支持的估值技术确定相关金融资产和金融负</w:t>
      </w:r>
    </w:p>
    <w:p>
      <w:pPr>
        <w:pStyle w:val="Heading5"/>
        <w:spacing w:line="240" w:lineRule="auto" w:before="24"/>
        <w:ind w:left="1134" w:right="0"/>
        <w:jc w:val="both"/>
      </w:pPr>
      <w:r>
        <w:rPr/>
        <w:t>债的公允价值。公司将估值技术使用的输入值分以下层级，并依次使用：</w:t>
      </w:r>
    </w:p>
    <w:p>
      <w:pPr>
        <w:pStyle w:val="Heading5"/>
        <w:spacing w:line="240" w:lineRule="auto" w:before="50"/>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第一层次输入值是在计量日能够取得的相同资产或负债在活跃市场上未经调整的报价；</w:t>
      </w:r>
    </w:p>
    <w:p>
      <w:pPr>
        <w:pStyle w:val="Heading5"/>
        <w:spacing w:line="278" w:lineRule="auto" w:before="35"/>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3"/>
        </w:rPr>
        <w:t>第二层次输入值是除第一层次输入值外相关资产或负债直接或间接可观察的输入值，包括：活跃市场中</w:t>
      </w:r>
      <w:r>
        <w:rPr>
          <w:w w:val="100"/>
        </w:rPr>
        <w:t> </w:t>
      </w:r>
      <w:r>
        <w:rPr/>
        <w:t>类似资产或负债的报价；非活跃市场中相同或类似资产或负债的报价；除报价以外的其他可观察输入值，如在</w:t>
      </w:r>
      <w:r>
        <w:rPr>
          <w:spacing w:val="-65"/>
        </w:rPr>
        <w:t> </w:t>
      </w:r>
      <w:r>
        <w:rPr>
          <w:spacing w:val="-65"/>
        </w:rPr>
      </w:r>
      <w:r>
        <w:rPr/>
        <w:t>正常报价间隔期间可观察的利率和收益率曲线等；市场验证的输入值等；</w:t>
      </w:r>
    </w:p>
    <w:p>
      <w:pPr>
        <w:pStyle w:val="Heading5"/>
        <w:spacing w:line="271" w:lineRule="auto" w:before="18"/>
        <w:ind w:left="1134" w:right="1131" w:firstLine="420"/>
        <w:jc w:val="both"/>
      </w:pPr>
      <w:r>
        <w:rPr>
          <w:rFonts w:ascii="Times New Roman" w:hAnsi="Times New Roman" w:cs="Times New Roman" w:eastAsia="Times New Roman" w:hint="default"/>
          <w:w w:val="100"/>
        </w:rPr>
        <w:t>(3)</w:t>
      </w:r>
      <w:r>
        <w:rPr>
          <w:rFonts w:ascii="Times New Roman" w:hAnsi="Times New Roman" w:cs="Times New Roman" w:eastAsia="Times New Roman" w:hint="default"/>
          <w:spacing w:val="38"/>
          <w:w w:val="100"/>
        </w:rPr>
        <w:t> </w:t>
      </w:r>
      <w:r>
        <w:rPr>
          <w:spacing w:val="-3"/>
          <w:w w:val="100"/>
        </w:rPr>
        <w:t>第三层次输入值是相关资产或负债的不可观察输入值，包括不能直接观察或无法由可观察市场数据验证</w:t>
      </w:r>
      <w:r>
        <w:rPr>
          <w:w w:val="100"/>
        </w:rPr>
        <w:t> </w:t>
      </w:r>
      <w:r>
        <w:rPr/>
        <w:t>的利率、股票波动率、企业合并中承担的弃置义务的未来现金流量、使用自身数据作出的财务预测等。</w:t>
      </w:r>
    </w:p>
    <w:p>
      <w:pPr>
        <w:pStyle w:val="Heading5"/>
        <w:spacing w:line="240" w:lineRule="auto" w:before="24"/>
        <w:ind w:left="155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金融资产的减值测试和减值准备计提方法</w:t>
      </w:r>
    </w:p>
    <w:p>
      <w:pPr>
        <w:pStyle w:val="Heading5"/>
        <w:spacing w:line="271" w:lineRule="auto" w:before="35"/>
        <w:ind w:left="1134" w:right="1137"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资产负债表日对以公允价值计量且其变动计入当期损益的金融资产以外的金融资产的账面价值进行检</w:t>
      </w:r>
      <w:r>
        <w:rPr>
          <w:w w:val="100"/>
        </w:rPr>
        <w:t> </w:t>
      </w:r>
      <w:r>
        <w:rPr/>
        <w:t>查，如有客观证据表明该金融资产发生减值的，计提减值准备。</w:t>
      </w:r>
    </w:p>
    <w:p>
      <w:pPr>
        <w:pStyle w:val="Heading5"/>
        <w:spacing w:line="283" w:lineRule="auto" w:before="24"/>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对于持有至到期投资、贷款和应收款，先将单项金额重大的金融资产区分开来，单独进行减值测试；对</w:t>
      </w:r>
      <w:r>
        <w:rPr>
          <w:w w:val="100"/>
        </w:rPr>
        <w:t> </w:t>
      </w:r>
      <w:r>
        <w:rPr/>
        <w:t>单项金额不重大的金融资产，可以单独进行减值测试，或包括在具有类似信用风险特征的金融资产组合中进行</w:t>
      </w:r>
      <w:r>
        <w:rPr>
          <w:w w:val="100"/>
        </w:rPr>
        <w:t> </w:t>
      </w:r>
      <w:r>
        <w:rPr/>
        <w:t>减值测试；单独测试未发生减值的金融资产（包括单项金额重大和不重大的金融资产），包括在具有类似信用</w:t>
      </w:r>
      <w:r>
        <w:rPr>
          <w:w w:val="100"/>
        </w:rPr>
        <w:t> </w:t>
      </w:r>
      <w:r>
        <w:rPr/>
        <w:t>风险特征的金融资产组合中再进行减值测试。测试结果表明其发生了减值的，根据其账面价值高于预计未来现</w:t>
      </w:r>
      <w:r>
        <w:rPr>
          <w:w w:val="100"/>
        </w:rPr>
        <w:t> </w:t>
      </w:r>
      <w:r>
        <w:rPr/>
        <w:t>金流量现值的差额确认减值损失。</w:t>
      </w:r>
    </w:p>
    <w:p>
      <w:pPr>
        <w:pStyle w:val="Heading5"/>
        <w:spacing w:line="240" w:lineRule="auto" w:before="14"/>
        <w:ind w:left="155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可供出售金融资产</w:t>
      </w:r>
    </w:p>
    <w:p>
      <w:pPr>
        <w:pStyle w:val="Heading5"/>
        <w:spacing w:line="240" w:lineRule="auto" w:before="35"/>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表明可供出售债务工具投资发生减值的客观证据包括：</w:t>
      </w:r>
    </w:p>
    <w:p>
      <w:pPr>
        <w:pStyle w:val="Heading5"/>
        <w:spacing w:line="240" w:lineRule="auto" w:before="35"/>
        <w:ind w:left="1554" w:right="0"/>
        <w:jc w:val="left"/>
      </w:pPr>
      <w:r>
        <w:rPr/>
        <w:t>①</w:t>
      </w:r>
      <w:r>
        <w:rPr>
          <w:spacing w:val="-23"/>
        </w:rPr>
        <w:t> </w:t>
      </w:r>
      <w:r>
        <w:rPr/>
        <w:t>债务人发生严重财务困难；</w:t>
      </w:r>
    </w:p>
    <w:p>
      <w:pPr>
        <w:pStyle w:val="Heading5"/>
        <w:spacing w:line="240" w:lineRule="auto" w:before="50"/>
        <w:ind w:left="1554" w:right="0"/>
        <w:jc w:val="left"/>
      </w:pPr>
      <w:r>
        <w:rPr/>
        <w:t>②</w:t>
      </w:r>
      <w:r>
        <w:rPr>
          <w:spacing w:val="-27"/>
        </w:rPr>
        <w:t> </w:t>
      </w:r>
      <w:r>
        <w:rPr/>
        <w:t>债务人违反了合同条款，如偿付利息或本金发生违约或逾期；</w:t>
      </w:r>
    </w:p>
    <w:p>
      <w:pPr>
        <w:pStyle w:val="Heading5"/>
        <w:spacing w:line="240" w:lineRule="auto" w:before="50"/>
        <w:ind w:left="1554" w:right="0"/>
        <w:jc w:val="left"/>
      </w:pPr>
      <w:r>
        <w:rPr/>
        <w:t>③</w:t>
      </w:r>
      <w:r>
        <w:rPr>
          <w:spacing w:val="-28"/>
        </w:rPr>
        <w:t> </w:t>
      </w:r>
      <w:r>
        <w:rPr/>
        <w:t>公司出于经济或法律等方面因素的考虑，对发生财务困难的债务人作出让步；</w:t>
      </w:r>
    </w:p>
    <w:p>
      <w:pPr>
        <w:spacing w:after="0" w:line="240"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5"/>
        <w:spacing w:line="240" w:lineRule="auto" w:before="38"/>
        <w:ind w:left="1553" w:right="0"/>
        <w:jc w:val="left"/>
      </w:pPr>
      <w:r>
        <w:rPr/>
        <w:t>④</w:t>
      </w:r>
      <w:r>
        <w:rPr>
          <w:spacing w:val="-25"/>
        </w:rPr>
        <w:t> </w:t>
      </w:r>
      <w:r>
        <w:rPr/>
        <w:t>债务人很可能倒闭或进行其他财务重组；</w:t>
      </w:r>
    </w:p>
    <w:p>
      <w:pPr>
        <w:pStyle w:val="Heading5"/>
        <w:spacing w:line="240" w:lineRule="auto" w:before="50"/>
        <w:ind w:left="1553" w:right="0"/>
        <w:jc w:val="left"/>
      </w:pPr>
      <w:r>
        <w:rPr/>
        <w:t>⑤</w:t>
      </w:r>
      <w:r>
        <w:rPr>
          <w:spacing w:val="-28"/>
        </w:rPr>
        <w:t> </w:t>
      </w:r>
      <w:r>
        <w:rPr/>
        <w:t>因债务人发生重大财务困难，该债务工具无法在活跃市场继续交易；</w:t>
      </w:r>
    </w:p>
    <w:p>
      <w:pPr>
        <w:pStyle w:val="Heading5"/>
        <w:spacing w:line="240" w:lineRule="auto" w:before="50"/>
        <w:ind w:left="1553" w:right="0"/>
        <w:jc w:val="left"/>
      </w:pPr>
      <w:r>
        <w:rPr/>
        <w:t>⑥</w:t>
      </w:r>
      <w:r>
        <w:rPr>
          <w:spacing w:val="-25"/>
        </w:rPr>
        <w:t> </w:t>
      </w:r>
      <w:r>
        <w:rPr/>
        <w:t>其他表明可供出售债务工具已经发生减值的情况。</w:t>
      </w:r>
    </w:p>
    <w:p>
      <w:pPr>
        <w:pStyle w:val="Heading5"/>
        <w:spacing w:line="278" w:lineRule="auto" w:before="50"/>
        <w:ind w:right="113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spacing w:val="2"/>
        </w:rPr>
        <w:t>表明可供出售权益工具投资发生减值的客观证据包括权益工具投资的公允价值发生严重或非暂时性下</w:t>
      </w:r>
      <w:r>
        <w:rPr>
          <w:w w:val="100"/>
        </w:rPr>
        <w:t> </w:t>
      </w:r>
      <w:r>
        <w:rPr/>
        <w:t>跌，以及被投资单位经营所处的技术、市场、经济或法律环境等发生重大不利变化使公司可能无法收回投资成</w:t>
      </w:r>
      <w:r>
        <w:rPr>
          <w:spacing w:val="-65"/>
        </w:rPr>
        <w:t> </w:t>
      </w:r>
      <w:r>
        <w:rPr>
          <w:spacing w:val="-65"/>
        </w:rPr>
      </w:r>
      <w:r>
        <w:rPr/>
        <w:t>本。</w:t>
      </w:r>
    </w:p>
    <w:p>
      <w:pPr>
        <w:pStyle w:val="Heading5"/>
        <w:spacing w:line="273" w:lineRule="auto" w:before="18"/>
        <w:ind w:right="0" w:firstLine="420"/>
        <w:jc w:val="left"/>
      </w:pPr>
      <w:r>
        <w:rPr>
          <w:spacing w:val="-3"/>
          <w:w w:val="100"/>
        </w:rPr>
        <w:t>本公司于资产负债表日对各项可供出售权益工具投资单独进行检查。对于以公允价值计量的权益工具投资，</w:t>
      </w:r>
      <w:r>
        <w:rPr>
          <w:w w:val="100"/>
        </w:rPr>
        <w:t> </w:t>
      </w:r>
      <w:r>
        <w:rPr>
          <w:spacing w:val="-1"/>
        </w:rPr>
        <w:t>若其于资产负债表日的公允价值低于其成本超过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w:t>
      </w:r>
      <w:r>
        <w:rPr>
          <w:spacing w:val="-62"/>
        </w:rPr>
        <w:t> </w:t>
      </w:r>
      <w:r>
        <w:rPr>
          <w:spacing w:val="-62"/>
        </w:rPr>
      </w:r>
      <w:r>
        <w:rPr>
          <w:spacing w:val="-2"/>
        </w:rPr>
        <w:t>的，则表明其发生减值；若其于资产负债表日的公允价值低于其成本超过</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）但尚未达到</w:t>
      </w:r>
      <w:r>
        <w:rPr>
          <w:rFonts w:ascii="Times New Roman" w:hAnsi="Times New Roman" w:cs="Times New Roman" w:eastAsia="Times New Roman" w:hint="default"/>
          <w:spacing w:val="-2"/>
        </w:rPr>
        <w:t>50%</w:t>
      </w:r>
      <w:r>
        <w:rPr>
          <w:spacing w:val="-2"/>
        </w:rPr>
        <w:t>的，或</w:t>
      </w:r>
      <w:r>
        <w:rPr>
          <w:spacing w:val="-72"/>
        </w:rPr>
        <w:t> </w:t>
      </w:r>
      <w:r>
        <w:rPr>
          <w:spacing w:val="-72"/>
        </w:rPr>
      </w:r>
      <w:r>
        <w:rPr/>
        <w:t>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个月的，本公司会综合考虑其他相关因素，诸如价格波</w:t>
      </w:r>
      <w:r>
        <w:rPr>
          <w:spacing w:val="-65"/>
        </w:rPr>
        <w:t> </w:t>
      </w:r>
      <w:r>
        <w:rPr>
          <w:spacing w:val="-65"/>
        </w:rPr>
      </w:r>
      <w:r>
        <w:rPr/>
        <w:t>动率等，判断该权益工具投资是否发生减值。</w:t>
      </w:r>
    </w:p>
    <w:p>
      <w:pPr>
        <w:pStyle w:val="Heading5"/>
        <w:spacing w:line="285" w:lineRule="auto" w:before="22"/>
        <w:ind w:right="1028" w:firstLine="420"/>
        <w:jc w:val="left"/>
      </w:pPr>
      <w:r>
        <w:rPr/>
        <w:t>以公允价值计量的可供出售金融资产发生减值时，原直接计入其他综合收益的因公允价值下降形成的累计</w:t>
      </w:r>
      <w:r>
        <w:rPr>
          <w:w w:val="100"/>
        </w:rPr>
        <w:t> </w:t>
      </w:r>
      <w:r>
        <w:rPr/>
        <w:t>损失予以转出并计入减值损失。对已确认减值损失的可供出售债务工具投资，在期后公允价值回升且客观上与</w:t>
      </w:r>
      <w:r>
        <w:rPr>
          <w:spacing w:val="-65"/>
        </w:rPr>
        <w:t> </w:t>
      </w:r>
      <w:r>
        <w:rPr>
          <w:spacing w:val="-65"/>
        </w:rPr>
      </w:r>
      <w:r>
        <w:rPr/>
        <w:t>确认原减值损失后发生的事项有关的，原确认的减值损失予以转回并计入当期损益。对已确认减值损失的可供</w:t>
      </w:r>
      <w:r>
        <w:rPr>
          <w:spacing w:val="-65"/>
        </w:rPr>
        <w:t> </w:t>
      </w:r>
      <w:r>
        <w:rPr>
          <w:spacing w:val="-65"/>
        </w:rPr>
      </w:r>
      <w:r>
        <w:rPr/>
        <w:t>出售权益工具投资，期后公允价值回升直接计入其他综合收益。</w:t>
      </w:r>
      <w:r>
        <w:rPr>
          <w:w w:val="100"/>
        </w:rPr>
        <w:t> </w:t>
      </w:r>
      <w:r>
        <w:rPr/>
        <w:t>以成本计量的可供出售权益工具发生减值时，将该权益工具投资的账面价值，与按照类似金融资产当时市场收</w:t>
      </w:r>
      <w:r>
        <w:rPr>
          <w:spacing w:val="-61"/>
        </w:rPr>
        <w:t> </w:t>
      </w:r>
      <w:r>
        <w:rPr>
          <w:spacing w:val="-61"/>
        </w:rPr>
      </w:r>
      <w:r>
        <w:rPr>
          <w:spacing w:val="-2"/>
        </w:rPr>
        <w:t>益率对未来现金流量折现确定的现值之间的差额，确认为减值损失，计入当期损益，发生的减值损失一经确认，</w:t>
      </w:r>
      <w:r>
        <w:rPr>
          <w:spacing w:val="-77"/>
        </w:rPr>
        <w:t> </w:t>
      </w:r>
      <w:r>
        <w:rPr>
          <w:spacing w:val="-77"/>
        </w:rPr>
      </w:r>
      <w:r>
        <w:rPr/>
        <w:t>不予转回。</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11、应收款项" w:id="168"/>
      <w:bookmarkEnd w:id="16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69"/>
      <w:bookmarkEnd w:id="16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70"/>
      <w:bookmarkEnd w:id="17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71"/>
      <w:bookmarkEnd w:id="17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12、存货" w:id="172"/>
      <w:bookmarkEnd w:id="172"/>
      <w:r>
        <w:rPr>
          <w:b w:val="0"/>
          <w:bCs w:val="0"/>
        </w:rPr>
      </w:r>
      <w:r>
        <w:rPr>
          <w:rFonts w:ascii="Times New Roman" w:hAnsi="Times New Roman" w:cs="Times New Roman" w:eastAsia="Times New Roman" w:hint="default"/>
        </w:rPr>
        <w:t>12</w:t>
      </w:r>
      <w:r>
        <w:rPr/>
        <w:t>、存货</w:t>
      </w:r>
      <w:r>
        <w:rPr>
          <w:b w:val="0"/>
          <w:bCs w:val="0"/>
        </w:rPr>
      </w:r>
    </w:p>
    <w:p>
      <w:pPr>
        <w:spacing w:line="240" w:lineRule="auto" w:before="3"/>
        <w:rPr>
          <w:rFonts w:ascii="宋体" w:hAnsi="宋体" w:cs="宋体" w:eastAsia="宋体" w:hint="default"/>
          <w:b/>
          <w:bCs/>
          <w:sz w:val="25"/>
          <w:szCs w:val="25"/>
        </w:rPr>
      </w:pPr>
    </w:p>
    <w:p>
      <w:pPr>
        <w:pStyle w:val="Heading5"/>
        <w:spacing w:line="271" w:lineRule="auto"/>
        <w:ind w:left="1554" w:right="11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存货的分类</w:t>
      </w:r>
      <w:r>
        <w:rPr>
          <w:w w:val="100"/>
        </w:rPr>
        <w:t> </w:t>
      </w:r>
      <w:r>
        <w:rPr/>
        <w:t>存货包括在日常活动中持有以备出售的产成品或商品、处在生产过程中的在产品、在生产过程或提供劳务</w:t>
      </w:r>
    </w:p>
    <w:p>
      <w:pPr>
        <w:pStyle w:val="Heading5"/>
        <w:spacing w:line="240" w:lineRule="auto" w:before="24"/>
        <w:ind w:left="1134" w:right="0"/>
        <w:jc w:val="left"/>
      </w:pPr>
      <w:r>
        <w:rPr/>
        <w:t>过程中耗用的材料和物料等。</w:t>
      </w:r>
    </w:p>
    <w:p>
      <w:pPr>
        <w:pStyle w:val="Heading5"/>
        <w:spacing w:line="278" w:lineRule="auto" w:before="50"/>
        <w:ind w:left="1554" w:right="734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发出存货的计价方法</w:t>
      </w:r>
      <w:r>
        <w:rPr>
          <w:w w:val="100"/>
        </w:rPr>
        <w:t> </w:t>
      </w:r>
      <w:r>
        <w:rPr>
          <w:spacing w:val="-1"/>
        </w:rPr>
        <w:t>发出存货采用末一次加权平均法。</w:t>
      </w:r>
      <w:r>
        <w:rPr>
          <w:spacing w:val="-87"/>
        </w:rPr>
        <w:t> </w:t>
      </w:r>
      <w:r>
        <w:rPr>
          <w:spacing w:val="-87"/>
        </w:rPr>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w:t>
      </w:r>
    </w:p>
    <w:p>
      <w:pPr>
        <w:pStyle w:val="Heading5"/>
        <w:spacing w:line="285" w:lineRule="auto"/>
        <w:ind w:left="1134" w:right="1133" w:firstLine="420"/>
        <w:jc w:val="both"/>
      </w:pPr>
      <w:r>
        <w:rPr/>
        <w:t>资产负债表日，存货采用成本与可变现净值孰低计量，按照单个存货成本高于可变现净值的差额计提存货</w:t>
      </w:r>
      <w:r>
        <w:rPr>
          <w:w w:val="100"/>
        </w:rPr>
        <w:t> </w:t>
      </w:r>
      <w:r>
        <w:rPr/>
        <w:t>跌价准备。直接用于出售的存货，在正常生产经营过程中以该存货的估计售价减去估计的销售费用和相关税费</w:t>
      </w:r>
      <w:r>
        <w:rPr>
          <w:spacing w:val="-63"/>
        </w:rPr>
        <w:t> </w:t>
      </w:r>
      <w:r>
        <w:rPr>
          <w:spacing w:val="-63"/>
        </w:rPr>
      </w:r>
      <w:r>
        <w:rPr/>
        <w:t>后的金额确定其可变现净值；需要经过加工的存货，在正常生产经营过程中以所生产的产成品的估计售价减去</w:t>
      </w:r>
      <w:r>
        <w:rPr>
          <w:spacing w:val="-65"/>
        </w:rPr>
        <w:t> </w:t>
      </w:r>
      <w:r>
        <w:rPr>
          <w:spacing w:val="-65"/>
        </w:rPr>
      </w:r>
      <w:r>
        <w:rPr/>
        <w:t>至完工时估计将要发生的成本、估计的销售费用和相关税费后的金额确定其可变现净值；资产负债表日，同一</w:t>
      </w:r>
      <w:r>
        <w:rPr>
          <w:spacing w:val="-65"/>
        </w:rPr>
        <w:t> </w:t>
      </w:r>
      <w:r>
        <w:rPr>
          <w:spacing w:val="-65"/>
        </w:rPr>
      </w:r>
      <w:r>
        <w:rPr/>
        <w:t>项存货中一部分有合同价格约定、其他部分不存在合同价格的，分别确定其可变现净值，并与其对应的成本进</w:t>
      </w:r>
      <w:r>
        <w:rPr>
          <w:spacing w:val="-65"/>
        </w:rPr>
        <w:t> </w:t>
      </w:r>
      <w:r>
        <w:rPr>
          <w:spacing w:val="-65"/>
        </w:rPr>
      </w:r>
      <w:r>
        <w:rPr/>
        <w:t>行比较，分别确定存货跌价准备的计提或转回的金额。</w:t>
      </w:r>
    </w:p>
    <w:p>
      <w:pPr>
        <w:pStyle w:val="Heading5"/>
        <w:spacing w:line="271" w:lineRule="auto" w:before="12"/>
        <w:ind w:left="1553" w:right="7547"/>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存货的盘存制度</w:t>
      </w:r>
      <w:r>
        <w:rPr>
          <w:w w:val="100"/>
        </w:rPr>
        <w:t> </w:t>
      </w:r>
      <w:r>
        <w:rPr>
          <w:spacing w:val="-1"/>
        </w:rPr>
        <w:t>存货的盘存制度为永续盘存制。</w:t>
      </w:r>
    </w:p>
    <w:p>
      <w:pPr>
        <w:pStyle w:val="Heading5"/>
        <w:spacing w:line="240" w:lineRule="auto" w:before="24"/>
        <w:ind w:left="155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低值易耗品和包装物的摊销方法</w:t>
      </w:r>
    </w:p>
    <w:p>
      <w:pPr>
        <w:pStyle w:val="Heading5"/>
        <w:spacing w:line="276" w:lineRule="auto" w:before="35"/>
        <w:ind w:left="1455" w:right="7873" w:firstLine="9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低值易耗品</w:t>
      </w:r>
      <w:r>
        <w:rPr>
          <w:w w:val="100"/>
        </w:rPr>
        <w:t> </w:t>
      </w:r>
      <w:r>
        <w:rPr/>
        <w:t>按照一次转销法进行摊销。</w:t>
      </w:r>
      <w:r>
        <w:rPr>
          <w:w w:val="100"/>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w:t>
      </w:r>
      <w:r>
        <w:rPr>
          <w:w w:val="100"/>
        </w:rPr>
        <w:t> </w:t>
      </w:r>
      <w:r>
        <w:rPr/>
        <w:t>按照一次转销法进行摊销。</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bookmarkStart w:name="13、划分为持有待售资产" w:id="173"/>
      <w:bookmarkEnd w:id="173"/>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4、长期股权投资" w:id="174"/>
      <w:bookmarkEnd w:id="17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5"/>
          <w:szCs w:val="25"/>
        </w:rPr>
      </w:pPr>
    </w:p>
    <w:p>
      <w:pPr>
        <w:pStyle w:val="Heading5"/>
        <w:spacing w:line="271" w:lineRule="auto"/>
        <w:ind w:left="1554" w:right="11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共同控制、重要影响的判断</w:t>
      </w:r>
      <w:r>
        <w:rPr>
          <w:w w:val="100"/>
        </w:rPr>
        <w:t> </w:t>
      </w:r>
      <w:r>
        <w:rPr/>
        <w:t>按照相关约定对某项安排所共有的控制，并且该安排的相关活动必须经过分享控制权的参与方一致同意后</w:t>
      </w:r>
    </w:p>
    <w:p>
      <w:pPr>
        <w:pStyle w:val="Heading5"/>
        <w:spacing w:line="285" w:lineRule="auto" w:before="24"/>
        <w:ind w:left="1134" w:right="0"/>
        <w:jc w:val="left"/>
      </w:pPr>
      <w:r>
        <w:rPr/>
        <w:t>才能决策，认定为共同控制。对被投资单位的财务和经营政策有参与决策的权力，但并不能够控制或者与其他</w:t>
      </w:r>
      <w:r>
        <w:rPr>
          <w:spacing w:val="-65"/>
        </w:rPr>
        <w:t> </w:t>
      </w:r>
      <w:r>
        <w:rPr>
          <w:spacing w:val="-65"/>
        </w:rPr>
      </w:r>
      <w:r>
        <w:rPr/>
        <w:t>方一起共同控制这些政策的制定，认定为重大影响。</w:t>
      </w:r>
    </w:p>
    <w:p>
      <w:pPr>
        <w:pStyle w:val="Heading5"/>
        <w:spacing w:line="240" w:lineRule="auto" w:before="12"/>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投资成本的确定</w:t>
      </w:r>
    </w:p>
    <w:p>
      <w:pPr>
        <w:pStyle w:val="Heading5"/>
        <w:spacing w:line="280" w:lineRule="auto" w:before="35"/>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spacing w:val="-3"/>
        </w:rPr>
        <w:t>同一控制下的企业合并形成的，合并方以支付现金、转让非现金资产、承担债务或发行权益性证券作为</w:t>
      </w:r>
      <w:r>
        <w:rPr>
          <w:w w:val="100"/>
        </w:rPr>
        <w:t> </w:t>
      </w:r>
      <w:r>
        <w:rPr/>
        <w:t>合并对价的，在合并日按照取得被合并方所有者权益在最终控制方合并财务报表中的账面价值的份额作为其初</w:t>
      </w:r>
      <w:r>
        <w:rPr>
          <w:spacing w:val="-64"/>
        </w:rPr>
        <w:t> </w:t>
      </w:r>
      <w:r>
        <w:rPr>
          <w:spacing w:val="-64"/>
        </w:rPr>
      </w:r>
      <w:r>
        <w:rPr/>
        <w:t>始投资成本。长期股权投资初始投资成本与支付的合并对价的账面价值或发行股份的面值总额之间的差额调整</w:t>
      </w:r>
      <w:r>
        <w:rPr>
          <w:spacing w:val="-65"/>
        </w:rPr>
        <w:t> </w:t>
      </w:r>
      <w:r>
        <w:rPr>
          <w:spacing w:val="-65"/>
        </w:rPr>
      </w:r>
      <w:r>
        <w:rPr/>
        <w:t>资本公积；资本公积不足冲减的，调整留存收益。</w:t>
      </w:r>
    </w:p>
    <w:p>
      <w:pPr>
        <w:spacing w:after="0" w:line="280" w:lineRule="auto"/>
        <w:jc w:val="both"/>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5"/>
        <w:spacing w:line="278" w:lineRule="auto" w:before="38"/>
        <w:ind w:right="1130"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w w:val="100"/>
        </w:rPr>
        <w:t> </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w:t>
      </w:r>
      <w:r>
        <w:rPr>
          <w:spacing w:val="-28"/>
        </w:rPr>
        <w:t> </w:t>
      </w:r>
      <w:r>
        <w:rPr>
          <w:spacing w:val="-28"/>
        </w:rPr>
      </w:r>
      <w:r>
        <w:rPr/>
        <w:t>根据合并后应享有被合并方净资产在最终控制方合并财务报表中的账面价值的份额确定初始投资成本。合并日</w:t>
      </w:r>
      <w:r>
        <w:rPr>
          <w:spacing w:val="-61"/>
        </w:rPr>
        <w:t> </w:t>
      </w:r>
      <w:r>
        <w:rPr>
          <w:spacing w:val="-61"/>
        </w:rPr>
      </w:r>
      <w:r>
        <w:rPr/>
        <w:t>长期股权投资的初始投资成本，与达到合并前的长期股权投资账面价值加上合并日进一步取得股份新支付对价</w:t>
      </w:r>
      <w:r>
        <w:rPr>
          <w:spacing w:val="-65"/>
        </w:rPr>
        <w:t> </w:t>
      </w:r>
      <w:r>
        <w:rPr>
          <w:spacing w:val="-65"/>
        </w:rPr>
      </w:r>
      <w:r>
        <w:rPr/>
        <w:t>的账面价值之和的差额，调整资本公积；资本公积不足冲减的，调整留存收益。</w:t>
      </w:r>
    </w:p>
    <w:p>
      <w:pPr>
        <w:pStyle w:val="Heading5"/>
        <w:spacing w:line="271" w:lineRule="auto" w:before="18"/>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非同一控制下的企业合并形成的，在购买日按照支付的合并对价的公允价值作为其初始投资成本。</w:t>
      </w:r>
      <w:r>
        <w:rPr>
          <w:w w:val="100"/>
        </w:rPr>
        <w:t> </w:t>
      </w:r>
      <w:r>
        <w:rPr/>
        <w:t>公司通过多次交易分步实现非同一控制下企业合并形成的长期股权投资，区分个别财务报表和合并财务报</w:t>
      </w:r>
    </w:p>
    <w:p>
      <w:pPr>
        <w:pStyle w:val="Heading5"/>
        <w:spacing w:line="240" w:lineRule="auto" w:before="24"/>
        <w:ind w:right="0"/>
        <w:jc w:val="both"/>
      </w:pPr>
      <w:r>
        <w:rPr/>
        <w:t>表进行相关会计处理：</w:t>
      </w:r>
    </w:p>
    <w:p>
      <w:pPr>
        <w:pStyle w:val="Heading5"/>
        <w:spacing w:line="271" w:lineRule="auto" w:before="50"/>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在个别财务报表中，按照原持有的股权投资的账面价值加上新增投资成本之和，作为改按成本法核算的</w:t>
      </w:r>
      <w:r>
        <w:rPr>
          <w:w w:val="100"/>
        </w:rPr>
        <w:t> </w:t>
      </w:r>
      <w:r>
        <w:rPr/>
        <w:t>初始投资成本。</w:t>
      </w:r>
    </w:p>
    <w:p>
      <w:pPr>
        <w:pStyle w:val="Heading5"/>
        <w:spacing w:line="278" w:lineRule="auto" w:before="24"/>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w:t>
      </w:r>
      <w:r>
        <w:rPr>
          <w:w w:val="100"/>
        </w:rPr>
        <w:t> </w:t>
      </w:r>
      <w:r>
        <w:rPr/>
        <w:t>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的，对于购买日之前持有的被购买方的股权，按照该股权在购买</w:t>
      </w:r>
      <w:r>
        <w:rPr>
          <w:spacing w:val="-44"/>
        </w:rPr>
        <w:t> </w:t>
      </w:r>
      <w:r>
        <w:rPr>
          <w:spacing w:val="-44"/>
        </w:rPr>
      </w:r>
      <w:r>
        <w:rPr/>
        <w:t>日的公允价值进行重新计量，公允价值与其账面价值的差额计入当期投资收益；购买日之前持有的被购买方的</w:t>
      </w:r>
      <w:r>
        <w:rPr>
          <w:spacing w:val="-65"/>
        </w:rPr>
        <w:t> </w:t>
      </w:r>
      <w:r>
        <w:rPr>
          <w:spacing w:val="-65"/>
        </w:rPr>
      </w:r>
      <w:r>
        <w:rPr/>
        <w:t>股权涉及权益法核算下的其他综合收益等的，与其相关的其他综合收益等转为购买日所属当期收益。但由于被</w:t>
      </w:r>
      <w:r>
        <w:rPr>
          <w:spacing w:val="-65"/>
        </w:rPr>
        <w:t> </w:t>
      </w:r>
      <w:r>
        <w:rPr>
          <w:spacing w:val="-65"/>
        </w:rPr>
      </w:r>
      <w:r>
        <w:rPr/>
        <w:t>投资方重新计量设定受益计划净负债或净资产变动而产生的其他综合收益除外。</w:t>
      </w:r>
    </w:p>
    <w:p>
      <w:pPr>
        <w:pStyle w:val="Heading5"/>
        <w:spacing w:line="276" w:lineRule="auto" w:before="18"/>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9"/>
        </w:rPr>
        <w:t> </w:t>
      </w:r>
      <w:r>
        <w:rPr>
          <w:spacing w:val="-3"/>
        </w:rPr>
        <w:t>除企业合并形成以外的：以支付现金取得的，按照实际支付的购买价款作为其初始投资成本；以发行权</w:t>
      </w:r>
      <w:r>
        <w:rPr>
          <w:w w:val="100"/>
        </w:rPr>
        <w:t> </w:t>
      </w:r>
      <w:r>
        <w:rPr/>
        <w:t>益性证券取得的，按照发行权益性证券的公允价值作为其初始投资成本；以债务重组方式取得的，按《企业会</w:t>
      </w:r>
      <w:r>
        <w:rPr>
          <w:spacing w:val="-65"/>
        </w:rPr>
        <w:t> </w:t>
      </w:r>
      <w:r>
        <w:rPr>
          <w:spacing w:val="-65"/>
        </w:rPr>
      </w:r>
      <w:r>
        <w:rPr>
          <w:spacing w:val="-2"/>
        </w:rPr>
        <w:t>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债务重组》确定其初始投资成本；以非货币性资产交换取得的，按《企业会计准则第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7"/>
        </w:rPr>
        <w:t> </w:t>
      </w:r>
      <w:r>
        <w:rPr/>
        <w:t>非货币性资产交换》确定其初始投资成本。</w:t>
      </w:r>
    </w:p>
    <w:p>
      <w:pPr>
        <w:pStyle w:val="Heading5"/>
        <w:spacing w:line="271" w:lineRule="auto" w:before="20"/>
        <w:ind w:left="1554" w:right="113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后续计量及损益确认方法</w:t>
      </w:r>
      <w:r>
        <w:rPr>
          <w:w w:val="100"/>
        </w:rPr>
        <w:t> </w:t>
      </w:r>
      <w:r>
        <w:rPr/>
        <w:t>对被投资单位实施控制的长期股权投资采用成本法核算；对联营企业和合营企业的长期股权投资，采用权</w:t>
      </w:r>
    </w:p>
    <w:p>
      <w:pPr>
        <w:pStyle w:val="Heading5"/>
        <w:spacing w:line="240" w:lineRule="auto" w:before="24"/>
        <w:ind w:left="1134" w:right="0"/>
        <w:jc w:val="both"/>
      </w:pPr>
      <w:r>
        <w:rPr/>
        <w:t>益法核算。</w:t>
      </w:r>
    </w:p>
    <w:p>
      <w:pPr>
        <w:pStyle w:val="Heading5"/>
        <w:spacing w:line="240" w:lineRule="auto" w:before="50"/>
        <w:ind w:left="155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3"/>
        </w:rPr>
        <w:t> </w:t>
      </w:r>
      <w:r>
        <w:rPr/>
        <w:t>通过多次交易分步处置对子公司投资至丧失控制权的的处理方法</w:t>
      </w:r>
    </w:p>
    <w:p>
      <w:pPr>
        <w:pStyle w:val="Heading5"/>
        <w:spacing w:line="271" w:lineRule="auto" w:before="35"/>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个别财务报表</w:t>
      </w:r>
      <w:r>
        <w:rPr>
          <w:w w:val="100"/>
        </w:rPr>
        <w:t> </w:t>
      </w:r>
      <w:r>
        <w:rPr/>
        <w:t>对处置的股权，其账面价值与实际取得价款之间的差额，计入当期损益。对于剩余股权，对被投资单位仍</w:t>
      </w:r>
    </w:p>
    <w:p>
      <w:pPr>
        <w:pStyle w:val="Heading5"/>
        <w:spacing w:line="285" w:lineRule="auto" w:before="24"/>
        <w:ind w:left="1134" w:right="0"/>
        <w:jc w:val="left"/>
      </w:pPr>
      <w:r>
        <w:rPr/>
        <w:t>具有重大影响或者与其他方一起实施共同控制的，转为权益法核算；不能再对被投资单位实施控制、共同控制</w:t>
      </w:r>
      <w:r>
        <w:rPr>
          <w:spacing w:val="-65"/>
        </w:rPr>
        <w:t> </w:t>
      </w:r>
      <w:r>
        <w:rPr>
          <w:spacing w:val="-65"/>
        </w:rPr>
      </w:r>
      <w:r>
        <w:rPr>
          <w:spacing w:val="-2"/>
        </w:rPr>
        <w:t>或重大影响的，确认为金融资产，按照《企业会计准则第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金融工具确认和计量》的相关规定进行核算。</w:t>
      </w:r>
    </w:p>
    <w:p>
      <w:pPr>
        <w:pStyle w:val="Heading5"/>
        <w:spacing w:line="270" w:lineRule="exact"/>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合并财务报表</w:t>
      </w:r>
    </w:p>
    <w:p>
      <w:pPr>
        <w:pStyle w:val="Heading5"/>
        <w:spacing w:line="271" w:lineRule="auto" w:before="35"/>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100"/>
        </w:rPr>
        <w:t> </w:t>
      </w:r>
      <w:r>
        <w:rPr/>
        <w:t>在丧失控制权之前，处置价款与处置长期股权投资相对应享有子公司自购买日或合并日开始持续计算的净</w:t>
      </w:r>
    </w:p>
    <w:p>
      <w:pPr>
        <w:pStyle w:val="Heading5"/>
        <w:spacing w:line="285" w:lineRule="auto" w:before="24"/>
        <w:ind w:left="1553" w:right="0" w:hanging="420"/>
        <w:jc w:val="left"/>
      </w:pPr>
      <w:r>
        <w:rPr/>
        <w:t>资产份额之间的差额，调整资本公积（资本溢价），资本溢价不足冲减的，冲减留存收益。</w:t>
      </w:r>
      <w:r>
        <w:rPr>
          <w:w w:val="100"/>
        </w:rPr>
        <w:t> </w:t>
      </w:r>
      <w:r>
        <w:rPr/>
        <w:t>丧失对原子公司控制权时，对于剩余股权，按照其在丧失控制权日的公允价值进行重新计量。处置股权取</w:t>
      </w:r>
    </w:p>
    <w:p>
      <w:pPr>
        <w:pStyle w:val="Heading5"/>
        <w:spacing w:line="285" w:lineRule="auto" w:before="12"/>
        <w:ind w:right="1135"/>
        <w:jc w:val="both"/>
      </w:pPr>
      <w:r>
        <w:rPr/>
        <w:t>得的对价与剩余股权公允价值之和，减去按原持股比例计算应享有原有子公司自购买日或合并日开始持续计算</w:t>
      </w:r>
      <w:r>
        <w:rPr>
          <w:spacing w:val="-65"/>
        </w:rPr>
        <w:t> </w:t>
      </w:r>
      <w:r>
        <w:rPr>
          <w:spacing w:val="-65"/>
        </w:rPr>
      </w:r>
      <w:r>
        <w:rPr/>
        <w:t>的净资产的份额之间的差额，计入丧失控制权当期的投资收益，同时冲减商誉。与原有子公司股权投资相关的</w:t>
      </w:r>
      <w:r>
        <w:rPr>
          <w:spacing w:val="-65"/>
        </w:rPr>
        <w:t> </w:t>
      </w:r>
      <w:r>
        <w:rPr>
          <w:spacing w:val="-65"/>
        </w:rPr>
      </w:r>
      <w:r>
        <w:rPr/>
        <w:t>其他综合收益等，应当在丧失控制权时转为当期投资收益。</w:t>
      </w:r>
    </w:p>
    <w:p>
      <w:pPr>
        <w:pStyle w:val="Heading5"/>
        <w:spacing w:line="280" w:lineRule="auto" w:before="12"/>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w w:val="100"/>
        </w:rPr>
        <w:t> </w:t>
      </w:r>
      <w:r>
        <w:rPr/>
        <w:t>将各项交易作为一项处置子公司并丧失控制权的交易进行会计处理。但是，在丧失控制权之前每一次处置价款</w:t>
      </w:r>
      <w:r>
        <w:rPr>
          <w:spacing w:val="-62"/>
        </w:rPr>
        <w:t> </w:t>
      </w:r>
      <w:r>
        <w:rPr>
          <w:spacing w:val="-62"/>
        </w:rPr>
      </w:r>
      <w:r>
        <w:rPr/>
        <w:t>与处置投资对应的享有该子公司净资产份额的差额，在合并财务报表中确认为其他综合收益，在丧失控制权时</w:t>
      </w:r>
      <w:r>
        <w:rPr>
          <w:spacing w:val="-65"/>
        </w:rPr>
        <w:t> </w:t>
      </w:r>
      <w:r>
        <w:rPr>
          <w:spacing w:val="-65"/>
        </w:rPr>
      </w:r>
      <w:r>
        <w:rPr/>
        <w:t>一并转入丧失控制权当期的损益。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15、投资性房地产" w:id="175"/>
      <w:bookmarkEnd w:id="17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134" w:right="8952"/>
        <w:jc w:val="left"/>
      </w:pPr>
      <w:r>
        <w:rPr/>
        <w:t>投资性房地产计量模式 成本法计量</w:t>
      </w:r>
    </w:p>
    <w:p>
      <w:pPr>
        <w:spacing w:after="0" w:line="357"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折旧或摊销方法</w:t>
      </w:r>
    </w:p>
    <w:p>
      <w:pPr>
        <w:pStyle w:val="Heading5"/>
        <w:spacing w:line="240" w:lineRule="auto" w:before="98"/>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投资性房地产包括已出租的土地使用权、持有并准备增值后转让的土地使用权和已出租的建筑物。</w:t>
      </w:r>
    </w:p>
    <w:p>
      <w:pPr>
        <w:pStyle w:val="Heading5"/>
        <w:spacing w:line="271" w:lineRule="auto" w:before="35"/>
        <w:ind w:right="112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投资性房地产按照成本进行初始计量，采用成本模式进行后续计量，并采用与固定资产和无形资产相同</w:t>
      </w:r>
      <w:r>
        <w:rPr>
          <w:w w:val="100"/>
        </w:rPr>
        <w:t> </w:t>
      </w:r>
      <w:r>
        <w:rPr/>
        <w:t>的方法计提折旧或进行摊销。</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16、固定资产" w:id="176"/>
      <w:bookmarkEnd w:id="17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77"/>
      <w:bookmarkEnd w:id="17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134" w:right="0"/>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2）折旧方法" w:id="178"/>
      <w:bookmarkEnd w:id="17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79"/>
      <w:bookmarkEnd w:id="17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7、在建工程" w:id="180"/>
      <w:bookmarkEnd w:id="18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5"/>
          <w:szCs w:val="25"/>
        </w:rPr>
      </w:pPr>
    </w:p>
    <w:p>
      <w:pPr>
        <w:pStyle w:val="Heading5"/>
        <w:spacing w:line="271" w:lineRule="auto"/>
        <w:ind w:left="1134" w:right="0" w:firstLine="420"/>
        <w:jc w:val="left"/>
      </w:pPr>
      <w:r>
        <w:rPr>
          <w:rFonts w:ascii="Times New Roman" w:hAnsi="Times New Roman" w:cs="Times New Roman" w:eastAsia="Times New Roman" w:hint="default"/>
        </w:rPr>
        <w:t>1.</w:t>
      </w:r>
      <w:r>
        <w:rPr/>
        <w:t>在建工程同时满足经济利益很可能流入、成本能够可靠计量则予以确认。在建工程按建造该项资产达到</w:t>
      </w:r>
      <w:r>
        <w:rPr>
          <w:w w:val="100"/>
        </w:rPr>
        <w:t> </w:t>
      </w:r>
      <w:r>
        <w:rPr/>
        <w:t>预定可使用状态前所发生的实际成本计量。</w:t>
      </w:r>
    </w:p>
    <w:p>
      <w:pPr>
        <w:pStyle w:val="Heading5"/>
        <w:spacing w:line="278" w:lineRule="auto" w:before="24"/>
        <w:ind w:left="1134" w:right="1135" w:firstLine="642"/>
        <w:jc w:val="both"/>
      </w:pPr>
      <w:r>
        <w:rPr>
          <w:rFonts w:ascii="Times New Roman" w:hAnsi="Times New Roman" w:cs="Times New Roman" w:eastAsia="Times New Roman" w:hint="default"/>
        </w:rPr>
        <w:t>2.</w:t>
      </w:r>
      <w:r>
        <w:rPr/>
        <w:t>在建工程达到预定可使用状态时，按工程实际成本转入固定资产。已达到预定可使用状态但尚未办理</w:t>
      </w:r>
      <w:r>
        <w:rPr>
          <w:w w:val="100"/>
        </w:rPr>
        <w:t> </w:t>
      </w:r>
      <w:r>
        <w:rPr/>
        <w:t>竣工决算的，先按估计价值转入固定资产，待办理竣工决算后再按实际成本调整原暂估价值，但不再调整原已</w:t>
      </w:r>
      <w:r>
        <w:rPr>
          <w:spacing w:val="-65"/>
        </w:rPr>
        <w:t> </w:t>
      </w:r>
      <w:r>
        <w:rPr>
          <w:spacing w:val="-65"/>
        </w:rPr>
      </w:r>
      <w:r>
        <w:rPr/>
        <w:t>计提的折旧。</w:t>
      </w:r>
    </w:p>
    <w:p>
      <w:pPr>
        <w:spacing w:line="240" w:lineRule="auto" w:before="9"/>
        <w:rPr>
          <w:rFonts w:ascii="宋体" w:hAnsi="宋体" w:cs="宋体" w:eastAsia="宋体" w:hint="default"/>
          <w:sz w:val="23"/>
          <w:szCs w:val="23"/>
        </w:rPr>
      </w:pPr>
    </w:p>
    <w:p>
      <w:pPr>
        <w:pStyle w:val="Heading3"/>
        <w:spacing w:line="240" w:lineRule="auto"/>
        <w:ind w:left="1134" w:right="0"/>
        <w:jc w:val="left"/>
        <w:rPr>
          <w:b w:val="0"/>
          <w:bCs w:val="0"/>
        </w:rPr>
      </w:pPr>
      <w:bookmarkStart w:name="18、借款费用" w:id="181"/>
      <w:bookmarkEnd w:id="18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3"/>
        <w:rPr>
          <w:rFonts w:ascii="宋体" w:hAnsi="宋体" w:cs="宋体" w:eastAsia="宋体" w:hint="default"/>
          <w:b/>
          <w:bCs/>
          <w:sz w:val="25"/>
          <w:szCs w:val="25"/>
        </w:rPr>
      </w:pPr>
    </w:p>
    <w:p>
      <w:pPr>
        <w:pStyle w:val="Heading5"/>
        <w:spacing w:line="271" w:lineRule="auto"/>
        <w:ind w:left="1554" w:right="11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借款费用资本化的确认原则</w:t>
      </w:r>
      <w:r>
        <w:rPr>
          <w:w w:val="100"/>
        </w:rPr>
        <w:t> </w:t>
      </w:r>
      <w:r>
        <w:rPr/>
        <w:t>公司发生的借款费用，可直接归属于符合资本化条件的资产的购建或者生产的，予以资本化，计入相关资</w:t>
      </w:r>
    </w:p>
    <w:p>
      <w:pPr>
        <w:pStyle w:val="Heading5"/>
        <w:spacing w:line="240" w:lineRule="auto" w:before="24"/>
        <w:ind w:left="1134" w:right="0"/>
        <w:jc w:val="left"/>
      </w:pPr>
      <w:r>
        <w:rPr/>
        <w:t>产成本；其他借款费用，在发生时确认为费用，计入当期损益。</w:t>
      </w:r>
    </w:p>
    <w:p>
      <w:pPr>
        <w:pStyle w:val="Heading5"/>
        <w:spacing w:line="240" w:lineRule="auto" w:before="50"/>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借款费用资本化期间</w:t>
      </w:r>
    </w:p>
    <w:p>
      <w:pPr>
        <w:pStyle w:val="Heading5"/>
        <w:spacing w:line="271" w:lineRule="auto" w:before="35"/>
        <w:ind w:right="0"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为使</w:t>
      </w:r>
      <w:r>
        <w:rPr>
          <w:spacing w:val="-2"/>
          <w:w w:val="100"/>
        </w:rPr>
        <w:t> </w:t>
      </w:r>
      <w:r>
        <w:rPr/>
        <w:t>资产达到预定可使用或可销售状态所必要的购建或者生产活动已经开始。</w:t>
      </w:r>
    </w:p>
    <w:p>
      <w:pPr>
        <w:pStyle w:val="Heading5"/>
        <w:spacing w:line="271" w:lineRule="auto" w:before="24"/>
        <w:ind w:right="1124"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w:t>
      </w:r>
      <w:r>
        <w:rPr>
          <w:w w:val="100"/>
        </w:rPr>
        <w:t> </w:t>
      </w:r>
      <w:r>
        <w:rPr/>
        <w:t>借款费用的资本化；中断期间发生的借款费用确认为当期费用，直至资产的购建或者生产活动重新开始。</w:t>
      </w:r>
    </w:p>
    <w:p>
      <w:pPr>
        <w:pStyle w:val="Heading5"/>
        <w:spacing w:line="240" w:lineRule="auto" w:before="24"/>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当所购建或者生产符合资本化条件的资产达到预定可使用或可销售状态时，借款费用停止资本化。</w:t>
      </w:r>
    </w:p>
    <w:p>
      <w:pPr>
        <w:pStyle w:val="Heading5"/>
        <w:spacing w:line="271" w:lineRule="auto" w:before="35"/>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借款费用资本化率以及资本化金额</w:t>
      </w:r>
      <w:r>
        <w:rPr>
          <w:w w:val="100"/>
        </w:rPr>
        <w:t> </w:t>
      </w:r>
      <w:r>
        <w:rPr/>
        <w:t>为购建或者生产符合资本化条件的资产而借入专门借款的，以专门借款当期实际发生的利息费用（包括按</w:t>
      </w:r>
    </w:p>
    <w:p>
      <w:pPr>
        <w:spacing w:after="0" w:line="271"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5"/>
        <w:spacing w:line="285" w:lineRule="auto" w:before="38"/>
        <w:ind w:right="1135"/>
        <w:jc w:val="both"/>
      </w:pPr>
      <w:r>
        <w:rPr/>
        <w:t>照实际利率法确定的折价或溢价的摊销），减去将尚未动用的借款资金存入银行取得的利息收入或进行暂时性</w:t>
      </w:r>
      <w:r>
        <w:rPr>
          <w:spacing w:val="-65"/>
        </w:rPr>
        <w:t> </w:t>
      </w:r>
      <w:r>
        <w:rPr>
          <w:spacing w:val="-65"/>
        </w:rPr>
      </w:r>
      <w:r>
        <w:rPr/>
        <w:t>投资取得的投资收益后的金额，确定应予资本化的利息金额；为购建或者生产符合资本化条件的资产占用了一</w:t>
      </w:r>
      <w:r>
        <w:rPr>
          <w:spacing w:val="-65"/>
        </w:rPr>
        <w:t> </w:t>
      </w:r>
      <w:r>
        <w:rPr>
          <w:spacing w:val="-65"/>
        </w:rPr>
      </w:r>
      <w:r>
        <w:rPr/>
        <w:t>般借款的，根据累计资产支出超过专门借款的资产支出加权平均数乘以占用一般借款的资本化率，计算确定一</w:t>
      </w:r>
      <w:r>
        <w:rPr>
          <w:spacing w:val="-65"/>
        </w:rPr>
        <w:t> </w:t>
      </w:r>
      <w:r>
        <w:rPr>
          <w:spacing w:val="-65"/>
        </w:rPr>
      </w:r>
      <w:r>
        <w:rPr/>
        <w:t>般借款应予资本化的利息金额。</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bookmarkStart w:name="19、生物资产" w:id="182"/>
      <w:bookmarkEnd w:id="18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20、油气资产" w:id="183"/>
      <w:bookmarkEnd w:id="18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21、无形资产" w:id="184"/>
      <w:bookmarkEnd w:id="18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both"/>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1554" w:right="0"/>
        <w:jc w:val="left"/>
      </w:pPr>
      <w:r>
        <w:rPr>
          <w:rFonts w:ascii="Times New Roman" w:hAnsi="Times New Roman" w:cs="Times New Roman" w:eastAsia="Times New Roman" w:hint="default"/>
        </w:rPr>
        <w:t>1.</w:t>
      </w:r>
      <w:r>
        <w:rPr/>
        <w:t>无形资产包括土地使用权、专利权及非专利技术等，按成本进行初始计量。</w:t>
      </w:r>
    </w:p>
    <w:p>
      <w:pPr>
        <w:pStyle w:val="Heading5"/>
        <w:spacing w:line="271" w:lineRule="auto" w:before="35"/>
        <w:ind w:left="1134" w:right="0" w:firstLine="420"/>
        <w:jc w:val="left"/>
      </w:pPr>
      <w:r>
        <w:rPr>
          <w:rFonts w:ascii="Times New Roman" w:hAnsi="Times New Roman" w:cs="Times New Roman" w:eastAsia="Times New Roman" w:hint="default"/>
        </w:rPr>
        <w:t>2.</w:t>
      </w:r>
      <w:r>
        <w:rPr/>
        <w:t>使用寿命有限的无形资产，在使用寿命内按照与该项无形资产有关的经济利益的预期实现方式系统合理</w:t>
      </w:r>
      <w:r>
        <w:rPr>
          <w:w w:val="100"/>
        </w:rPr>
        <w:t> </w:t>
      </w:r>
      <w:r>
        <w:rPr/>
        <w:t>地摊销，无法可靠确定预期实现方式的，采用直线法摊销。具体年限如下：</w:t>
      </w:r>
    </w:p>
    <w:p>
      <w:pPr>
        <w:spacing w:line="240" w:lineRule="auto" w:before="4"/>
        <w:rPr>
          <w:rFonts w:ascii="宋体" w:hAnsi="宋体" w:cs="宋体" w:eastAsia="宋体" w:hint="default"/>
          <w:sz w:val="2"/>
          <w:szCs w:val="2"/>
        </w:rPr>
      </w:pPr>
    </w:p>
    <w:tbl>
      <w:tblPr>
        <w:tblW w:w="0" w:type="auto"/>
        <w:jc w:val="left"/>
        <w:tblInd w:w="1486" w:type="dxa"/>
        <w:tblLayout w:type="fixed"/>
        <w:tblCellMar>
          <w:top w:w="0" w:type="dxa"/>
          <w:left w:w="0" w:type="dxa"/>
          <w:bottom w:w="0" w:type="dxa"/>
          <w:right w:w="0" w:type="dxa"/>
        </w:tblCellMar>
        <w:tblLook w:val="01E0"/>
      </w:tblPr>
      <w:tblGrid>
        <w:gridCol w:w="2160"/>
        <w:gridCol w:w="2160"/>
      </w:tblGrid>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22" w:right="0"/>
              <w:jc w:val="left"/>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60"/>
                <w:sz w:val="20"/>
                <w:szCs w:val="20"/>
              </w:rPr>
              <w:t> </w:t>
            </w:r>
            <w:r>
              <w:rPr>
                <w:rFonts w:ascii="宋体" w:hAnsi="宋体" w:cs="宋体" w:eastAsia="宋体" w:hint="default"/>
                <w:sz w:val="20"/>
                <w:szCs w:val="20"/>
              </w:rPr>
              <w:t>目</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left="42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摊销年限</w:t>
            </w:r>
            <w:r>
              <w:rPr>
                <w:rFonts w:ascii="Times New Roman" w:hAnsi="Times New Roman" w:cs="Times New Roman" w:eastAsia="Times New Roman" w:hint="default"/>
                <w:sz w:val="20"/>
                <w:szCs w:val="20"/>
              </w:rPr>
              <w:t>(</w:t>
            </w:r>
            <w:r>
              <w:rPr>
                <w:rFonts w:ascii="宋体" w:hAnsi="宋体" w:cs="宋体" w:eastAsia="宋体" w:hint="default"/>
                <w:sz w:val="20"/>
                <w:szCs w:val="20"/>
              </w:rPr>
              <w:t>年</w:t>
            </w:r>
            <w:r>
              <w:rPr>
                <w:rFonts w:ascii="Times New Roman" w:hAnsi="Times New Roman" w:cs="Times New Roman" w:eastAsia="Times New Roman" w:hint="default"/>
                <w:sz w:val="20"/>
                <w:szCs w:val="20"/>
              </w:rPr>
              <w:t>)</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22"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1"/>
              <w:ind w:left="422" w:right="0"/>
              <w:jc w:val="left"/>
              <w:rPr>
                <w:rFonts w:ascii="Times New Roman" w:hAnsi="Times New Roman" w:cs="Times New Roman" w:eastAsia="Times New Roman" w:hint="default"/>
                <w:sz w:val="20"/>
                <w:szCs w:val="20"/>
              </w:rPr>
            </w:pPr>
            <w:r>
              <w:rPr>
                <w:rFonts w:ascii="Times New Roman"/>
                <w:sz w:val="20"/>
              </w:rPr>
              <w:t>50</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22" w:right="0"/>
              <w:jc w:val="left"/>
              <w:rPr>
                <w:rFonts w:ascii="宋体" w:hAnsi="宋体" w:cs="宋体" w:eastAsia="宋体" w:hint="default"/>
                <w:sz w:val="20"/>
                <w:szCs w:val="20"/>
              </w:rPr>
            </w:pPr>
            <w:r>
              <w:rPr>
                <w:rFonts w:ascii="宋体" w:hAnsi="宋体" w:cs="宋体" w:eastAsia="宋体" w:hint="default"/>
                <w:sz w:val="20"/>
                <w:szCs w:val="20"/>
              </w:rPr>
              <w:t>专利使用权</w:t>
            </w:r>
          </w:p>
        </w:tc>
        <w:tc>
          <w:tcPr>
            <w:tcW w:w="21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left="422" w:right="0"/>
              <w:jc w:val="left"/>
              <w:rPr>
                <w:rFonts w:ascii="Times New Roman" w:hAnsi="Times New Roman" w:cs="Times New Roman" w:eastAsia="Times New Roman" w:hint="default"/>
                <w:sz w:val="20"/>
                <w:szCs w:val="20"/>
              </w:rPr>
            </w:pPr>
            <w:r>
              <w:rPr>
                <w:rFonts w:ascii="Times New Roman"/>
                <w:w w:val="100"/>
                <w:sz w:val="20"/>
              </w:rPr>
              <w:t>5</w:t>
            </w:r>
          </w:p>
        </w:tc>
      </w:tr>
    </w:tbl>
    <w:p>
      <w:pPr>
        <w:pStyle w:val="Heading5"/>
        <w:spacing w:line="271" w:lineRule="exact"/>
        <w:ind w:left="1554" w:right="0"/>
        <w:jc w:val="left"/>
      </w:pPr>
      <w:r>
        <w:rPr>
          <w:rFonts w:ascii="Times New Roman" w:hAnsi="Times New Roman" w:cs="Times New Roman" w:eastAsia="Times New Roman" w:hint="default"/>
        </w:rPr>
        <w:t>3.</w:t>
      </w:r>
      <w:r>
        <w:rPr/>
        <w:t>使用寿命不确定的无形资产的判断依据以及对其使用寿命进行复核的程序</w:t>
      </w:r>
      <w:r>
        <w:rPr>
          <w:rFonts w:ascii="Times New Roman" w:hAnsi="Times New Roman" w:cs="Times New Roman" w:eastAsia="Times New Roman" w:hint="default"/>
        </w:rPr>
        <w:t>:</w:t>
      </w:r>
      <w:r>
        <w:rPr/>
        <w:t>无。</w:t>
      </w:r>
    </w:p>
    <w:p>
      <w:pPr>
        <w:spacing w:line="590" w:lineRule="atLeast" w:before="27"/>
        <w:ind w:left="1638" w:right="1132" w:hanging="505"/>
        <w:jc w:val="left"/>
        <w:rPr>
          <w:rFonts w:ascii="宋体" w:hAnsi="宋体" w:cs="宋体" w:eastAsia="宋体" w:hint="default"/>
          <w:sz w:val="21"/>
          <w:szCs w:val="21"/>
        </w:rPr>
      </w:pPr>
      <w:bookmarkStart w:name="（2）内部研究开发支出会计政策"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2"/>
          <w:sz w:val="21"/>
          <w:szCs w:val="21"/>
        </w:rPr>
        <w:t>内部研究开发项目研究阶段的支出，于发生时计入当期损益。内部研究开发项目开发阶段的支出，</w:t>
      </w:r>
    </w:p>
    <w:p>
      <w:pPr>
        <w:pStyle w:val="Heading4"/>
        <w:spacing w:line="256" w:lineRule="auto" w:before="37"/>
        <w:ind w:left="1133" w:right="1009"/>
        <w:jc w:val="left"/>
      </w:pPr>
      <w:r>
        <w:rPr/>
        <w:t>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完成该无形资产以使其能够使用或出售在技术上具有可行性； </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无形资产产生经济利益的方式，包括能够证明运用该无 </w:t>
      </w:r>
      <w:r>
        <w:rPr>
          <w:spacing w:val="-3"/>
        </w:rPr>
        <w:t>形资产生产的产品存在市场或无形资产自身存在市场，无形资产将在内部使用的，能证明其有用性；</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30"/>
        </w:rPr>
        <w:t> </w:t>
      </w:r>
      <w:r>
        <w:rPr/>
        <w:t>有 足够的技术、财务资源和其他资源支持，以完成该无形资产的开发，并有能力使用或出售该无形资产；</w:t>
      </w:r>
      <w:r>
        <w:rPr>
          <w:rFonts w:ascii="Times New Roman" w:hAnsi="Times New Roman" w:cs="Times New Roman" w:eastAsia="Times New Roman" w:hint="default"/>
        </w:rPr>
        <w:t>(5) </w:t>
      </w:r>
      <w:r>
        <w:rPr/>
        <w:t>归属于该无形资产开发阶段的支出能够可靠地计量。</w:t>
      </w:r>
    </w:p>
    <w:p>
      <w:pPr>
        <w:spacing w:line="240" w:lineRule="auto" w:before="10"/>
        <w:rPr>
          <w:rFonts w:ascii="宋体" w:hAnsi="宋体" w:cs="宋体" w:eastAsia="宋体" w:hint="default"/>
          <w:sz w:val="24"/>
          <w:szCs w:val="24"/>
        </w:rPr>
      </w:pPr>
    </w:p>
    <w:p>
      <w:pPr>
        <w:pStyle w:val="Heading3"/>
        <w:spacing w:line="240" w:lineRule="auto"/>
        <w:ind w:left="1134" w:right="0"/>
        <w:jc w:val="left"/>
        <w:rPr>
          <w:b w:val="0"/>
          <w:bCs w:val="0"/>
        </w:rPr>
      </w:pPr>
      <w:bookmarkStart w:name="22、长期资产减值" w:id="187"/>
      <w:bookmarkEnd w:id="18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3"/>
        <w:rPr>
          <w:rFonts w:ascii="宋体" w:hAnsi="宋体" w:cs="宋体" w:eastAsia="宋体" w:hint="default"/>
          <w:b/>
          <w:bCs/>
          <w:sz w:val="25"/>
          <w:szCs w:val="25"/>
        </w:rPr>
      </w:pPr>
    </w:p>
    <w:p>
      <w:pPr>
        <w:pStyle w:val="Heading5"/>
        <w:spacing w:line="280" w:lineRule="auto"/>
        <w:ind w:left="1134" w:right="1131" w:firstLine="420"/>
        <w:jc w:val="both"/>
      </w:pPr>
      <w:r>
        <w:rPr/>
        <w:t>对长期股权投资、采用成本模式计量的投资性房地产、固定资产、在建工程、使用寿命有限的无形资产等</w:t>
      </w:r>
      <w:r>
        <w:rPr>
          <w:w w:val="100"/>
        </w:rPr>
        <w:t> </w:t>
      </w:r>
      <w:r>
        <w:rPr>
          <w:spacing w:val="-1"/>
        </w:rPr>
        <w:t>长期资产</w:t>
      </w:r>
      <w:r>
        <w:rPr>
          <w:rFonts w:ascii="Times New Roman" w:hAnsi="Times New Roman" w:cs="Times New Roman" w:eastAsia="Times New Roman" w:hint="default"/>
          <w:spacing w:val="-1"/>
        </w:rPr>
        <w:t>,</w:t>
      </w:r>
      <w:r>
        <w:rPr>
          <w:spacing w:val="-1"/>
        </w:rPr>
        <w:t>在资产负债表日有迹象表明发生减值的，估计其可收回金额。对因企业合并所形成的商誉和使用寿命</w:t>
      </w:r>
      <w:r>
        <w:rPr>
          <w:spacing w:val="-75"/>
        </w:rPr>
        <w:t> </w:t>
      </w:r>
      <w:r>
        <w:rPr>
          <w:spacing w:val="-75"/>
        </w:rPr>
      </w:r>
      <w:r>
        <w:rPr/>
        <w:t>不确定的无形资产，无论是否存在减值迹象，每年都进行减值测试。商誉结合与其相关的资产组或者资产组组</w:t>
      </w:r>
      <w:r>
        <w:rPr>
          <w:spacing w:val="-65"/>
        </w:rPr>
        <w:t> </w:t>
      </w:r>
      <w:r>
        <w:rPr>
          <w:spacing w:val="-65"/>
        </w:rPr>
      </w:r>
      <w:r>
        <w:rPr/>
        <w:t>合进行减值测试。</w:t>
      </w:r>
    </w:p>
    <w:p>
      <w:pPr>
        <w:pStyle w:val="Heading5"/>
        <w:spacing w:line="240" w:lineRule="auto" w:before="16"/>
        <w:ind w:left="1553" w:right="0"/>
        <w:jc w:val="left"/>
      </w:pPr>
      <w:r>
        <w:rPr/>
        <w:t>若上述长期资产的可收回金额低于其账面价值的，按其差额确认资产减值准备并计入当期损益。</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bookmarkStart w:name="23、长期待摊费用" w:id="188"/>
      <w:bookmarkEnd w:id="18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5"/>
        <w:rPr>
          <w:rFonts w:ascii="宋体" w:hAnsi="宋体" w:cs="宋体" w:eastAsia="宋体" w:hint="default"/>
          <w:b/>
          <w:bCs/>
          <w:sz w:val="25"/>
          <w:szCs w:val="25"/>
        </w:rPr>
      </w:pPr>
    </w:p>
    <w:p>
      <w:pPr>
        <w:pStyle w:val="Heading5"/>
        <w:spacing w:line="278" w:lineRule="auto"/>
        <w:ind w:left="1134" w:right="1131" w:firstLine="420"/>
        <w:jc w:val="both"/>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w:t>
      </w:r>
      <w:r>
        <w:rPr>
          <w:w w:val="100"/>
        </w:rPr>
        <w:t> </w:t>
      </w:r>
      <w:r>
        <w:rPr/>
        <w:t>账，在受益期或规定的期限内分期平均摊销。如果长期待摊的费用项目不能使以后会计期间受益则将尚未摊销</w:t>
      </w:r>
      <w:r>
        <w:rPr>
          <w:spacing w:val="-62"/>
        </w:rPr>
        <w:t> </w:t>
      </w:r>
      <w:r>
        <w:rPr>
          <w:spacing w:val="-62"/>
        </w:rPr>
      </w:r>
      <w:r>
        <w:rPr/>
        <w:t>的该项目的摊余价值全部转入当期损益。</w:t>
      </w:r>
    </w:p>
    <w:p>
      <w:pPr>
        <w:spacing w:after="0" w:line="278"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4、职工薪酬" w:id="189"/>
      <w:bookmarkEnd w:id="18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left="1554" w:right="0"/>
        <w:jc w:val="left"/>
      </w:pPr>
      <w:r>
        <w:rPr>
          <w:spacing w:val="-3"/>
        </w:rPr>
        <w:t>在职工为公司提供服务的会计期间，将实际发生的短期薪酬确认为负债，并计入当期损益或相关资产成本。</w:t>
      </w:r>
    </w:p>
    <w:p>
      <w:pPr>
        <w:spacing w:line="240" w:lineRule="auto" w:before="2"/>
        <w:rPr>
          <w:rFonts w:ascii="宋体" w:hAnsi="宋体" w:cs="宋体" w:eastAsia="宋体" w:hint="default"/>
          <w:sz w:val="26"/>
          <w:szCs w:val="26"/>
        </w:rPr>
      </w:pPr>
    </w:p>
    <w:p>
      <w:pPr>
        <w:pStyle w:val="Heading3"/>
        <w:spacing w:line="240" w:lineRule="auto"/>
        <w:ind w:left="1134" w:right="0"/>
        <w:jc w:val="left"/>
        <w:rPr>
          <w:b w:val="0"/>
          <w:bCs w:val="0"/>
        </w:rPr>
      </w:pPr>
      <w:bookmarkStart w:name="（2）离职后福利的会计处理方法" w:id="191"/>
      <w:bookmarkEnd w:id="19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1554" w:right="0"/>
        <w:jc w:val="left"/>
      </w:pPr>
      <w:r>
        <w:rPr/>
        <w:t>离职后福利分为设定提存计划和设定受益计划。</w:t>
      </w:r>
    </w:p>
    <w:p>
      <w:pPr>
        <w:pStyle w:val="Heading5"/>
        <w:spacing w:line="271" w:lineRule="auto" w:before="50"/>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在职工为公司提供服务的会计期间，根据设定提存计划计算的应缴存金额确认为负债，并计入当期损益</w:t>
      </w:r>
      <w:r>
        <w:rPr>
          <w:w w:val="100"/>
        </w:rPr>
        <w:t> </w:t>
      </w:r>
      <w:r>
        <w:rPr/>
        <w:t>或相关资产成本。</w:t>
      </w:r>
    </w:p>
    <w:p>
      <w:pPr>
        <w:pStyle w:val="Heading5"/>
        <w:spacing w:line="240" w:lineRule="auto" w:before="24"/>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对设定受益计划的会计处理通常包括下列步骤：</w:t>
      </w:r>
    </w:p>
    <w:p>
      <w:pPr>
        <w:pStyle w:val="Heading5"/>
        <w:spacing w:line="278" w:lineRule="auto" w:before="35"/>
        <w:ind w:left="1134" w:right="1134"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spacing w:val="2"/>
        </w:rPr>
        <w:t>根据预期累计福利单位法，采用无偏且相互一致的精算假设对有关人口统计变量和财务变量等作出估</w:t>
      </w:r>
      <w:r>
        <w:rPr>
          <w:w w:val="100"/>
        </w:rPr>
        <w:t> </w:t>
      </w:r>
      <w:r>
        <w:rPr/>
        <w:t>计，计量设定受益计划所产生的义务，并确定相关义务的所属期间。同时，对设定受益计划所产生的义务予以</w:t>
      </w:r>
      <w:r>
        <w:rPr>
          <w:spacing w:val="-65"/>
        </w:rPr>
        <w:t> </w:t>
      </w:r>
      <w:r>
        <w:rPr>
          <w:spacing w:val="-65"/>
        </w:rPr>
      </w:r>
      <w:r>
        <w:rPr/>
        <w:t>折现，以确定设定受益计划义务的现值和当期服务成本；</w:t>
      </w:r>
    </w:p>
    <w:p>
      <w:pPr>
        <w:pStyle w:val="Heading5"/>
        <w:spacing w:line="278" w:lineRule="auto" w:before="18"/>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设定受益计划存在资产的，将设定受益计划义务现值减去设定受益计划资产公允价值所形成的赤字或盈</w:t>
      </w:r>
      <w:r>
        <w:rPr>
          <w:w w:val="100"/>
        </w:rPr>
        <w:t> </w:t>
      </w:r>
      <w:r>
        <w:rPr/>
        <w:t>余确认为一项设定受益计划净负债或净资产。设定受益计划存在盈余的，以设定受益计划的盈余和资产上限两</w:t>
      </w:r>
      <w:r>
        <w:rPr>
          <w:spacing w:val="-65"/>
        </w:rPr>
        <w:t> </w:t>
      </w:r>
      <w:r>
        <w:rPr>
          <w:spacing w:val="-65"/>
        </w:rPr>
      </w:r>
      <w:r>
        <w:rPr/>
        <w:t>项的孰低者计量设定受益计划净资产；</w:t>
      </w:r>
    </w:p>
    <w:p>
      <w:pPr>
        <w:pStyle w:val="Heading5"/>
        <w:spacing w:line="280" w:lineRule="auto" w:before="18"/>
        <w:ind w:left="1134" w:right="103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期末，将设定受益计划产生的职工薪酬成本确认为服务成本、设定受益计划净负债或净资产的利息净额</w:t>
      </w:r>
      <w:r>
        <w:rPr>
          <w:w w:val="100"/>
        </w:rPr>
        <w:t> </w:t>
      </w:r>
      <w:r>
        <w:rPr/>
        <w:t>以及重新计量设定受益计划净负债或净资产所产生的变动等三部分，其中服务成本和设定受益计划净负债或净</w:t>
      </w:r>
      <w:r>
        <w:rPr>
          <w:spacing w:val="-65"/>
        </w:rPr>
        <w:t> </w:t>
      </w:r>
      <w:r>
        <w:rPr>
          <w:spacing w:val="-65"/>
        </w:rPr>
      </w:r>
      <w:r>
        <w:rPr/>
        <w:t>资产的利息净额计入当期损益或相关资产成本，重新计量设定受益计划净负债或净资产所产生的变动计入其他</w:t>
      </w:r>
      <w:r>
        <w:rPr>
          <w:spacing w:val="-65"/>
        </w:rPr>
        <w:t> </w:t>
      </w:r>
      <w:r>
        <w:rPr>
          <w:spacing w:val="-65"/>
        </w:rPr>
      </w:r>
      <w:r>
        <w:rPr>
          <w:spacing w:val="-2"/>
        </w:rPr>
        <w:t>综合收益，并且在后续会计期间不允许转回至损益，但可以在权益范围内转移这些在其他综合收益确认的金额。</w:t>
      </w:r>
    </w:p>
    <w:p>
      <w:pPr>
        <w:spacing w:line="240" w:lineRule="auto" w:before="8"/>
        <w:rPr>
          <w:rFonts w:ascii="宋体" w:hAnsi="宋体" w:cs="宋体" w:eastAsia="宋体" w:hint="default"/>
          <w:sz w:val="23"/>
          <w:szCs w:val="23"/>
        </w:rPr>
      </w:pPr>
    </w:p>
    <w:p>
      <w:pPr>
        <w:pStyle w:val="Heading3"/>
        <w:spacing w:line="240" w:lineRule="auto"/>
        <w:ind w:left="1134" w:right="0"/>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71" w:lineRule="auto"/>
        <w:ind w:right="1130" w:firstLine="420"/>
        <w:jc w:val="both"/>
      </w:pPr>
      <w:r>
        <w:rPr>
          <w:spacing w:val="-3"/>
        </w:rPr>
        <w:t>向职工提供的辞退福利，在下列两者孰早日确认辞退福利产生的职工薪酬负债，并计入当期损益：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8"/>
        </w:rPr>
        <w:t> </w:t>
      </w:r>
      <w:r>
        <w:rPr/>
        <w:t>公司</w:t>
      </w:r>
      <w:r>
        <w:rPr>
          <w:w w:val="100"/>
        </w:rPr>
        <w:t> </w:t>
      </w:r>
      <w:r>
        <w:rPr>
          <w:spacing w:val="-3"/>
        </w:rPr>
        <w:t>不能单方面撤回因解除劳动关系计划或裁减建议所提供的辞退福利时；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1"/>
        </w:rPr>
        <w:t> </w:t>
      </w:r>
      <w:r>
        <w:rPr/>
        <w:t>公司确认与涉及支付辞退福利的重组</w:t>
      </w:r>
      <w:r>
        <w:rPr>
          <w:spacing w:val="-97"/>
        </w:rPr>
        <w:t> </w:t>
      </w:r>
      <w:r>
        <w:rPr>
          <w:spacing w:val="-97"/>
        </w:rPr>
      </w:r>
      <w:r>
        <w:rPr/>
        <w:t>相关的成本或费用时。</w:t>
      </w:r>
    </w:p>
    <w:p>
      <w:pPr>
        <w:spacing w:line="240" w:lineRule="auto" w:before="2"/>
        <w:rPr>
          <w:rFonts w:ascii="宋体" w:hAnsi="宋体" w:cs="宋体" w:eastAsia="宋体" w:hint="default"/>
          <w:sz w:val="24"/>
          <w:szCs w:val="24"/>
        </w:rPr>
      </w:pPr>
    </w:p>
    <w:p>
      <w:pPr>
        <w:pStyle w:val="Heading3"/>
        <w:spacing w:line="240" w:lineRule="auto"/>
        <w:ind w:left="1134" w:right="0"/>
        <w:jc w:val="left"/>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left="1134" w:right="1133" w:firstLine="420"/>
        <w:jc w:val="both"/>
      </w:pPr>
      <w:r>
        <w:rPr/>
        <w:t>向职工提供的其他长期福利，符合设定提存计划条件的，按照设定提存计划的有关规定进行会计处理；除</w:t>
      </w:r>
      <w:r>
        <w:rPr>
          <w:w w:val="100"/>
        </w:rPr>
        <w:t> </w:t>
      </w:r>
      <w:r>
        <w:rPr/>
        <w:t>此之外的其他长期福利，按照设定受益计划的有关规定进行会计处理，为简化相关会计处理，将其产生的职工</w:t>
      </w:r>
      <w:r>
        <w:rPr>
          <w:spacing w:val="-65"/>
        </w:rPr>
        <w:t> </w:t>
      </w:r>
      <w:r>
        <w:rPr>
          <w:spacing w:val="-65"/>
        </w:rPr>
      </w:r>
      <w:r>
        <w:rPr/>
        <w:t>薪酬成本确认为服务成本、其他长期职工福利净负债或净资产的利息净额以及重新计量其他长期职工福利净负</w:t>
      </w:r>
      <w:r>
        <w:rPr>
          <w:spacing w:val="-65"/>
        </w:rPr>
        <w:t> </w:t>
      </w:r>
      <w:r>
        <w:rPr>
          <w:spacing w:val="-65"/>
        </w:rPr>
      </w:r>
      <w:r>
        <w:rPr/>
        <w:t>债或净资产所产生的变动等组成项目的总净额计入当期损益或相关资产成本。</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5、预计负债" w:id="194"/>
      <w:bookmarkEnd w:id="19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6、股份支付" w:id="195"/>
      <w:bookmarkEnd w:id="19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27、优先股、永续债等其他金融工具" w:id="196"/>
      <w:bookmarkEnd w:id="19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收入" w:id="197"/>
      <w:bookmarkEnd w:id="197"/>
      <w:r>
        <w:rPr>
          <w:b w:val="0"/>
          <w:bCs w:val="0"/>
        </w:rPr>
      </w:r>
      <w:r>
        <w:rPr>
          <w:rFonts w:ascii="Times New Roman" w:hAnsi="Times New Roman" w:cs="Times New Roman" w:eastAsia="Times New Roman" w:hint="default"/>
        </w:rPr>
        <w:t>28</w:t>
      </w:r>
      <w:r>
        <w:rPr/>
        <w:t>、收入</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收入确认原则</w:t>
      </w:r>
    </w:p>
    <w:p>
      <w:pPr>
        <w:spacing w:after="0" w:line="240"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5"/>
        <w:spacing w:line="240" w:lineRule="auto" w:before="38"/>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销售商品</w:t>
      </w:r>
    </w:p>
    <w:p>
      <w:pPr>
        <w:pStyle w:val="Heading5"/>
        <w:spacing w:line="271" w:lineRule="auto" w:before="35"/>
        <w:ind w:right="1130" w:firstLine="420"/>
        <w:jc w:val="both"/>
      </w:pPr>
      <w:r>
        <w:rPr>
          <w:spacing w:val="-3"/>
        </w:rPr>
        <w:t>销售商品收入在同时满足下列条件时予以确认：</w:t>
      </w:r>
      <w:r>
        <w:rPr>
          <w:rFonts w:ascii="Times New Roman" w:hAnsi="Times New Roman" w:cs="Times New Roman" w:eastAsia="Times New Roman" w:hint="default"/>
          <w:spacing w:val="-3"/>
        </w:rPr>
        <w:t>1) </w:t>
      </w:r>
      <w:r>
        <w:rPr>
          <w:spacing w:val="-3"/>
        </w:rPr>
        <w:t>将商品所有权上的主要风险和报酬转移给购货方；</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7"/>
        </w:rPr>
        <w:t> </w:t>
      </w:r>
      <w:r>
        <w:rPr/>
        <w:t>公</w:t>
      </w:r>
      <w:r>
        <w:rPr>
          <w:w w:val="100"/>
        </w:rPr>
        <w:t> </w:t>
      </w:r>
      <w:r>
        <w:rPr/>
        <w:t>司不再保留通常与所有权相联系的继续管理权，也不再对已售出的商品实施有效控制；</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收入的金额能够可靠</w:t>
      </w:r>
      <w:r>
        <w:rPr>
          <w:w w:val="100"/>
        </w:rPr>
        <w:t> </w:t>
      </w:r>
      <w:r>
        <w:rPr/>
        <w:t>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相关的已发生或将发生的成本能够可靠地计量。</w:t>
      </w:r>
    </w:p>
    <w:p>
      <w:pPr>
        <w:pStyle w:val="Heading5"/>
        <w:spacing w:line="271" w:lineRule="auto" w:before="6"/>
        <w:ind w:left="155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提供劳务</w:t>
      </w:r>
      <w:r>
        <w:rPr>
          <w:w w:val="100"/>
        </w:rPr>
        <w:t> </w:t>
      </w:r>
      <w:r>
        <w:rPr/>
        <w:t>提供劳务交易的结果在资产负债表日能够可靠估计的（同时满足收入的金额能够可靠地计量、相关经济利</w:t>
      </w:r>
    </w:p>
    <w:p>
      <w:pPr>
        <w:pStyle w:val="Heading5"/>
        <w:spacing w:line="285" w:lineRule="auto" w:before="24"/>
        <w:ind w:right="1131"/>
        <w:jc w:val="both"/>
      </w:pPr>
      <w:r>
        <w:rPr/>
        <w:t>益很可能流入、交易的完工进度能够可靠地确定、交易中已发生和将发生的成本能够可靠地计量），采用完工</w:t>
      </w:r>
      <w:r>
        <w:rPr>
          <w:spacing w:val="-61"/>
        </w:rPr>
        <w:t> </w:t>
      </w:r>
      <w:r>
        <w:rPr>
          <w:spacing w:val="-61"/>
        </w:rPr>
      </w:r>
      <w:r>
        <w:rPr/>
        <w:t>百分比法确认提供劳务的收入，并按已经发生的成本占估计总成本的比例确定提供劳务交易的完工进度。提供</w:t>
      </w:r>
      <w:r>
        <w:rPr>
          <w:spacing w:val="-65"/>
        </w:rPr>
        <w:t> </w:t>
      </w:r>
      <w:r>
        <w:rPr>
          <w:spacing w:val="-65"/>
        </w:rPr>
      </w:r>
      <w:r>
        <w:rPr/>
        <w:t>劳务交易的结果在资产负债表日不能够可靠估计的，若已经发生的劳务成本预计能够得到补偿，按已经发生的</w:t>
      </w:r>
      <w:r>
        <w:rPr>
          <w:spacing w:val="-65"/>
        </w:rPr>
        <w:t> </w:t>
      </w:r>
      <w:r>
        <w:rPr>
          <w:spacing w:val="-65"/>
        </w:rPr>
      </w:r>
      <w:r>
        <w:rPr/>
        <w:t>劳务成本金额确认提供劳务收入，并按相同金额结转劳务成本；若已经发生的劳务成本预计不能够得到补偿，</w:t>
      </w:r>
      <w:r>
        <w:rPr>
          <w:spacing w:val="-65"/>
        </w:rPr>
        <w:t> </w:t>
      </w:r>
      <w:r>
        <w:rPr>
          <w:spacing w:val="-65"/>
        </w:rPr>
      </w:r>
      <w:r>
        <w:rPr/>
        <w:t>将已经发生的劳务成本计入当期损益，不确认劳务收入。</w:t>
      </w:r>
    </w:p>
    <w:p>
      <w:pPr>
        <w:pStyle w:val="Heading5"/>
        <w:spacing w:line="271" w:lineRule="auto" w:before="12"/>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让渡资产使用权</w:t>
      </w:r>
      <w:r>
        <w:rPr>
          <w:w w:val="100"/>
        </w:rPr>
        <w:t> </w:t>
      </w:r>
      <w:r>
        <w:rPr/>
        <w:t>让渡资产使用权在同时满足相关的经济利益很可能流入、收入金额能够可靠计量时，确认让渡资产使用权</w:t>
      </w:r>
    </w:p>
    <w:p>
      <w:pPr>
        <w:pStyle w:val="Heading5"/>
        <w:spacing w:line="285" w:lineRule="auto" w:before="24"/>
        <w:ind w:right="0"/>
        <w:jc w:val="left"/>
      </w:pPr>
      <w:r>
        <w:rPr/>
        <w:t>的收入。利息收入按照他人使用本公司货币资金的时间和实际利率计算确定；使用费收入按有关合同或协议约</w:t>
      </w:r>
      <w:r>
        <w:rPr>
          <w:spacing w:val="-63"/>
        </w:rPr>
        <w:t> </w:t>
      </w:r>
      <w:r>
        <w:rPr>
          <w:spacing w:val="-63"/>
        </w:rPr>
      </w:r>
      <w:r>
        <w:rPr/>
        <w:t>定的收费时间和方法计算确定。</w:t>
      </w:r>
    </w:p>
    <w:p>
      <w:pPr>
        <w:pStyle w:val="Heading5"/>
        <w:spacing w:line="240" w:lineRule="auto" w:before="12"/>
        <w:ind w:left="1553" w:right="0"/>
        <w:jc w:val="left"/>
      </w:pPr>
      <w:r>
        <w:rPr>
          <w:rFonts w:ascii="宋体" w:hAnsi="宋体" w:cs="宋体" w:eastAsia="宋体" w:hint="default"/>
        </w:rPr>
        <w:t>(4) </w:t>
      </w:r>
      <w:r>
        <w:rPr/>
        <w:t>建造合同</w:t>
      </w:r>
    </w:p>
    <w:p>
      <w:pPr>
        <w:pStyle w:val="Heading5"/>
        <w:spacing w:line="285" w:lineRule="auto" w:before="50"/>
        <w:ind w:right="1130" w:firstLine="420"/>
        <w:jc w:val="both"/>
      </w:pPr>
      <w:r>
        <w:rPr>
          <w:rFonts w:ascii="宋体" w:hAnsi="宋体" w:cs="宋体" w:eastAsia="宋体" w:hint="default"/>
        </w:rPr>
        <w:t>1)</w:t>
      </w:r>
      <w:r>
        <w:rPr>
          <w:rFonts w:ascii="宋体" w:hAnsi="宋体" w:cs="宋体" w:eastAsia="宋体" w:hint="default"/>
          <w:spacing w:val="35"/>
        </w:rPr>
        <w:t> </w:t>
      </w:r>
      <w:r>
        <w:rPr>
          <w:spacing w:val="-3"/>
        </w:rPr>
        <w:t>建造合同的结果在资产负债表日能够可靠估计的，根据完工百分比法确认合同收入和合同费用。建造合</w:t>
      </w:r>
      <w:r>
        <w:rPr>
          <w:w w:val="100"/>
        </w:rPr>
        <w:t> </w:t>
      </w:r>
      <w:r>
        <w:rPr/>
        <w:t>同的结果在资产负债表日不能够可靠估计的，若合同成本能够收回的，合同收入根据能够收回的实际合同成本</w:t>
      </w:r>
      <w:r>
        <w:rPr>
          <w:spacing w:val="-65"/>
        </w:rPr>
        <w:t> </w:t>
      </w:r>
      <w:r>
        <w:rPr>
          <w:spacing w:val="-65"/>
        </w:rPr>
      </w:r>
      <w:r>
        <w:rPr/>
        <w:t>予以确认，合同成本在其发生的当期确认为合同费用；若合同成本不可能收回的，在发生时立即确认为合同费</w:t>
      </w:r>
      <w:r>
        <w:rPr>
          <w:spacing w:val="-65"/>
        </w:rPr>
        <w:t> </w:t>
      </w:r>
      <w:r>
        <w:rPr>
          <w:spacing w:val="-65"/>
        </w:rPr>
      </w:r>
      <w:r>
        <w:rPr/>
        <w:t>用，不确认合同收入。</w:t>
      </w:r>
    </w:p>
    <w:p>
      <w:pPr>
        <w:pStyle w:val="Heading5"/>
        <w:spacing w:line="285" w:lineRule="auto" w:before="12"/>
        <w:ind w:left="1134" w:right="1130" w:firstLine="420"/>
        <w:jc w:val="both"/>
      </w:pPr>
      <w:r>
        <w:rPr>
          <w:rFonts w:ascii="宋体" w:hAnsi="宋体" w:cs="宋体" w:eastAsia="宋体" w:hint="default"/>
        </w:rPr>
        <w:t>2)</w:t>
      </w:r>
      <w:r>
        <w:rPr>
          <w:rFonts w:ascii="宋体" w:hAnsi="宋体" w:cs="宋体" w:eastAsia="宋体" w:hint="default"/>
          <w:spacing w:val="36"/>
        </w:rPr>
        <w:t> </w:t>
      </w:r>
      <w:r>
        <w:rPr>
          <w:spacing w:val="-3"/>
        </w:rPr>
        <w:t>固定造价合同同时满足下列条件表明其结果能够可靠估计：合同总收入能够可靠计量、与合同相关的经</w:t>
      </w:r>
      <w:r>
        <w:rPr>
          <w:w w:val="100"/>
        </w:rPr>
        <w:t> </w:t>
      </w:r>
      <w:r>
        <w:rPr/>
        <w:t>济利益很可能流入、实际发生的合同成本能够清楚地区分和可靠地计量、合同完工进度和为完成合同尚需发生</w:t>
      </w:r>
      <w:r>
        <w:rPr>
          <w:spacing w:val="-65"/>
        </w:rPr>
        <w:t> </w:t>
      </w:r>
      <w:r>
        <w:rPr>
          <w:spacing w:val="-65"/>
        </w:rPr>
      </w:r>
      <w:r>
        <w:rPr/>
        <w:t>的成本能够可靠地计量。成本加成合同同时满足下列条件表明其结果能够可靠估计：与合同相关的经济利益很</w:t>
      </w:r>
      <w:r>
        <w:rPr>
          <w:spacing w:val="-65"/>
        </w:rPr>
        <w:t> </w:t>
      </w:r>
      <w:r>
        <w:rPr>
          <w:spacing w:val="-65"/>
        </w:rPr>
      </w:r>
      <w:r>
        <w:rPr/>
        <w:t>可能流入、实际发生的合同成本能够清楚地区分和可靠地计量。</w:t>
      </w:r>
    </w:p>
    <w:p>
      <w:pPr>
        <w:pStyle w:val="Heading5"/>
        <w:spacing w:line="240" w:lineRule="auto" w:before="12"/>
        <w:ind w:left="1553" w:right="0"/>
        <w:jc w:val="left"/>
      </w:pPr>
      <w:r>
        <w:rPr>
          <w:rFonts w:ascii="宋体" w:hAnsi="宋体" w:cs="宋体" w:eastAsia="宋体" w:hint="default"/>
        </w:rPr>
        <w:t>3)</w:t>
      </w:r>
      <w:r>
        <w:rPr>
          <w:rFonts w:ascii="宋体" w:hAnsi="宋体" w:cs="宋体" w:eastAsia="宋体" w:hint="default"/>
          <w:spacing w:val="-9"/>
        </w:rPr>
        <w:t> </w:t>
      </w:r>
      <w:r>
        <w:rPr/>
        <w:t>确定合同完工进度的方法为累计实际发生的合同成本占合同预计总成本的比例。</w:t>
      </w:r>
    </w:p>
    <w:p>
      <w:pPr>
        <w:pStyle w:val="Heading5"/>
        <w:spacing w:line="285" w:lineRule="auto" w:before="50"/>
        <w:ind w:right="1048" w:firstLine="420"/>
        <w:jc w:val="both"/>
      </w:pPr>
      <w:r>
        <w:rPr>
          <w:rFonts w:ascii="宋体" w:hAnsi="宋体" w:cs="宋体" w:eastAsia="宋体" w:hint="default"/>
        </w:rPr>
        <w:t>4)</w:t>
      </w:r>
      <w:r>
        <w:rPr>
          <w:rFonts w:ascii="宋体" w:hAnsi="宋体" w:cs="宋体" w:eastAsia="宋体" w:hint="default"/>
          <w:spacing w:val="-9"/>
        </w:rPr>
        <w:t> </w:t>
      </w:r>
      <w:r>
        <w:rPr/>
        <w:t>资产负债表日，合同预计总成本超过合同总收入的，将预计损失确认为当期费用。执行中的建造合同，</w:t>
      </w:r>
      <w:r>
        <w:rPr>
          <w:w w:val="100"/>
        </w:rPr>
        <w:t> </w:t>
      </w:r>
      <w:r>
        <w:rPr/>
        <w:t>按其差额计提存货跌价准备；待执行的亏损合同，按其差额确认预计负债。</w:t>
      </w:r>
    </w:p>
    <w:p>
      <w:pPr>
        <w:pStyle w:val="Heading5"/>
        <w:spacing w:line="285" w:lineRule="auto" w:before="12"/>
        <w:ind w:left="1553" w:right="0"/>
        <w:jc w:val="left"/>
      </w:pPr>
      <w:r>
        <w:rPr>
          <w:rFonts w:ascii="宋体" w:hAnsi="宋体" w:cs="宋体" w:eastAsia="宋体" w:hint="default"/>
        </w:rPr>
        <w:t>2. </w:t>
      </w:r>
      <w:r>
        <w:rPr/>
        <w:t>收入确认的具体方法</w:t>
      </w:r>
      <w:r>
        <w:rPr>
          <w:w w:val="100"/>
        </w:rPr>
        <w:t> </w:t>
      </w:r>
      <w:r>
        <w:rPr/>
        <w:t>公司主要销售电缆料等产品。内销产品收入确认需满足以下条件：公司已根据合同约定将产品交付给购货</w:t>
      </w:r>
    </w:p>
    <w:p>
      <w:pPr>
        <w:pStyle w:val="Heading5"/>
        <w:spacing w:line="285" w:lineRule="auto" w:before="12"/>
        <w:ind w:right="0"/>
        <w:jc w:val="left"/>
      </w:pPr>
      <w:r>
        <w:rPr/>
        <w:t>方，且产品销售收入金额已确定，已经收回货款或取得了收款凭证且相关的经济利益很可能流入，产品相关的</w:t>
      </w:r>
      <w:r>
        <w:rPr>
          <w:spacing w:val="-65"/>
        </w:rPr>
        <w:t> </w:t>
      </w:r>
      <w:r>
        <w:rPr>
          <w:spacing w:val="-65"/>
        </w:rPr>
      </w:r>
      <w:r>
        <w:rPr>
          <w:spacing w:val="-2"/>
        </w:rPr>
        <w:t>成本能够可靠地计量。外销产品收入确认需满足以下条件：公司已根据合同约定将产品报关、离港，取得提单，</w:t>
      </w:r>
      <w:r>
        <w:rPr>
          <w:spacing w:val="-78"/>
        </w:rPr>
        <w:t> </w:t>
      </w:r>
      <w:r>
        <w:rPr>
          <w:spacing w:val="-78"/>
        </w:rPr>
      </w:r>
      <w:r>
        <w:rPr/>
        <w:t>且产品销售收入金额已确定，已经收回货款或取得了收款凭证且相关的经济利益很可能流入，产品相关的成本</w:t>
      </w:r>
      <w:r>
        <w:rPr>
          <w:spacing w:val="-65"/>
        </w:rPr>
        <w:t> </w:t>
      </w:r>
      <w:r>
        <w:rPr>
          <w:spacing w:val="-65"/>
        </w:rPr>
      </w:r>
      <w:r>
        <w:rPr/>
        <w:t>能够可靠地计量。</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29、政府补助" w:id="198"/>
      <w:bookmarkEnd w:id="19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与资产相关的政府补助判断依据及会计处理方法" w:id="199"/>
      <w:bookmarkEnd w:id="199"/>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left="1134" w:right="1131" w:firstLine="420"/>
        <w:jc w:val="both"/>
      </w:pPr>
      <w:r>
        <w:rPr/>
        <w:t>公司取得的、用于购建或以其他方式形成长期资产的政府补助划分为与资产相关的政府补助。与资产相关</w:t>
      </w:r>
      <w:r>
        <w:rPr>
          <w:w w:val="100"/>
        </w:rPr>
        <w:t> </w:t>
      </w:r>
      <w:r>
        <w:rPr/>
        <w:t>的政府补助，确认为递延收益，并在相关资产使用寿命内平均分配，计入当期损益。但是，按照名义金额计量</w:t>
      </w:r>
      <w:r>
        <w:rPr>
          <w:spacing w:val="-65"/>
        </w:rPr>
        <w:t> </w:t>
      </w:r>
      <w:r>
        <w:rPr>
          <w:spacing w:val="-65"/>
        </w:rPr>
      </w:r>
      <w:r>
        <w:rPr/>
        <w:t>的政府补助，直接计入当期损益。</w:t>
      </w:r>
    </w:p>
    <w:p>
      <w:pPr>
        <w:spacing w:line="240" w:lineRule="auto" w:before="3"/>
        <w:rPr>
          <w:rFonts w:ascii="宋体" w:hAnsi="宋体" w:cs="宋体" w:eastAsia="宋体" w:hint="default"/>
          <w:sz w:val="23"/>
          <w:szCs w:val="23"/>
        </w:rPr>
      </w:pPr>
    </w:p>
    <w:p>
      <w:pPr>
        <w:pStyle w:val="Heading3"/>
        <w:spacing w:line="240" w:lineRule="auto"/>
        <w:ind w:left="1134" w:right="0"/>
        <w:jc w:val="left"/>
        <w:rPr>
          <w:b w:val="0"/>
          <w:bCs w:val="0"/>
        </w:rPr>
      </w:pPr>
      <w:bookmarkStart w:name="（2）与收益相关的政府补助判断依据及会计处理方法" w:id="200"/>
      <w:bookmarkEnd w:id="200"/>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1554" w:right="0"/>
        <w:jc w:val="left"/>
      </w:pPr>
      <w:r>
        <w:rPr/>
        <w:t>除与资产相关的政府补助之外的政府补助划分为与收益相关的政府补助。与收益相关的政府补助，用于补</w:t>
      </w:r>
    </w:p>
    <w:p>
      <w:pPr>
        <w:spacing w:after="0" w:line="240" w:lineRule="auto"/>
        <w:jc w:val="left"/>
        <w:sectPr>
          <w:pgSz w:w="11910" w:h="16840"/>
          <w:pgMar w:header="747" w:footer="979" w:top="1060" w:bottom="1160" w:left="0" w:right="0"/>
        </w:sectPr>
      </w:pPr>
    </w:p>
    <w:p>
      <w:pPr>
        <w:spacing w:line="240" w:lineRule="auto" w:before="1"/>
        <w:rPr>
          <w:rFonts w:ascii="宋体" w:hAnsi="宋体" w:cs="宋体" w:eastAsia="宋体" w:hint="default"/>
          <w:sz w:val="25"/>
          <w:szCs w:val="25"/>
        </w:rPr>
      </w:pPr>
    </w:p>
    <w:p>
      <w:pPr>
        <w:pStyle w:val="Heading5"/>
        <w:spacing w:line="285" w:lineRule="auto" w:before="38"/>
        <w:ind w:right="0"/>
        <w:jc w:val="left"/>
      </w:pPr>
      <w:r>
        <w:rPr/>
        <w:t>偿以后期间的相关费用或损失的，确认为递延收益，在确认相关费用的期间，计入当期损益；用于补偿已发生</w:t>
      </w:r>
      <w:r>
        <w:rPr>
          <w:spacing w:val="-65"/>
        </w:rPr>
        <w:t> </w:t>
      </w:r>
      <w:r>
        <w:rPr>
          <w:spacing w:val="-65"/>
        </w:rPr>
      </w:r>
      <w:r>
        <w:rPr/>
        <w:t>的相关费用或损失的，直接计入当期损益。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bookmarkStart w:name="30、递延所得税资产/递延所得税负债" w:id="201"/>
      <w:bookmarkEnd w:id="20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5"/>
          <w:szCs w:val="25"/>
        </w:rPr>
      </w:pPr>
    </w:p>
    <w:p>
      <w:pPr>
        <w:pStyle w:val="Heading5"/>
        <w:spacing w:line="278" w:lineRule="auto"/>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根据资产、负债的账面价值与其计税基础之间的差额（未作为资产和负债确认的项目按照税法规定可以</w:t>
      </w:r>
      <w:r>
        <w:rPr>
          <w:w w:val="100"/>
        </w:rPr>
        <w:t> </w:t>
      </w:r>
      <w:r>
        <w:rPr/>
        <w:t>确定其计税基础的，该计税基础与其账面数之间的差额），按照预期收回该资产或清偿该负债期间的适用税率</w:t>
      </w:r>
      <w:r>
        <w:rPr>
          <w:spacing w:val="-65"/>
        </w:rPr>
        <w:t> </w:t>
      </w:r>
      <w:r>
        <w:rPr>
          <w:spacing w:val="-65"/>
        </w:rPr>
      </w:r>
      <w:r>
        <w:rPr/>
        <w:t>计算确认递延所得税资产或递延所得税负债。</w:t>
      </w:r>
    </w:p>
    <w:p>
      <w:pPr>
        <w:pStyle w:val="Heading5"/>
        <w:spacing w:line="278" w:lineRule="auto" w:before="18"/>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确认递延所得税资产以很可能取得用来抵扣可抵扣暂时性差异的应纳税所得额为限。资产负债表日，有</w:t>
      </w:r>
      <w:r>
        <w:rPr>
          <w:w w:val="100"/>
        </w:rPr>
        <w:t> </w:t>
      </w:r>
      <w:r>
        <w:rPr/>
        <w:t>确凿证据表明未来期间很可能获得足够的应纳税所得额用来抵扣可抵扣暂时性差异的，确认以前会计期间未确</w:t>
      </w:r>
      <w:r>
        <w:rPr>
          <w:spacing w:val="-65"/>
        </w:rPr>
        <w:t> </w:t>
      </w:r>
      <w:r>
        <w:rPr>
          <w:spacing w:val="-65"/>
        </w:rPr>
      </w:r>
      <w:r>
        <w:rPr/>
        <w:t>认的递延所得税资产。</w:t>
      </w:r>
    </w:p>
    <w:p>
      <w:pPr>
        <w:pStyle w:val="Heading5"/>
        <w:spacing w:line="278" w:lineRule="auto" w:before="18"/>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资产负债表日，对递延所得税资产的账面价值进行复核，如果未来期间很可能无法获得足够的应纳税所</w:t>
      </w:r>
      <w:r>
        <w:rPr>
          <w:w w:val="100"/>
        </w:rPr>
        <w:t> </w:t>
      </w:r>
      <w:r>
        <w:rPr/>
        <w:t>得额用以抵扣递延所得税资产的利益，则减记递延所得税资产的账面价值。在很可能获得足够的应纳税所得额</w:t>
      </w:r>
      <w:r>
        <w:rPr>
          <w:spacing w:val="-65"/>
        </w:rPr>
        <w:t> </w:t>
      </w:r>
      <w:r>
        <w:rPr>
          <w:spacing w:val="-65"/>
        </w:rPr>
      </w:r>
      <w:r>
        <w:rPr/>
        <w:t>时，转回减记的金额。</w:t>
      </w:r>
    </w:p>
    <w:p>
      <w:pPr>
        <w:pStyle w:val="Heading5"/>
        <w:spacing w:line="240" w:lineRule="auto" w:before="18"/>
        <w:ind w:left="155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公司当期所得税和递延所得税作为所得税费用或收益计入当期损益，但不包括下列情况产生的所得税：</w:t>
      </w:r>
    </w:p>
    <w:p>
      <w:pPr>
        <w:pStyle w:val="Heading5"/>
        <w:spacing w:line="240" w:lineRule="auto" w:before="35"/>
        <w:ind w:right="0"/>
        <w:jc w:val="left"/>
      </w:pP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直接在所有者权益中确认的交易或者事项。</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31、租赁" w:id="202"/>
      <w:bookmarkEnd w:id="202"/>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经营租赁的会计处理方法" w:id="203"/>
      <w:bookmarkEnd w:id="203"/>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left="1134" w:right="1133" w:firstLine="420"/>
        <w:jc w:val="both"/>
      </w:pPr>
      <w:r>
        <w:rPr/>
        <w:t>公司为承租人时，在租赁期内各个期间按照直线法将租金计入相关资产成本或确认为当期损益，发生的初</w:t>
      </w:r>
      <w:r>
        <w:rPr>
          <w:w w:val="100"/>
        </w:rPr>
        <w:t> </w:t>
      </w:r>
      <w:r>
        <w:rPr/>
        <w:t>始直接费用，直接计入当期损益。或有租金在实际发生时计入当期损益。</w:t>
      </w:r>
    </w:p>
    <w:p>
      <w:pPr>
        <w:pStyle w:val="Heading5"/>
        <w:spacing w:line="285" w:lineRule="auto" w:before="12"/>
        <w:ind w:left="1134" w:right="1131" w:firstLine="420"/>
        <w:jc w:val="both"/>
      </w:pPr>
      <w:r>
        <w:rPr/>
        <w:t>公司为出租人时，在租赁期内各个期间按照直线法将租金确认为当期损益，发生的初始直接费用，除金额</w:t>
      </w:r>
      <w:r>
        <w:rPr>
          <w:w w:val="100"/>
        </w:rPr>
        <w:t> </w:t>
      </w:r>
      <w:r>
        <w:rPr/>
        <w:t>较大的予以资本化并分期计入损益外，均直接计入当期损益。或有租金在实际发生时计入当期损益。</w:t>
      </w:r>
    </w:p>
    <w:p>
      <w:pPr>
        <w:spacing w:line="240" w:lineRule="auto" w:before="3"/>
        <w:rPr>
          <w:rFonts w:ascii="宋体" w:hAnsi="宋体" w:cs="宋体" w:eastAsia="宋体" w:hint="default"/>
          <w:sz w:val="23"/>
          <w:szCs w:val="23"/>
        </w:rPr>
      </w:pPr>
    </w:p>
    <w:p>
      <w:pPr>
        <w:pStyle w:val="Heading3"/>
        <w:spacing w:line="240" w:lineRule="auto"/>
        <w:ind w:left="1134" w:right="0"/>
        <w:jc w:val="left"/>
        <w:rPr>
          <w:b w:val="0"/>
          <w:bCs w:val="0"/>
        </w:rPr>
      </w:pPr>
      <w:bookmarkStart w:name="（2）融资租赁的会计处理方法" w:id="204"/>
      <w:bookmarkEnd w:id="204"/>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25"/>
          <w:szCs w:val="25"/>
        </w:rPr>
      </w:pPr>
    </w:p>
    <w:p>
      <w:pPr>
        <w:pStyle w:val="Heading5"/>
        <w:spacing w:line="285" w:lineRule="auto"/>
        <w:ind w:left="1134" w:right="1133" w:firstLine="420"/>
        <w:jc w:val="both"/>
      </w:pPr>
      <w:r>
        <w:rPr/>
        <w:t>公司为承租人时，在租赁期开始日，公司以租赁开始日租赁资产公允价值与最低租赁付款额现值中两者较</w:t>
      </w:r>
      <w:r>
        <w:rPr>
          <w:w w:val="100"/>
        </w:rPr>
        <w:t> </w:t>
      </w:r>
      <w:r>
        <w:rPr/>
        <w:t>低者作为租入资产的入账价值，将最低租赁付款额作为长期应付款的入账价值，其差额为未确认融资费用，发</w:t>
      </w:r>
      <w:r>
        <w:rPr>
          <w:spacing w:val="-65"/>
        </w:rPr>
        <w:t> </w:t>
      </w:r>
      <w:r>
        <w:rPr>
          <w:spacing w:val="-65"/>
        </w:rPr>
      </w:r>
      <w:r>
        <w:rPr/>
        <w:t>生的初始直接费用，计入租赁资产价值。在租赁期各个期间，采用实际利率法计算确认当期的融资费用。</w:t>
      </w:r>
    </w:p>
    <w:p>
      <w:pPr>
        <w:pStyle w:val="Heading5"/>
        <w:spacing w:line="285" w:lineRule="auto" w:before="12"/>
        <w:ind w:left="1134" w:right="1131" w:firstLine="420"/>
        <w:jc w:val="both"/>
      </w:pPr>
      <w:r>
        <w:rPr/>
        <w:t>公司为出租人时，在租赁期开始日，公司以租赁开始日最低租赁收款额与初始直接费用之和作为应收融资</w:t>
      </w:r>
      <w:r>
        <w:rPr>
          <w:w w:val="100"/>
        </w:rPr>
        <w:t> </w:t>
      </w:r>
      <w:r>
        <w:rPr/>
        <w:t>租赁款的入账价值，同时记录未担保余值；将最低租赁收款额、初始直接费用及未担保余值之和与其现值之和</w:t>
      </w:r>
      <w:r>
        <w:rPr>
          <w:spacing w:val="-65"/>
        </w:rPr>
        <w:t> </w:t>
      </w:r>
      <w:r>
        <w:rPr>
          <w:spacing w:val="-65"/>
        </w:rPr>
      </w:r>
      <w:r>
        <w:rPr/>
        <w:t>的差额确认为未实现融资收益。在租赁期各个期间，采用实际利率法计算确认当期的融资收入。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3"/>
        <w:spacing w:line="240" w:lineRule="auto"/>
        <w:ind w:left="1134" w:right="0"/>
        <w:jc w:val="left"/>
        <w:rPr>
          <w:b w:val="0"/>
          <w:bCs w:val="0"/>
        </w:rPr>
      </w:pPr>
      <w:bookmarkStart w:name="32、其他重要的会计政策和会计估计" w:id="205"/>
      <w:bookmarkEnd w:id="205"/>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06"/>
      <w:bookmarkEnd w:id="20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07"/>
      <w:bookmarkEnd w:id="20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重要会计估计变更" w:id="208"/>
      <w:bookmarkEnd w:id="20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09"/>
      <w:bookmarkEnd w:id="20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0"/>
      <w:bookmarkEnd w:id="21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1"/>
      <w:bookmarkEnd w:id="211"/>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51"/>
        <w:ind w:left="113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5"/>
          <w:szCs w:val="25"/>
        </w:rPr>
      </w:pPr>
    </w:p>
    <w:p>
      <w:pPr>
        <w:pStyle w:val="Heading5"/>
        <w:spacing w:line="271" w:lineRule="auto"/>
        <w:ind w:left="1554" w:right="11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所得税</w:t>
      </w:r>
      <w:r>
        <w:rPr>
          <w:w w:val="100"/>
        </w:rPr>
        <w:t> </w:t>
      </w:r>
      <w:r>
        <w:rPr/>
        <w:t>根据浙江省科学技术厅、浙江省财政厅、浙江省国家税务局和浙江省地方税务局《关于浙江亚通金属陶瓷</w:t>
      </w:r>
    </w:p>
    <w:p>
      <w:pPr>
        <w:pStyle w:val="Heading5"/>
        <w:spacing w:line="271" w:lineRule="auto" w:before="24"/>
        <w:ind w:left="1134" w:right="0"/>
        <w:jc w:val="left"/>
      </w:pPr>
      <w:r>
        <w:rPr/>
        <w:t>有限公司等</w:t>
      </w:r>
      <w:r>
        <w:rPr>
          <w:rFonts w:ascii="Times New Roman" w:hAnsi="Times New Roman" w:cs="Times New Roman" w:eastAsia="Times New Roman" w:hint="default"/>
        </w:rPr>
        <w:t>491</w:t>
      </w:r>
      <w:r>
        <w:rPr/>
        <w:t>家企业通过高新技术企业复审的通知》（浙科发高〔</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294</w:t>
      </w:r>
      <w:r>
        <w:rPr/>
        <w:t>号），公司通过高新技术企业复</w:t>
      </w:r>
      <w:r>
        <w:rPr>
          <w:spacing w:val="-67"/>
        </w:rPr>
        <w:t> </w:t>
      </w:r>
      <w:r>
        <w:rPr>
          <w:spacing w:val="-67"/>
        </w:rPr>
      </w:r>
      <w:r>
        <w:rPr/>
        <w:t>审，资格有效期</w:t>
      </w:r>
      <w:r>
        <w:rPr>
          <w:rFonts w:ascii="Times New Roman" w:hAnsi="Times New Roman" w:cs="Times New Roman" w:eastAsia="Times New Roman" w:hint="default"/>
        </w:rPr>
        <w:t>3</w:t>
      </w:r>
      <w:r>
        <w:rPr/>
        <w:t>年。根据高新技术企业所得税优惠政策，公司本期企业所得税减按</w:t>
      </w:r>
      <w:r>
        <w:rPr>
          <w:rFonts w:ascii="Times New Roman" w:hAnsi="Times New Roman" w:cs="Times New Roman" w:eastAsia="Times New Roman" w:hint="default"/>
        </w:rPr>
        <w:t>15%</w:t>
      </w:r>
      <w:r>
        <w:rPr/>
        <w:t>的税率计缴。</w:t>
      </w:r>
    </w:p>
    <w:p>
      <w:pPr>
        <w:pStyle w:val="Heading5"/>
        <w:spacing w:line="271" w:lineRule="auto" w:before="6"/>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水利建设专项基金</w:t>
      </w:r>
      <w:r>
        <w:rPr>
          <w:w w:val="100"/>
        </w:rPr>
        <w:t> </w:t>
      </w:r>
      <w:r>
        <w:rPr/>
        <w:t>根据杭州市余杭地方税务局瓶窑税务分局余地税瓶优批地税〔</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32</w:t>
      </w:r>
      <w:r>
        <w:rPr/>
        <w:t>号，公司本期收到减免的水利建</w:t>
      </w:r>
    </w:p>
    <w:p>
      <w:pPr>
        <w:pStyle w:val="Heading5"/>
        <w:spacing w:line="240" w:lineRule="auto" w:before="6"/>
        <w:ind w:right="0"/>
        <w:jc w:val="left"/>
      </w:pPr>
      <w:r>
        <w:rPr/>
        <w:t>设专项基金</w:t>
      </w:r>
      <w:r>
        <w:rPr>
          <w:rFonts w:ascii="Times New Roman" w:hAnsi="Times New Roman" w:cs="Times New Roman" w:eastAsia="Times New Roman" w:hint="default"/>
        </w:rPr>
        <w:t>457,865.35</w:t>
      </w:r>
      <w:r>
        <w:rPr/>
        <w:t>元。</w:t>
      </w:r>
    </w:p>
    <w:p>
      <w:pPr>
        <w:pStyle w:val="Heading5"/>
        <w:spacing w:line="271" w:lineRule="auto" w:before="35"/>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基本养老保险费</w:t>
      </w:r>
      <w:r>
        <w:rPr>
          <w:w w:val="100"/>
        </w:rPr>
        <w:t> </w:t>
      </w:r>
      <w:r>
        <w:rPr>
          <w:spacing w:val="-3"/>
        </w:rPr>
        <w:t>根据浙江省人民政府办公厅《关于促进小微企业转型升级为规模以上企业的意见》（浙政办发〔</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118</w:t>
      </w:r>
      <w:r>
        <w:rPr>
          <w:rFonts w:ascii="Times New Roman" w:hAnsi="Times New Roman" w:cs="Times New Roman" w:eastAsia="Times New Roman" w:hint="default"/>
        </w:rPr>
      </w:r>
    </w:p>
    <w:p>
      <w:pPr>
        <w:pStyle w:val="Heading5"/>
        <w:spacing w:line="271" w:lineRule="auto" w:before="6"/>
        <w:ind w:right="1130"/>
        <w:jc w:val="both"/>
      </w:pPr>
      <w:r>
        <w:rPr>
          <w:spacing w:val="-2"/>
        </w:rPr>
        <w:t>号），公司</w:t>
      </w:r>
      <w:r>
        <w:rPr>
          <w:rFonts w:ascii="Times New Roman" w:hAnsi="Times New Roman" w:cs="Times New Roman" w:eastAsia="Times New Roman" w:hint="default"/>
          <w:spacing w:val="-2"/>
        </w:rPr>
        <w:t>2015</w:t>
      </w:r>
      <w:r>
        <w:rPr>
          <w:spacing w:val="-2"/>
        </w:rPr>
        <w:t>年基本养老保险费和医疗保险费合计减征</w:t>
      </w:r>
      <w:r>
        <w:rPr>
          <w:rFonts w:ascii="Times New Roman" w:hAnsi="Times New Roman" w:cs="Times New Roman" w:eastAsia="Times New Roman" w:hint="default"/>
          <w:spacing w:val="-2"/>
        </w:rPr>
        <w:t>211,890.76</w:t>
      </w:r>
      <w:r>
        <w:rPr>
          <w:spacing w:val="-2"/>
        </w:rPr>
        <w:t>元。根据浙江省人力资源和社会保障厅、浙</w:t>
      </w:r>
      <w:r>
        <w:rPr>
          <w:spacing w:val="-63"/>
        </w:rPr>
        <w:t> </w:t>
      </w:r>
      <w:r>
        <w:rPr>
          <w:spacing w:val="-63"/>
        </w:rPr>
      </w:r>
      <w:r>
        <w:rPr>
          <w:spacing w:val="-2"/>
        </w:rPr>
        <w:t>江省财政厅、浙江省地方税务局《浙江省人力资源和社会保障厅等</w:t>
      </w:r>
      <w:r>
        <w:rPr>
          <w:rFonts w:ascii="Times New Roman" w:hAnsi="Times New Roman" w:cs="Times New Roman" w:eastAsia="Times New Roman" w:hint="default"/>
          <w:spacing w:val="-2"/>
        </w:rPr>
        <w:t>3</w:t>
      </w:r>
      <w:r>
        <w:rPr>
          <w:spacing w:val="-2"/>
        </w:rPr>
        <w:t>部门关于</w:t>
      </w:r>
      <w:r>
        <w:rPr>
          <w:rFonts w:ascii="Times New Roman" w:hAnsi="Times New Roman" w:cs="Times New Roman" w:eastAsia="Times New Roman" w:hint="default"/>
          <w:spacing w:val="-2"/>
        </w:rPr>
        <w:t>2015</w:t>
      </w:r>
      <w:r>
        <w:rPr>
          <w:spacing w:val="-2"/>
        </w:rPr>
        <w:t>年对部分工业企业临时性下浮</w:t>
      </w:r>
      <w:r>
        <w:rPr>
          <w:spacing w:val="-72"/>
        </w:rPr>
        <w:t> </w:t>
      </w:r>
      <w:r>
        <w:rPr>
          <w:spacing w:val="-72"/>
        </w:rPr>
      </w:r>
      <w:r>
        <w:rPr/>
        <w:t>社会保险费缴费比例的通知》（浙人社发〔</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128</w:t>
      </w:r>
      <w:r>
        <w:rPr/>
        <w:t>号），公司本期社会保险费合计减征</w:t>
      </w:r>
      <w:r>
        <w:rPr>
          <w:rFonts w:ascii="Times New Roman" w:hAnsi="Times New Roman" w:cs="Times New Roman" w:eastAsia="Times New Roman" w:hint="default"/>
        </w:rPr>
        <w:t>240,425.52</w:t>
      </w:r>
      <w:r>
        <w:rPr/>
        <w:t>元。</w:t>
      </w:r>
    </w:p>
    <w:p>
      <w:pPr>
        <w:spacing w:line="240" w:lineRule="auto" w:before="10"/>
        <w:rPr>
          <w:rFonts w:ascii="宋体" w:hAnsi="宋体" w:cs="宋体" w:eastAsia="宋体" w:hint="default"/>
          <w:sz w:val="22"/>
          <w:szCs w:val="22"/>
        </w:rPr>
      </w:pPr>
    </w:p>
    <w:p>
      <w:pPr>
        <w:spacing w:line="487" w:lineRule="auto" w:before="0"/>
        <w:ind w:left="1133" w:right="8344" w:firstLine="0"/>
        <w:jc w:val="left"/>
        <w:rPr>
          <w:rFonts w:ascii="宋体" w:hAnsi="宋体" w:cs="宋体" w:eastAsia="宋体" w:hint="default"/>
          <w:sz w:val="21"/>
          <w:szCs w:val="21"/>
        </w:rPr>
      </w:pPr>
      <w:bookmarkStart w:name="3、其他" w:id="213"/>
      <w:bookmarkEnd w:id="2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财务报表项目注释" w:id="214"/>
      <w:bookmarkEnd w:id="214"/>
      <w:r>
        <w:rPr>
          <w:rFonts w:ascii="宋体" w:hAnsi="宋体" w:cs="宋体" w:eastAsia="宋体" w:hint="default"/>
          <w:b/>
          <w:bCs/>
          <w:spacing w:val="1"/>
          <w:w w:val="99"/>
          <w:sz w:val="21"/>
          <w:szCs w:val="21"/>
        </w:rPr>
      </w:r>
      <w:r>
        <w:rPr>
          <w:rFonts w:ascii="宋体" w:hAnsi="宋体" w:cs="宋体" w:eastAsia="宋体" w:hint="default"/>
          <w:b/>
          <w:bCs/>
          <w:sz w:val="24"/>
          <w:szCs w:val="24"/>
        </w:rPr>
        <w:t>七、财务报表项目注释</w:t>
      </w:r>
      <w:r>
        <w:rPr>
          <w:rFonts w:ascii="宋体" w:hAnsi="宋体" w:cs="宋体" w:eastAsia="宋体" w:hint="default"/>
          <w:b/>
          <w:bCs/>
          <w:w w:val="99"/>
          <w:sz w:val="24"/>
          <w:szCs w:val="24"/>
        </w:rPr>
        <w:t> </w:t>
      </w:r>
      <w:bookmarkStart w:name="1、货币资金" w:id="215"/>
      <w:bookmarkEnd w:id="2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3,180.36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153,199,044.43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43,789,661.96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153,202,224.79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49,090,702.39</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公允价值计量且其变动计入当期损益的金融资产" w:id="216"/>
      <w:bookmarkEnd w:id="21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衍生金融资产" w:id="217"/>
      <w:bookmarkEnd w:id="21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18"/>
      <w:bookmarkEnd w:id="21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19"/>
      <w:bookmarkEnd w:id="21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27,720,543.79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47,335,256.58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23,472,813.84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24,932,592.67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51,193,357.63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72,267,849.25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20"/>
      <w:bookmarkEnd w:id="220"/>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公司已背书或贴现且在资产负债表日尚未到期的应收票据" w:id="221"/>
      <w:bookmarkEnd w:id="221"/>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215,844,421.83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9,394,619.71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225,239,041.54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期末公司因出票人未履约而将其转应收账款的票据" w:id="222"/>
      <w:bookmarkEnd w:id="222"/>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应收账款" w:id="223"/>
      <w:bookmarkEnd w:id="223"/>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账款分类披露" w:id="224"/>
      <w:bookmarkEnd w:id="22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178,468,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393.96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9,631,03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168,837,3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56.41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141,658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7,685,636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133,973,04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3.67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2,255,9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51.40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2,255,951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178,468,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393.96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9,631,03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168,837,3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56.41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143,914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,632.00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9,941,588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133,973,04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3.67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164,948,909.71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8,247,445.49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164,948,909.71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8,247,445.49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13,369,630.63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1,336,963.06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147,463.75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44,239.13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178,468,393.96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9,631,037.55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r>
    </w:tbl>
    <w:p>
      <w:pPr>
        <w:pStyle w:val="BodyText"/>
        <w:spacing w:line="240" w:lineRule="auto" w:before="51"/>
        <w:ind w:left="1134" w:right="0"/>
        <w:jc w:val="left"/>
      </w:pPr>
      <w:r>
        <w:rPr/>
        <w:t>确定该组合依据的说明：</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2）本期计提、收回或转回的坏账准备情况" w:id="225"/>
      <w:bookmarkEnd w:id="22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3"/>
        <w:jc w:val="left"/>
      </w:pPr>
      <w:r>
        <w:rPr/>
        <w:t>本期计提坏账准备金额</w:t>
      </w:r>
      <w:r>
        <w:rPr>
          <w:spacing w:val="-47"/>
        </w:rPr>
        <w:t> </w:t>
      </w:r>
      <w:r>
        <w:rPr>
          <w:rFonts w:ascii="Times New Roman" w:hAnsi="Times New Roman" w:cs="Times New Roman" w:eastAsia="Times New Roman" w:hint="default"/>
        </w:rPr>
        <w:t>1,945,400.62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2,255,951.40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8064" w:space="76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应收账款情况" w:id="226"/>
      <w:bookmarkEnd w:id="22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227"/>
      <w:bookmarkEnd w:id="22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347"/>
        <w:gridCol w:w="1726"/>
        <w:gridCol w:w="1724"/>
        <w:gridCol w:w="1726"/>
      </w:tblGrid>
      <w:tr>
        <w:trPr>
          <w:trHeight w:val="6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2" w:right="119"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 的比例</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4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浙江万马股份有限公司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9,160,179.71</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5.13</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458,008.99</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河北欣意电缆有限公司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8,862,149.50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4.97</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653,599.83</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莒南县美达电力实业有限公司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7,226,540.00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4.05</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361,327.00</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苏州特雷卡电缆有限公司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6,466,150.01</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3.62</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323,307.50</w:t>
            </w:r>
          </w:p>
        </w:tc>
      </w:tr>
      <w:tr>
        <w:trPr>
          <w:trHeight w:val="3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杭州华新电力线缆有限公司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6,342,985.00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3.55</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317,149.25</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38,058,004.22</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21.32</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2,113,392.57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left="1134" w:right="0"/>
        <w:jc w:val="left"/>
        <w:rPr>
          <w:b w:val="0"/>
          <w:bCs w:val="0"/>
        </w:rPr>
      </w:pPr>
      <w:bookmarkStart w:name="（5）因金融资产转移而终止确认的应收账款" w:id="228"/>
      <w:bookmarkEnd w:id="22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229"/>
      <w:bookmarkEnd w:id="22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其他说明：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预付款项" w:id="230"/>
      <w:bookmarkEnd w:id="230"/>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552,991.45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2,797,504.48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1,084,905.64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552,991.45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4,332,410.12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4070"/>
        <w:gridCol w:w="2519"/>
        <w:gridCol w:w="1935"/>
      </w:tblGrid>
      <w:tr>
        <w:trPr>
          <w:trHeight w:val="659"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87" w:right="231"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 的比例</w:t>
            </w:r>
            <w:r>
              <w:rPr>
                <w:rFonts w:ascii="Times New Roman" w:hAnsi="Times New Roman" w:cs="Times New Roman" w:eastAsia="Times New Roman" w:hint="default"/>
                <w:sz w:val="21"/>
                <w:szCs w:val="21"/>
              </w:rPr>
              <w:t>(%)</w:t>
            </w:r>
          </w:p>
        </w:tc>
      </w:tr>
      <w:tr>
        <w:trPr>
          <w:trHeight w:val="348"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浙江明日石化有限公司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303,913.49</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54.95</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宁波海塑化工有限公司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195,348.00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z w:val="21"/>
              </w:rPr>
              <w:t>35.33</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宁波晶海工贸有限公司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34,163.46</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6.18</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中国石化化工销售有限公司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19,566.50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3.54</w:t>
            </w:r>
          </w:p>
        </w:tc>
      </w:tr>
      <w:tr>
        <w:trPr>
          <w:trHeight w:val="348"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552,991.45</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100.00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应收利息" w:id="233"/>
      <w:bookmarkEnd w:id="233"/>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利息分类" w:id="234"/>
      <w:bookmarkEnd w:id="234"/>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逾期利息" w:id="235"/>
      <w:bookmarkEnd w:id="235"/>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8、应收股利" w:id="236"/>
      <w:bookmarkEnd w:id="236"/>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37"/>
      <w:bookmarkEnd w:id="237"/>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的账龄超过1年的应收股利" w:id="238"/>
      <w:bookmarkEnd w:id="238"/>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9、其他应收款" w:id="239"/>
      <w:bookmarkEnd w:id="239"/>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0"/>
      <w:bookmarkEnd w:id="24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4,742,14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440,807.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4,301,340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4,061,5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208,676.1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3,852,834.9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4,742,14</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7.79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440,807.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9.30%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4,301,340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4,061,5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208,676.1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5.14%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3,852,834.9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968,147.79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48,407.39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968,147.79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48,407.39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4,742,147.79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440,807.39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5"/>
        <w:jc w:val="left"/>
      </w:pPr>
      <w:r>
        <w:rPr/>
        <w:t>本期计提坏账准备金额</w:t>
      </w:r>
      <w:r>
        <w:rPr>
          <w:spacing w:val="-46"/>
        </w:rPr>
        <w:t> </w:t>
      </w:r>
      <w:r>
        <w:rPr>
          <w:rFonts w:ascii="Times New Roman" w:hAnsi="Times New Roman" w:cs="Times New Roman" w:eastAsia="Times New Roman" w:hint="default"/>
        </w:rPr>
        <w:t>232,131.29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242"/>
      <w:bookmarkEnd w:id="24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其他应收款按款项性质分类情况" w:id="243"/>
      <w:bookmarkEnd w:id="24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4,511,147.79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3,827,011.00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4,742,147.79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4,061,511.00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44"/>
      <w:bookmarkEnd w:id="24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杭州余杭径山经济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土地开发意向保证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3,600,000.00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75.91%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杭州市余杭区财政 局非税收入结算专 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581,147.79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29,057.39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宝胜科技创新股份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蔡忠义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国网浙江杭州市余 杭区供电局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4,540,147.79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411,957.39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45"/>
      <w:bookmarkEnd w:id="24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因金融资产转移而终止确认的其他应收款" w:id="246"/>
      <w:bookmarkEnd w:id="24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247"/>
      <w:bookmarkEnd w:id="24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0、存货" w:id="248"/>
      <w:bookmarkEnd w:id="248"/>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存货分类" w:id="249"/>
      <w:bookmarkEnd w:id="24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36,749,702.20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36,749,702.20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23,299,933.49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23,299,933.49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6,958,676.62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6,958,676.62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4,254,656.94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4,254,656.94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4,144,639.22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4,144,639.22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2,398,528.83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2,398,528.83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501,756.19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501,756.19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326,329.99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326,329.99</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48,354,774.23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48,354,774.23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30,279,449.25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30,279,449.25</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存货跌价准备" w:id="250"/>
      <w:bookmarkEnd w:id="25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含有借款费用资本化金额的说明" w:id="251"/>
      <w:bookmarkEnd w:id="25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4）期末建造合同形成的已完工未结算资产情况" w:id="252"/>
      <w:bookmarkEnd w:id="25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1、划分为持有待售的资产" w:id="253"/>
      <w:bookmarkEnd w:id="253"/>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54"/>
      <w:bookmarkEnd w:id="25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55"/>
      <w:bookmarkEnd w:id="25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161,285.25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247,008.55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136,825.24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298,110.49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247,008.55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可供出售金融资产" w:id="256"/>
      <w:bookmarkEnd w:id="256"/>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57"/>
      <w:bookmarkEnd w:id="25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期末按公允价值计量的可供出售金融资产" w:id="258"/>
      <w:bookmarkEnd w:id="25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按成本计量的可供出售金融资产" w:id="259"/>
      <w:bookmarkEnd w:id="25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报告期内可供出售金融资产减值的变动情况" w:id="260"/>
      <w:bookmarkEnd w:id="26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可供出售权益工具期末公允价值严重下跌或非暂时性下跌但未计提减值准备的相关说" w:id="261"/>
      <w:bookmarkEnd w:id="26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5、持有至到期投资" w:id="262"/>
      <w:bookmarkEnd w:id="262"/>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63"/>
      <w:bookmarkEnd w:id="26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重要的持有至到期投资" w:id="264"/>
      <w:bookmarkEnd w:id="26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重分类的持有至到期投资" w:id="265"/>
      <w:bookmarkEnd w:id="26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6、长期应收款" w:id="266"/>
      <w:bookmarkEnd w:id="26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67"/>
      <w:bookmarkEnd w:id="26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因金融资产转移而终止确认的长期应收款" w:id="268"/>
      <w:bookmarkEnd w:id="26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转移长期应收款且继续涉入形成的资产、负债金额" w:id="269"/>
      <w:bookmarkEnd w:id="26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7、长期股权投资" w:id="270"/>
      <w:bookmarkEnd w:id="270"/>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投资性房地产" w:id="271"/>
      <w:bookmarkEnd w:id="271"/>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72"/>
      <w:bookmarkEnd w:id="27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4,295,578.53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729,594.77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5,025,173.30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4,295,578.53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729,594.77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5,025,173.30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571,261.69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29,962.82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601,224.51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17,977.69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229,906.20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211,928.51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17,977.69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229,906.20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783,190.20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47,940.51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831,130.71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3,512,388.33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681,654.26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4,194,042.59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3,724,316.84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699,631.95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4,423,948.79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采用公允价值计量模式的投资性房地产" w:id="273"/>
      <w:bookmarkEnd w:id="27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未办妥产权证书的投资性房地产情况" w:id="274"/>
      <w:bookmarkEnd w:id="27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9、固定资产" w:id="275"/>
      <w:bookmarkEnd w:id="275"/>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76"/>
      <w:bookmarkEnd w:id="27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43,707,905.10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2,024,260.78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33,724,061.76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1,558,453.62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81,014,681.26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1,398,703.49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381,756.99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12,074,546.45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413,698.29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14,268,705.22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352,063.59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381,756.99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4,022,650.28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413,698.29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5,170,169.15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1,046,639.90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8,051,896.14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9,098,536.07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298,661.98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298,661.98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298,661.98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298,661.98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45,106,608.59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2,406,017.77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45,798,608.21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1,673,489.93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94,984,724.50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6,079,646.15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1,795,542.34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10,335,244.62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1,318,499.74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19,528,932.85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2,463,186.34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148,348.91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3,727,807.20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127,088.32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6,466,430.77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2,463,186.34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148,348.91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3,727,807.20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127,088.32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6,466,430.77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270,117.70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270,117.70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270,117.70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8,542,832.49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1,943,891.25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14,063,051.82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1,175,470.36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25,725,245.92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36,563,776.10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462,126.52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31,735,556.39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498,019.57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69,259,478.58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37,628,258.95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228,718.44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23,388,817.14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239,953.88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61,485,748.41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暂时闲置的固定资产情况" w:id="277"/>
      <w:bookmarkEnd w:id="27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通过融资租赁租入的固定资产情况" w:id="278"/>
      <w:bookmarkEnd w:id="27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通过经营租赁租出的固定资产" w:id="279"/>
      <w:bookmarkEnd w:id="27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办妥产权证书的固定资产情况" w:id="280"/>
      <w:bookmarkEnd w:id="28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龙皇工业区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8,391,322.97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相关产权证书按照流程正在办理中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龙皇工业区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号厂房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6,776,432.83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相关产权证书按照流程正在办理中</w:t>
            </w:r>
          </w:p>
        </w:tc>
      </w:tr>
    </w:tbl>
    <w:p>
      <w:pPr>
        <w:pStyle w:val="BodyText"/>
        <w:spacing w:line="240" w:lineRule="auto" w:before="51"/>
        <w:ind w:left="1134" w:right="0"/>
        <w:jc w:val="left"/>
      </w:pPr>
      <w:r>
        <w:rPr/>
        <w:t>其他说明</w:t>
      </w:r>
    </w:p>
    <w:p>
      <w:pPr>
        <w:spacing w:after="0" w:line="240" w:lineRule="auto"/>
        <w:jc w:val="left"/>
        <w:sectPr>
          <w:footerReference w:type="default" r:id="rId15"/>
          <w:pgSz w:w="11910" w:h="16840"/>
          <w:pgMar w:footer="979" w:header="747"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0、在建工程" w:id="281"/>
      <w:bookmarkEnd w:id="28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82"/>
      <w:bookmarkEnd w:id="28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7,964,900.92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7,964,900.92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5,964,454.53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5,964,454.53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漕桥工业区无卤 低烟电缆料项目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198,218.00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198,218.00</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吨塑 料电缆料颗粒项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17,218,935.47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17,218,935.47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吨塑 料电缆料颗粒项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15,839,294.12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15,839,294.12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41,023,130.51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41,023,130.51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6,162,672.53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6,162,672.53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83"/>
      <w:bookmarkEnd w:id="28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在安装 设备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5,964,45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10,052,3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8,051,89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7,964,90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1,046,63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1,046,63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漕桥工 业区无 卤低烟 电缆料 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10,000</w:t>
            </w:r>
          </w:p>
          <w:p>
            <w:pPr>
              <w:pStyle w:val="TableParagraph"/>
              <w:spacing w:line="319" w:lineRule="auto" w:before="65"/>
              <w:ind w:left="22" w:right="159"/>
              <w:jc w:val="both"/>
              <w:rPr>
                <w:rFonts w:ascii="宋体" w:hAnsi="宋体" w:cs="宋体" w:eastAsia="宋体" w:hint="default"/>
                <w:sz w:val="18"/>
                <w:szCs w:val="18"/>
              </w:rPr>
            </w:pPr>
            <w:r>
              <w:rPr>
                <w:rFonts w:ascii="宋体" w:hAnsi="宋体" w:cs="宋体" w:eastAsia="宋体" w:hint="default"/>
                <w:sz w:val="18"/>
                <w:szCs w:val="18"/>
              </w:rPr>
              <w:t>吨塑料 电缆料 颗粒项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99,615,1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15,839,2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94.12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15,839,2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94.12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15.90%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9" w:lineRule="auto"/>
        <w:jc w:val="left"/>
        <w:rPr>
          <w:rFonts w:ascii="宋体" w:hAnsi="宋体" w:cs="宋体" w:eastAsia="宋体" w:hint="default"/>
          <w:sz w:val="18"/>
          <w:szCs w:val="18"/>
        </w:rPr>
        <w:sectPr>
          <w:footerReference w:type="default" r:id="rId16"/>
          <w:pgSz w:w="11910" w:h="16840"/>
          <w:pgMar w:footer="979" w:header="747" w:top="1060" w:bottom="1160" w:left="0" w:right="0"/>
          <w:pgNumType w:start="101"/>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25,000</w:t>
            </w:r>
          </w:p>
          <w:p>
            <w:pPr>
              <w:pStyle w:val="TableParagraph"/>
              <w:spacing w:line="319" w:lineRule="auto" w:before="65"/>
              <w:ind w:left="22" w:right="159"/>
              <w:jc w:val="both"/>
              <w:rPr>
                <w:rFonts w:ascii="宋体" w:hAnsi="宋体" w:cs="宋体" w:eastAsia="宋体" w:hint="default"/>
                <w:sz w:val="18"/>
                <w:szCs w:val="18"/>
              </w:rPr>
            </w:pPr>
            <w:r>
              <w:rPr>
                <w:rFonts w:ascii="宋体" w:hAnsi="宋体" w:cs="宋体" w:eastAsia="宋体" w:hint="default"/>
                <w:sz w:val="18"/>
                <w:szCs w:val="18"/>
              </w:rPr>
              <w:t>吨塑料 电缆料 颗粒项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114,244,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17,218,9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35.47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17,218,9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35.47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15.07%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15.07%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213,859,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6,162,67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44,157,2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9,098,53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41,023,1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30.51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计提在建工程减值准备情况" w:id="284"/>
      <w:bookmarkEnd w:id="28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1、工程物资" w:id="285"/>
      <w:bookmarkEnd w:id="285"/>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2、固定资产清理" w:id="286"/>
      <w:bookmarkEnd w:id="286"/>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生产性生物资产" w:id="287"/>
      <w:bookmarkEnd w:id="28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8"/>
      <w:bookmarkEnd w:id="28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89"/>
      <w:bookmarkEnd w:id="28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4、油气资产" w:id="290"/>
      <w:bookmarkEnd w:id="29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5、无形资产" w:id="291"/>
      <w:bookmarkEnd w:id="291"/>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292"/>
      <w:bookmarkEnd w:id="29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55,949,055.23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55,949,055.23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873,825.00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873,825.00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873,825.00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873,825.00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5,832,630.00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5,832,630.00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5,832,630.00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5,832,630.00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50,990,250.23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5,099,250.23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2,239,082.44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2,239,082.44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1,147,845.12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1,147,845.12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1,147,845.12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1,147,845.12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289,905.20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289,905.20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289,905.20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289,905.20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3,097,022.36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3,097,022.36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47,893,227.87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47,893,227.87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53,709,972.79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53,709,972.79</w:t>
            </w:r>
          </w:p>
        </w:tc>
      </w:tr>
    </w:tbl>
    <w:p>
      <w:pPr>
        <w:pStyle w:val="BodyText"/>
        <w:spacing w:line="240" w:lineRule="auto" w:before="51"/>
        <w:ind w:left="113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293"/>
      <w:bookmarkEnd w:id="29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6、开发支出" w:id="294"/>
      <w:bookmarkEnd w:id="294"/>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商誉" w:id="295"/>
      <w:bookmarkEnd w:id="295"/>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296"/>
      <w:bookmarkEnd w:id="29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297"/>
      <w:bookmarkEnd w:id="29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说明商誉减值测试过程、参数及商誉减值损失的确认方法：</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8、长期待摊费用" w:id="298"/>
      <w:bookmarkEnd w:id="298"/>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9、递延所得税资产/递延所得税负债" w:id="299"/>
      <w:bookmarkEnd w:id="299"/>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00"/>
      <w:bookmarkEnd w:id="30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5"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9,631,037.55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1,444,655.63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9,941,588.33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1,491,238.25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9,631,037.55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1,444,655.63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9,941,588.33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1,491,238.25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经抵销的递延所得税负债" w:id="301"/>
      <w:bookmarkEnd w:id="30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302"/>
      <w:bookmarkEnd w:id="30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1,444,655.63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1,491,238.25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03"/>
      <w:bookmarkEnd w:id="30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208,676.10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440,807.39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208,676.10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未确认递延所得税资产的可抵扣亏损将于以下年度到期" w:id="304"/>
      <w:bookmarkEnd w:id="30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0、其他非流动资产" w:id="305"/>
      <w:bookmarkEnd w:id="305"/>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1、短期借款" w:id="306"/>
      <w:bookmarkEnd w:id="306"/>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307"/>
      <w:bookmarkEnd w:id="30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抵押加保证借款</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117,100,000.00</w:t>
            </w:r>
          </w:p>
        </w:tc>
      </w:tr>
    </w:tbl>
    <w:p>
      <w:pPr>
        <w:pStyle w:val="BodyText"/>
        <w:spacing w:line="240" w:lineRule="auto" w:before="51"/>
        <w:ind w:left="1134"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已逾期未偿还的短期借款情况" w:id="308"/>
      <w:bookmarkEnd w:id="30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2、以公允价值计量且其变动计入当期损益的金融负债" w:id="309"/>
      <w:bookmarkEnd w:id="309"/>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3、衍生金融负债" w:id="310"/>
      <w:bookmarkEnd w:id="310"/>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11"/>
      <w:bookmarkEnd w:id="311"/>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5,448,249.79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9,298,429.75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5,448,249.79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17,298,429.75</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35、应付账款" w:id="312"/>
      <w:bookmarkEnd w:id="312"/>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13"/>
      <w:bookmarkEnd w:id="31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25,106,543.41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29,159,325.20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工程和设备款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355,710.00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4,738,346.00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1,312,853.41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1,113,233.64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783,018.87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187,970.09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27,558,125.69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35,198,874.93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应付账款" w:id="314"/>
      <w:bookmarkEnd w:id="31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6、预收款项" w:id="315"/>
      <w:bookmarkEnd w:id="315"/>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16"/>
      <w:bookmarkEnd w:id="31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873,053.84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265,569.03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873,053.84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265,569.03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账龄超过1年的重要预收款项" w:id="317"/>
      <w:bookmarkEnd w:id="31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建造合同形成的已结算未完工项目情况" w:id="318"/>
      <w:bookmarkEnd w:id="31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7、应付职工薪酬" w:id="319"/>
      <w:bookmarkEnd w:id="319"/>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20"/>
      <w:bookmarkEnd w:id="32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1,694,687.78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28,409,340.94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28,082,726.54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2,021,302.18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1,611,789.05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1,627,642.14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49,356.01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1,759,896.88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30,021,129.99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29,710,368.68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2,070,658.19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321"/>
      <w:bookmarkEnd w:id="32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1,609,643.71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24,521,081.24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24,131,329.39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1,999,395.56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1,207,517.15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1,207,517.15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1,109,140.97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1,104,568.42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21,906.62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864,153.08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859,580.53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21,906.62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97,995.15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97,995.15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146,992.74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146,992.74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1,172,265.00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467,046.58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467,046.58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1,694,687.78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28,409,340.94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28,082,726.54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2,021,302.18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设定提存计划列示" w:id="322"/>
      <w:bookmarkEnd w:id="32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1,423,310.94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1,439,164.03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49,356.01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188,478.11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188,478.11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65,209.10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1,611,789.05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1,627,642.14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49,356.01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8、应交税费" w:id="323"/>
      <w:bookmarkEnd w:id="323"/>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4,966,378.65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3,712,437.58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1,205,175.54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346,793.45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264,417.23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148,625.77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113,321.67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99,083.84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75,547.78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18,754.25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13,191.62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386,228.27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271,004.00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487,747.18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304,701.13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78,142.72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54,965.07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6,531,796.22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6,014,784.80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应付利息" w:id="324"/>
      <w:bookmarkEnd w:id="324"/>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85,825.97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230,885.48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85,825.97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230,885.48</w:t>
            </w:r>
          </w:p>
        </w:tc>
      </w:tr>
    </w:tbl>
    <w:p>
      <w:pPr>
        <w:pStyle w:val="BodyText"/>
        <w:spacing w:line="240" w:lineRule="auto" w:before="51"/>
        <w:ind w:left="1134"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0、应付股利" w:id="325"/>
      <w:bookmarkEnd w:id="325"/>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26"/>
      <w:bookmarkEnd w:id="32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27"/>
      <w:bookmarkEnd w:id="32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应付员工报销款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1,900,236.00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货运押金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10,682.33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21,337.76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2,360,918.33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471,337.76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划分为持有待售的负债" w:id="329"/>
      <w:bookmarkEnd w:id="329"/>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3、一年内到期的非流动负债" w:id="330"/>
      <w:bookmarkEnd w:id="33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4、其他流动负债" w:id="331"/>
      <w:bookmarkEnd w:id="33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短期应付债券的增减变动：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5、长期借款" w:id="332"/>
      <w:bookmarkEnd w:id="33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33"/>
      <w:bookmarkEnd w:id="33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134" w:right="8592"/>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46、应付债券" w:id="334"/>
      <w:bookmarkEnd w:id="33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债券" w:id="335"/>
      <w:bookmarkEnd w:id="33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债券的增减变动（不包括划分为金融负债的优先股、永续债等其他金融工具）" w:id="336"/>
      <w:bookmarkEnd w:id="33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bookmarkStart w:name="（3）可转换公司债券的转股条件、转股时间说明" w:id="337"/>
      <w:bookmarkEnd w:id="33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划分为金融负债的其他金融工具说明" w:id="338"/>
      <w:bookmarkEnd w:id="33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47、长期应付款" w:id="339"/>
      <w:bookmarkEnd w:id="339"/>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长期应付款" w:id="340"/>
      <w:bookmarkEnd w:id="34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8、长期应付职工薪酬" w:id="341"/>
      <w:bookmarkEnd w:id="341"/>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42"/>
      <w:bookmarkEnd w:id="34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设定受益计划变动情况" w:id="343"/>
      <w:bookmarkEnd w:id="34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设定受益计划净负债（净资产）</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9、专项应付款" w:id="344"/>
      <w:bookmarkEnd w:id="344"/>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0、预计负债" w:id="345"/>
      <w:bookmarkEnd w:id="345"/>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1、递延收益" w:id="346"/>
      <w:bookmarkEnd w:id="346"/>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2、其他非流动负债" w:id="347"/>
      <w:bookmarkEnd w:id="347"/>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3、股本" w:id="348"/>
      <w:bookmarkEnd w:id="348"/>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50,000,000.00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16,670,000.00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16,670,000.00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66,670,000.00</w:t>
            </w:r>
          </w:p>
        </w:tc>
      </w:tr>
    </w:tbl>
    <w:p>
      <w:pPr>
        <w:pStyle w:val="BodyText"/>
        <w:spacing w:line="240" w:lineRule="auto" w:before="51"/>
        <w:ind w:left="1134" w:right="0"/>
        <w:jc w:val="left"/>
      </w:pPr>
      <w:r>
        <w:rPr/>
        <w:t>其他说明：</w:t>
      </w:r>
    </w:p>
    <w:p>
      <w:pPr>
        <w:pStyle w:val="BodyText"/>
        <w:spacing w:line="300" w:lineRule="auto" w:before="115"/>
        <w:ind w:right="0"/>
        <w:jc w:val="left"/>
      </w:pPr>
      <w:r>
        <w:rPr>
          <w:spacing w:val="-2"/>
        </w:rPr>
        <w:t>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日召开的</w:t>
      </w:r>
      <w:r>
        <w:rPr>
          <w:rFonts w:ascii="Times New Roman" w:hAnsi="Times New Roman" w:cs="Times New Roman" w:eastAsia="Times New Roman" w:hint="default"/>
          <w:spacing w:val="-2"/>
        </w:rPr>
        <w:t>2014</w:t>
      </w:r>
      <w:r>
        <w:rPr>
          <w:spacing w:val="-2"/>
        </w:rPr>
        <w:t>年第一次临时股东大会决议，并经</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21</w:t>
      </w:r>
      <w:r>
        <w:rPr>
          <w:spacing w:val="-2"/>
        </w:rPr>
        <w:t>日中国证券监督管理委员会《关于核准杭</w:t>
      </w:r>
      <w:r>
        <w:rPr>
          <w:spacing w:val="-46"/>
        </w:rPr>
        <w:t> </w:t>
      </w:r>
      <w:r>
        <w:rPr>
          <w:spacing w:val="-46"/>
        </w:rPr>
      </w:r>
      <w:r>
        <w:rPr>
          <w:spacing w:val="-2"/>
        </w:rPr>
        <w:t>州高新橡塑材料股份有限公司首次公开发行股票的批复》（证监许可〔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957</w:t>
      </w:r>
      <w:r>
        <w:rPr>
          <w:spacing w:val="-2"/>
        </w:rPr>
        <w:t>号）核准，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月公司公开发行人民币</w:t>
      </w:r>
      <w:r>
        <w:rPr>
          <w:spacing w:val="-54"/>
        </w:rPr>
        <w:t> </w:t>
      </w:r>
      <w:r>
        <w:rPr/>
        <w:t>普通股（</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16,670,000</w:t>
      </w:r>
      <w:r>
        <w:rPr/>
        <w:t>股，每股面值</w:t>
      </w:r>
      <w:r>
        <w:rPr>
          <w:rFonts w:ascii="Times New Roman" w:hAnsi="Times New Roman" w:cs="Times New Roman" w:eastAsia="Times New Roman" w:hint="default"/>
        </w:rPr>
        <w:t>1</w:t>
      </w:r>
      <w:r>
        <w:rPr/>
        <w:t>元，每股发行价格为人民币</w:t>
      </w:r>
      <w:r>
        <w:rPr>
          <w:rFonts w:ascii="Times New Roman" w:hAnsi="Times New Roman" w:cs="Times New Roman" w:eastAsia="Times New Roman" w:hint="default"/>
        </w:rPr>
        <w:t>14.84</w:t>
      </w:r>
      <w:r>
        <w:rPr/>
        <w:t>元，募集资金总额为</w:t>
      </w:r>
      <w:r>
        <w:rPr>
          <w:rFonts w:ascii="Times New Roman" w:hAnsi="Times New Roman" w:cs="Times New Roman" w:eastAsia="Times New Roman" w:hint="default"/>
        </w:rPr>
        <w:t>247,382,800.00</w:t>
      </w:r>
      <w:r>
        <w:rPr/>
        <w:t>元，减除 </w:t>
      </w:r>
      <w:r>
        <w:rPr>
          <w:spacing w:val="-2"/>
        </w:rPr>
        <w:t>发行费用</w:t>
      </w:r>
      <w:r>
        <w:rPr>
          <w:rFonts w:ascii="Times New Roman" w:hAnsi="Times New Roman" w:cs="Times New Roman" w:eastAsia="Times New Roman" w:hint="default"/>
          <w:spacing w:val="-2"/>
        </w:rPr>
        <w:t>34,348,135.15</w:t>
      </w:r>
      <w:r>
        <w:rPr>
          <w:spacing w:val="-2"/>
        </w:rPr>
        <w:t>元后，募集资金净额为</w:t>
      </w:r>
      <w:r>
        <w:rPr>
          <w:rFonts w:ascii="Times New Roman" w:hAnsi="Times New Roman" w:cs="Times New Roman" w:eastAsia="Times New Roman" w:hint="default"/>
          <w:spacing w:val="-2"/>
        </w:rPr>
        <w:t>213,034,664.85</w:t>
      </w:r>
      <w:r>
        <w:rPr>
          <w:spacing w:val="-2"/>
        </w:rPr>
        <w:t>元。其中，计入股本</w:t>
      </w:r>
      <w:r>
        <w:rPr>
          <w:rFonts w:ascii="Times New Roman" w:hAnsi="Times New Roman" w:cs="Times New Roman" w:eastAsia="Times New Roman" w:hint="default"/>
          <w:spacing w:val="-2"/>
        </w:rPr>
        <w:t>16,670,000.00</w:t>
      </w:r>
      <w:r>
        <w:rPr>
          <w:spacing w:val="-2"/>
        </w:rPr>
        <w:t>元，计入资本公积（股本溢价）</w:t>
      </w:r>
      <w:r>
        <w:rPr>
          <w:spacing w:val="-75"/>
        </w:rPr>
        <w:t> </w:t>
      </w:r>
      <w:r>
        <w:rPr>
          <w:spacing w:val="-75"/>
        </w:rPr>
      </w:r>
      <w:r>
        <w:rPr>
          <w:rFonts w:ascii="Times New Roman" w:hAnsi="Times New Roman" w:cs="Times New Roman" w:eastAsia="Times New Roman" w:hint="default"/>
        </w:rPr>
        <w:t>196,364,664.85</w:t>
      </w:r>
      <w:r>
        <w:rPr/>
        <w:t>元。此次增资业经天健会计师事务所（特殊普通合伙）审验，并由其出具《验资报告》（天健验〔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177 </w:t>
      </w:r>
      <w:r>
        <w:rPr/>
        <w:t>号）。公司已于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日办妥工商变更登记手续。</w:t>
      </w:r>
    </w:p>
    <w:p>
      <w:pPr>
        <w:spacing w:line="240" w:lineRule="auto" w:before="1"/>
        <w:rPr>
          <w:rFonts w:ascii="宋体" w:hAnsi="宋体" w:cs="宋体" w:eastAsia="宋体" w:hint="default"/>
          <w:sz w:val="22"/>
          <w:szCs w:val="22"/>
        </w:rPr>
      </w:pPr>
    </w:p>
    <w:p>
      <w:pPr>
        <w:pStyle w:val="Heading3"/>
        <w:spacing w:line="240" w:lineRule="auto"/>
        <w:ind w:left="1134" w:right="0"/>
        <w:jc w:val="left"/>
        <w:rPr>
          <w:b w:val="0"/>
          <w:bCs w:val="0"/>
        </w:rPr>
      </w:pPr>
      <w:bookmarkStart w:name="54、其他权益工具" w:id="349"/>
      <w:bookmarkEnd w:id="349"/>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期末发行在外的优先股、永续债等其他金融工具基本情况" w:id="350"/>
      <w:bookmarkEnd w:id="350"/>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期末发行在外的优先股、永续债等金融工具变动情况表" w:id="351"/>
      <w:bookmarkEnd w:id="351"/>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after="0" w:line="36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5、资本公积" w:id="352"/>
      <w:bookmarkEnd w:id="352"/>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43,777,899.74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196,364,664.85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240,142,564.59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43,777,899.74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196,364,664.85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240,142,564.59</w:t>
            </w:r>
          </w:p>
        </w:tc>
      </w:tr>
    </w:tbl>
    <w:p>
      <w:pPr>
        <w:pStyle w:val="BodyText"/>
        <w:spacing w:line="357" w:lineRule="auto" w:before="51"/>
        <w:ind w:left="1134" w:right="1347"/>
        <w:jc w:val="left"/>
      </w:pPr>
      <w:r>
        <w:rPr/>
        <w:t>其他说明，包括本期增减变动情况、变动原因说明： 资本溢价（股本溢价）本期增加</w:t>
      </w:r>
      <w:r>
        <w:rPr>
          <w:rFonts w:ascii="Times New Roman" w:hAnsi="Times New Roman" w:cs="Times New Roman" w:eastAsia="Times New Roman" w:hint="default"/>
        </w:rPr>
        <w:t>196,364,664.85</w:t>
      </w:r>
      <w:r>
        <w:rPr/>
        <w:t>元，系公开发行股票产生的股本溢价，详见本财务报表附注股本之说明。</w:t>
      </w:r>
    </w:p>
    <w:p>
      <w:pPr>
        <w:spacing w:line="240" w:lineRule="auto" w:before="5"/>
        <w:rPr>
          <w:rFonts w:ascii="宋体" w:hAnsi="宋体" w:cs="宋体" w:eastAsia="宋体" w:hint="default"/>
          <w:sz w:val="18"/>
          <w:szCs w:val="18"/>
        </w:rPr>
      </w:pPr>
    </w:p>
    <w:p>
      <w:pPr>
        <w:pStyle w:val="Heading3"/>
        <w:spacing w:line="240" w:lineRule="auto"/>
        <w:ind w:left="1134" w:right="0"/>
        <w:jc w:val="left"/>
        <w:rPr>
          <w:b w:val="0"/>
          <w:bCs w:val="0"/>
        </w:rPr>
      </w:pPr>
      <w:bookmarkStart w:name="56、库存股" w:id="353"/>
      <w:bookmarkEnd w:id="353"/>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7、其他综合收益" w:id="354"/>
      <w:bookmarkEnd w:id="354"/>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8、专项储备" w:id="355"/>
      <w:bookmarkEnd w:id="355"/>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9、盈余公积" w:id="356"/>
      <w:bookmarkEnd w:id="356"/>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16,054,920.07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4,111,429.74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20,166,349.81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8,027,460.03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2,055,714.87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10,083,174.90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24,082,380.10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6,167,144.61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30,249,524.71</w:t>
            </w:r>
          </w:p>
        </w:tc>
      </w:tr>
    </w:tbl>
    <w:p>
      <w:pPr>
        <w:pStyle w:val="BodyText"/>
        <w:spacing w:line="240" w:lineRule="auto" w:before="51"/>
        <w:ind w:left="1134" w:right="0"/>
        <w:jc w:val="left"/>
      </w:pPr>
      <w:r>
        <w:rPr/>
        <w:t>盈余公积说明，包括本期增减变动情况、变动原因说明：</w:t>
      </w:r>
    </w:p>
    <w:p>
      <w:pPr>
        <w:pStyle w:val="BodyText"/>
        <w:spacing w:line="240" w:lineRule="auto" w:before="116"/>
        <w:ind w:left="1134" w:right="0"/>
        <w:jc w:val="left"/>
      </w:pPr>
      <w:r>
        <w:rPr>
          <w:spacing w:val="15"/>
        </w:rPr>
        <w:t>盈余公积本期增加原因系</w:t>
      </w:r>
      <w:r>
        <w:rPr>
          <w:spacing w:val="-7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spacing w:val="15"/>
        </w:rPr>
        <w:t>年度公司实现净利润的</w:t>
      </w:r>
      <w:r>
        <w:rPr>
          <w:spacing w:val="-70"/>
        </w:rPr>
        <w:t> </w:t>
      </w:r>
      <w:r>
        <w:rPr>
          <w:rFonts w:ascii="Times New Roman" w:hAnsi="Times New Roman" w:cs="Times New Roman" w:eastAsia="Times New Roman" w:hint="default"/>
        </w:rPr>
        <w:t>10%</w:t>
      </w:r>
      <w:r>
        <w:rPr>
          <w:rFonts w:ascii="Times New Roman" w:hAnsi="Times New Roman" w:cs="Times New Roman" w:eastAsia="Times New Roman" w:hint="default"/>
          <w:spacing w:val="-27"/>
        </w:rPr>
        <w:t> </w:t>
      </w:r>
      <w:r>
        <w:rPr>
          <w:spacing w:val="14"/>
        </w:rPr>
        <w:t>计提法定盈余公积</w:t>
      </w:r>
      <w:r>
        <w:rPr>
          <w:spacing w:val="-71"/>
        </w:rPr>
        <w:t> </w:t>
      </w:r>
      <w:r>
        <w:rPr>
          <w:rFonts w:ascii="Times New Roman" w:hAnsi="Times New Roman" w:cs="Times New Roman" w:eastAsia="Times New Roman" w:hint="default"/>
        </w:rPr>
        <w:t>4,111,429.74</w:t>
      </w:r>
      <w:r>
        <w:rPr>
          <w:rFonts w:ascii="Times New Roman" w:hAnsi="Times New Roman" w:cs="Times New Roman" w:eastAsia="Times New Roman" w:hint="default"/>
          <w:spacing w:val="-26"/>
        </w:rPr>
        <w:t> </w:t>
      </w:r>
      <w:r>
        <w:rPr>
          <w:spacing w:val="9"/>
        </w:rPr>
        <w:t>元、</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spacing w:val="14"/>
        </w:rPr>
        <w:t>计提任意盈余公积</w:t>
      </w:r>
    </w:p>
    <w:p>
      <w:pPr>
        <w:pStyle w:val="BodyText"/>
        <w:spacing w:line="240" w:lineRule="auto" w:before="63"/>
        <w:ind w:right="0"/>
        <w:jc w:val="left"/>
      </w:pPr>
      <w:r>
        <w:rPr>
          <w:rFonts w:ascii="Times New Roman" w:hAnsi="Times New Roman" w:cs="Times New Roman" w:eastAsia="Times New Roman" w:hint="default"/>
        </w:rPr>
        <w:t>2,055,714.87</w:t>
      </w:r>
      <w:r>
        <w:rPr/>
        <w:t>元。</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0、未分配利润" w:id="357"/>
      <w:bookmarkEnd w:id="357"/>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125,116,820.43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93,388,358.02</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41,114,297.43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46,151,132.25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4,111,429.74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4,615,113.23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2,055,714.87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2,307,556.61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152,563,973.25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125,116,820.43</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61、营业收入和营业成本" w:id="358"/>
      <w:bookmarkEnd w:id="358"/>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541,835,375.07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413,820,804.84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572,416,946.51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442,279,439.94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475,264.35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229,906.20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538,117.76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342,376.09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542,310,639.42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414,050,711.04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572,955,064.27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442,621,816.03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2、营业税金及附加" w:id="359"/>
      <w:bookmarkEnd w:id="359"/>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19,049.16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34,607.01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936,669.27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1,160,215.40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401,429.69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497,235.18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267,619.78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331,490.13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1,624,767.90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2,023,547.72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3、销售费用" w:id="360"/>
      <w:bookmarkEnd w:id="360"/>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5,291,687.44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4,897,310.54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52,684.45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74,255.49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12,199,057.76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10,958,018.04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11,538,854.00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12,302,626.20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1,320,713.36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1,623,087.66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1,049,031.87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955,445.66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31,452,028.88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30,810,743.59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4、管理费用" w:id="361"/>
      <w:bookmarkEnd w:id="361"/>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9,420,647.44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6,583,691.59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28,540,877.29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23,305,982.58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536,793.42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388,301.62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901,832.38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1,174,298.28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1,546,103.43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981,874.43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393,189.78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350,031.09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1,147,845.12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816,415.97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474,654.68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600,711.03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1,137,662.29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736,674.67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1,507,005.88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1,645,476.30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607,876.76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372,768.75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46,214,488.47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36,956,226.31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5、财务费用" w:id="362"/>
      <w:bookmarkEnd w:id="362"/>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7,052,621.49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8,912,343.38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-575,089.35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-132,657.07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46,111.84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76,229.44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6,523,642.64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8,855,915.68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6、资产减值损失" w:id="363"/>
      <w:bookmarkEnd w:id="363"/>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-78,419.49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2,677,491.26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-78,419.49</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2,677,491.26</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7、公允价值变动收益" w:id="364"/>
      <w:bookmarkEnd w:id="364"/>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8、投资收益" w:id="365"/>
      <w:bookmarkEnd w:id="365"/>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9、营业外收入" w:id="366"/>
      <w:bookmarkEnd w:id="366"/>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1,858,375.20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1,858,375.20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1,858,375.20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1,858,375.20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1,915,200.00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3,738,800.00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1,915,200.00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46,336.18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46,336.18</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3,819,911.38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3,752,991.11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3,819,911.38</w:t>
            </w: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69.679993pt;margin-top:725.940002pt;width:52.7pt;height:7.8pt;mso-position-horizontal-relative:page;mso-position-vertical-relative:page;z-index:-788536" coordorigin="5394,14519" coordsize="1054,156">
            <v:shape style="position:absolute;left:5394;top:14519;width:1054;height:156" coordorigin="5394,14519" coordsize="1054,156" path="m5394,14675l6447,14675,6447,14519,5394,14519,5394,1467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公司上市财 政扶持奖励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年度研 发投入财政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755,800.00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 济贡献奖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杭州市余杭 区径山镇人 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年度投 入创新奖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杭州市余杭 区径山镇人 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业龙头企业 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杭州市余杭 区径山镇人 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发明专利补 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其他零星补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余杭区工业 生产性项目 财政资助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428,800.00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工业经济发 展先进单位 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杭州市余杭 区径山镇人 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杭州市企业 高新技术项 目补助经费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31"/>
              <w:jc w:val="left"/>
              <w:rPr>
                <w:rFonts w:ascii="宋体" w:hAnsi="宋体" w:cs="宋体" w:eastAsia="宋体" w:hint="default"/>
                <w:sz w:val="18"/>
                <w:szCs w:val="18"/>
              </w:rPr>
            </w:pPr>
            <w:r>
              <w:rPr>
                <w:rFonts w:ascii="宋体" w:hAnsi="宋体" w:cs="宋体" w:eastAsia="宋体" w:hint="default"/>
                <w:sz w:val="18"/>
                <w:szCs w:val="18"/>
              </w:rPr>
              <w:t>余杭区企业 高新技术配</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61"/>
              <w:jc w:val="left"/>
              <w:rPr>
                <w:rFonts w:ascii="宋体" w:hAnsi="宋体" w:cs="宋体" w:eastAsia="宋体" w:hint="default"/>
                <w:sz w:val="18"/>
                <w:szCs w:val="18"/>
              </w:rPr>
            </w:pPr>
            <w:r>
              <w:rPr>
                <w:rFonts w:ascii="宋体" w:hAnsi="宋体" w:cs="宋体" w:eastAsia="宋体" w:hint="default"/>
                <w:sz w:val="18"/>
                <w:szCs w:val="18"/>
              </w:rPr>
              <w:t>因研究开发、 技术更新及</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套奖励资金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杭州市企业 高新技术项 目补助经费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杭州品牌奖 励资金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清洁生产审 核区级奖励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杭州市余杭 区人民政府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1,915,200.00</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3,738,800.00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0、营业外支出" w:id="367"/>
      <w:bookmarkEnd w:id="367"/>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213,312.37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63,018.65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213,312.37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213,312.37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63,018.65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213,312.37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84,410.49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140,624.81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9,392.30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303,722.86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233,035.76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1、所得税费用" w:id="368"/>
      <w:bookmarkEnd w:id="368"/>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69"/>
      <w:bookmarkEnd w:id="36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4,878,728.45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6,750,123.94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46,582.62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-371,977.16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4,925,311.07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6,378,146.78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70"/>
      <w:bookmarkEnd w:id="37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46,039,608.50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6,905,941.27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207,861.19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34,819.70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残疾人工资加计扣除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-129,906.33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-2,093,404.76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4,925,311.07</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2、其他综合收益" w:id="371"/>
      <w:bookmarkEnd w:id="371"/>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详见附注。</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73、现金流量表项目" w:id="372"/>
      <w:bookmarkEnd w:id="372"/>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73"/>
      <w:bookmarkEnd w:id="37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575,089.35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132,657.07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票据保证金到期收回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收到押金保证金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191,740.00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340,919.31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8,134,708.66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9,077,388.18</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支付的其他与经营活动有关的现金" w:id="374"/>
      <w:bookmarkEnd w:id="37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支付员工备用金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102,989.00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10,692,011.54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11,308,049.13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1,091,901.41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1,294,678.98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3,627,719.24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3,268,563.96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661,832.38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1,174,298.28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566,103.43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769,482.78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474,654.68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600,711.03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18,747,156.19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17,592,866.85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1,482,644.18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1,423,444.39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37,453,012.05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43,095,595.40</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3）收到的其他与投资活动有关的现金" w:id="375"/>
      <w:bookmarkEnd w:id="37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支付的其他与投资活动有关的现金" w:id="376"/>
      <w:bookmarkEnd w:id="37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募投项目建设保证金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581,147.79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支付土地开发意向保证金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581,147.79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5）收到的其他与筹资活动有关的现金" w:id="377"/>
      <w:bookmarkEnd w:id="37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收到的其他与筹资活动有关的现金说明：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r>
        <w:rPr/>
        <w:pict>
          <v:group style="position:absolute;margin-left:223.339996pt;margin-top:504.669983pt;width:151.25pt;height:20.8pt;mso-position-horizontal-relative:page;mso-position-vertical-relative:page;z-index:-788488" coordorigin="4467,10093" coordsize="3025,416">
            <v:group style="position:absolute;left:4478;top:10105;width:2;height:393" coordorigin="4478,10105" coordsize="2,393">
              <v:shape style="position:absolute;left:4478;top:10105;width:2;height:393" coordorigin="4478,10105" coordsize="0,393" path="m4478,10105l4478,10497e" filled="false" stroked="true" strokeweight="1.140pt" strokecolor="#ffffff">
                <v:path arrowok="t"/>
              </v:shape>
            </v:group>
            <v:group style="position:absolute;left:4490;top:10105;width:3002;height:393" coordorigin="4490,10105" coordsize="3002,393">
              <v:shape style="position:absolute;left:4490;top:10105;width:3002;height:393" coordorigin="4490,10105" coordsize="3002,393" path="m4490,10497l7491,10497,7491,10105,4490,10105,4490,10497xe" filled="true" fillcolor="#ffffff" stroked="false">
                <v:path arrowok="t"/>
                <v:fill type="solid"/>
              </v:shape>
            </v:group>
            <w10:wrap type="none"/>
          </v:group>
        </w:pict>
      </w:r>
    </w:p>
    <w:p>
      <w:pPr>
        <w:pStyle w:val="Heading3"/>
        <w:spacing w:line="240" w:lineRule="auto" w:before="35"/>
        <w:ind w:right="0"/>
        <w:jc w:val="left"/>
        <w:rPr>
          <w:b w:val="0"/>
          <w:bCs w:val="0"/>
        </w:rPr>
      </w:pPr>
      <w:bookmarkStart w:name="（6）支付的其他与筹资活动有关的现金" w:id="378"/>
      <w:bookmarkEnd w:id="37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上市发行费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11,484,869.66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11,484,869.66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74、现金流量表补充资料" w:id="379"/>
      <w:bookmarkEnd w:id="379"/>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80"/>
      <w:bookmarkEnd w:id="38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1197"/>
        <w:gridCol w:w="1872"/>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95" w:right="0"/>
              <w:jc w:val="left"/>
              <w:rPr>
                <w:rFonts w:ascii="Times New Roman" w:hAnsi="Times New Roman" w:cs="Times New Roman" w:eastAsia="Times New Roman" w:hint="default"/>
                <w:sz w:val="18"/>
                <w:szCs w:val="18"/>
              </w:rPr>
            </w:pPr>
            <w:r>
              <w:rPr>
                <w:rFonts w:ascii="Times New Roman"/>
                <w:sz w:val="18"/>
              </w:rPr>
              <w:t>41,114,297.43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46,151,132.25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-78,419.49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2,677,491.26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6,678,359.28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4,378,791.23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1,165,822.81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834,393.66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-1,645,062.83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63,018.65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5,892,294.63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6,641,061.62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97"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8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123" w:right="0"/>
              <w:jc w:val="left"/>
              <w:rPr>
                <w:rFonts w:ascii="Times New Roman" w:hAnsi="Times New Roman" w:cs="Times New Roman" w:eastAsia="Times New Roman" w:hint="default"/>
                <w:sz w:val="18"/>
                <w:szCs w:val="18"/>
              </w:rPr>
            </w:pPr>
            <w:r>
              <w:rPr>
                <w:rFonts w:ascii="Times New Roman"/>
                <w:sz w:val="18"/>
              </w:rPr>
              <w:t>46,582.62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-371,977.16</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-18,075,324.98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-2,976,371.16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-22,572,565.33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-46,073,535.35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-9,998,634.91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1,708,281.83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2,527,349.23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13,032,286.83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153,202,224.79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43,790,702.39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43,790,702.39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57,078,299.80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109,411,522.40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-13,287,597.41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本期支付的取得子公司的现金净额" w:id="381"/>
      <w:bookmarkEnd w:id="381"/>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82"/>
      <w:bookmarkEnd w:id="382"/>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83"/>
      <w:bookmarkEnd w:id="383"/>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153,202,224.79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43,790,702.39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1,040.43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153,199,044.43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43,789,661.96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153,202,224.79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43,790,702.39</w:t>
            </w:r>
          </w:p>
        </w:tc>
      </w:tr>
    </w:tbl>
    <w:p>
      <w:pPr>
        <w:pStyle w:val="BodyText"/>
        <w:spacing w:line="240" w:lineRule="auto" w:before="51"/>
        <w:ind w:left="1134" w:right="0"/>
        <w:jc w:val="left"/>
      </w:pPr>
      <w:r>
        <w:rPr/>
        <w:t>其他说明：</w:t>
      </w:r>
    </w:p>
    <w:p>
      <w:pPr>
        <w:pStyle w:val="BodyText"/>
        <w:spacing w:line="300" w:lineRule="auto" w:before="116"/>
        <w:ind w:right="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日货币资金余额为</w:t>
      </w:r>
      <w:r>
        <w:rPr>
          <w:rFonts w:ascii="Times New Roman" w:hAnsi="Times New Roman" w:cs="Times New Roman" w:eastAsia="Times New Roman" w:hint="default"/>
          <w:spacing w:val="-1"/>
        </w:rPr>
        <w:t>49,090,702.39</w:t>
      </w:r>
      <w:r>
        <w:rPr>
          <w:spacing w:val="-1"/>
        </w:rPr>
        <w:t>元</w:t>
      </w:r>
      <w:r>
        <w:rPr>
          <w:rFonts w:ascii="Times New Roman" w:hAnsi="Times New Roman" w:cs="Times New Roman" w:eastAsia="Times New Roman" w:hint="default"/>
          <w:spacing w:val="-1"/>
        </w:rPr>
        <w:t>,</w:t>
      </w:r>
      <w:r>
        <w:rPr>
          <w:spacing w:val="-1"/>
        </w:rPr>
        <w:t>现金及现金等价物余额为</w:t>
      </w:r>
      <w:r>
        <w:rPr>
          <w:rFonts w:ascii="Times New Roman" w:hAnsi="Times New Roman" w:cs="Times New Roman" w:eastAsia="Times New Roman" w:hint="default"/>
          <w:spacing w:val="-1"/>
        </w:rPr>
        <w:t>43,790,702.39</w:t>
      </w:r>
      <w:r>
        <w:rPr>
          <w:spacing w:val="-1"/>
        </w:rPr>
        <w:t>元，差异系不属于现金及现金等价物</w:t>
      </w:r>
      <w:r>
        <w:rPr>
          <w:spacing w:val="-61"/>
        </w:rPr>
        <w:t> </w:t>
      </w:r>
      <w:r>
        <w:rPr>
          <w:spacing w:val="-61"/>
        </w:rPr>
      </w:r>
      <w:r>
        <w:rPr/>
        <w:t>的票据保证金</w:t>
      </w:r>
      <w:r>
        <w:rPr>
          <w:rFonts w:ascii="Times New Roman" w:hAnsi="Times New Roman" w:cs="Times New Roman" w:eastAsia="Times New Roman" w:hint="default"/>
        </w:rPr>
        <w:t>5,300,000.00</w:t>
      </w:r>
      <w:r>
        <w:rPr/>
        <w:t>元。</w:t>
      </w:r>
    </w:p>
    <w:p>
      <w:pPr>
        <w:spacing w:line="240" w:lineRule="auto" w:before="1"/>
        <w:rPr>
          <w:rFonts w:ascii="宋体" w:hAnsi="宋体" w:cs="宋体" w:eastAsia="宋体" w:hint="default"/>
          <w:sz w:val="22"/>
          <w:szCs w:val="22"/>
        </w:rPr>
      </w:pPr>
    </w:p>
    <w:p>
      <w:pPr>
        <w:spacing w:line="544" w:lineRule="auto" w:before="0"/>
        <w:ind w:left="1133" w:right="5373" w:firstLine="0"/>
        <w:jc w:val="left"/>
        <w:rPr>
          <w:rFonts w:ascii="宋体" w:hAnsi="宋体" w:cs="宋体" w:eastAsia="宋体" w:hint="default"/>
          <w:sz w:val="21"/>
          <w:szCs w:val="21"/>
        </w:rPr>
      </w:pPr>
      <w:bookmarkStart w:name="75、所有者权益变动表项目注释" w:id="384"/>
      <w:bookmarkEnd w:id="384"/>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85"/>
      <w:bookmarkEnd w:id="385"/>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35,106,876.16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19,150,879.38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4,194,042.59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58,451,798.13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77、外币货币性项目" w:id="386"/>
      <w:bookmarkEnd w:id="386"/>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87"/>
      <w:bookmarkEnd w:id="38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23.18</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0"/>
        <w:jc w:val="left"/>
        <w:rPr>
          <w:b w:val="0"/>
          <w:bCs w:val="0"/>
        </w:rPr>
      </w:pPr>
      <w:bookmarkStart w:name="（2）境外经营实体说明，包括对于重要的境外经营实体，应披露其境外主要经营地、记账" w:id="388"/>
      <w:bookmarkEnd w:id="38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8、套期" w:id="389"/>
      <w:bookmarkEnd w:id="389"/>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79、其他" w:id="390"/>
      <w:bookmarkEnd w:id="390"/>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1"/>
      <w:bookmarkEnd w:id="391"/>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2"/>
      <w:bookmarkEnd w:id="3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93"/>
      <w:bookmarkEnd w:id="393"/>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94"/>
      <w:bookmarkEnd w:id="394"/>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ind w:right="6073"/>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95"/>
      <w:bookmarkEnd w:id="395"/>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left="1134" w:right="0"/>
        <w:jc w:val="both"/>
        <w:rPr>
          <w:b w:val="0"/>
          <w:bCs w:val="0"/>
        </w:rPr>
      </w:pPr>
      <w:bookmarkStart w:name="（4）购买日之前持有的股权按照公允价值重新计量产生的利得或损失" w:id="396"/>
      <w:bookmarkEnd w:id="396"/>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both"/>
      </w:pPr>
      <w:r>
        <w:rPr/>
        <w:t>是否存在通过多次交易分步实现企业合并且在报告期内取得控制权的交易</w:t>
      </w:r>
    </w:p>
    <w:p>
      <w:pPr>
        <w:pStyle w:val="BodyText"/>
        <w:spacing w:line="240" w:lineRule="auto" w:before="117"/>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397"/>
      <w:bookmarkEnd w:id="397"/>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98"/>
      <w:bookmarkEnd w:id="398"/>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99"/>
      <w:bookmarkEnd w:id="399"/>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00"/>
      <w:bookmarkEnd w:id="400"/>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合并成本" w:id="401"/>
      <w:bookmarkEnd w:id="401"/>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after="0" w:line="36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合并日被合并方资产、负债的账面价值" w:id="402"/>
      <w:bookmarkEnd w:id="402"/>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left="1134"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left="1134" w:right="0"/>
        <w:jc w:val="left"/>
        <w:rPr>
          <w:b w:val="0"/>
          <w:bCs w:val="0"/>
        </w:rPr>
      </w:pPr>
      <w:bookmarkStart w:name="3、反向购买" w:id="403"/>
      <w:bookmarkEnd w:id="40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left="1134" w:right="0"/>
        <w:jc w:val="left"/>
        <w:rPr>
          <w:b w:val="0"/>
          <w:bCs w:val="0"/>
        </w:rPr>
      </w:pPr>
      <w:bookmarkStart w:name="4、处置子公司" w:id="404"/>
      <w:bookmarkEnd w:id="40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05"/>
      <w:bookmarkEnd w:id="40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6、其他" w:id="406"/>
      <w:bookmarkEnd w:id="40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7"/>
      <w:bookmarkEnd w:id="407"/>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8"/>
      <w:bookmarkEnd w:id="40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0"/>
        <w:jc w:val="left"/>
        <w:rPr>
          <w:b w:val="0"/>
          <w:bCs w:val="0"/>
        </w:rPr>
      </w:pPr>
      <w:bookmarkStart w:name="（1）企业集团的构成" w:id="409"/>
      <w:bookmarkEnd w:id="40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4" w:right="7692"/>
        <w:jc w:val="left"/>
      </w:pPr>
      <w:r>
        <w:rPr/>
        <w:t>确定公司是代理人还是委托人的依据： 其他说明：</w:t>
      </w:r>
    </w:p>
    <w:p>
      <w:pPr>
        <w:spacing w:after="0" w:line="357"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重要的非全资子公司" w:id="410"/>
      <w:bookmarkEnd w:id="41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3）重要非全资子公司的主要财务信息" w:id="411"/>
      <w:bookmarkEnd w:id="41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使用企业集团资产和清偿企业集团债务的重大限制" w:id="412"/>
      <w:bookmarkEnd w:id="41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413"/>
      <w:bookmarkEnd w:id="41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414"/>
      <w:bookmarkEnd w:id="41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所有者权益份额发生变化的情况说明" w:id="415"/>
      <w:bookmarkEnd w:id="41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交易对于少数股东权益及归属于母公司所有者权益的影响" w:id="416"/>
      <w:bookmarkEnd w:id="41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417"/>
      <w:bookmarkEnd w:id="41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18"/>
      <w:bookmarkEnd w:id="41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2734"/>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0" w:right="0"/>
              <w:jc w:val="left"/>
              <w:rPr>
                <w:rFonts w:ascii="宋体" w:hAnsi="宋体" w:cs="宋体" w:eastAsia="宋体" w:hint="default"/>
                <w:sz w:val="18"/>
                <w:szCs w:val="18"/>
              </w:rPr>
            </w:pPr>
            <w:r>
              <w:rPr>
                <w:rFonts w:ascii="宋体" w:hAnsi="宋体" w:cs="宋体" w:eastAsia="宋体" w:hint="default"/>
                <w:sz w:val="18"/>
                <w:szCs w:val="18"/>
              </w:rPr>
              <w:t>合营企业或联营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对合营企业或联</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sz w:val="18"/>
                <w:szCs w:val="18"/>
              </w:rPr>
              <w:t>企业名称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8" w:right="47" w:hanging="180"/>
              <w:jc w:val="left"/>
              <w:rPr>
                <w:rFonts w:ascii="宋体" w:hAnsi="宋体" w:cs="宋体" w:eastAsia="宋体" w:hint="default"/>
                <w:sz w:val="18"/>
                <w:szCs w:val="18"/>
              </w:rPr>
            </w:pPr>
            <w:r>
              <w:rPr>
                <w:rFonts w:ascii="宋体" w:hAnsi="宋体" w:cs="宋体" w:eastAsia="宋体" w:hint="default"/>
                <w:sz w:val="18"/>
                <w:szCs w:val="18"/>
              </w:rPr>
              <w:t>营企业投资的会 计处理方法</w:t>
            </w:r>
          </w:p>
        </w:tc>
      </w:tr>
    </w:tbl>
    <w:p>
      <w:pPr>
        <w:pStyle w:val="BodyText"/>
        <w:spacing w:line="240" w:lineRule="auto" w:before="51"/>
        <w:ind w:left="1134" w:right="0"/>
        <w:jc w:val="left"/>
      </w:pPr>
      <w:r>
        <w:rPr/>
        <w:t>在合营企业或联营企业的持股比例不同于表决权比例的说明：</w:t>
      </w:r>
    </w:p>
    <w:p>
      <w:pPr>
        <w:pStyle w:val="BodyText"/>
        <w:spacing w:line="240" w:lineRule="auto" w:before="117"/>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left="1134" w:right="0"/>
        <w:jc w:val="left"/>
        <w:rPr>
          <w:b w:val="0"/>
          <w:bCs w:val="0"/>
        </w:rPr>
      </w:pPr>
      <w:bookmarkStart w:name="（2）重要合营企业的主要财务信息" w:id="419"/>
      <w:bookmarkEnd w:id="41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420"/>
      <w:bookmarkEnd w:id="420"/>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421"/>
      <w:bookmarkEnd w:id="421"/>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422"/>
      <w:bookmarkEnd w:id="42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423"/>
      <w:bookmarkEnd w:id="423"/>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7）与合营企业投资相关的未确认承诺" w:id="424"/>
      <w:bookmarkEnd w:id="424"/>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425"/>
      <w:bookmarkEnd w:id="425"/>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26"/>
      <w:bookmarkEnd w:id="42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427"/>
      <w:bookmarkEnd w:id="42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6、其他" w:id="428"/>
      <w:bookmarkEnd w:id="428"/>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134" w:right="0"/>
        <w:jc w:val="left"/>
        <w:rPr>
          <w:b w:val="0"/>
          <w:bCs w:val="0"/>
        </w:rPr>
      </w:pPr>
      <w:bookmarkStart w:name="十、与金融工具相关的风险" w:id="429"/>
      <w:bookmarkEnd w:id="429"/>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left="1134"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7"/>
        <w:ind w:right="0" w:firstLine="420"/>
        <w:jc w:val="left"/>
      </w:pPr>
      <w:r>
        <w:rPr/>
        <w:t>本公司在日常活动中面临各种与金融工具相关的风险，主要包括信用风险、流动风险及市场风险。管理层已审议并批 准管理这些风险的政策，概括如下。</w:t>
      </w:r>
    </w:p>
    <w:p>
      <w:pPr>
        <w:pStyle w:val="BodyText"/>
        <w:spacing w:line="300" w:lineRule="auto" w:before="19"/>
        <w:ind w:left="1553" w:right="385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w:t>
      </w:r>
      <w:r>
        <w:rPr>
          <w:w w:val="99"/>
        </w:rPr>
        <w:t> </w:t>
      </w:r>
      <w:r>
        <w:rPr/>
        <w:t>信用风险，是指金融工具的一方不能履行义务，造成另一方发生财务损失的风险。</w:t>
      </w:r>
    </w:p>
    <w:p>
      <w:pPr>
        <w:pStyle w:val="BodyText"/>
        <w:spacing w:line="240" w:lineRule="auto" w:before="31"/>
        <w:ind w:left="1553" w:right="0"/>
        <w:jc w:val="left"/>
      </w:pPr>
      <w:r>
        <w:rPr/>
        <w:t>本公司的信用风险主要来自银行存款和应收款项。为控制上述相关风险，本公司分别采取了以下措施。</w:t>
      </w:r>
    </w:p>
    <w:p>
      <w:pPr>
        <w:pStyle w:val="BodyText"/>
        <w:spacing w:line="309" w:lineRule="auto" w:before="76"/>
        <w:ind w:left="1553" w:right="45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应收款项</w:t>
      </w:r>
    </w:p>
    <w:p>
      <w:pPr>
        <w:pStyle w:val="BodyText"/>
        <w:spacing w:line="316" w:lineRule="auto" w:before="5"/>
        <w:ind w:right="0" w:firstLine="420"/>
        <w:jc w:val="left"/>
      </w:pPr>
      <w:r>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240" w:lineRule="auto" w:before="19"/>
        <w:ind w:left="1553" w:right="0"/>
        <w:jc w:val="left"/>
      </w:pPr>
      <w:r>
        <w:rPr/>
        <w:t>由于本公司的应收账款风险点分布于多个合作方和多个客户，截至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21.32%(2014</w:t>
      </w:r>
      <w:r>
        <w:rPr/>
        <w:t>年</w:t>
      </w:r>
    </w:p>
    <w:p>
      <w:pPr>
        <w:pStyle w:val="BodyText"/>
        <w:spacing w:line="240" w:lineRule="auto" w:before="63"/>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16.52%)</w:t>
      </w:r>
      <w:r>
        <w:rPr/>
        <w:t>源于余额前五名客户，本公司不存在重大的信用集中风险。</w:t>
      </w:r>
    </w:p>
    <w:p>
      <w:pPr>
        <w:pStyle w:val="BodyText"/>
        <w:spacing w:line="240" w:lineRule="auto" w:before="63"/>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本公司的应收款项中未逾期且未减值的金额，以及虽已逾期但未减值的金额和逾期账龄分析如下：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420"/>
        <w:gridCol w:w="1666"/>
        <w:gridCol w:w="1419"/>
        <w:gridCol w:w="1274"/>
        <w:gridCol w:w="1134"/>
        <w:gridCol w:w="1611"/>
      </w:tblGrid>
      <w:tr>
        <w:trPr>
          <w:trHeight w:val="347" w:hRule="exact"/>
        </w:trPr>
        <w:tc>
          <w:tcPr>
            <w:tcW w:w="1420" w:type="dxa"/>
            <w:vMerge w:val="restart"/>
            <w:tcBorders>
              <w:top w:val="single" w:sz="6" w:space="0" w:color="000000"/>
              <w:left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04"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420" w:type="dxa"/>
            <w:vMerge/>
            <w:tcBorders>
              <w:left w:val="single" w:sz="6" w:space="0" w:color="000000"/>
              <w:right w:val="single" w:sz="6" w:space="0" w:color="000000"/>
            </w:tcBorders>
          </w:tcPr>
          <w:p>
            <w:pPr/>
          </w:p>
        </w:tc>
        <w:tc>
          <w:tcPr>
            <w:tcW w:w="1666" w:type="dxa"/>
            <w:vMerge w:val="restart"/>
            <w:tcBorders>
              <w:top w:val="single" w:sz="6" w:space="0" w:color="000000"/>
              <w:left w:val="single" w:sz="6" w:space="0" w:color="000000"/>
              <w:right w:val="single" w:sz="6" w:space="0" w:color="000000"/>
            </w:tcBorders>
          </w:tcPr>
          <w:p>
            <w:pPr>
              <w:pStyle w:val="TableParagraph"/>
              <w:spacing w:line="240" w:lineRule="auto" w:before="21"/>
              <w:ind w:left="285"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8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611" w:type="dxa"/>
            <w:vMerge w:val="restart"/>
            <w:tcBorders>
              <w:top w:val="single" w:sz="6" w:space="0" w:color="000000"/>
              <w:left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7" w:hRule="exact"/>
        </w:trPr>
        <w:tc>
          <w:tcPr>
            <w:tcW w:w="1420" w:type="dxa"/>
            <w:vMerge/>
            <w:tcBorders>
              <w:left w:val="single" w:sz="6" w:space="0" w:color="000000"/>
              <w:bottom w:val="single" w:sz="6" w:space="0" w:color="000000"/>
              <w:right w:val="single" w:sz="6" w:space="0" w:color="000000"/>
            </w:tcBorders>
          </w:tcPr>
          <w:p>
            <w:pPr/>
          </w:p>
        </w:tc>
        <w:tc>
          <w:tcPr>
            <w:tcW w:w="1666" w:type="dxa"/>
            <w:vMerge/>
            <w:tcBorders>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611" w:type="dxa"/>
            <w:vMerge/>
            <w:tcBorders>
              <w:left w:val="single" w:sz="6" w:space="0" w:color="000000"/>
              <w:bottom w:val="single" w:sz="6" w:space="0" w:color="000000"/>
              <w:right w:val="nil" w:sz="6" w:space="0" w:color="auto"/>
            </w:tcBorders>
          </w:tcPr>
          <w:p>
            <w:pP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78"/>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51,193,357.63</w:t>
            </w: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51,193,357.63</w:t>
            </w:r>
          </w:p>
        </w:tc>
      </w:tr>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82"/>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51,193,357.63</w:t>
            </w:r>
          </w:p>
        </w:tc>
        <w:tc>
          <w:tcPr>
            <w:tcW w:w="141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6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51,193,357.63</w:t>
            </w:r>
          </w:p>
        </w:tc>
      </w:tr>
    </w:tbl>
    <w:p>
      <w:pPr>
        <w:pStyle w:val="BodyText"/>
        <w:spacing w:line="240" w:lineRule="auto" w:before="10"/>
        <w:ind w:left="155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1378"/>
        <w:gridCol w:w="7146"/>
      </w:tblGrid>
      <w:tr>
        <w:trPr>
          <w:trHeight w:val="348"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5"/>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1378"/>
        <w:gridCol w:w="1662"/>
        <w:gridCol w:w="1374"/>
        <w:gridCol w:w="1243"/>
        <w:gridCol w:w="1284"/>
        <w:gridCol w:w="1582"/>
      </w:tblGrid>
      <w:tr>
        <w:trPr>
          <w:trHeight w:val="347" w:hRule="exact"/>
        </w:trPr>
        <w:tc>
          <w:tcPr>
            <w:tcW w:w="1378" w:type="dxa"/>
            <w:vMerge w:val="restart"/>
            <w:tcBorders>
              <w:top w:val="single" w:sz="6" w:space="0" w:color="000000"/>
              <w:left w:val="single" w:sz="6" w:space="0" w:color="000000"/>
              <w:right w:val="single" w:sz="6" w:space="0" w:color="000000"/>
            </w:tcBorders>
          </w:tcPr>
          <w:p>
            <w:pPr/>
          </w:p>
        </w:tc>
        <w:tc>
          <w:tcPr>
            <w:tcW w:w="1662" w:type="dxa"/>
            <w:vMerge w:val="restart"/>
            <w:tcBorders>
              <w:top w:val="single" w:sz="6" w:space="0" w:color="000000"/>
              <w:left w:val="single" w:sz="6" w:space="0" w:color="000000"/>
              <w:right w:val="single" w:sz="6" w:space="0" w:color="000000"/>
            </w:tcBorders>
          </w:tcPr>
          <w:p>
            <w:pPr>
              <w:pStyle w:val="TableParagraph"/>
              <w:spacing w:line="240" w:lineRule="auto" w:before="21"/>
              <w:ind w:left="284"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9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582" w:type="dxa"/>
            <w:vMerge w:val="restart"/>
            <w:tcBorders>
              <w:top w:val="single" w:sz="6" w:space="0" w:color="000000"/>
              <w:left w:val="single" w:sz="6"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7" w:hRule="exact"/>
        </w:trPr>
        <w:tc>
          <w:tcPr>
            <w:tcW w:w="1378" w:type="dxa"/>
            <w:vMerge/>
            <w:tcBorders>
              <w:left w:val="single" w:sz="6" w:space="0" w:color="000000"/>
              <w:bottom w:val="single" w:sz="6" w:space="0" w:color="000000"/>
              <w:right w:val="single" w:sz="6" w:space="0" w:color="000000"/>
            </w:tcBorders>
          </w:tcPr>
          <w:p>
            <w:pPr/>
          </w:p>
        </w:tc>
        <w:tc>
          <w:tcPr>
            <w:tcW w:w="1662" w:type="dxa"/>
            <w:vMerge/>
            <w:tcBorders>
              <w:left w:val="single" w:sz="6" w:space="0" w:color="000000"/>
              <w:bottom w:val="single" w:sz="6" w:space="0" w:color="000000"/>
              <w:right w:val="single" w:sz="6" w:space="0" w:color="000000"/>
            </w:tcBorders>
          </w:tcPr>
          <w:p>
            <w:pPr/>
          </w:p>
        </w:tc>
        <w:tc>
          <w:tcPr>
            <w:tcW w:w="1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582" w:type="dxa"/>
            <w:vMerge/>
            <w:tcBorders>
              <w:left w:val="single" w:sz="6" w:space="0" w:color="000000"/>
              <w:bottom w:val="single" w:sz="6" w:space="0" w:color="000000"/>
              <w:right w:val="nil" w:sz="6" w:space="0" w:color="auto"/>
            </w:tcBorders>
          </w:tcPr>
          <w:p>
            <w:pPr/>
          </w:p>
        </w:tc>
      </w:tr>
      <w:tr>
        <w:trPr>
          <w:trHeight w:val="348"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36"/>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72,267,849.25</w:t>
            </w:r>
          </w:p>
        </w:tc>
        <w:tc>
          <w:tcPr>
            <w:tcW w:w="1374"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72,267,849.25</w:t>
            </w:r>
          </w:p>
        </w:tc>
      </w:tr>
      <w:tr>
        <w:trPr>
          <w:trHeight w:val="347" w:hRule="exact"/>
        </w:trPr>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64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72,267,849.25</w:t>
            </w:r>
          </w:p>
        </w:tc>
        <w:tc>
          <w:tcPr>
            <w:tcW w:w="1374" w:type="dxa"/>
            <w:tcBorders>
              <w:top w:val="single" w:sz="6" w:space="0" w:color="000000"/>
              <w:left w:val="single" w:sz="6" w:space="0" w:color="000000"/>
              <w:bottom w:val="single" w:sz="6" w:space="0" w:color="000000"/>
              <w:right w:val="single" w:sz="6" w:space="0" w:color="000000"/>
            </w:tcBorders>
          </w:tcPr>
          <w:p>
            <w:pPr/>
          </w:p>
        </w:tc>
        <w:tc>
          <w:tcPr>
            <w:tcW w:w="1243"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72,267,849.25</w:t>
            </w:r>
          </w:p>
        </w:tc>
      </w:tr>
    </w:tbl>
    <w:p>
      <w:pPr>
        <w:pStyle w:val="BodyText"/>
        <w:spacing w:line="240" w:lineRule="auto" w:before="10"/>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单项计提减值的应收款项情况见本财务报表附注合并财务报表项目注释之应收款项说明。</w:t>
      </w:r>
    </w:p>
    <w:p>
      <w:pPr>
        <w:pStyle w:val="BodyText"/>
        <w:spacing w:line="300" w:lineRule="auto" w:before="63"/>
        <w:ind w:left="1553" w:right="1118"/>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r>
        <w:rPr>
          <w:w w:val="99"/>
        </w:rPr>
        <w:t> </w:t>
      </w:r>
      <w:r>
        <w:rPr/>
        <w:t>流动风险，是指本公司在履行以交付现金或其他金融资产的方式结算的义务时发生资金短缺的风险。流动风险可能源</w:t>
      </w:r>
    </w:p>
    <w:p>
      <w:pPr>
        <w:pStyle w:val="BodyText"/>
        <w:spacing w:line="316" w:lineRule="auto" w:before="31"/>
        <w:ind w:right="0"/>
        <w:jc w:val="left"/>
      </w:pPr>
      <w:r>
        <w:rPr>
          <w:spacing w:val="-2"/>
        </w:rPr>
        <w:t>于无法尽快以公允价值售出金融资产；或者源于对方无法偿还其合同债务；或者源于提前到期的债务；或者源于无法产生预</w:t>
      </w:r>
      <w:r>
        <w:rPr>
          <w:spacing w:val="-66"/>
        </w:rPr>
        <w:t> </w:t>
      </w:r>
      <w:r>
        <w:rPr>
          <w:spacing w:val="-66"/>
        </w:rPr>
      </w:r>
      <w:r>
        <w:rPr/>
        <w:t>期的现金流量。</w:t>
      </w:r>
    </w:p>
    <w:p>
      <w:pPr>
        <w:pStyle w:val="BodyText"/>
        <w:spacing w:line="316" w:lineRule="auto" w:before="19"/>
        <w:ind w:right="1132" w:firstLine="420"/>
        <w:jc w:val="both"/>
      </w:pPr>
      <w:r>
        <w:rPr/>
        <w:t>为控制该项风险，本公司综合运用票据结算、银行借款等多种融资手段，并采取长、短期融资方式适当结合，优化融 </w:t>
      </w:r>
      <w:r>
        <w:rPr>
          <w:spacing w:val="-2"/>
        </w:rPr>
        <w:t>资结构的方法，保持融资持续性与灵活性之间的平衡。本公司已从多家商业银行取得银行授信额度以满足营运资金需求和资</w:t>
      </w:r>
      <w:r>
        <w:rPr>
          <w:spacing w:val="-64"/>
        </w:rPr>
        <w:t> </w:t>
      </w:r>
      <w:r>
        <w:rPr>
          <w:spacing w:val="-64"/>
        </w:rPr>
      </w:r>
      <w:r>
        <w:rPr/>
        <w:t>本开支。</w:t>
      </w:r>
    </w:p>
    <w:p>
      <w:pPr>
        <w:pStyle w:val="BodyText"/>
        <w:spacing w:line="240" w:lineRule="auto" w:before="19"/>
        <w:ind w:left="1554" w:right="0"/>
        <w:jc w:val="left"/>
      </w:pPr>
      <w:r>
        <w:rPr/>
        <w:t>金融工具按剩余到期日分类</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1419"/>
        <w:gridCol w:w="1700"/>
        <w:gridCol w:w="1702"/>
        <w:gridCol w:w="1700"/>
        <w:gridCol w:w="1559"/>
        <w:gridCol w:w="1418"/>
      </w:tblGrid>
      <w:tr>
        <w:trPr>
          <w:trHeight w:val="347" w:hRule="exact"/>
        </w:trPr>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8080"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419"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00"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56,000,000.00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57,690,133.42</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57,690,133.42</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5,448,249.79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5,448,249.79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5,448,249.79</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27,558,125.69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27,558,125.69</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27,558,125.69</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85,825.97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85,825.97</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85,825.97</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2,360,918.33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2,360,918.33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2,360,918.33</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91,453,119.78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93,143,253.20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91,453,119.78</w:t>
            </w:r>
          </w:p>
        </w:tc>
        <w:tc>
          <w:tcPr>
            <w:tcW w:w="1559"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bl>
    <w:p>
      <w:pPr>
        <w:pStyle w:val="BodyText"/>
        <w:spacing w:line="240" w:lineRule="auto" w:before="10"/>
        <w:ind w:left="155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1499"/>
        <w:gridCol w:w="1686"/>
        <w:gridCol w:w="1686"/>
        <w:gridCol w:w="1686"/>
        <w:gridCol w:w="1476"/>
        <w:gridCol w:w="1465"/>
      </w:tblGrid>
      <w:tr>
        <w:trPr>
          <w:trHeight w:val="347" w:hRule="exact"/>
        </w:trPr>
        <w:tc>
          <w:tcPr>
            <w:tcW w:w="1499" w:type="dxa"/>
            <w:vMerge w:val="restart"/>
            <w:tcBorders>
              <w:top w:val="single" w:sz="6" w:space="0" w:color="000000"/>
              <w:left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8000"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8" w:hRule="exact"/>
        </w:trPr>
        <w:tc>
          <w:tcPr>
            <w:tcW w:w="1499"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4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4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117,100,000.00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120,649,978.08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120,649,978.08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17,298,429.75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17,298,429.75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17,298,429.75</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35,198,874.93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35,198,874.93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35,198,874.93</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230,885.48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230,885.48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230,885.48</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471,337.76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471,337.76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471,337.76</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170,299,527.92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173,849,506.00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170,299,527.92</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nil" w:sz="6" w:space="0" w:color="auto"/>
            </w:tcBorders>
          </w:tcPr>
          <w:p>
            <w:pPr/>
          </w:p>
        </w:tc>
      </w:tr>
    </w:tbl>
    <w:p>
      <w:pPr>
        <w:pStyle w:val="BodyText"/>
        <w:spacing w:line="300" w:lineRule="auto" w:before="10"/>
        <w:ind w:left="1553" w:right="11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市场风险</w:t>
      </w:r>
      <w:r>
        <w:rPr>
          <w:w w:val="99"/>
        </w:rPr>
        <w:t> </w:t>
      </w:r>
      <w:r>
        <w:rPr/>
        <w:t>市场风险，是指金融工具的公允价值或未来现金流量因市场价格变动而发生波动的风险。市场风险主要包括利率风险</w:t>
      </w:r>
    </w:p>
    <w:p>
      <w:pPr>
        <w:pStyle w:val="BodyText"/>
        <w:spacing w:line="240" w:lineRule="auto" w:before="31"/>
        <w:ind w:right="0"/>
        <w:jc w:val="left"/>
      </w:pPr>
      <w:r>
        <w:rPr/>
        <w:t>和外汇风险。</w:t>
      </w:r>
    </w:p>
    <w:p>
      <w:pPr>
        <w:pStyle w:val="BodyText"/>
        <w:spacing w:line="300" w:lineRule="auto" w:before="76"/>
        <w:ind w:left="1553"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利率风险 利率风险，是指金融工具的公允价值或未来现金流量因市场利率变动而发生波动的风险。本公司面临的市场利率变动</w:t>
      </w:r>
    </w:p>
    <w:p>
      <w:pPr>
        <w:pStyle w:val="BodyText"/>
        <w:spacing w:line="240" w:lineRule="auto" w:before="32"/>
        <w:ind w:right="0"/>
        <w:jc w:val="left"/>
      </w:pPr>
      <w:r>
        <w:rPr/>
        <w:t>的风险主要与本公司以浮动利率计息的借款有关。</w:t>
      </w:r>
    </w:p>
    <w:p>
      <w:pPr>
        <w:pStyle w:val="BodyText"/>
        <w:spacing w:line="300" w:lineRule="auto" w:before="76"/>
        <w:ind w:right="1108" w:firstLine="420"/>
        <w:jc w:val="both"/>
      </w:pPr>
      <w:r>
        <w:rPr>
          <w:spacing w:val="12"/>
        </w:rPr>
        <w:t>截至</w:t>
      </w:r>
      <w:r>
        <w:rPr>
          <w:spacing w:val="-6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1"/>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w:t>
      </w:r>
      <w:r>
        <w:rPr>
          <w:spacing w:val="-67"/>
        </w:rPr>
        <w:t> </w:t>
      </w:r>
      <w:r>
        <w:rPr/>
        <w:t>，</w:t>
      </w:r>
      <w:r>
        <w:rPr>
          <w:spacing w:val="-67"/>
        </w:rPr>
        <w:t> </w:t>
      </w:r>
      <w:r>
        <w:rPr/>
        <w:t>本</w:t>
      </w:r>
      <w:r>
        <w:rPr>
          <w:spacing w:val="-67"/>
        </w:rPr>
        <w:t> </w:t>
      </w:r>
      <w:r>
        <w:rPr/>
        <w:t>公</w:t>
      </w:r>
      <w:r>
        <w:rPr>
          <w:spacing w:val="-65"/>
        </w:rPr>
        <w:t> </w:t>
      </w:r>
      <w:r>
        <w:rPr/>
        <w:t>司</w:t>
      </w:r>
      <w:r>
        <w:rPr>
          <w:spacing w:val="-67"/>
        </w:rPr>
        <w:t> </w:t>
      </w:r>
      <w:r>
        <w:rPr/>
        <w:t>以</w:t>
      </w:r>
      <w:r>
        <w:rPr>
          <w:spacing w:val="-67"/>
        </w:rPr>
        <w:t> </w:t>
      </w:r>
      <w:r>
        <w:rPr/>
        <w:t>浮</w:t>
      </w:r>
      <w:r>
        <w:rPr>
          <w:spacing w:val="-67"/>
        </w:rPr>
        <w:t> </w:t>
      </w:r>
      <w:r>
        <w:rPr/>
        <w:t>动</w:t>
      </w:r>
      <w:r>
        <w:rPr>
          <w:spacing w:val="-67"/>
        </w:rPr>
        <w:t> </w:t>
      </w:r>
      <w:r>
        <w:rPr/>
        <w:t>利</w:t>
      </w:r>
      <w:r>
        <w:rPr>
          <w:spacing w:val="-67"/>
        </w:rPr>
        <w:t> </w:t>
      </w:r>
      <w:r>
        <w:rPr/>
        <w:t>率</w:t>
      </w:r>
      <w:r>
        <w:rPr>
          <w:spacing w:val="-65"/>
        </w:rPr>
        <w:t> </w:t>
      </w:r>
      <w:r>
        <w:rPr/>
        <w:t>计</w:t>
      </w:r>
      <w:r>
        <w:rPr>
          <w:spacing w:val="-67"/>
        </w:rPr>
        <w:t> </w:t>
      </w:r>
      <w:r>
        <w:rPr/>
        <w:t>息</w:t>
      </w:r>
      <w:r>
        <w:rPr>
          <w:spacing w:val="-67"/>
        </w:rPr>
        <w:t> </w:t>
      </w:r>
      <w:r>
        <w:rPr/>
        <w:t>的</w:t>
      </w:r>
      <w:r>
        <w:rPr>
          <w:spacing w:val="-67"/>
        </w:rPr>
        <w:t> </w:t>
      </w:r>
      <w:r>
        <w:rPr/>
        <w:t>银</w:t>
      </w:r>
      <w:r>
        <w:rPr>
          <w:spacing w:val="-67"/>
        </w:rPr>
        <w:t> </w:t>
      </w:r>
      <w:r>
        <w:rPr/>
        <w:t>行</w:t>
      </w:r>
      <w:r>
        <w:rPr>
          <w:spacing w:val="-67"/>
        </w:rPr>
        <w:t> </w:t>
      </w:r>
      <w:r>
        <w:rPr/>
        <w:t>借</w:t>
      </w:r>
      <w:r>
        <w:rPr>
          <w:spacing w:val="-65"/>
        </w:rPr>
        <w:t> </w:t>
      </w:r>
      <w:r>
        <w:rPr/>
        <w:t>款</w:t>
      </w:r>
      <w:r>
        <w:rPr>
          <w:spacing w:val="-67"/>
        </w:rPr>
        <w:t> </w:t>
      </w:r>
      <w:r>
        <w:rPr/>
        <w:t>人</w:t>
      </w:r>
      <w:r>
        <w:rPr>
          <w:spacing w:val="-67"/>
        </w:rPr>
        <w:t> </w:t>
      </w:r>
      <w:r>
        <w:rPr/>
        <w:t>民</w:t>
      </w:r>
      <w:r>
        <w:rPr>
          <w:spacing w:val="-67"/>
        </w:rPr>
        <w:t> </w:t>
      </w:r>
      <w:r>
        <w:rPr/>
        <w:t>币</w:t>
      </w:r>
      <w:r>
        <w:rPr>
          <w:spacing w:val="-62"/>
        </w:rPr>
        <w:t> </w:t>
      </w:r>
      <w:r>
        <w:rPr>
          <w:rFonts w:ascii="Times New Roman" w:hAnsi="Times New Roman" w:cs="Times New Roman" w:eastAsia="Times New Roman" w:hint="default"/>
        </w:rPr>
        <w:t>56,000,000.00</w:t>
      </w:r>
      <w:r>
        <w:rPr>
          <w:rFonts w:ascii="Times New Roman" w:hAnsi="Times New Roman" w:cs="Times New Roman" w:eastAsia="Times New Roman" w:hint="default"/>
          <w:spacing w:val="-20"/>
        </w:rPr>
        <w:t> </w:t>
      </w:r>
      <w:r>
        <w:rPr/>
        <w:t>元</w:t>
      </w:r>
      <w:r>
        <w:rPr>
          <w:spacing w:val="-6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66"/>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spacing w:val="12"/>
        </w:rPr>
        <w:t>日：</w:t>
      </w:r>
      <w:r>
        <w:rPr>
          <w:spacing w:val="-67"/>
        </w:rPr>
        <w:t> </w:t>
      </w:r>
      <w:r>
        <w:rPr>
          <w:spacing w:val="16"/>
        </w:rPr>
        <w:t>人民币</w:t>
      </w:r>
      <w:r>
        <w:rPr>
          <w:spacing w:val="-65"/>
        </w:rPr>
        <w:t> </w:t>
      </w:r>
      <w:r>
        <w:rPr>
          <w:rFonts w:ascii="Times New Roman" w:hAnsi="Times New Roman" w:cs="Times New Roman" w:eastAsia="Times New Roman" w:hint="default"/>
        </w:rPr>
        <w:t>104,000,000.00</w:t>
      </w:r>
      <w:r>
        <w:rPr/>
        <w:t>元</w:t>
      </w:r>
      <w:r>
        <w:rPr>
          <w:rFonts w:ascii="Times New Roman" w:hAnsi="Times New Roman" w:cs="Times New Roman" w:eastAsia="Times New Roman" w:hint="default"/>
        </w:rPr>
        <w:t>)</w:t>
      </w:r>
      <w:r>
        <w:rPr/>
        <w:t>，在其他变量不变的假设下，假定利率变动</w:t>
      </w:r>
      <w:r>
        <w:rPr>
          <w:rFonts w:ascii="Times New Roman" w:hAnsi="Times New Roman" w:cs="Times New Roman" w:eastAsia="Times New Roman" w:hint="default"/>
        </w:rPr>
        <w:t>50</w:t>
      </w:r>
      <w:r>
        <w:rPr/>
        <w:t>个基准点，不会对本公司的利润总额和股东权益产生重大的 影响。</w:t>
      </w:r>
    </w:p>
    <w:p>
      <w:pPr>
        <w:pStyle w:val="BodyText"/>
        <w:spacing w:line="240" w:lineRule="auto" w:before="31"/>
        <w:ind w:left="155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外汇风险</w:t>
      </w:r>
    </w:p>
    <w:p>
      <w:pPr>
        <w:spacing w:after="0" w:line="240" w:lineRule="auto"/>
        <w:jc w:val="left"/>
        <w:sectPr>
          <w:footerReference w:type="default" r:id="rId17"/>
          <w:pgSz w:w="11910" w:h="16840"/>
          <w:pgMar w:footer="979" w:header="747" w:top="1060" w:bottom="1160" w:left="0" w:right="0"/>
          <w:pgNumType w:start="130"/>
        </w:sectPr>
      </w:pPr>
    </w:p>
    <w:p>
      <w:pPr>
        <w:spacing w:line="240" w:lineRule="auto" w:before="12"/>
        <w:rPr>
          <w:rFonts w:ascii="宋体" w:hAnsi="宋体" w:cs="宋体" w:eastAsia="宋体" w:hint="default"/>
          <w:sz w:val="25"/>
          <w:szCs w:val="25"/>
        </w:rPr>
      </w:pPr>
    </w:p>
    <w:p>
      <w:pPr>
        <w:pStyle w:val="BodyText"/>
        <w:spacing w:line="316" w:lineRule="auto"/>
        <w:ind w:right="0" w:firstLine="420"/>
        <w:jc w:val="left"/>
      </w:pPr>
      <w:r>
        <w:rPr/>
        <w:t>外汇风险，是指金融工具的公允价值或未来现金流量因外汇汇率变动而发生波动的风险。本公司于中国内地经营，且 主要活动以人民币计价。因此，本公司所承担的外汇变动市场风险不重大。</w:t>
      </w:r>
    </w:p>
    <w:p>
      <w:pPr>
        <w:pStyle w:val="BodyText"/>
        <w:spacing w:line="240" w:lineRule="auto" w:before="19"/>
        <w:ind w:left="1553" w:right="0"/>
        <w:jc w:val="left"/>
      </w:pPr>
      <w:r>
        <w:rPr/>
        <w:t>本公司期末外币货币性资产和负债情况见本财务报表附注合并财务报表项目注释其他之外币货币性项目说明。</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430"/>
      <w:bookmarkEnd w:id="430"/>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431"/>
      <w:bookmarkEnd w:id="431"/>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持续和非持续第一层次公允价值计量项目市价的确定依据" w:id="432"/>
      <w:bookmarkEnd w:id="432"/>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3、持续和非持续第二层次公允价值计量项目，采用的估值技术和重要参数的定性及定量信" w:id="433"/>
      <w:bookmarkEnd w:id="433"/>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持续和非持续第三层次公允价值计量项目，采用的估值技术和重要参数的定性及定量信" w:id="434"/>
      <w:bookmarkEnd w:id="434"/>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5、持续的第三层次公允价值计量项目，期初与期末账面价值间的调节信息及不可观察参数" w:id="435"/>
      <w:bookmarkEnd w:id="435"/>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持续的公允价值计量项目，本期内发生各层级之间转换的，转换的原因及确定转换时点" w:id="436"/>
      <w:bookmarkEnd w:id="436"/>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本期内发生的估值技术变更及变更原因" w:id="437"/>
      <w:bookmarkEnd w:id="437"/>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不以公允价值计量的金融资产和金融负债的公允价值情况" w:id="438"/>
      <w:bookmarkEnd w:id="438"/>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39"/>
      <w:bookmarkEnd w:id="43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0"/>
      <w:bookmarkEnd w:id="44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1"/>
      <w:bookmarkEnd w:id="44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高兴控股集团有限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浙江杭州市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企业投资、管理；旅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游景点开发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38.25%</w:t>
            </w:r>
          </w:p>
        </w:tc>
      </w:tr>
    </w:tbl>
    <w:p>
      <w:pPr>
        <w:pStyle w:val="BodyText"/>
        <w:spacing w:line="357" w:lineRule="auto" w:before="51"/>
        <w:ind w:left="1554" w:right="1117" w:hanging="420"/>
        <w:jc w:val="left"/>
      </w:pPr>
      <w:r>
        <w:rPr/>
        <w:t>本企业的母公司情况的说明 </w:t>
      </w:r>
      <w:r>
        <w:rPr>
          <w:spacing w:val="-1"/>
        </w:rPr>
        <w:t>高兴控股集团有限公司系由杭州高新塑料厂、楼永娣共同投资设立，于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18</w:t>
      </w:r>
      <w:r>
        <w:rPr>
          <w:spacing w:val="-1"/>
        </w:rPr>
        <w:t>日在杭州市工商行政管理局余杭分</w:t>
      </w:r>
    </w:p>
    <w:p>
      <w:pPr>
        <w:pStyle w:val="BodyText"/>
        <w:spacing w:line="214" w:lineRule="exact" w:before="0"/>
        <w:ind w:left="1134" w:right="0"/>
        <w:jc w:val="left"/>
      </w:pPr>
      <w:r>
        <w:rPr/>
        <w:t>局登记注册，取得注册号为</w:t>
      </w:r>
      <w:r>
        <w:rPr>
          <w:rFonts w:ascii="Times New Roman" w:hAnsi="Times New Roman" w:cs="Times New Roman" w:eastAsia="Times New Roman" w:hint="default"/>
        </w:rPr>
        <w:t>330184000199364</w:t>
      </w:r>
      <w:r>
        <w:rPr/>
        <w:t>的营业执照。现有注册资本</w:t>
      </w:r>
      <w:r>
        <w:rPr>
          <w:rFonts w:ascii="Times New Roman" w:hAnsi="Times New Roman" w:cs="Times New Roman" w:eastAsia="Times New Roman" w:hint="default"/>
        </w:rPr>
        <w:t>5,000</w:t>
      </w:r>
      <w:r>
        <w:rPr/>
        <w:t>万元，其中杭州高新塑料厂出资</w:t>
      </w:r>
      <w:r>
        <w:rPr>
          <w:rFonts w:ascii="Times New Roman" w:hAnsi="Times New Roman" w:cs="Times New Roman" w:eastAsia="Times New Roman" w:hint="default"/>
        </w:rPr>
        <w:t>4,500</w:t>
      </w:r>
      <w:r>
        <w:rPr/>
        <w:t>万元，占</w:t>
      </w:r>
    </w:p>
    <w:p>
      <w:pPr>
        <w:spacing w:after="0" w:line="214"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0"/>
        <w:jc w:val="left"/>
      </w:pPr>
      <w:r>
        <w:rPr/>
        <w:t>注册资本的</w:t>
      </w:r>
      <w:r>
        <w:rPr>
          <w:rFonts w:ascii="Times New Roman" w:hAnsi="Times New Roman" w:cs="Times New Roman" w:eastAsia="Times New Roman" w:hint="default"/>
        </w:rPr>
        <w:t>90%</w:t>
      </w:r>
      <w:r>
        <w:rPr/>
        <w:t>；楼永娣出资</w:t>
      </w:r>
      <w:r>
        <w:rPr>
          <w:rFonts w:ascii="Times New Roman" w:hAnsi="Times New Roman" w:cs="Times New Roman" w:eastAsia="Times New Roman" w:hint="default"/>
        </w:rPr>
        <w:t>500</w:t>
      </w:r>
      <w:r>
        <w:rPr/>
        <w:t>万元，占注册资本的</w:t>
      </w:r>
      <w:r>
        <w:rPr>
          <w:rFonts w:ascii="Times New Roman" w:hAnsi="Times New Roman" w:cs="Times New Roman" w:eastAsia="Times New Roman" w:hint="default"/>
        </w:rPr>
        <w:t>10%</w:t>
      </w:r>
      <w:r>
        <w:rPr/>
        <w:t>。经营范围：企业投资、管理；旅游景点开发。（上述经营范围</w:t>
      </w:r>
      <w:r>
        <w:rPr>
          <w:spacing w:val="-33"/>
        </w:rPr>
        <w:t> </w:t>
      </w:r>
      <w:r>
        <w:rPr>
          <w:spacing w:val="-33"/>
        </w:rPr>
      </w:r>
      <w:r>
        <w:rPr/>
        <w:t>不含国家法律法规规定禁止、限制和许可经营的项目。）</w:t>
      </w:r>
    </w:p>
    <w:p>
      <w:pPr>
        <w:pStyle w:val="BodyText"/>
        <w:spacing w:line="360" w:lineRule="auto" w:before="72"/>
        <w:ind w:right="8413"/>
        <w:jc w:val="left"/>
      </w:pPr>
      <w:r>
        <w:rPr/>
        <w:t>本企业最终控制方是高长虹。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本企业的子公司情况" w:id="442"/>
      <w:bookmarkEnd w:id="44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本企业子公司的情况详见附注。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443"/>
      <w:bookmarkEnd w:id="44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293"/>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444"/>
      <w:bookmarkEnd w:id="44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高长虹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楼永娣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实际控制人之直系亲属</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445"/>
      <w:bookmarkEnd w:id="44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446"/>
      <w:bookmarkEnd w:id="44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购销商品、提供和接受劳务的关联交易说明</w:t>
      </w:r>
    </w:p>
    <w:p>
      <w:pPr>
        <w:pStyle w:val="Heading4"/>
        <w:spacing w:line="240"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无采购商品和接受劳务的关联交易。</w:t>
      </w:r>
    </w:p>
    <w:p>
      <w:pPr>
        <w:pStyle w:val="Heading4"/>
        <w:spacing w:line="240" w:lineRule="auto" w:before="21"/>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无出售商品和提供劳务的关联交易。</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3"/>
        <w:spacing w:line="240" w:lineRule="auto"/>
        <w:ind w:left="1134" w:right="0"/>
        <w:jc w:val="left"/>
        <w:rPr>
          <w:b w:val="0"/>
          <w:bCs w:val="0"/>
        </w:rPr>
      </w:pPr>
      <w:bookmarkStart w:name="（2）关联受托管理/承包及委托管理/出包情况" w:id="447"/>
      <w:bookmarkEnd w:id="447"/>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本公司受托管理</w:t>
      </w:r>
      <w:r>
        <w:rPr>
          <w:rFonts w:ascii="Times New Roman" w:hAnsi="Times New Roman" w:cs="Times New Roman" w:eastAsia="Times New Roman" w:hint="default"/>
        </w:rPr>
        <w:t>/</w:t>
      </w:r>
      <w:r>
        <w:rPr/>
        <w:t>承包情况表：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38" w:lineRule="auto" w:before="52"/>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3）关联租赁情况" w:id="448"/>
      <w:bookmarkEnd w:id="448"/>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7" w:right="0"/>
              <w:jc w:val="left"/>
              <w:rPr>
                <w:rFonts w:ascii="Times New Roman" w:hAnsi="Times New Roman" w:cs="Times New Roman" w:eastAsia="Times New Roman" w:hint="default"/>
                <w:sz w:val="18"/>
                <w:szCs w:val="18"/>
              </w:rPr>
            </w:pPr>
            <w:r>
              <w:rPr>
                <w:rFonts w:ascii="Times New Roman"/>
                <w:sz w:val="18"/>
              </w:rPr>
              <w:t>114,583.13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104,166.48</w:t>
            </w:r>
          </w:p>
        </w:tc>
      </w:tr>
    </w:tbl>
    <w:p>
      <w:pPr>
        <w:pStyle w:val="BodyText"/>
        <w:spacing w:line="240" w:lineRule="auto" w:before="51"/>
        <w:ind w:left="113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关联担保情况" w:id="449"/>
      <w:bookmarkEnd w:id="449"/>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高兴控股集团有限公司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高长虹、楼永娣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5）关联方资金拆借" w:id="450"/>
      <w:bookmarkEnd w:id="450"/>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2"/>
        <w:rPr>
          <w:rFonts w:ascii="宋体" w:hAnsi="宋体" w:cs="宋体" w:eastAsia="宋体" w:hint="default"/>
          <w:sz w:val="28"/>
          <w:szCs w:val="28"/>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left="1134" w:right="0"/>
        <w:jc w:val="left"/>
        <w:rPr>
          <w:b w:val="0"/>
          <w:bCs w:val="0"/>
        </w:rPr>
      </w:pPr>
      <w:bookmarkStart w:name="（6）关联方资产转让、债务重组情况" w:id="451"/>
      <w:bookmarkEnd w:id="451"/>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键管理人员报酬" w:id="452"/>
      <w:bookmarkEnd w:id="45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269.11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关联交易" w:id="453"/>
      <w:bookmarkEnd w:id="45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关联方应收应付款项" w:id="454"/>
      <w:bookmarkEnd w:id="45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收项目" w:id="455"/>
      <w:bookmarkEnd w:id="45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应付项目" w:id="456"/>
      <w:bookmarkEnd w:id="45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关联方承诺" w:id="457"/>
      <w:bookmarkEnd w:id="45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8、其他" w:id="458"/>
      <w:bookmarkEnd w:id="458"/>
      <w:r>
        <w:rPr>
          <w:b w:val="0"/>
          <w:bCs w:val="0"/>
        </w:rPr>
      </w: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7"/>
          <w:szCs w:val="27"/>
        </w:rPr>
      </w:pPr>
    </w:p>
    <w:p>
      <w:pPr>
        <w:pStyle w:val="Heading2"/>
        <w:spacing w:line="240" w:lineRule="auto"/>
        <w:ind w:left="1134" w:right="0"/>
        <w:jc w:val="left"/>
        <w:rPr>
          <w:b w:val="0"/>
          <w:bCs w:val="0"/>
        </w:rPr>
      </w:pPr>
      <w:bookmarkStart w:name="十三、股份支付" w:id="459"/>
      <w:bookmarkEnd w:id="459"/>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460"/>
      <w:bookmarkEnd w:id="460"/>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以权益结算的股份支付情况" w:id="461"/>
      <w:bookmarkEnd w:id="46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62"/>
      <w:bookmarkEnd w:id="46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63"/>
      <w:bookmarkEnd w:id="463"/>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64"/>
      <w:bookmarkEnd w:id="46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5"/>
      <w:bookmarkEnd w:id="465"/>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66"/>
      <w:bookmarkEnd w:id="46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0"/>
        <w:jc w:val="left"/>
      </w:pPr>
      <w:r>
        <w:rPr/>
        <w:t>资产负债表日存在的重要承诺</w:t>
      </w:r>
    </w:p>
    <w:p>
      <w:pPr>
        <w:pStyle w:val="Heading4"/>
        <w:spacing w:line="240" w:lineRule="auto"/>
        <w:ind w:right="0"/>
        <w:jc w:val="left"/>
      </w:pPr>
      <w:r>
        <w:rPr/>
        <w:t>本公司在资产负债表日，不存在需要披露的重大承诺事项。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2、或有事项" w:id="467"/>
      <w:bookmarkEnd w:id="46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spacing w:line="506" w:lineRule="auto" w:before="0"/>
        <w:ind w:left="1553" w:right="4873" w:hanging="420"/>
        <w:jc w:val="left"/>
        <w:rPr>
          <w:rFonts w:ascii="宋体" w:hAnsi="宋体" w:cs="宋体" w:eastAsia="宋体" w:hint="default"/>
          <w:sz w:val="21"/>
          <w:szCs w:val="21"/>
        </w:rPr>
      </w:pPr>
      <w:bookmarkStart w:name="（1）资产负债表日存在的重要或有事项" w:id="468"/>
      <w:bookmarkEnd w:id="4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本公司在资产负债表日，不存在需要披露的重大或有事项。</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bookmarkStart w:name="（2）公司没有需要披露的重要或有事项，也应予以说明" w:id="469"/>
      <w:bookmarkEnd w:id="46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862" w:firstLine="0"/>
        <w:jc w:val="left"/>
        <w:rPr>
          <w:rFonts w:ascii="宋体" w:hAnsi="宋体" w:cs="宋体" w:eastAsia="宋体" w:hint="default"/>
          <w:sz w:val="21"/>
          <w:szCs w:val="21"/>
        </w:rPr>
      </w:pPr>
      <w:bookmarkStart w:name="3、其他" w:id="470"/>
      <w:bookmarkEnd w:id="4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1"/>
      <w:bookmarkEnd w:id="471"/>
      <w:r>
        <w:rPr>
          <w:rFonts w:ascii="宋体" w:hAnsi="宋体" w:cs="宋体" w:eastAsia="宋体" w:hint="default"/>
          <w:b/>
          <w:bCs/>
          <w:spacing w:val="1"/>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利润分配情况" w:id="473"/>
      <w:bookmarkEnd w:id="47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销售退回" w:id="474"/>
      <w:bookmarkEnd w:id="47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7696" w:firstLine="0"/>
        <w:jc w:val="left"/>
        <w:rPr>
          <w:rFonts w:ascii="宋体" w:hAnsi="宋体" w:cs="宋体" w:eastAsia="宋体" w:hint="default"/>
          <w:sz w:val="21"/>
          <w:szCs w:val="21"/>
        </w:rPr>
      </w:pPr>
      <w:bookmarkStart w:name="4、其他资产负债表日后事项说明" w:id="475"/>
      <w:bookmarkEnd w:id="47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6"/>
      <w:bookmarkEnd w:id="476"/>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7"/>
      <w:bookmarkEnd w:id="47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3"/>
        <w:ind w:right="0"/>
        <w:jc w:val="left"/>
        <w:rPr>
          <w:b w:val="0"/>
          <w:bCs w:val="0"/>
        </w:rPr>
      </w:pPr>
      <w:bookmarkStart w:name="（1）追溯重述法" w:id="478"/>
      <w:bookmarkEnd w:id="478"/>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未来适用法" w:id="479"/>
      <w:bookmarkEnd w:id="479"/>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债务重组" w:id="480"/>
      <w:bookmarkEnd w:id="480"/>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3、资产置换" w:id="481"/>
      <w:bookmarkEnd w:id="481"/>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非货币性资产交换" w:id="482"/>
      <w:bookmarkEnd w:id="482"/>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2）其他资产置换" w:id="483"/>
      <w:bookmarkEnd w:id="483"/>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年金计划" w:id="484"/>
      <w:bookmarkEnd w:id="484"/>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5、终止经营" w:id="485"/>
      <w:bookmarkEnd w:id="485"/>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分部信息" w:id="486"/>
      <w:bookmarkEnd w:id="486"/>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报告分部的确定依据与会计政策" w:id="487"/>
      <w:bookmarkEnd w:id="487"/>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52" w:firstLine="420"/>
        <w:jc w:val="left"/>
      </w:pPr>
      <w:r>
        <w:rPr/>
        <w:t>公司以内部组织结构、管理要求、内部报告制度等为依据确定经营分部。公司的经营分部是指同时满足下列条件的组 成部分：</w:t>
      </w:r>
    </w:p>
    <w:p>
      <w:pPr>
        <w:pStyle w:val="BodyText"/>
        <w:spacing w:line="240" w:lineRule="auto" w:before="19"/>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该组成部分能够在日常活动中产生收入、发生费用；</w:t>
      </w:r>
    </w:p>
    <w:p>
      <w:pPr>
        <w:pStyle w:val="BodyText"/>
        <w:spacing w:line="240" w:lineRule="auto" w:before="63"/>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管理层能够定期评价该组成部分的经营成果，以决定向其配置资源、评价其业绩；</w:t>
      </w:r>
    </w:p>
    <w:p>
      <w:pPr>
        <w:spacing w:after="0" w:line="240" w:lineRule="auto"/>
        <w:jc w:val="left"/>
        <w:sectPr>
          <w:footerReference w:type="default" r:id="rId18"/>
          <w:pgSz w:w="11910" w:h="16840"/>
          <w:pgMar w:footer="979" w:header="747" w:top="1060" w:bottom="1160" w:left="0" w:right="0"/>
          <w:pgNumType w:start="136"/>
        </w:sectPr>
      </w:pPr>
    </w:p>
    <w:p>
      <w:pPr>
        <w:spacing w:line="240" w:lineRule="auto" w:before="12"/>
        <w:rPr>
          <w:rFonts w:ascii="宋体" w:hAnsi="宋体" w:cs="宋体" w:eastAsia="宋体" w:hint="default"/>
          <w:sz w:val="25"/>
          <w:szCs w:val="25"/>
        </w:rPr>
      </w:pPr>
    </w:p>
    <w:p>
      <w:pPr>
        <w:pStyle w:val="BodyText"/>
        <w:spacing w:line="300" w:lineRule="auto"/>
        <w:ind w:left="1553" w:right="241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r>
        <w:rPr>
          <w:w w:val="99"/>
        </w:rPr>
        <w:t> </w:t>
      </w:r>
      <w:r>
        <w:rPr/>
        <w:t>本公司以产品分部为基础确定报告分部，与各分部共同使用的资产、负债未在不同的分部之间分配。</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报告分部的财务信息" w:id="488"/>
      <w:bookmarkEnd w:id="488"/>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040"/>
        <w:gridCol w:w="1075"/>
        <w:gridCol w:w="1063"/>
        <w:gridCol w:w="1062"/>
        <w:gridCol w:w="1063"/>
        <w:gridCol w:w="1063"/>
        <w:gridCol w:w="1064"/>
        <w:gridCol w:w="1063"/>
        <w:gridCol w:w="1063"/>
      </w:tblGrid>
      <w:tr>
        <w:trPr>
          <w:trHeight w:val="162" w:hRule="exact"/>
        </w:trPr>
        <w:tc>
          <w:tcPr>
            <w:tcW w:w="1040"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5" w:type="dxa"/>
            <w:tcBorders>
              <w:top w:val="single" w:sz="4" w:space="0" w:color="000000"/>
              <w:left w:val="single" w:sz="4" w:space="0" w:color="000000"/>
              <w:bottom w:val="nil" w:sz="6" w:space="0" w:color="auto"/>
              <w:right w:val="single" w:sz="4" w:space="0" w:color="000000"/>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75" w:right="77"/>
              <w:jc w:val="both"/>
              <w:rPr>
                <w:rFonts w:ascii="宋体" w:hAnsi="宋体" w:cs="宋体" w:eastAsia="宋体" w:hint="default"/>
                <w:sz w:val="18"/>
                <w:szCs w:val="18"/>
              </w:rPr>
            </w:pPr>
            <w:r>
              <w:rPr>
                <w:rFonts w:ascii="宋体" w:hAnsi="宋体" w:cs="宋体" w:eastAsia="宋体" w:hint="default"/>
                <w:sz w:val="18"/>
                <w:szCs w:val="18"/>
              </w:rPr>
              <w:t>特种聚乙烯 及交联聚乙 烯电缆料</w:t>
            </w:r>
          </w:p>
        </w:tc>
        <w:tc>
          <w:tcPr>
            <w:tcW w:w="1062" w:type="dxa"/>
            <w:tcBorders>
              <w:top w:val="single" w:sz="4" w:space="0" w:color="000000"/>
              <w:left w:val="single" w:sz="4" w:space="0" w:color="000000"/>
              <w:bottom w:val="nil" w:sz="6" w:space="0" w:color="auto"/>
              <w:right w:val="single" w:sz="4" w:space="0" w:color="000000"/>
            </w:tcBorders>
            <w:shd w:val="clear" w:color="auto" w:fill="E0FFFF"/>
          </w:tcPr>
          <w:p>
            <w:pPr/>
          </w:p>
        </w:tc>
        <w:tc>
          <w:tcPr>
            <w:tcW w:w="1063" w:type="dxa"/>
            <w:vMerge w:val="restart"/>
            <w:tcBorders>
              <w:top w:val="single" w:sz="4" w:space="0" w:color="000000"/>
              <w:left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nil" w:sz="6" w:space="0" w:color="auto"/>
              <w:right w:val="single" w:sz="4" w:space="0" w:color="000000"/>
            </w:tcBorders>
            <w:shd w:val="clear" w:color="auto" w:fill="E0FFFF"/>
          </w:tcPr>
          <w:p>
            <w:pPr/>
          </w:p>
        </w:tc>
        <w:tc>
          <w:tcPr>
            <w:tcW w:w="1064" w:type="dxa"/>
            <w:tcBorders>
              <w:top w:val="single" w:sz="4" w:space="0" w:color="000000"/>
              <w:left w:val="single" w:sz="4" w:space="0" w:color="000000"/>
              <w:bottom w:val="nil" w:sz="6" w:space="0" w:color="auto"/>
              <w:right w:val="single" w:sz="4" w:space="0" w:color="000000"/>
            </w:tcBorders>
            <w:shd w:val="clear" w:color="auto" w:fill="E0FFFF"/>
          </w:tcPr>
          <w:p>
            <w:pPr/>
          </w:p>
        </w:tc>
        <w:tc>
          <w:tcPr>
            <w:tcW w:w="1063"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68"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56" w:hRule="exact"/>
        </w:trPr>
        <w:tc>
          <w:tcPr>
            <w:tcW w:w="1040" w:type="dxa"/>
            <w:vMerge/>
            <w:tcBorders>
              <w:left w:val="single" w:sz="4" w:space="0" w:color="000000"/>
              <w:right w:val="single" w:sz="9" w:space="0" w:color="E0FFFF"/>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E0FFFF"/>
          </w:tcPr>
          <w:p>
            <w:pPr>
              <w:pStyle w:val="TableParagraph"/>
              <w:spacing w:line="316" w:lineRule="auto" w:before="51"/>
              <w:ind w:left="177" w:right="77" w:hanging="90"/>
              <w:jc w:val="left"/>
              <w:rPr>
                <w:rFonts w:ascii="宋体" w:hAnsi="宋体" w:cs="宋体" w:eastAsia="宋体" w:hint="default"/>
                <w:sz w:val="18"/>
                <w:szCs w:val="18"/>
              </w:rPr>
            </w:pPr>
            <w:r>
              <w:rPr>
                <w:rFonts w:ascii="宋体" w:hAnsi="宋体" w:cs="宋体" w:eastAsia="宋体" w:hint="default"/>
                <w:sz w:val="18"/>
                <w:szCs w:val="18"/>
              </w:rPr>
              <w:t>特种聚氯乙 烯电缆料</w:t>
            </w:r>
          </w:p>
        </w:tc>
        <w:tc>
          <w:tcPr>
            <w:tcW w:w="1063" w:type="dxa"/>
            <w:vMerge/>
            <w:tcBorders>
              <w:left w:val="single" w:sz="4" w:space="0" w:color="000000"/>
              <w:right w:val="single" w:sz="4" w:space="0" w:color="000000"/>
            </w:tcBorders>
            <w:shd w:val="clear" w:color="auto" w:fill="E0FFFF"/>
          </w:tcPr>
          <w:p>
            <w:pPr/>
          </w:p>
        </w:tc>
        <w:tc>
          <w:tcPr>
            <w:tcW w:w="1062" w:type="dxa"/>
            <w:vMerge w:val="restart"/>
            <w:tcBorders>
              <w:top w:val="nil" w:sz="6" w:space="0" w:color="auto"/>
              <w:left w:val="single" w:sz="4" w:space="0" w:color="000000"/>
              <w:right w:val="single" w:sz="4" w:space="0" w:color="000000"/>
            </w:tcBorders>
            <w:shd w:val="clear" w:color="auto" w:fill="E0FFFF"/>
          </w:tcPr>
          <w:p>
            <w:pPr>
              <w:pStyle w:val="TableParagraph"/>
              <w:spacing w:line="316" w:lineRule="auto" w:before="51"/>
              <w:ind w:left="165" w:right="75" w:hanging="90"/>
              <w:jc w:val="left"/>
              <w:rPr>
                <w:rFonts w:ascii="宋体" w:hAnsi="宋体" w:cs="宋体" w:eastAsia="宋体" w:hint="default"/>
                <w:sz w:val="18"/>
                <w:szCs w:val="18"/>
              </w:rPr>
            </w:pPr>
            <w:r>
              <w:rPr>
                <w:rFonts w:ascii="宋体" w:hAnsi="宋体" w:cs="宋体" w:eastAsia="宋体" w:hint="default"/>
                <w:sz w:val="18"/>
                <w:szCs w:val="18"/>
              </w:rPr>
              <w:t>无卤低烟阻 燃电缆料</w:t>
            </w:r>
          </w:p>
        </w:tc>
        <w:tc>
          <w:tcPr>
            <w:tcW w:w="1063" w:type="dxa"/>
            <w:vMerge/>
            <w:tcBorders>
              <w:left w:val="single" w:sz="4" w:space="0" w:color="000000"/>
              <w:bottom w:val="nil" w:sz="6" w:space="0" w:color="auto"/>
              <w:right w:val="single" w:sz="4" w:space="0" w:color="000000"/>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E0FFFF"/>
          </w:tcPr>
          <w:p>
            <w:pPr>
              <w:pStyle w:val="TableParagraph"/>
              <w:spacing w:line="316"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橡塑改性弹 性体</w:t>
            </w:r>
          </w:p>
        </w:tc>
        <w:tc>
          <w:tcPr>
            <w:tcW w:w="1064" w:type="dxa"/>
            <w:vMerge w:val="restart"/>
            <w:tcBorders>
              <w:top w:val="nil" w:sz="6" w:space="0" w:color="auto"/>
              <w:left w:val="single" w:sz="4" w:space="0" w:color="000000"/>
              <w:right w:val="single" w:sz="4" w:space="0" w:color="000000"/>
            </w:tcBorders>
            <w:shd w:val="clear" w:color="auto" w:fill="E0FFFF"/>
          </w:tcPr>
          <w:p>
            <w:pPr>
              <w:pStyle w:val="TableParagraph"/>
              <w:spacing w:line="316" w:lineRule="auto" w:before="51"/>
              <w:ind w:left="165" w:right="76" w:hanging="90"/>
              <w:jc w:val="left"/>
              <w:rPr>
                <w:rFonts w:ascii="宋体" w:hAnsi="宋体" w:cs="宋体" w:eastAsia="宋体" w:hint="default"/>
                <w:sz w:val="18"/>
                <w:szCs w:val="18"/>
              </w:rPr>
            </w:pPr>
            <w:r>
              <w:rPr>
                <w:rFonts w:ascii="宋体" w:hAnsi="宋体" w:cs="宋体" w:eastAsia="宋体" w:hint="default"/>
                <w:sz w:val="18"/>
                <w:szCs w:val="18"/>
              </w:rPr>
              <w:t>通用聚氯乙 烯电缆料</w:t>
            </w:r>
          </w:p>
        </w:tc>
        <w:tc>
          <w:tcPr>
            <w:tcW w:w="1063" w:type="dxa"/>
            <w:vMerge/>
            <w:tcBorders>
              <w:left w:val="single" w:sz="10" w:space="0" w:color="E0FFFF"/>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391" w:hRule="exact"/>
        </w:trPr>
        <w:tc>
          <w:tcPr>
            <w:tcW w:w="1040" w:type="dxa"/>
            <w:vMerge/>
            <w:tcBorders>
              <w:left w:val="single" w:sz="4" w:space="0" w:color="000000"/>
              <w:right w:val="single" w:sz="9" w:space="0" w:color="E0FFFF"/>
            </w:tcBorders>
            <w:shd w:val="clear" w:color="auto" w:fill="D2D2D2"/>
          </w:tcPr>
          <w:p>
            <w:pPr/>
          </w:p>
        </w:tc>
        <w:tc>
          <w:tcPr>
            <w:tcW w:w="1075" w:type="dxa"/>
            <w:vMerge/>
            <w:tcBorders>
              <w:left w:val="single" w:sz="4" w:space="0" w:color="000000"/>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2" w:type="dxa"/>
            <w:vMerge/>
            <w:tcBorders>
              <w:left w:val="single" w:sz="4" w:space="0" w:color="000000"/>
              <w:right w:val="single" w:sz="4" w:space="0" w:color="000000"/>
            </w:tcBorders>
            <w:shd w:val="clear" w:color="auto" w:fill="E0FFFF"/>
          </w:tcPr>
          <w:p>
            <w:pPr/>
          </w:p>
        </w:tc>
        <w:tc>
          <w:tcPr>
            <w:tcW w:w="1063"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76" w:right="0"/>
              <w:jc w:val="left"/>
              <w:rPr>
                <w:rFonts w:ascii="宋体" w:hAnsi="宋体" w:cs="宋体" w:eastAsia="宋体" w:hint="default"/>
                <w:sz w:val="18"/>
                <w:szCs w:val="18"/>
              </w:rPr>
            </w:pPr>
            <w:r>
              <w:rPr>
                <w:rFonts w:ascii="宋体" w:hAnsi="宋体" w:cs="宋体" w:eastAsia="宋体" w:hint="default"/>
                <w:sz w:val="18"/>
                <w:szCs w:val="18"/>
              </w:rPr>
              <w:t>橡胶电缆料</w:t>
            </w:r>
          </w:p>
        </w:tc>
        <w:tc>
          <w:tcPr>
            <w:tcW w:w="1063"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10" w:space="0" w:color="E0FFFF"/>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56" w:hRule="exact"/>
        </w:trPr>
        <w:tc>
          <w:tcPr>
            <w:tcW w:w="1040" w:type="dxa"/>
            <w:vMerge/>
            <w:tcBorders>
              <w:left w:val="single" w:sz="4" w:space="0" w:color="000000"/>
              <w:right w:val="single" w:sz="9" w:space="0" w:color="E0FFFF"/>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2" w:type="dxa"/>
            <w:vMerge/>
            <w:tcBorders>
              <w:left w:val="single" w:sz="4" w:space="0" w:color="000000"/>
              <w:bottom w:val="nil" w:sz="6" w:space="0" w:color="auto"/>
              <w:right w:val="single" w:sz="4" w:space="0" w:color="000000"/>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E0FFFF"/>
          </w:tcPr>
          <w:p>
            <w:pPr/>
          </w:p>
        </w:tc>
        <w:tc>
          <w:tcPr>
            <w:tcW w:w="1064" w:type="dxa"/>
            <w:vMerge/>
            <w:tcBorders>
              <w:left w:val="single" w:sz="4" w:space="0" w:color="000000"/>
              <w:bottom w:val="nil" w:sz="6" w:space="0" w:color="auto"/>
              <w:right w:val="single" w:sz="4" w:space="0" w:color="000000"/>
            </w:tcBorders>
            <w:shd w:val="clear" w:color="auto" w:fill="E0FFFF"/>
          </w:tcPr>
          <w:p>
            <w:pPr/>
          </w:p>
        </w:tc>
        <w:tc>
          <w:tcPr>
            <w:tcW w:w="1063" w:type="dxa"/>
            <w:vMerge/>
            <w:tcBorders>
              <w:left w:val="single" w:sz="10" w:space="0" w:color="E0FFFF"/>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040" w:type="dxa"/>
            <w:vMerge/>
            <w:tcBorders>
              <w:left w:val="single" w:sz="4" w:space="0" w:color="000000"/>
              <w:bottom w:val="single" w:sz="4" w:space="0" w:color="000000"/>
              <w:right w:val="single" w:sz="9" w:space="0" w:color="E0FFFF"/>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2" w:type="dxa"/>
            <w:tcBorders>
              <w:top w:val="nil" w:sz="6" w:space="0" w:color="auto"/>
              <w:left w:val="single" w:sz="4" w:space="0" w:color="000000"/>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3" w:type="dxa"/>
            <w:tcBorders>
              <w:top w:val="nil" w:sz="6" w:space="0" w:color="auto"/>
              <w:left w:val="single" w:sz="4" w:space="0" w:color="000000"/>
              <w:bottom w:val="single" w:sz="4" w:space="0" w:color="000000"/>
              <w:right w:val="single" w:sz="4" w:space="0" w:color="000000"/>
            </w:tcBorders>
            <w:shd w:val="clear" w:color="auto" w:fill="E0FFFF"/>
          </w:tcPr>
          <w:p>
            <w:pPr/>
          </w:p>
        </w:tc>
        <w:tc>
          <w:tcPr>
            <w:tcW w:w="1064" w:type="dxa"/>
            <w:tcBorders>
              <w:top w:val="nil" w:sz="6" w:space="0" w:color="auto"/>
              <w:left w:val="single" w:sz="4" w:space="0" w:color="000000"/>
              <w:bottom w:val="single" w:sz="4" w:space="0" w:color="000000"/>
              <w:right w:val="single" w:sz="4" w:space="0" w:color="000000"/>
            </w:tcBorders>
            <w:shd w:val="clear" w:color="auto" w:fill="E0FFFF"/>
          </w:tcPr>
          <w:p>
            <w:pPr/>
          </w:p>
        </w:tc>
        <w:tc>
          <w:tcPr>
            <w:tcW w:w="1063" w:type="dxa"/>
            <w:vMerge/>
            <w:tcBorders>
              <w:left w:val="single" w:sz="10" w:space="0" w:color="E0FFFF"/>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4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1" w:right="117"/>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122,018,259.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214,522,676.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86,428,419.7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19,898,265.2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491,967.95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98,475,786.0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541,835,375.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07</w:t>
            </w:r>
          </w:p>
        </w:tc>
      </w:tr>
      <w:tr>
        <w:trPr>
          <w:trHeight w:val="715" w:hRule="exact"/>
        </w:trPr>
        <w:tc>
          <w:tcPr>
            <w:tcW w:w="104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1" w:right="117"/>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1075"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88,611,425.2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169,642,992.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60,223,970.4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13,626,384.2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335,587.30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81,380,444.7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413,820,804.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公司无报告分部的，或者不能披露各报告分部的资产总额和负债总额的，应说明原因" w:id="489"/>
      <w:bookmarkEnd w:id="489"/>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其他说明" w:id="490"/>
      <w:bookmarkEnd w:id="490"/>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7、其他对投资者决策有影响的重要交易和事项" w:id="491"/>
      <w:bookmarkEnd w:id="49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right="1040" w:firstLine="420"/>
        <w:jc w:val="both"/>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3 </w:t>
      </w:r>
      <w:r>
        <w:rPr/>
        <w:t>日，高兴控股集团有限公司将其持有公司的限售流通股</w:t>
      </w:r>
      <w:r>
        <w:rPr>
          <w:rFonts w:ascii="Times New Roman" w:hAnsi="Times New Roman" w:cs="Times New Roman" w:eastAsia="Times New Roman" w:hint="default"/>
        </w:rPr>
        <w:t>491</w:t>
      </w:r>
      <w:r>
        <w:rPr>
          <w:rFonts w:ascii="Times New Roman" w:hAnsi="Times New Roman" w:cs="Times New Roman" w:eastAsia="Times New Roman" w:hint="default"/>
          <w:spacing w:val="-14"/>
        </w:rPr>
        <w:t> </w:t>
      </w:r>
      <w:r>
        <w:rPr/>
        <w:t>万股质押给自然人严琳，用于严琳向高兴控 </w:t>
      </w:r>
      <w:r>
        <w:rPr>
          <w:spacing w:val="-3"/>
        </w:rPr>
        <w:t>股集团有限公司提供借款的质押担保，质押期限自</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7"/>
        </w:rPr>
        <w:t>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36"/>
        </w:rPr>
        <w:t> </w:t>
      </w:r>
      <w:r>
        <w:rPr>
          <w:spacing w:val="-3"/>
        </w:rPr>
        <w:t>日至质权人申请解除质押登记为止，相关质押手续已于</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3"/>
        </w:rPr>
        <w:t>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日在中国证券登记结算有限责任公司上海分公司办理登记。此外，高兴控股集团有限公司还将其持有公司的限售流 通股</w:t>
      </w:r>
      <w:r>
        <w:rPr>
          <w:rFonts w:ascii="Times New Roman" w:hAnsi="Times New Roman" w:cs="Times New Roman" w:eastAsia="Times New Roman" w:hint="default"/>
        </w:rPr>
        <w:t>1745.5</w:t>
      </w:r>
      <w:r>
        <w:rPr>
          <w:rFonts w:ascii="Times New Roman" w:hAnsi="Times New Roman" w:cs="Times New Roman" w:eastAsia="Times New Roman" w:hint="default"/>
          <w:spacing w:val="32"/>
        </w:rPr>
        <w:t> </w:t>
      </w:r>
      <w:r>
        <w:rPr/>
        <w:t>万股质押给海通证券股份有限公司，用于办理股票质押式回购交易业务，相关质押手续已于</w:t>
      </w:r>
      <w:r>
        <w:rPr>
          <w:rFonts w:ascii="Times New Roman" w:hAnsi="Times New Roman" w:cs="Times New Roman" w:eastAsia="Times New Roman" w:hint="default"/>
        </w:rPr>
        <w:t>2015</w:t>
      </w:r>
      <w:r>
        <w:rPr>
          <w:rFonts w:ascii="Times New Roman" w:hAnsi="Times New Roman" w:cs="Times New Roman" w:eastAsia="Times New Roman" w:hint="default"/>
          <w:spacing w:val="32"/>
        </w:rPr>
        <w:t>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3"/>
        </w:rPr>
        <w:t> </w:t>
      </w:r>
      <w:r>
        <w:rPr/>
        <w:t>月</w:t>
      </w: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日在</w:t>
      </w:r>
      <w:r>
        <w:rPr>
          <w:spacing w:val="-83"/>
        </w:rPr>
        <w:t> </w:t>
      </w:r>
      <w:r>
        <w:rPr/>
        <w:t>中国证券登记结算有限责任公司上海分公司办理登记。本次交易初始交易日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4  </w:t>
      </w:r>
      <w:r>
        <w:rPr>
          <w:spacing w:val="-4"/>
        </w:rPr>
        <w:t>日，购回交易日</w:t>
      </w:r>
      <w:r>
        <w:rPr>
          <w:rFonts w:ascii="Times New Roman" w:hAnsi="Times New Roman" w:cs="Times New Roman" w:eastAsia="Times New Roman" w:hint="default"/>
          <w:spacing w:val="-4"/>
        </w:rPr>
        <w:t>2018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日。</w:t>
      </w:r>
    </w:p>
    <w:p>
      <w:pPr>
        <w:pStyle w:val="BodyText"/>
        <w:spacing w:line="300" w:lineRule="auto" w:before="13"/>
        <w:ind w:right="1131" w:firstLine="420"/>
        <w:jc w:val="both"/>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7 </w:t>
      </w:r>
      <w:r>
        <w:rPr/>
        <w:t>日，高兴控股集团有限公司将其持有公司的限售流通股</w:t>
      </w:r>
      <w:r>
        <w:rPr>
          <w:rFonts w:ascii="Times New Roman" w:hAnsi="Times New Roman" w:cs="Times New Roman" w:eastAsia="Times New Roman" w:hint="default"/>
        </w:rPr>
        <w:t>124.5</w:t>
      </w:r>
      <w:r>
        <w:rPr>
          <w:rFonts w:ascii="Times New Roman" w:hAnsi="Times New Roman" w:cs="Times New Roman" w:eastAsia="Times New Roman" w:hint="default"/>
          <w:spacing w:val="28"/>
        </w:rPr>
        <w:t> </w:t>
      </w:r>
      <w:r>
        <w:rPr/>
        <w:t>万股质押给海通证券股份有限公司，用于 办理股票质押式回购交易业务，相关质押手续已于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日在中国证券登记结算有限责任公司办理登记。本次交易初 始交易日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7 </w:t>
      </w:r>
      <w:r>
        <w:rPr/>
        <w:t>日，购回交易日</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6 </w:t>
      </w:r>
      <w:r>
        <w:rPr>
          <w:rFonts w:ascii="Times New Roman" w:hAnsi="Times New Roman" w:cs="Times New Roman" w:eastAsia="Times New Roman" w:hint="default"/>
          <w:spacing w:val="27"/>
        </w:rPr>
        <w:t> </w:t>
      </w:r>
      <w:r>
        <w:rPr/>
        <w:t>日。</w:t>
      </w:r>
    </w:p>
    <w:p>
      <w:pPr>
        <w:pStyle w:val="BodyText"/>
        <w:spacing w:line="300" w:lineRule="auto" w:before="13"/>
        <w:ind w:right="1132" w:firstLine="29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日，杭州天眼投资有限公司将其持有公司的限售流通股</w:t>
      </w:r>
      <w:r>
        <w:rPr>
          <w:rFonts w:ascii="Times New Roman" w:hAnsi="Times New Roman" w:cs="Times New Roman" w:eastAsia="Times New Roman" w:hint="default"/>
        </w:rPr>
        <w:t>450</w:t>
      </w:r>
      <w:r>
        <w:rPr/>
        <w:t>万股质押给招商银行股份有限公司杭州凤起支 </w:t>
      </w:r>
      <w:r>
        <w:rPr>
          <w:spacing w:val="-4"/>
        </w:rPr>
        <w:t>行，相关质押手续已于</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8"/>
        </w:rPr>
        <w:t>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23</w:t>
      </w:r>
      <w:r>
        <w:rPr>
          <w:spacing w:val="-3"/>
        </w:rPr>
        <w:t>日在中国证券登记结算有限责任公司办理登记，质押期限为一年，初始交易日期为</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7" w:lineRule="auto" w:before="129"/>
        <w:ind w:left="1133" w:right="6653" w:firstLine="0"/>
        <w:jc w:val="left"/>
        <w:rPr>
          <w:rFonts w:ascii="宋体" w:hAnsi="宋体" w:cs="宋体" w:eastAsia="宋体" w:hint="default"/>
          <w:sz w:val="21"/>
          <w:szCs w:val="21"/>
        </w:rPr>
      </w:pPr>
      <w:bookmarkStart w:name="8、其他" w:id="492"/>
      <w:bookmarkEnd w:id="49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3"/>
      <w:bookmarkEnd w:id="49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4"/>
      <w:bookmarkEnd w:id="494"/>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0"/>
        <w:jc w:val="left"/>
        <w:rPr>
          <w:b w:val="0"/>
          <w:bCs w:val="0"/>
        </w:rPr>
      </w:pPr>
      <w:bookmarkStart w:name="（1）应收账款分类披露" w:id="495"/>
      <w:bookmarkEnd w:id="49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178,468,</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393.96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9,631,03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168,837,3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56.41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141,658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,680.60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7,685,636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133,973,04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3.67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2,255,9</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51.40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2,255,951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178,468,</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393.96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9,631,03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168,837,3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56.41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143,914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,632.00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9,941,588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133,973,04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3.67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164,948,909.71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8,247,445.49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164,948,909.71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8,247,445.49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13,369,630.63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1,336,963.06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147,463.75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44,239.13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2,389.87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2,389.87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178,468,393.96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9,631,037.55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5.40%</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本期计提、收回或转回的坏账准备情况" w:id="496"/>
      <w:bookmarkEnd w:id="49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ind w:right="-13"/>
        <w:jc w:val="left"/>
      </w:pPr>
      <w:r>
        <w:rPr/>
        <w:t>本期计提坏账准备金额</w:t>
      </w:r>
      <w:r>
        <w:rPr>
          <w:spacing w:val="-47"/>
        </w:rPr>
        <w:t> </w:t>
      </w:r>
      <w:r>
        <w:rPr>
          <w:rFonts w:ascii="Times New Roman" w:hAnsi="Times New Roman" w:cs="Times New Roman" w:eastAsia="Times New Roman" w:hint="default"/>
        </w:rPr>
        <w:t>1,945,400.62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2,255,951.40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8064" w:space="76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应收账款情况" w:id="497"/>
      <w:bookmarkEnd w:id="49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4）按欠款方归集的期末余额前五名的应收账款情况" w:id="498"/>
      <w:bookmarkEnd w:id="49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347"/>
        <w:gridCol w:w="1726"/>
        <w:gridCol w:w="1724"/>
        <w:gridCol w:w="1726"/>
      </w:tblGrid>
      <w:tr>
        <w:trPr>
          <w:trHeight w:val="660"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2" w:right="119"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 的比例</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4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浙江万马股份有限公司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9,160,179.71</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5.13</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458,008.99</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河北欣意电缆有限公司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8,862,149.50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4.97</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653,599.83</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莒南县美达电力实业有限公司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7,226,540.00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4.05</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361,327.00</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苏州特雷卡电缆有限公司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6,466,150.01</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3.62</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323,307.50</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杭州华新电力线缆有限公司</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6,342,985.00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3.55</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317,149.25</w:t>
            </w:r>
          </w:p>
        </w:tc>
      </w:tr>
      <w:tr>
        <w:trPr>
          <w:trHeight w:val="3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38,058,004.22</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21.32</w:t>
            </w:r>
          </w:p>
        </w:tc>
        <w:tc>
          <w:tcPr>
            <w:tcW w:w="172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2,113,392.57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5"/>
        <w:ind w:left="1134" w:right="0"/>
        <w:jc w:val="left"/>
        <w:rPr>
          <w:b w:val="0"/>
          <w:bCs w:val="0"/>
        </w:rPr>
      </w:pPr>
      <w:bookmarkStart w:name="（5）因金融资产转移而终止确认的应收账款" w:id="499"/>
      <w:bookmarkEnd w:id="49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6）转移应收账款且继续涉入形成的资产、负债金额" w:id="500"/>
      <w:bookmarkEnd w:id="50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134" w:right="0"/>
        <w:jc w:val="left"/>
        <w:rPr>
          <w:b w:val="0"/>
          <w:bCs w:val="0"/>
        </w:rPr>
      </w:pPr>
      <w:bookmarkStart w:name="2、其他应收款" w:id="501"/>
      <w:bookmarkEnd w:id="50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其他应收款分类披露" w:id="502"/>
      <w:bookmarkEnd w:id="50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4,742,14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440,807.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4,301,340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4,061,5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11.00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208,676.1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3,852,834.9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4,742,14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440,807.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4,301,340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4,061,5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208,676.1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3,852,834.9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7.79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39</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1" w:right="0"/>
              <w:jc w:val="left"/>
              <w:rPr>
                <w:rFonts w:ascii="Times New Roman" w:hAnsi="Times New Roman" w:cs="Times New Roman" w:eastAsia="Times New Roman" w:hint="default"/>
                <w:sz w:val="18"/>
                <w:szCs w:val="18"/>
              </w:rPr>
            </w:pPr>
            <w:r>
              <w:rPr>
                <w:rFonts w:ascii="Times New Roman"/>
                <w:sz w:val="18"/>
              </w:rPr>
              <w:t>11.00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968,147.79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48,407.39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968,147.79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48,407.39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369,900.00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4,742,147.79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440,807.39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1"/>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503"/>
      <w:bookmarkEnd w:id="50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ind w:right="-15"/>
        <w:jc w:val="left"/>
      </w:pPr>
      <w:r>
        <w:rPr/>
        <w:t>本期计提坏账准备金额</w:t>
      </w:r>
      <w:r>
        <w:rPr>
          <w:spacing w:val="-46"/>
        </w:rPr>
        <w:t> </w:t>
      </w:r>
      <w:r>
        <w:rPr>
          <w:rFonts w:ascii="Times New Roman" w:hAnsi="Times New Roman" w:cs="Times New Roman" w:eastAsia="Times New Roman" w:hint="default"/>
        </w:rPr>
        <w:t>232,131.29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实际核销的其他应收款情况" w:id="504"/>
      <w:bookmarkEnd w:id="50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应收款按款项性质分类情况" w:id="505"/>
      <w:bookmarkEnd w:id="50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4,511,147.79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3,827,011.00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234,500.00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4,742,147.79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4,061,511.00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506"/>
      <w:bookmarkEnd w:id="50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杭州余杭径山经济开 发有限公司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土地开发意向保证 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杭州市余杭区财政局 非税收入结算专户</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581,147.79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29,057.39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宝胜科技创新股份有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蔡忠义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国网浙江杭州市余杭 区供电局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4,540,147.79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411,957.39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507"/>
      <w:bookmarkEnd w:id="50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因金融资产转移而终止确认的其他应收款" w:id="508"/>
      <w:bookmarkEnd w:id="50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8）转移其他应收款且继续涉入形成的资产、负债金额" w:id="509"/>
      <w:bookmarkEnd w:id="50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510"/>
      <w:bookmarkEnd w:id="51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11"/>
      <w:bookmarkEnd w:id="51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12"/>
      <w:bookmarkEnd w:id="51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13"/>
      <w:bookmarkEnd w:id="513"/>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14"/>
      <w:bookmarkEnd w:id="51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541,835,375.07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413,820,804.84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572,416,946.51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442,279,439.94</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475,264.35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229,906.20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538,117.76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342,376.09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542,310,639.42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414,050,711.04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572,955,064.27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442,621,816.03</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投资收益" w:id="515"/>
      <w:bookmarkEnd w:id="51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 w:id="516"/>
      <w:bookmarkEnd w:id="516"/>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0"/>
        <w:jc w:val="left"/>
        <w:rPr>
          <w:b w:val="0"/>
          <w:bCs w:val="0"/>
        </w:rPr>
      </w:pPr>
      <w:bookmarkStart w:name="十八、补充资料" w:id="517"/>
      <w:bookmarkEnd w:id="517"/>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18"/>
      <w:bookmarkEnd w:id="51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1,645,062.83</w:t>
            </w:r>
          </w:p>
        </w:tc>
        <w:tc>
          <w:tcPr>
            <w:tcW w:w="318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处置土地使用权产生无形资产处置利得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1,858,375.20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元；处置固定资产产生固定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资产处置损失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213,312.37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317"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1,915,200.00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40,336.18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540,089.85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3,060,509.16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9"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84,410.49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因其系国家规定之税费，且其金额与正 常经营业务存在直接关系，且不具特殊 和偶发性，因此将其界定为经常性损益 项目</w:t>
            </w: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净资产收益率及每股收益" w:id="519"/>
      <w:bookmarkEnd w:id="51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5"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3、境内外会计准则下会计数据差异" w:id="520"/>
      <w:bookmarkEnd w:id="52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521"/>
      <w:bookmarkEnd w:id="52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22"/>
      <w:bookmarkEnd w:id="52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23"/>
      <w:bookmarkEnd w:id="52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2"/>
        </w:rPr>
        <w:t> </w:t>
      </w:r>
      <w:r>
        <w:rPr>
          <w:spacing w:val="-72"/>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524"/>
      <w:bookmarkEnd w:id="52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476"/>
        <w:jc w:val="center"/>
        <w:rPr>
          <w:b w:val="0"/>
          <w:bCs w:val="0"/>
        </w:rPr>
      </w:pPr>
      <w:bookmarkStart w:name="_TOC_250000" w:id="525"/>
      <w:bookmarkStart w:name="第十一节 备查文件目录" w:id="526"/>
      <w:r>
        <w:rPr>
          <w:b w:val="0"/>
          <w:bCs w:val="0"/>
        </w:rPr>
      </w:r>
      <w:r>
        <w:rPr/>
        <w:t>第十一节</w:t>
      </w:r>
      <w:r>
        <w:rPr>
          <w:spacing w:val="-8"/>
        </w:rPr>
        <w:t> </w:t>
      </w:r>
      <w:r>
        <w:rPr/>
        <w:t>备查文件目录</w:t>
      </w:r>
      <w:bookmarkEnd w:id="525"/>
      <w:r>
        <w:rPr>
          <w:b w:val="0"/>
          <w:bCs w:val="0"/>
        </w:rPr>
      </w:r>
    </w:p>
    <w:p>
      <w:pPr>
        <w:spacing w:line="240" w:lineRule="auto" w:before="6"/>
        <w:rPr>
          <w:rFonts w:ascii="宋体" w:hAnsi="宋体" w:cs="宋体" w:eastAsia="宋体" w:hint="default"/>
          <w:b/>
          <w:bCs/>
          <w:sz w:val="42"/>
          <w:szCs w:val="42"/>
        </w:rPr>
      </w:pPr>
    </w:p>
    <w:p>
      <w:pPr>
        <w:pStyle w:val="BodyText"/>
        <w:spacing w:line="240" w:lineRule="auto" w:before="0"/>
        <w:ind w:right="0"/>
        <w:jc w:val="left"/>
      </w:pPr>
      <w:r>
        <w:rPr/>
        <w:t>公司</w:t>
      </w:r>
      <w:r>
        <w:rPr>
          <w:rFonts w:ascii="Times New Roman" w:hAnsi="Times New Roman" w:cs="Times New Roman" w:eastAsia="Times New Roman" w:hint="default"/>
        </w:rPr>
        <w:t>2015</w:t>
      </w:r>
      <w:r>
        <w:rPr/>
        <w:t>年年度报告的备查文件包括：</w:t>
      </w:r>
    </w:p>
    <w:p>
      <w:pPr>
        <w:pStyle w:val="BodyText"/>
        <w:spacing w:line="240" w:lineRule="auto" w:before="63"/>
        <w:ind w:right="0"/>
        <w:jc w:val="left"/>
      </w:pPr>
      <w:r>
        <w:rPr>
          <w:rFonts w:ascii="Times New Roman" w:hAnsi="Times New Roman" w:cs="Times New Roman" w:eastAsia="Times New Roman" w:hint="default"/>
        </w:rPr>
        <w:t>1</w:t>
      </w:r>
      <w:r>
        <w:rPr/>
        <w:t>、载有公司法定代表人签名的</w:t>
      </w:r>
      <w:r>
        <w:rPr>
          <w:rFonts w:ascii="Times New Roman" w:hAnsi="Times New Roman" w:cs="Times New Roman" w:eastAsia="Times New Roman" w:hint="default"/>
        </w:rPr>
        <w:t>2015</w:t>
      </w:r>
      <w:r>
        <w:rPr/>
        <w:t>年年度报告文本；</w:t>
      </w:r>
    </w:p>
    <w:p>
      <w:pPr>
        <w:pStyle w:val="BodyText"/>
        <w:spacing w:line="240" w:lineRule="auto" w:before="63"/>
        <w:ind w:left="1134" w:right="0"/>
        <w:jc w:val="left"/>
      </w:pPr>
      <w:r>
        <w:rPr>
          <w:rFonts w:ascii="Times New Roman" w:hAnsi="Times New Roman" w:cs="Times New Roman" w:eastAsia="Times New Roman" w:hint="default"/>
        </w:rPr>
        <w:t>2</w:t>
      </w:r>
      <w:r>
        <w:rPr/>
        <w:t>、载有公司负责人、主管会计工作负责人、会计机构负责人签名并盖章的财务报表；</w:t>
      </w:r>
    </w:p>
    <w:p>
      <w:pPr>
        <w:pStyle w:val="BodyText"/>
        <w:spacing w:line="240" w:lineRule="auto" w:before="63"/>
        <w:ind w:right="0"/>
        <w:jc w:val="left"/>
      </w:pPr>
      <w:r>
        <w:rPr>
          <w:rFonts w:ascii="Times New Roman" w:hAnsi="Times New Roman" w:cs="Times New Roman" w:eastAsia="Times New Roman" w:hint="default"/>
        </w:rPr>
        <w:t>3</w:t>
      </w:r>
      <w:r>
        <w:rPr/>
        <w:t>、载有会计师事务所盖章、注册会计师签名并盖章的审计报告原件；</w:t>
      </w:r>
    </w:p>
    <w:p>
      <w:pPr>
        <w:pStyle w:val="BodyText"/>
        <w:spacing w:line="600" w:lineRule="auto" w:before="63"/>
        <w:ind w:right="3103"/>
        <w:jc w:val="left"/>
      </w:pPr>
      <w:r>
        <w:rPr>
          <w:rFonts w:ascii="Times New Roman" w:hAnsi="Times New Roman" w:cs="Times New Roman" w:eastAsia="Times New Roman" w:hint="default"/>
        </w:rPr>
        <w:t>4</w:t>
      </w:r>
      <w:r>
        <w:rPr/>
        <w:t>、报告期内在中国证监会指定信息披露载体上公开披露过的所有公司文件的正本及公告的原稿。 以上备查文件的备置地点：浙江省杭州市余杭区径山镇龙皇路</w:t>
      </w:r>
      <w:r>
        <w:rPr>
          <w:rFonts w:ascii="Times New Roman" w:hAnsi="Times New Roman" w:cs="Times New Roman" w:eastAsia="Times New Roman" w:hint="default"/>
        </w:rPr>
        <w:t>10</w:t>
      </w:r>
      <w:r>
        <w:rPr/>
        <w:t>号</w:t>
      </w:r>
      <w:r>
        <w:rPr>
          <w:spacing w:val="-19"/>
        </w:rPr>
        <w:t> </w:t>
      </w:r>
      <w:r>
        <w:rPr/>
        <w:t>证券部办公室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before="0"/>
        <w:ind w:left="0" w:right="1130"/>
        <w:jc w:val="right"/>
      </w:pPr>
      <w:r>
        <w:rPr/>
        <w:t>法定代表人：高长虹</w:t>
      </w:r>
    </w:p>
    <w:p>
      <w:pPr>
        <w:spacing w:line="240" w:lineRule="auto" w:before="0"/>
        <w:rPr>
          <w:rFonts w:ascii="宋体" w:hAnsi="宋体" w:cs="宋体" w:eastAsia="宋体" w:hint="default"/>
          <w:sz w:val="18"/>
          <w:szCs w:val="18"/>
        </w:rPr>
      </w:pPr>
    </w:p>
    <w:p>
      <w:pPr>
        <w:pStyle w:val="BodyText"/>
        <w:spacing w:line="240" w:lineRule="auto" w:before="153"/>
        <w:ind w:left="0" w:right="1130"/>
        <w:jc w:val="righ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9040" type="#_x0000_t75" stroked="false">
          <v:imagedata r:id="rId1" o:title=""/>
        </v:shape>
      </w:pict>
    </w:r>
    <w:r>
      <w:rPr/>
      <w:pict>
        <v:shape style="position:absolute;margin-left:533.179993pt;margin-top:795.517944pt;width:6.5pt;height:11pt;mso-position-horizontal-relative:page;mso-position-vertical-relative:page;z-index:-78901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8992" type="#_x0000_t75" stroked="false">
          <v:imagedata r:id="rId1" o:title=""/>
        </v:shape>
      </w:pict>
    </w:r>
    <w:r>
      <w:rPr/>
      <w:pict>
        <v:shape style="position:absolute;margin-left:527.679993pt;margin-top:781.957947pt;width:13pt;height:11pt;mso-position-horizontal-relative:page;mso-position-vertical-relative:page;z-index:-78896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8944" type="#_x0000_t75" stroked="false">
          <v:imagedata r:id="rId1" o:title=""/>
        </v:shape>
      </w:pict>
    </w:r>
    <w:r>
      <w:rPr/>
      <w:pict>
        <v:shape style="position:absolute;margin-left:527.679993pt;margin-top:781.957947pt;width:13pt;height:11pt;mso-position-horizontal-relative:page;mso-position-vertical-relative:page;z-index:-7889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8896" type="#_x0000_t75" stroked="false">
          <v:imagedata r:id="rId1" o:title=""/>
        </v:shape>
      </w:pict>
    </w:r>
    <w:r>
      <w:rPr/>
      <w:pict>
        <v:shape style="position:absolute;margin-left:524.179993pt;margin-top:781.957947pt;width:15.5pt;height:11pt;mso-position-horizontal-relative:page;mso-position-vertical-relative:page;z-index:-78887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8848" type="#_x0000_t75" stroked="false">
          <v:imagedata r:id="rId1" o:title=""/>
        </v:shape>
      </w:pict>
    </w:r>
    <w:r>
      <w:rPr/>
      <w:pict>
        <v:shape style="position:absolute;margin-left:523.179993pt;margin-top:781.957947pt;width:17.5pt;height:11pt;mso-position-horizontal-relative:page;mso-position-vertical-relative:page;z-index:-78882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8800" type="#_x0000_t75" stroked="false">
          <v:imagedata r:id="rId1" o:title=""/>
        </v:shape>
      </w:pict>
    </w:r>
    <w:r>
      <w:rPr/>
      <w:pict>
        <v:shape style="position:absolute;margin-left:523.179993pt;margin-top:781.957947pt;width:17.5pt;height:11pt;mso-position-horizontal-relative:page;mso-position-vertical-relative:page;z-index:-78877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788752" type="#_x0000_t75" stroked="false">
          <v:imagedata r:id="rId1" o:title=""/>
        </v:shape>
      </w:pict>
    </w:r>
    <w:r>
      <w:rPr/>
      <w:pict>
        <v:shape style="position:absolute;margin-left:523.179993pt;margin-top:781.957947pt;width:17.5pt;height:11pt;mso-position-horizontal-relative:page;mso-position-vertical-relative:page;z-index:-7887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789064" type="#_x0000_t202" filled="false" stroked="false">
          <v:textbox inset="0,0,0,0">
            <w:txbxContent>
              <w:p>
                <w:pPr>
                  <w:pStyle w:val="BodyText"/>
                  <w:spacing w:line="214" w:lineRule="exact" w:before="0"/>
                  <w:ind w:left="20" w:right="0"/>
                  <w:jc w:val="left"/>
                </w:pPr>
                <w:r>
                  <w:rPr/>
                  <w:t>杭州高新橡塑材料股份有限公司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spacing w:before="44"/>
      <w:ind w:left="1133"/>
    </w:pPr>
    <w:rPr>
      <w:rFonts w:ascii="宋体" w:hAnsi="宋体" w:eastAsia="宋体"/>
      <w:sz w:val="18"/>
      <w:szCs w:val="18"/>
    </w:rPr>
  </w:style>
  <w:style w:styleId="Heading1" w:type="paragraph">
    <w:name w:val="Heading 1"/>
    <w:basedOn w:val="Normal"/>
    <w:uiPriority w:val="1"/>
    <w:qFormat/>
    <w:pPr>
      <w:spacing w:before="1"/>
      <w:ind w:left="147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Heading4" w:type="paragraph">
    <w:name w:val="Heading 4"/>
    <w:basedOn w:val="Normal"/>
    <w:uiPriority w:val="1"/>
    <w:qFormat/>
    <w:pPr>
      <w:spacing w:before="90"/>
      <w:ind w:left="1554"/>
      <w:outlineLvl w:val="4"/>
    </w:pPr>
    <w:rPr>
      <w:rFonts w:ascii="宋体" w:hAnsi="宋体" w:eastAsia="宋体"/>
      <w:sz w:val="21"/>
      <w:szCs w:val="21"/>
    </w:rPr>
  </w:style>
  <w:style w:styleId="Heading5" w:type="paragraph">
    <w:name w:val="Heading 5"/>
    <w:basedOn w:val="Normal"/>
    <w:uiPriority w:val="1"/>
    <w:qFormat/>
    <w:pPr>
      <w:ind w:left="1133"/>
      <w:outlineLvl w:val="5"/>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xsl.com/" TargetMode="External"/><Relationship Id="rId10" Type="http://schemas.openxmlformats.org/officeDocument/2006/relationships/hyperlink" Target="mailto:hzgaoxinxiangsu@163.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杭州高新橡塑材料股份有限公司</dc:creator>
  <dc:title>杭州高新橡塑材料股份有限公司2015年年度报告全文</dc:title>
  <dcterms:created xsi:type="dcterms:W3CDTF">2020-05-04T17:07:36Z</dcterms:created>
  <dcterms:modified xsi:type="dcterms:W3CDTF">2020-05-04T17:07:36Z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