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200001pt;margin-top:49.079983pt;width:485pt;height:.1pt;mso-position-horizontal-relative:page;mso-position-vertical-relative:page;z-index:0" coordorigin="1104,982" coordsize="9700,2">
            <v:shape style="position:absolute;left:1104;top:982;width:9700;height:2" coordorigin="1104,982" coordsize="9700,0" path="m1104,982l10804,982e" filled="false" stroked="true" strokeweight=".72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6"/>
          <w:szCs w:val="16"/>
        </w:rPr>
      </w:pPr>
    </w:p>
    <w:p>
      <w:pPr>
        <w:spacing w:line="2386" w:lineRule="exact"/>
        <w:ind w:left="3815"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47"/>
          <w:sz w:val="20"/>
          <w:szCs w:val="20"/>
        </w:rPr>
        <w:drawing>
          <wp:inline distT="0" distB="0" distL="0" distR="0">
            <wp:extent cx="1466236" cy="1515618"/>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7" cstate="print"/>
                    <a:stretch>
                      <a:fillRect/>
                    </a:stretch>
                  </pic:blipFill>
                  <pic:spPr>
                    <a:xfrm>
                      <a:off x="0" y="0"/>
                      <a:ext cx="1466236" cy="1515618"/>
                    </a:xfrm>
                    <a:prstGeom prst="rect">
                      <a:avLst/>
                    </a:prstGeom>
                  </pic:spPr>
                </pic:pic>
              </a:graphicData>
            </a:graphic>
          </wp:inline>
        </w:drawing>
      </w:r>
      <w:r>
        <w:rPr>
          <w:rFonts w:ascii="Times New Roman" w:hAnsi="Times New Roman" w:cs="Times New Roman" w:eastAsia="Times New Roman" w:hint="default"/>
          <w:position w:val="-47"/>
          <w:sz w:val="20"/>
          <w:szCs w:val="20"/>
        </w:rPr>
      </w:r>
    </w:p>
    <w:p>
      <w:pPr>
        <w:spacing w:line="240" w:lineRule="auto" w:before="1"/>
        <w:rPr>
          <w:rFonts w:ascii="Times New Roman" w:hAnsi="Times New Roman" w:cs="Times New Roman" w:eastAsia="Times New Roman" w:hint="default"/>
          <w:sz w:val="14"/>
          <w:szCs w:val="14"/>
        </w:rPr>
      </w:pPr>
    </w:p>
    <w:p>
      <w:pPr>
        <w:spacing w:line="460" w:lineRule="exact" w:before="0"/>
        <w:ind w:left="150" w:right="150" w:firstLine="0"/>
        <w:jc w:val="center"/>
        <w:rPr>
          <w:rFonts w:ascii="宋体" w:hAnsi="宋体" w:cs="宋体" w:eastAsia="宋体" w:hint="default"/>
          <w:sz w:val="36"/>
          <w:szCs w:val="36"/>
        </w:rPr>
      </w:pPr>
      <w:r>
        <w:rPr>
          <w:rFonts w:ascii="宋体" w:hAnsi="宋体" w:cs="宋体" w:eastAsia="宋体" w:hint="default"/>
          <w:b/>
          <w:bCs/>
          <w:sz w:val="36"/>
          <w:szCs w:val="36"/>
        </w:rPr>
        <w:t>杭州高新橡塑材料股份有限公司</w:t>
      </w:r>
      <w:r>
        <w:rPr>
          <w:rFonts w:ascii="宋体" w:hAnsi="宋体" w:cs="宋体" w:eastAsia="宋体" w:hint="default"/>
          <w:sz w:val="36"/>
          <w:szCs w:val="36"/>
        </w:rPr>
      </w:r>
    </w:p>
    <w:p>
      <w:pPr>
        <w:spacing w:line="240" w:lineRule="auto" w:before="9"/>
        <w:rPr>
          <w:rFonts w:ascii="宋体" w:hAnsi="宋体" w:cs="宋体" w:eastAsia="宋体" w:hint="default"/>
          <w:b/>
          <w:bCs/>
          <w:sz w:val="30"/>
          <w:szCs w:val="30"/>
        </w:rPr>
      </w:pPr>
    </w:p>
    <w:p>
      <w:pPr>
        <w:spacing w:before="0"/>
        <w:ind w:left="149" w:right="150"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2017</w:t>
      </w:r>
      <w:r>
        <w:rPr>
          <w:rFonts w:ascii="Times New Roman" w:hAnsi="Times New Roman" w:cs="Times New Roman" w:eastAsia="Times New Roman" w:hint="default"/>
          <w:b/>
          <w:bCs/>
          <w:spacing w:val="-4"/>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5"/>
        <w:rPr>
          <w:rFonts w:ascii="宋体" w:hAnsi="宋体" w:cs="宋体" w:eastAsia="宋体" w:hint="default"/>
          <w:b/>
          <w:bCs/>
          <w:sz w:val="48"/>
          <w:szCs w:val="48"/>
        </w:rPr>
      </w:pPr>
    </w:p>
    <w:p>
      <w:pPr>
        <w:spacing w:before="0"/>
        <w:ind w:left="151" w:right="150"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2018</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2"/>
          <w:sz w:val="32"/>
          <w:szCs w:val="32"/>
        </w:rPr>
        <w:t> </w:t>
      </w:r>
      <w:r>
        <w:rPr>
          <w:rFonts w:ascii="Times New Roman" w:hAnsi="Times New Roman" w:cs="Times New Roman" w:eastAsia="Times New Roman" w:hint="default"/>
          <w:b/>
          <w:bCs/>
          <w:sz w:val="32"/>
          <w:szCs w:val="32"/>
        </w:rPr>
        <w:t>04</w:t>
      </w:r>
      <w:r>
        <w:rPr>
          <w:rFonts w:ascii="Times New Roman" w:hAnsi="Times New Roman" w:cs="Times New Roman" w:eastAsia="Times New Roman" w:hint="default"/>
          <w:b/>
          <w:bCs/>
          <w:spacing w:val="-2"/>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7" w:footer="979" w:top="1060" w:bottom="1160" w:left="980" w:right="980"/>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pStyle w:val="Heading1"/>
        <w:spacing w:line="240" w:lineRule="auto"/>
        <w:ind w:left="2805" w:right="105"/>
        <w:jc w:val="left"/>
        <w:rPr>
          <w:b w:val="0"/>
          <w:bCs w:val="0"/>
        </w:rPr>
      </w:pPr>
      <w:bookmarkStart w:name="第一节 重要提示、目录和释义" w:id="1"/>
      <w:bookmarkEnd w:id="1"/>
      <w:r>
        <w:rPr>
          <w:b w:val="0"/>
          <w:bCs w:val="0"/>
        </w:rPr>
      </w:r>
      <w:r>
        <w:rPr/>
        <w:t>第一节</w:t>
      </w:r>
      <w:r>
        <w:rPr>
          <w:spacing w:val="-11"/>
        </w:rPr>
        <w:t> </w:t>
      </w:r>
      <w:r>
        <w:rPr/>
        <w:t>重要提示、目录和释义</w:t>
      </w:r>
      <w:r>
        <w:rPr>
          <w:b w:val="0"/>
          <w:bCs w:val="0"/>
        </w:rPr>
      </w:r>
    </w:p>
    <w:p>
      <w:pPr>
        <w:spacing w:line="240" w:lineRule="auto" w:before="0"/>
        <w:rPr>
          <w:rFonts w:ascii="宋体" w:hAnsi="宋体" w:cs="宋体" w:eastAsia="宋体" w:hint="default"/>
          <w:b/>
          <w:bCs/>
          <w:sz w:val="32"/>
          <w:szCs w:val="32"/>
        </w:rPr>
      </w:pPr>
    </w:p>
    <w:p>
      <w:pPr>
        <w:spacing w:line="408" w:lineRule="auto" w:before="211"/>
        <w:ind w:left="154" w:right="261" w:firstLine="562"/>
        <w:jc w:val="both"/>
        <w:rPr>
          <w:rFonts w:ascii="宋体" w:hAnsi="宋体" w:cs="宋体" w:eastAsia="宋体" w:hint="default"/>
          <w:sz w:val="28"/>
          <w:szCs w:val="28"/>
        </w:rPr>
      </w:pPr>
      <w:r>
        <w:rPr>
          <w:rFonts w:ascii="宋体" w:hAnsi="宋体" w:cs="宋体" w:eastAsia="宋体" w:hint="default"/>
          <w:b/>
          <w:bCs/>
          <w:spacing w:val="3"/>
          <w:w w:val="95"/>
          <w:sz w:val="28"/>
          <w:szCs w:val="28"/>
        </w:rPr>
        <w:t>公司董事会、监事会及董事、监事、高级管理人员保证年度报告内容的真</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实、准确、完整，不存在虚假记载、误导性陈述或重大遗漏，并承担个别和连</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z w:val="28"/>
          <w:szCs w:val="28"/>
        </w:rPr>
        <w:t>带的法律责任。</w:t>
      </w:r>
      <w:r>
        <w:rPr>
          <w:rFonts w:ascii="宋体" w:hAnsi="宋体" w:cs="宋体" w:eastAsia="宋体" w:hint="default"/>
          <w:sz w:val="28"/>
          <w:szCs w:val="28"/>
        </w:rPr>
      </w:r>
    </w:p>
    <w:p>
      <w:pPr>
        <w:spacing w:line="386" w:lineRule="auto" w:before="161"/>
        <w:ind w:left="154" w:right="105" w:firstLine="562"/>
        <w:jc w:val="left"/>
        <w:rPr>
          <w:rFonts w:ascii="宋体" w:hAnsi="宋体" w:cs="宋体" w:eastAsia="宋体" w:hint="default"/>
          <w:sz w:val="28"/>
          <w:szCs w:val="28"/>
        </w:rPr>
      </w:pPr>
      <w:r>
        <w:rPr>
          <w:rFonts w:ascii="宋体" w:hAnsi="宋体" w:cs="宋体" w:eastAsia="宋体" w:hint="default"/>
          <w:b/>
          <w:bCs/>
          <w:w w:val="95"/>
          <w:sz w:val="28"/>
          <w:szCs w:val="28"/>
        </w:rPr>
        <w:t>公司负责人高长虹、主管会计工作负责人楼永富及会计机构负责人</w:t>
      </w:r>
      <w:r>
        <w:rPr>
          <w:rFonts w:ascii="Times New Roman" w:hAnsi="Times New Roman" w:cs="Times New Roman" w:eastAsia="Times New Roman" w:hint="default"/>
          <w:b/>
          <w:bCs/>
          <w:w w:val="95"/>
          <w:sz w:val="28"/>
          <w:szCs w:val="28"/>
        </w:rPr>
        <w:t>(</w:t>
      </w:r>
      <w:r>
        <w:rPr>
          <w:rFonts w:ascii="宋体" w:hAnsi="宋体" w:cs="宋体" w:eastAsia="宋体" w:hint="default"/>
          <w:b/>
          <w:bCs/>
          <w:w w:val="95"/>
          <w:sz w:val="28"/>
          <w:szCs w:val="28"/>
        </w:rPr>
        <w:t>会计主</w:t>
      </w:r>
      <w:r>
        <w:rPr>
          <w:rFonts w:ascii="宋体" w:hAnsi="宋体" w:cs="宋体" w:eastAsia="宋体" w:hint="default"/>
          <w:b/>
          <w:bCs/>
          <w:spacing w:val="1"/>
          <w:w w:val="99"/>
          <w:sz w:val="28"/>
          <w:szCs w:val="28"/>
        </w:rPr>
        <w:t> </w:t>
      </w:r>
      <w:r>
        <w:rPr>
          <w:rFonts w:ascii="宋体" w:hAnsi="宋体" w:cs="宋体" w:eastAsia="宋体" w:hint="default"/>
          <w:b/>
          <w:bCs/>
          <w:sz w:val="28"/>
          <w:szCs w:val="28"/>
        </w:rPr>
        <w:t>管人员</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缪勇刚声明：保证年度报告中财务报告的真实、准确、完整。</w:t>
      </w:r>
      <w:r>
        <w:rPr>
          <w:rFonts w:ascii="宋体" w:hAnsi="宋体" w:cs="宋体" w:eastAsia="宋体" w:hint="default"/>
          <w:sz w:val="28"/>
          <w:szCs w:val="28"/>
        </w:rPr>
      </w:r>
    </w:p>
    <w:p>
      <w:pPr>
        <w:spacing w:before="147"/>
        <w:ind w:left="716" w:right="105" w:firstLine="0"/>
        <w:jc w:val="left"/>
        <w:rPr>
          <w:rFonts w:ascii="宋体" w:hAnsi="宋体" w:cs="宋体" w:eastAsia="宋体" w:hint="default"/>
          <w:sz w:val="28"/>
          <w:szCs w:val="28"/>
        </w:rPr>
      </w:pPr>
      <w:r>
        <w:rPr>
          <w:rFonts w:ascii="宋体" w:hAnsi="宋体" w:cs="宋体" w:eastAsia="宋体" w:hint="default"/>
          <w:b/>
          <w:bCs/>
          <w:sz w:val="28"/>
          <w:szCs w:val="28"/>
        </w:rPr>
        <w:t>所有董事均已出席了审议本报告的董事会会议。</w:t>
      </w:r>
      <w:r>
        <w:rPr>
          <w:rFonts w:ascii="宋体" w:hAnsi="宋体" w:cs="宋体" w:eastAsia="宋体" w:hint="default"/>
          <w:sz w:val="28"/>
          <w:szCs w:val="28"/>
        </w:rPr>
      </w:r>
    </w:p>
    <w:p>
      <w:pPr>
        <w:spacing w:line="240" w:lineRule="auto" w:before="4"/>
        <w:rPr>
          <w:rFonts w:ascii="宋体" w:hAnsi="宋体" w:cs="宋体" w:eastAsia="宋体" w:hint="default"/>
          <w:b/>
          <w:bCs/>
          <w:sz w:val="27"/>
          <w:szCs w:val="27"/>
        </w:rPr>
      </w:pPr>
    </w:p>
    <w:p>
      <w:pPr>
        <w:spacing w:line="472" w:lineRule="auto" w:before="0"/>
        <w:ind w:left="716" w:right="105" w:firstLine="0"/>
        <w:jc w:val="left"/>
        <w:rPr>
          <w:rFonts w:ascii="宋体" w:hAnsi="宋体" w:cs="宋体" w:eastAsia="宋体" w:hint="default"/>
          <w:sz w:val="28"/>
          <w:szCs w:val="28"/>
        </w:rPr>
      </w:pPr>
      <w:r>
        <w:rPr>
          <w:rFonts w:ascii="宋体" w:hAnsi="宋体" w:cs="宋体" w:eastAsia="宋体" w:hint="default"/>
          <w:b/>
          <w:bCs/>
          <w:sz w:val="28"/>
          <w:szCs w:val="28"/>
        </w:rPr>
        <w:t>（一）原材料价格波动风险</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公司产品主要原材料来自于石油衍生化工产品等，其采购价格受石油价格</w:t>
      </w:r>
      <w:r>
        <w:rPr>
          <w:rFonts w:ascii="宋体" w:hAnsi="宋体" w:cs="宋体" w:eastAsia="宋体" w:hint="default"/>
          <w:spacing w:val="3"/>
          <w:sz w:val="28"/>
          <w:szCs w:val="28"/>
        </w:rPr>
      </w:r>
    </w:p>
    <w:p>
      <w:pPr>
        <w:spacing w:line="408" w:lineRule="auto" w:before="0"/>
        <w:ind w:left="154" w:right="264" w:firstLine="0"/>
        <w:jc w:val="both"/>
        <w:rPr>
          <w:rFonts w:ascii="宋体" w:hAnsi="宋体" w:cs="宋体" w:eastAsia="宋体" w:hint="default"/>
          <w:sz w:val="28"/>
          <w:szCs w:val="28"/>
        </w:rPr>
      </w:pPr>
      <w:r>
        <w:rPr>
          <w:rFonts w:ascii="宋体" w:hAnsi="宋体" w:cs="宋体" w:eastAsia="宋体" w:hint="default"/>
          <w:b/>
          <w:bCs/>
          <w:spacing w:val="3"/>
          <w:w w:val="95"/>
          <w:sz w:val="28"/>
          <w:szCs w:val="28"/>
        </w:rPr>
        <w:t>及塑料期货价格影响较大。近年来，国际石油市场及塑料期货市场价格波动较</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pacing w:val="3"/>
          <w:w w:val="95"/>
          <w:sz w:val="28"/>
          <w:szCs w:val="28"/>
        </w:rPr>
        <w:t>大，对公司原材料采购计划的制定和实施造成了不利影响，为控制成本以及降</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pacing w:val="3"/>
          <w:w w:val="95"/>
          <w:sz w:val="28"/>
          <w:szCs w:val="28"/>
        </w:rPr>
        <w:t>低经营风险，公司制定了一系列措施，虽然公司制定了各种措施以平缓原材料</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z w:val="28"/>
          <w:szCs w:val="28"/>
        </w:rPr>
        <w:t>价格波动，但经营水平仍可能会受到不利影响。</w:t>
      </w:r>
      <w:r>
        <w:rPr>
          <w:rFonts w:ascii="宋体" w:hAnsi="宋体" w:cs="宋体" w:eastAsia="宋体" w:hint="default"/>
          <w:sz w:val="28"/>
          <w:szCs w:val="28"/>
        </w:rPr>
      </w:r>
    </w:p>
    <w:p>
      <w:pPr>
        <w:spacing w:before="161"/>
        <w:ind w:left="716" w:right="105" w:firstLine="0"/>
        <w:jc w:val="left"/>
        <w:rPr>
          <w:rFonts w:ascii="宋体" w:hAnsi="宋体" w:cs="宋体" w:eastAsia="宋体" w:hint="default"/>
          <w:sz w:val="28"/>
          <w:szCs w:val="28"/>
        </w:rPr>
      </w:pPr>
      <w:r>
        <w:rPr>
          <w:rFonts w:ascii="宋体" w:hAnsi="宋体" w:cs="宋体" w:eastAsia="宋体" w:hint="default"/>
          <w:b/>
          <w:bCs/>
          <w:sz w:val="28"/>
          <w:szCs w:val="28"/>
        </w:rPr>
        <w:t>（二）募集资金投资项目实施风险</w:t>
      </w:r>
      <w:r>
        <w:rPr>
          <w:rFonts w:ascii="宋体" w:hAnsi="宋体" w:cs="宋体" w:eastAsia="宋体" w:hint="default"/>
          <w:sz w:val="28"/>
          <w:szCs w:val="28"/>
        </w:rPr>
      </w:r>
    </w:p>
    <w:p>
      <w:pPr>
        <w:spacing w:line="240" w:lineRule="auto" w:before="3"/>
        <w:rPr>
          <w:rFonts w:ascii="宋体" w:hAnsi="宋体" w:cs="宋体" w:eastAsia="宋体" w:hint="default"/>
          <w:b/>
          <w:bCs/>
          <w:sz w:val="27"/>
          <w:szCs w:val="27"/>
        </w:rPr>
      </w:pPr>
    </w:p>
    <w:p>
      <w:pPr>
        <w:spacing w:line="386" w:lineRule="auto" w:before="0"/>
        <w:ind w:left="154" w:right="105" w:firstLine="562"/>
        <w:jc w:val="left"/>
        <w:rPr>
          <w:rFonts w:ascii="宋体" w:hAnsi="宋体" w:cs="宋体" w:eastAsia="宋体" w:hint="default"/>
          <w:sz w:val="28"/>
          <w:szCs w:val="28"/>
        </w:rPr>
      </w:pPr>
      <w:r>
        <w:rPr>
          <w:rFonts w:ascii="Times New Roman" w:hAnsi="Times New Roman" w:cs="Times New Roman" w:eastAsia="Times New Roman" w:hint="default"/>
          <w:b/>
          <w:bCs/>
          <w:sz w:val="28"/>
          <w:szCs w:val="28"/>
        </w:rPr>
        <w:t>2015</w:t>
      </w:r>
      <w:r>
        <w:rPr>
          <w:rFonts w:ascii="Times New Roman" w:hAnsi="Times New Roman" w:cs="Times New Roman" w:eastAsia="Times New Roman" w:hint="default"/>
          <w:b/>
          <w:bCs/>
          <w:spacing w:val="-32"/>
          <w:sz w:val="28"/>
          <w:szCs w:val="28"/>
        </w:rPr>
        <w:t> </w:t>
      </w:r>
      <w:r>
        <w:rPr>
          <w:rFonts w:ascii="宋体" w:hAnsi="宋体" w:cs="宋体" w:eastAsia="宋体" w:hint="default"/>
          <w:b/>
          <w:bCs/>
          <w:sz w:val="28"/>
          <w:szCs w:val="28"/>
        </w:rPr>
        <w:t>年，公司经中国证券监督管理委员会证监许可（</w:t>
      </w:r>
      <w:r>
        <w:rPr>
          <w:rFonts w:ascii="Times New Roman" w:hAnsi="Times New Roman" w:cs="Times New Roman" w:eastAsia="Times New Roman" w:hint="default"/>
          <w:b/>
          <w:bCs/>
          <w:sz w:val="28"/>
          <w:szCs w:val="28"/>
        </w:rPr>
        <w:t>2015</w:t>
      </w:r>
      <w:r>
        <w:rPr>
          <w:rFonts w:ascii="宋体" w:hAnsi="宋体" w:cs="宋体" w:eastAsia="宋体" w:hint="default"/>
          <w:b/>
          <w:bCs/>
          <w:sz w:val="28"/>
          <w:szCs w:val="28"/>
        </w:rPr>
        <w:t>）</w:t>
      </w:r>
      <w:r>
        <w:rPr>
          <w:rFonts w:ascii="Times New Roman" w:hAnsi="Times New Roman" w:cs="Times New Roman" w:eastAsia="Times New Roman" w:hint="default"/>
          <w:b/>
          <w:bCs/>
          <w:sz w:val="28"/>
          <w:szCs w:val="28"/>
        </w:rPr>
        <w:t>957</w:t>
      </w:r>
      <w:r>
        <w:rPr>
          <w:rFonts w:ascii="Times New Roman" w:hAnsi="Times New Roman" w:cs="Times New Roman" w:eastAsia="Times New Roman" w:hint="default"/>
          <w:b/>
          <w:bCs/>
          <w:spacing w:val="-33"/>
          <w:sz w:val="28"/>
          <w:szCs w:val="28"/>
        </w:rPr>
        <w:t> </w:t>
      </w:r>
      <w:r>
        <w:rPr>
          <w:rFonts w:ascii="宋体" w:hAnsi="宋体" w:cs="宋体" w:eastAsia="宋体" w:hint="default"/>
          <w:b/>
          <w:bCs/>
          <w:sz w:val="28"/>
          <w:szCs w:val="28"/>
        </w:rPr>
        <w:t>号文核准，</w:t>
      </w:r>
      <w:r>
        <w:rPr>
          <w:rFonts w:ascii="宋体" w:hAnsi="宋体" w:cs="宋体" w:eastAsia="宋体" w:hint="default"/>
          <w:b/>
          <w:bCs/>
          <w:w w:val="99"/>
          <w:sz w:val="28"/>
          <w:szCs w:val="28"/>
        </w:rPr>
        <w:t> </w:t>
      </w:r>
      <w:r>
        <w:rPr>
          <w:rFonts w:ascii="宋体" w:hAnsi="宋体" w:cs="宋体" w:eastAsia="宋体" w:hint="default"/>
          <w:b/>
          <w:bCs/>
          <w:spacing w:val="-4"/>
          <w:sz w:val="28"/>
          <w:szCs w:val="28"/>
        </w:rPr>
        <w:t>深圳证券交易所深证上（</w:t>
      </w:r>
      <w:r>
        <w:rPr>
          <w:rFonts w:ascii="Times New Roman" w:hAnsi="Times New Roman" w:cs="Times New Roman" w:eastAsia="Times New Roman" w:hint="default"/>
          <w:b/>
          <w:bCs/>
          <w:spacing w:val="-4"/>
          <w:sz w:val="28"/>
          <w:szCs w:val="28"/>
        </w:rPr>
        <w:t>2015</w:t>
      </w:r>
      <w:r>
        <w:rPr>
          <w:rFonts w:ascii="宋体" w:hAnsi="宋体" w:cs="宋体" w:eastAsia="宋体" w:hint="default"/>
          <w:b/>
          <w:bCs/>
          <w:spacing w:val="-4"/>
          <w:sz w:val="28"/>
          <w:szCs w:val="28"/>
        </w:rPr>
        <w:t>）</w:t>
      </w:r>
      <w:r>
        <w:rPr>
          <w:rFonts w:ascii="Times New Roman" w:hAnsi="Times New Roman" w:cs="Times New Roman" w:eastAsia="Times New Roman" w:hint="default"/>
          <w:b/>
          <w:bCs/>
          <w:spacing w:val="-4"/>
          <w:sz w:val="28"/>
          <w:szCs w:val="28"/>
        </w:rPr>
        <w:t>258</w:t>
      </w:r>
      <w:r>
        <w:rPr>
          <w:rFonts w:ascii="Times New Roman" w:hAnsi="Times New Roman" w:cs="Times New Roman" w:eastAsia="Times New Roman" w:hint="default"/>
          <w:b/>
          <w:bCs/>
          <w:spacing w:val="-23"/>
          <w:sz w:val="28"/>
          <w:szCs w:val="28"/>
        </w:rPr>
        <w:t> </w:t>
      </w:r>
      <w:r>
        <w:rPr>
          <w:rFonts w:ascii="宋体" w:hAnsi="宋体" w:cs="宋体" w:eastAsia="宋体" w:hint="default"/>
          <w:b/>
          <w:bCs/>
          <w:sz w:val="28"/>
          <w:szCs w:val="28"/>
        </w:rPr>
        <w:t>号文同意，首次向社会公开发行人民币普通</w:t>
      </w:r>
      <w:r>
        <w:rPr>
          <w:rFonts w:ascii="宋体" w:hAnsi="宋体" w:cs="宋体" w:eastAsia="宋体" w:hint="default"/>
          <w:b/>
          <w:bCs/>
          <w:w w:val="99"/>
          <w:sz w:val="28"/>
          <w:szCs w:val="28"/>
        </w:rPr>
        <w:t> </w:t>
      </w:r>
      <w:r>
        <w:rPr>
          <w:rFonts w:ascii="宋体" w:hAnsi="宋体" w:cs="宋体" w:eastAsia="宋体" w:hint="default"/>
          <w:b/>
          <w:bCs/>
          <w:spacing w:val="8"/>
          <w:sz w:val="28"/>
          <w:szCs w:val="28"/>
        </w:rPr>
        <w:t>股（</w:t>
      </w:r>
      <w:r>
        <w:rPr>
          <w:rFonts w:ascii="Times New Roman" w:hAnsi="Times New Roman" w:cs="Times New Roman" w:eastAsia="Times New Roman" w:hint="default"/>
          <w:b/>
          <w:bCs/>
          <w:spacing w:val="8"/>
          <w:sz w:val="28"/>
          <w:szCs w:val="28"/>
        </w:rPr>
        <w:t>A </w:t>
      </w:r>
      <w:r>
        <w:rPr>
          <w:rFonts w:ascii="宋体" w:hAnsi="宋体" w:cs="宋体" w:eastAsia="宋体" w:hint="default"/>
          <w:b/>
          <w:bCs/>
          <w:spacing w:val="3"/>
          <w:sz w:val="28"/>
          <w:szCs w:val="28"/>
        </w:rPr>
        <w:t>股）</w:t>
      </w:r>
      <w:r>
        <w:rPr>
          <w:rFonts w:ascii="Times New Roman" w:hAnsi="Times New Roman" w:cs="Times New Roman" w:eastAsia="Times New Roman" w:hint="default"/>
          <w:b/>
          <w:bCs/>
          <w:spacing w:val="3"/>
          <w:sz w:val="28"/>
          <w:szCs w:val="28"/>
        </w:rPr>
        <w:t>1,667 </w:t>
      </w:r>
      <w:r>
        <w:rPr>
          <w:rFonts w:ascii="宋体" w:hAnsi="宋体" w:cs="宋体" w:eastAsia="宋体" w:hint="default"/>
          <w:b/>
          <w:bCs/>
          <w:spacing w:val="10"/>
          <w:sz w:val="28"/>
          <w:szCs w:val="28"/>
        </w:rPr>
        <w:t>万股，每股发行价格 </w:t>
      </w:r>
      <w:r>
        <w:rPr>
          <w:rFonts w:ascii="Times New Roman" w:hAnsi="Times New Roman" w:cs="Times New Roman" w:eastAsia="Times New Roman" w:hint="default"/>
          <w:b/>
          <w:bCs/>
          <w:sz w:val="28"/>
          <w:szCs w:val="28"/>
        </w:rPr>
        <w:t>14.84</w:t>
      </w:r>
      <w:r>
        <w:rPr>
          <w:rFonts w:ascii="Times New Roman" w:hAnsi="Times New Roman" w:cs="Times New Roman" w:eastAsia="Times New Roman" w:hint="default"/>
          <w:b/>
          <w:bCs/>
          <w:spacing w:val="56"/>
          <w:sz w:val="28"/>
          <w:szCs w:val="28"/>
        </w:rPr>
        <w:t> </w:t>
      </w:r>
      <w:r>
        <w:rPr>
          <w:rFonts w:ascii="宋体" w:hAnsi="宋体" w:cs="宋体" w:eastAsia="宋体" w:hint="default"/>
          <w:b/>
          <w:bCs/>
          <w:spacing w:val="10"/>
          <w:sz w:val="28"/>
          <w:szCs w:val="28"/>
        </w:rPr>
        <w:t>元，新股发行募集资金总额为</w:t>
      </w:r>
      <w:r>
        <w:rPr>
          <w:rFonts w:ascii="宋体" w:hAnsi="宋体" w:cs="宋体" w:eastAsia="宋体" w:hint="default"/>
          <w:b/>
          <w:bCs/>
          <w:w w:val="99"/>
          <w:sz w:val="28"/>
          <w:szCs w:val="28"/>
        </w:rPr>
        <w:t> </w:t>
      </w:r>
      <w:r>
        <w:rPr>
          <w:rFonts w:ascii="Times New Roman" w:hAnsi="Times New Roman" w:cs="Times New Roman" w:eastAsia="Times New Roman" w:hint="default"/>
          <w:b/>
          <w:bCs/>
          <w:sz w:val="28"/>
          <w:szCs w:val="28"/>
        </w:rPr>
        <w:t>247,382,800.00  </w:t>
      </w:r>
      <w:r>
        <w:rPr>
          <w:rFonts w:ascii="宋体" w:hAnsi="宋体" w:cs="宋体" w:eastAsia="宋体" w:hint="default"/>
          <w:b/>
          <w:bCs/>
          <w:sz w:val="28"/>
          <w:szCs w:val="28"/>
        </w:rPr>
        <w:t>元，减除发行费用人民币 </w:t>
      </w:r>
      <w:r>
        <w:rPr>
          <w:rFonts w:ascii="Times New Roman" w:hAnsi="Times New Roman" w:cs="Times New Roman" w:eastAsia="Times New Roman" w:hint="default"/>
          <w:b/>
          <w:bCs/>
          <w:sz w:val="28"/>
          <w:szCs w:val="28"/>
        </w:rPr>
        <w:t>34,348,135.15 </w:t>
      </w:r>
      <w:r>
        <w:rPr>
          <w:rFonts w:ascii="宋体" w:hAnsi="宋体" w:cs="宋体" w:eastAsia="宋体" w:hint="default"/>
          <w:b/>
          <w:bCs/>
          <w:sz w:val="28"/>
          <w:szCs w:val="28"/>
        </w:rPr>
        <w:t>元后，募集资金净额为</w:t>
      </w:r>
      <w:r>
        <w:rPr>
          <w:rFonts w:ascii="宋体" w:hAnsi="宋体" w:cs="宋体" w:eastAsia="宋体" w:hint="default"/>
          <w:sz w:val="28"/>
          <w:szCs w:val="28"/>
        </w:rPr>
      </w:r>
    </w:p>
    <w:p>
      <w:pPr>
        <w:spacing w:before="47"/>
        <w:ind w:left="154" w:right="0" w:firstLine="0"/>
        <w:jc w:val="both"/>
        <w:rPr>
          <w:rFonts w:ascii="宋体" w:hAnsi="宋体" w:cs="宋体" w:eastAsia="宋体" w:hint="default"/>
          <w:sz w:val="28"/>
          <w:szCs w:val="28"/>
        </w:rPr>
      </w:pPr>
      <w:r>
        <w:rPr>
          <w:rFonts w:ascii="Times New Roman" w:hAnsi="Times New Roman" w:cs="Times New Roman" w:eastAsia="Times New Roman" w:hint="default"/>
          <w:b/>
          <w:bCs/>
          <w:w w:val="99"/>
          <w:sz w:val="28"/>
          <w:szCs w:val="28"/>
        </w:rPr>
        <w:t>213,034,</w:t>
      </w:r>
      <w:r>
        <w:rPr>
          <w:rFonts w:ascii="Times New Roman" w:hAnsi="Times New Roman" w:cs="Times New Roman" w:eastAsia="Times New Roman" w:hint="default"/>
          <w:b/>
          <w:bCs/>
          <w:spacing w:val="-1"/>
          <w:w w:val="99"/>
          <w:sz w:val="28"/>
          <w:szCs w:val="28"/>
        </w:rPr>
        <w:t>6</w:t>
      </w:r>
      <w:r>
        <w:rPr>
          <w:rFonts w:ascii="Times New Roman" w:hAnsi="Times New Roman" w:cs="Times New Roman" w:eastAsia="Times New Roman" w:hint="default"/>
          <w:b/>
          <w:bCs/>
          <w:w w:val="99"/>
          <w:sz w:val="28"/>
          <w:szCs w:val="28"/>
        </w:rPr>
        <w:t>64.85</w:t>
      </w:r>
      <w:r>
        <w:rPr>
          <w:rFonts w:ascii="Times New Roman" w:hAnsi="Times New Roman" w:cs="Times New Roman" w:eastAsia="Times New Roman" w:hint="default"/>
          <w:b/>
          <w:bCs/>
          <w:spacing w:val="3"/>
          <w:sz w:val="28"/>
          <w:szCs w:val="28"/>
        </w:rPr>
        <w:t> </w:t>
      </w:r>
      <w:r>
        <w:rPr>
          <w:rFonts w:ascii="宋体" w:hAnsi="宋体" w:cs="宋体" w:eastAsia="宋体" w:hint="default"/>
          <w:b/>
          <w:bCs/>
          <w:w w:val="99"/>
          <w:sz w:val="28"/>
          <w:szCs w:val="28"/>
        </w:rPr>
        <w:t>元</w:t>
      </w:r>
      <w:r>
        <w:rPr>
          <w:rFonts w:ascii="宋体" w:hAnsi="宋体" w:cs="宋体" w:eastAsia="宋体" w:hint="default"/>
          <w:b/>
          <w:bCs/>
          <w:spacing w:val="-120"/>
          <w:w w:val="99"/>
          <w:sz w:val="28"/>
          <w:szCs w:val="28"/>
        </w:rPr>
        <w:t>。</w:t>
      </w:r>
      <w:r>
        <w:rPr>
          <w:rFonts w:ascii="宋体" w:hAnsi="宋体" w:cs="宋体" w:eastAsia="宋体" w:hint="default"/>
          <w:b/>
          <w:bCs/>
          <w:w w:val="99"/>
          <w:sz w:val="28"/>
          <w:szCs w:val="28"/>
        </w:rPr>
        <w:t>公司首</w:t>
      </w:r>
      <w:r>
        <w:rPr>
          <w:rFonts w:ascii="宋体" w:hAnsi="宋体" w:cs="宋体" w:eastAsia="宋体" w:hint="default"/>
          <w:b/>
          <w:bCs/>
          <w:spacing w:val="2"/>
          <w:w w:val="99"/>
          <w:sz w:val="28"/>
          <w:szCs w:val="28"/>
        </w:rPr>
        <w:t>次</w:t>
      </w:r>
      <w:r>
        <w:rPr>
          <w:rFonts w:ascii="宋体" w:hAnsi="宋体" w:cs="宋体" w:eastAsia="宋体" w:hint="default"/>
          <w:b/>
          <w:bCs/>
          <w:w w:val="99"/>
          <w:sz w:val="28"/>
          <w:szCs w:val="28"/>
        </w:rPr>
        <w:t>公开发</w:t>
      </w:r>
      <w:r>
        <w:rPr>
          <w:rFonts w:ascii="宋体" w:hAnsi="宋体" w:cs="宋体" w:eastAsia="宋体" w:hint="default"/>
          <w:b/>
          <w:bCs/>
          <w:spacing w:val="2"/>
          <w:w w:val="99"/>
          <w:sz w:val="28"/>
          <w:szCs w:val="28"/>
        </w:rPr>
        <w:t>行</w:t>
      </w:r>
      <w:r>
        <w:rPr>
          <w:rFonts w:ascii="宋体" w:hAnsi="宋体" w:cs="宋体" w:eastAsia="宋体" w:hint="default"/>
          <w:b/>
          <w:bCs/>
          <w:w w:val="99"/>
          <w:sz w:val="28"/>
          <w:szCs w:val="28"/>
        </w:rPr>
        <w:t>募集资</w:t>
      </w:r>
      <w:r>
        <w:rPr>
          <w:rFonts w:ascii="宋体" w:hAnsi="宋体" w:cs="宋体" w:eastAsia="宋体" w:hint="default"/>
          <w:b/>
          <w:bCs/>
          <w:spacing w:val="2"/>
          <w:w w:val="99"/>
          <w:sz w:val="28"/>
          <w:szCs w:val="28"/>
        </w:rPr>
        <w:t>金</w:t>
      </w:r>
      <w:r>
        <w:rPr>
          <w:rFonts w:ascii="宋体" w:hAnsi="宋体" w:cs="宋体" w:eastAsia="宋体" w:hint="default"/>
          <w:b/>
          <w:bCs/>
          <w:w w:val="99"/>
          <w:sz w:val="28"/>
          <w:szCs w:val="28"/>
        </w:rPr>
        <w:t>全部用</w:t>
      </w:r>
      <w:r>
        <w:rPr>
          <w:rFonts w:ascii="宋体" w:hAnsi="宋体" w:cs="宋体" w:eastAsia="宋体" w:hint="default"/>
          <w:b/>
          <w:bCs/>
          <w:spacing w:val="2"/>
          <w:w w:val="99"/>
          <w:sz w:val="28"/>
          <w:szCs w:val="28"/>
        </w:rPr>
        <w:t>于</w:t>
      </w:r>
      <w:r>
        <w:rPr>
          <w:rFonts w:ascii="宋体" w:hAnsi="宋体" w:cs="宋体" w:eastAsia="宋体" w:hint="default"/>
          <w:b/>
          <w:bCs/>
          <w:w w:val="99"/>
          <w:sz w:val="28"/>
          <w:szCs w:val="28"/>
        </w:rPr>
        <w:t>建设年产</w:t>
      </w:r>
      <w:r>
        <w:rPr>
          <w:rFonts w:ascii="宋体" w:hAnsi="宋体" w:cs="宋体" w:eastAsia="宋体" w:hint="default"/>
          <w:b/>
          <w:bCs/>
          <w:spacing w:val="-61"/>
          <w:sz w:val="28"/>
          <w:szCs w:val="28"/>
        </w:rPr>
        <w:t> </w:t>
      </w:r>
      <w:r>
        <w:rPr>
          <w:rFonts w:ascii="Times New Roman" w:hAnsi="Times New Roman" w:cs="Times New Roman" w:eastAsia="Times New Roman" w:hint="default"/>
          <w:b/>
          <w:bCs/>
          <w:w w:val="99"/>
          <w:sz w:val="28"/>
          <w:szCs w:val="28"/>
        </w:rPr>
        <w:t>10,000</w:t>
      </w:r>
      <w:r>
        <w:rPr>
          <w:rFonts w:ascii="Times New Roman" w:hAnsi="Times New Roman" w:cs="Times New Roman" w:eastAsia="Times New Roman" w:hint="default"/>
          <w:b/>
          <w:bCs/>
          <w:spacing w:val="1"/>
          <w:sz w:val="28"/>
          <w:szCs w:val="28"/>
        </w:rPr>
        <w:t> </w:t>
      </w:r>
      <w:r>
        <w:rPr>
          <w:rFonts w:ascii="宋体" w:hAnsi="宋体" w:cs="宋体" w:eastAsia="宋体" w:hint="default"/>
          <w:b/>
          <w:bCs/>
          <w:w w:val="99"/>
          <w:sz w:val="28"/>
          <w:szCs w:val="28"/>
        </w:rPr>
        <w:t>吨塑料</w:t>
      </w:r>
      <w:r>
        <w:rPr>
          <w:rFonts w:ascii="宋体" w:hAnsi="宋体" w:cs="宋体" w:eastAsia="宋体" w:hint="default"/>
          <w:sz w:val="28"/>
          <w:szCs w:val="28"/>
        </w:rPr>
      </w:r>
    </w:p>
    <w:p>
      <w:pPr>
        <w:spacing w:before="236"/>
        <w:ind w:left="154" w:right="0" w:firstLine="0"/>
        <w:jc w:val="both"/>
        <w:rPr>
          <w:rFonts w:ascii="宋体" w:hAnsi="宋体" w:cs="宋体" w:eastAsia="宋体" w:hint="default"/>
          <w:sz w:val="28"/>
          <w:szCs w:val="28"/>
        </w:rPr>
      </w:pPr>
      <w:r>
        <w:rPr>
          <w:rFonts w:ascii="宋体" w:hAnsi="宋体" w:cs="宋体" w:eastAsia="宋体" w:hint="default"/>
          <w:b/>
          <w:bCs/>
          <w:sz w:val="28"/>
          <w:szCs w:val="28"/>
        </w:rPr>
        <w:t>电缆料颗粒项目和年产</w:t>
      </w:r>
      <w:r>
        <w:rPr>
          <w:rFonts w:ascii="宋体" w:hAnsi="宋体" w:cs="宋体" w:eastAsia="宋体" w:hint="default"/>
          <w:b/>
          <w:bCs/>
          <w:spacing w:val="-79"/>
          <w:sz w:val="28"/>
          <w:szCs w:val="28"/>
        </w:rPr>
        <w:t> </w:t>
      </w:r>
      <w:r>
        <w:rPr>
          <w:rFonts w:ascii="Times New Roman" w:hAnsi="Times New Roman" w:cs="Times New Roman" w:eastAsia="Times New Roman" w:hint="default"/>
          <w:b/>
          <w:bCs/>
          <w:sz w:val="28"/>
          <w:szCs w:val="28"/>
        </w:rPr>
        <w:t>25,000</w:t>
      </w:r>
      <w:r>
        <w:rPr>
          <w:rFonts w:ascii="Times New Roman" w:hAnsi="Times New Roman" w:cs="Times New Roman" w:eastAsia="Times New Roman" w:hint="default"/>
          <w:b/>
          <w:bCs/>
          <w:spacing w:val="-10"/>
          <w:sz w:val="28"/>
          <w:szCs w:val="28"/>
        </w:rPr>
        <w:t> </w:t>
      </w:r>
      <w:r>
        <w:rPr>
          <w:rFonts w:ascii="宋体" w:hAnsi="宋体" w:cs="宋体" w:eastAsia="宋体" w:hint="default"/>
          <w:b/>
          <w:bCs/>
          <w:sz w:val="28"/>
          <w:szCs w:val="28"/>
        </w:rPr>
        <w:t>吨塑料电缆料颗粒项目。公司在确定投资项目之</w:t>
      </w:r>
      <w:r>
        <w:rPr>
          <w:rFonts w:ascii="宋体" w:hAnsi="宋体" w:cs="宋体" w:eastAsia="宋体" w:hint="default"/>
          <w:sz w:val="28"/>
          <w:szCs w:val="28"/>
        </w:rPr>
      </w:r>
    </w:p>
    <w:p>
      <w:pPr>
        <w:spacing w:after="0"/>
        <w:jc w:val="both"/>
        <w:rPr>
          <w:rFonts w:ascii="宋体" w:hAnsi="宋体" w:cs="宋体" w:eastAsia="宋体" w:hint="default"/>
          <w:sz w:val="28"/>
          <w:szCs w:val="28"/>
        </w:rPr>
        <w:sectPr>
          <w:footerReference w:type="default" r:id="rId8"/>
          <w:pgSz w:w="11910" w:h="16840"/>
          <w:pgMar w:footer="979" w:header="747" w:top="1060" w:bottom="1160" w:left="980" w:right="880"/>
          <w:pgNumType w:start="2"/>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7"/>
        <w:rPr>
          <w:rFonts w:ascii="宋体" w:hAnsi="宋体" w:cs="宋体" w:eastAsia="宋体" w:hint="default"/>
          <w:b/>
          <w:bCs/>
          <w:sz w:val="29"/>
          <w:szCs w:val="29"/>
        </w:rPr>
      </w:pPr>
    </w:p>
    <w:p>
      <w:pPr>
        <w:spacing w:line="405" w:lineRule="auto" w:before="13"/>
        <w:ind w:left="154" w:right="158" w:firstLine="0"/>
        <w:jc w:val="both"/>
        <w:rPr>
          <w:rFonts w:ascii="宋体" w:hAnsi="宋体" w:cs="宋体" w:eastAsia="宋体" w:hint="default"/>
          <w:sz w:val="28"/>
          <w:szCs w:val="28"/>
        </w:rPr>
      </w:pPr>
      <w:r>
        <w:rPr>
          <w:rFonts w:ascii="宋体" w:hAnsi="宋体" w:cs="宋体" w:eastAsia="宋体" w:hint="default"/>
          <w:b/>
          <w:bCs/>
          <w:spacing w:val="3"/>
          <w:w w:val="95"/>
          <w:sz w:val="28"/>
          <w:szCs w:val="28"/>
        </w:rPr>
        <w:t>前进行了科学严格的论证，募投项目符合国家产业政策和行业发展趋势，具备</w:t>
      </w:r>
      <w:r>
        <w:rPr>
          <w:rFonts w:ascii="宋体" w:hAnsi="宋体" w:cs="宋体" w:eastAsia="宋体" w:hint="default"/>
          <w:b/>
          <w:bCs/>
          <w:spacing w:val="26"/>
          <w:w w:val="95"/>
          <w:sz w:val="28"/>
          <w:szCs w:val="28"/>
        </w:rPr>
        <w:t> </w:t>
      </w:r>
      <w:r>
        <w:rPr>
          <w:rFonts w:ascii="宋体" w:hAnsi="宋体" w:cs="宋体" w:eastAsia="宋体" w:hint="default"/>
          <w:b/>
          <w:bCs/>
          <w:spacing w:val="26"/>
          <w:w w:val="95"/>
          <w:sz w:val="28"/>
          <w:szCs w:val="28"/>
        </w:rPr>
      </w:r>
      <w:r>
        <w:rPr>
          <w:rFonts w:ascii="宋体" w:hAnsi="宋体" w:cs="宋体" w:eastAsia="宋体" w:hint="default"/>
          <w:b/>
          <w:bCs/>
          <w:sz w:val="28"/>
          <w:szCs w:val="28"/>
        </w:rPr>
        <w:t>良好的发展前景；该项目自</w:t>
      </w:r>
      <w:r>
        <w:rPr>
          <w:rFonts w:ascii="宋体" w:hAnsi="宋体" w:cs="宋体" w:eastAsia="宋体" w:hint="default"/>
          <w:b/>
          <w:bCs/>
          <w:spacing w:val="-53"/>
          <w:sz w:val="28"/>
          <w:szCs w:val="28"/>
        </w:rPr>
        <w:t> </w:t>
      </w:r>
      <w:r>
        <w:rPr>
          <w:rFonts w:ascii="Times New Roman" w:hAnsi="Times New Roman" w:cs="Times New Roman" w:eastAsia="Times New Roman" w:hint="default"/>
          <w:b/>
          <w:bCs/>
          <w:sz w:val="28"/>
          <w:szCs w:val="28"/>
        </w:rPr>
        <w:t>2015</w:t>
      </w:r>
      <w:r>
        <w:rPr>
          <w:rFonts w:ascii="Times New Roman" w:hAnsi="Times New Roman" w:cs="Times New Roman" w:eastAsia="Times New Roman" w:hint="default"/>
          <w:b/>
          <w:bCs/>
          <w:spacing w:val="13"/>
          <w:sz w:val="28"/>
          <w:szCs w:val="28"/>
        </w:rPr>
        <w:t> </w:t>
      </w:r>
      <w:r>
        <w:rPr>
          <w:rFonts w:ascii="宋体" w:hAnsi="宋体" w:cs="宋体" w:eastAsia="宋体" w:hint="default"/>
          <w:b/>
          <w:bCs/>
          <w:sz w:val="28"/>
          <w:szCs w:val="28"/>
        </w:rPr>
        <w:t>年</w:t>
      </w:r>
      <w:r>
        <w:rPr>
          <w:rFonts w:ascii="宋体" w:hAnsi="宋体" w:cs="宋体" w:eastAsia="宋体" w:hint="default"/>
          <w:b/>
          <w:bCs/>
          <w:spacing w:val="-58"/>
          <w:sz w:val="28"/>
          <w:szCs w:val="28"/>
        </w:rPr>
        <w:t> </w:t>
      </w:r>
      <w:r>
        <w:rPr>
          <w:rFonts w:ascii="Times New Roman" w:hAnsi="Times New Roman" w:cs="Times New Roman" w:eastAsia="Times New Roman" w:hint="default"/>
          <w:b/>
          <w:bCs/>
          <w:sz w:val="28"/>
          <w:szCs w:val="28"/>
        </w:rPr>
        <w:t>12</w:t>
      </w:r>
      <w:r>
        <w:rPr>
          <w:rFonts w:ascii="Times New Roman" w:hAnsi="Times New Roman" w:cs="Times New Roman" w:eastAsia="Times New Roman" w:hint="default"/>
          <w:b/>
          <w:bCs/>
          <w:spacing w:val="12"/>
          <w:sz w:val="28"/>
          <w:szCs w:val="28"/>
        </w:rPr>
        <w:t> </w:t>
      </w:r>
      <w:r>
        <w:rPr>
          <w:rFonts w:ascii="宋体" w:hAnsi="宋体" w:cs="宋体" w:eastAsia="宋体" w:hint="default"/>
          <w:b/>
          <w:bCs/>
          <w:sz w:val="28"/>
          <w:szCs w:val="28"/>
        </w:rPr>
        <w:t>月开工建设以来按计划稳步推进，目前</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项目已进入最后的装潢、装修阶段，其中科研楼、办公楼、活动中心已进入装</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pacing w:val="3"/>
          <w:w w:val="95"/>
          <w:sz w:val="28"/>
          <w:szCs w:val="28"/>
        </w:rPr>
        <w:t>修竣工阶段，部分设备已完成安装并投入运行，预计在今年即可全面竣工并投</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pacing w:val="3"/>
          <w:w w:val="95"/>
          <w:sz w:val="28"/>
          <w:szCs w:val="28"/>
        </w:rPr>
        <w:t>入运行。项目建成投产后，如果因市场环境发生不可预测的重大变化等原因，</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z w:val="28"/>
          <w:szCs w:val="28"/>
        </w:rPr>
        <w:t>公司将面临项目投资达不到预期收益的风险。</w:t>
      </w:r>
      <w:r>
        <w:rPr>
          <w:rFonts w:ascii="宋体" w:hAnsi="宋体" w:cs="宋体" w:eastAsia="宋体" w:hint="default"/>
          <w:sz w:val="28"/>
          <w:szCs w:val="28"/>
        </w:rPr>
      </w:r>
    </w:p>
    <w:p>
      <w:pPr>
        <w:spacing w:line="472" w:lineRule="auto" w:before="164"/>
        <w:ind w:left="716" w:right="0" w:firstLine="0"/>
        <w:jc w:val="left"/>
        <w:rPr>
          <w:rFonts w:ascii="宋体" w:hAnsi="宋体" w:cs="宋体" w:eastAsia="宋体" w:hint="default"/>
          <w:sz w:val="28"/>
          <w:szCs w:val="28"/>
        </w:rPr>
      </w:pPr>
      <w:r>
        <w:rPr>
          <w:rFonts w:ascii="宋体" w:hAnsi="宋体" w:cs="宋体" w:eastAsia="宋体" w:hint="default"/>
          <w:b/>
          <w:bCs/>
          <w:sz w:val="28"/>
          <w:szCs w:val="28"/>
        </w:rPr>
        <w:t>（三）市场竞争风险</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公司主营业务为线缆用高分子材料的研发、生产和销售，产品广泛运用于</w:t>
      </w:r>
      <w:r>
        <w:rPr>
          <w:rFonts w:ascii="宋体" w:hAnsi="宋体" w:cs="宋体" w:eastAsia="宋体" w:hint="default"/>
          <w:spacing w:val="3"/>
          <w:sz w:val="28"/>
          <w:szCs w:val="28"/>
        </w:rPr>
      </w:r>
    </w:p>
    <w:p>
      <w:pPr>
        <w:spacing w:line="408" w:lineRule="auto" w:before="0"/>
        <w:ind w:left="154" w:right="155" w:firstLine="0"/>
        <w:jc w:val="both"/>
        <w:rPr>
          <w:rFonts w:ascii="宋体" w:hAnsi="宋体" w:cs="宋体" w:eastAsia="宋体" w:hint="default"/>
          <w:sz w:val="28"/>
          <w:szCs w:val="28"/>
        </w:rPr>
      </w:pPr>
      <w:r>
        <w:rPr>
          <w:rFonts w:ascii="宋体" w:hAnsi="宋体" w:cs="宋体" w:eastAsia="宋体" w:hint="default"/>
          <w:b/>
          <w:bCs/>
          <w:spacing w:val="3"/>
          <w:w w:val="95"/>
          <w:sz w:val="28"/>
          <w:szCs w:val="28"/>
        </w:rPr>
        <w:t>电力、船舶、轨道交通、通信、电气装备、建筑、新能源等领域。公司始终以</w:t>
      </w:r>
      <w:r>
        <w:rPr>
          <w:rFonts w:ascii="宋体" w:hAnsi="宋体" w:cs="宋体" w:eastAsia="宋体" w:hint="default"/>
          <w:b/>
          <w:bCs/>
          <w:spacing w:val="32"/>
          <w:w w:val="95"/>
          <w:sz w:val="28"/>
          <w:szCs w:val="28"/>
        </w:rPr>
        <w:t> </w:t>
      </w:r>
      <w:r>
        <w:rPr>
          <w:rFonts w:ascii="宋体" w:hAnsi="宋体" w:cs="宋体" w:eastAsia="宋体" w:hint="default"/>
          <w:b/>
          <w:bCs/>
          <w:spacing w:val="32"/>
          <w:w w:val="95"/>
          <w:sz w:val="28"/>
          <w:szCs w:val="28"/>
        </w:rPr>
      </w:r>
      <w:r>
        <w:rPr>
          <w:rFonts w:ascii="宋体" w:hAnsi="宋体" w:cs="宋体" w:eastAsia="宋体" w:hint="default"/>
          <w:b/>
          <w:bCs/>
          <w:spacing w:val="3"/>
          <w:w w:val="95"/>
          <w:sz w:val="28"/>
          <w:szCs w:val="28"/>
        </w:rPr>
        <w:t>市场为导向，坚持自主研发为主的技术创新道路，通过持续不断的研发创新与</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pacing w:val="3"/>
          <w:w w:val="95"/>
          <w:sz w:val="28"/>
          <w:szCs w:val="28"/>
        </w:rPr>
        <w:t>产品升级，已成为国内少数生产规模化、产品系列化、配方和生产工艺先进的</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pacing w:val="3"/>
          <w:w w:val="95"/>
          <w:sz w:val="28"/>
          <w:szCs w:val="28"/>
        </w:rPr>
        <w:t>线缆材料生产企业。如果公司不能持续提高技术和研发水平，保持生产管理、</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pacing w:val="3"/>
          <w:w w:val="95"/>
          <w:sz w:val="28"/>
          <w:szCs w:val="28"/>
        </w:rPr>
        <w:t>产品质量、营销与服务的先进性，公司将会面临不利的市场竞争局面，经营业</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z w:val="28"/>
          <w:szCs w:val="28"/>
        </w:rPr>
        <w:t>绩和财务状况将受到一定影响。</w:t>
      </w:r>
      <w:r>
        <w:rPr>
          <w:rFonts w:ascii="宋体" w:hAnsi="宋体" w:cs="宋体" w:eastAsia="宋体" w:hint="default"/>
          <w:sz w:val="28"/>
          <w:szCs w:val="28"/>
        </w:rPr>
      </w:r>
    </w:p>
    <w:p>
      <w:pPr>
        <w:spacing w:line="472" w:lineRule="auto" w:before="161"/>
        <w:ind w:left="716" w:right="0" w:firstLine="0"/>
        <w:jc w:val="left"/>
        <w:rPr>
          <w:rFonts w:ascii="宋体" w:hAnsi="宋体" w:cs="宋体" w:eastAsia="宋体" w:hint="default"/>
          <w:sz w:val="28"/>
          <w:szCs w:val="28"/>
        </w:rPr>
      </w:pPr>
      <w:r>
        <w:rPr>
          <w:rFonts w:ascii="宋体" w:hAnsi="宋体" w:cs="宋体" w:eastAsia="宋体" w:hint="default"/>
          <w:b/>
          <w:bCs/>
          <w:sz w:val="28"/>
          <w:szCs w:val="28"/>
        </w:rPr>
        <w:t>（四）固定资产折旧的影响</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公司的两个募投项目竣工验收后，固定资产折旧额将大幅增加，新增折旧</w:t>
      </w:r>
      <w:r>
        <w:rPr>
          <w:rFonts w:ascii="宋体" w:hAnsi="宋体" w:cs="宋体" w:eastAsia="宋体" w:hint="default"/>
          <w:spacing w:val="3"/>
          <w:sz w:val="28"/>
          <w:szCs w:val="28"/>
        </w:rPr>
      </w:r>
    </w:p>
    <w:p>
      <w:pPr>
        <w:spacing w:line="410" w:lineRule="auto" w:before="0"/>
        <w:ind w:left="154" w:right="164" w:firstLine="0"/>
        <w:jc w:val="both"/>
        <w:rPr>
          <w:rFonts w:ascii="宋体" w:hAnsi="宋体" w:cs="宋体" w:eastAsia="宋体" w:hint="default"/>
          <w:sz w:val="28"/>
          <w:szCs w:val="28"/>
        </w:rPr>
      </w:pPr>
      <w:r>
        <w:rPr>
          <w:rFonts w:ascii="宋体" w:hAnsi="宋体" w:cs="宋体" w:eastAsia="宋体" w:hint="default"/>
          <w:b/>
          <w:bCs/>
          <w:spacing w:val="3"/>
          <w:w w:val="95"/>
          <w:sz w:val="28"/>
          <w:szCs w:val="28"/>
        </w:rPr>
        <w:t>额将影响公司经营业绩。若募投项目投产后的效益不及预期，公司将面临因固</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z w:val="28"/>
          <w:szCs w:val="28"/>
        </w:rPr>
        <w:t>定资产折旧增加而导致利润下滑的风险。</w:t>
      </w:r>
      <w:r>
        <w:rPr>
          <w:rFonts w:ascii="宋体" w:hAnsi="宋体" w:cs="宋体" w:eastAsia="宋体" w:hint="default"/>
          <w:sz w:val="28"/>
          <w:szCs w:val="28"/>
        </w:rPr>
      </w:r>
    </w:p>
    <w:p>
      <w:pPr>
        <w:spacing w:line="472" w:lineRule="auto" w:before="159"/>
        <w:ind w:left="716" w:right="0" w:firstLine="0"/>
        <w:jc w:val="left"/>
        <w:rPr>
          <w:rFonts w:ascii="宋体" w:hAnsi="宋体" w:cs="宋体" w:eastAsia="宋体" w:hint="default"/>
          <w:sz w:val="28"/>
          <w:szCs w:val="28"/>
        </w:rPr>
      </w:pPr>
      <w:r>
        <w:rPr>
          <w:rFonts w:ascii="宋体" w:hAnsi="宋体" w:cs="宋体" w:eastAsia="宋体" w:hint="default"/>
          <w:b/>
          <w:bCs/>
          <w:sz w:val="28"/>
          <w:szCs w:val="28"/>
        </w:rPr>
        <w:t>（五）投资并购及管理风险</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为实现跨越式的发展，公司确立了外延并购的战略方针，以支付现金的方</w:t>
      </w:r>
      <w:r>
        <w:rPr>
          <w:rFonts w:ascii="宋体" w:hAnsi="宋体" w:cs="宋体" w:eastAsia="宋体" w:hint="default"/>
          <w:spacing w:val="3"/>
          <w:sz w:val="28"/>
          <w:szCs w:val="28"/>
        </w:rPr>
      </w:r>
    </w:p>
    <w:p>
      <w:pPr>
        <w:spacing w:line="352" w:lineRule="exact" w:before="0"/>
        <w:ind w:left="154" w:right="0" w:firstLine="0"/>
        <w:jc w:val="both"/>
        <w:rPr>
          <w:rFonts w:ascii="宋体" w:hAnsi="宋体" w:cs="宋体" w:eastAsia="宋体" w:hint="default"/>
          <w:sz w:val="28"/>
          <w:szCs w:val="28"/>
        </w:rPr>
      </w:pPr>
      <w:r>
        <w:rPr>
          <w:rFonts w:ascii="宋体" w:hAnsi="宋体" w:cs="宋体" w:eastAsia="宋体" w:hint="default"/>
          <w:b/>
          <w:bCs/>
          <w:spacing w:val="3"/>
          <w:sz w:val="28"/>
          <w:szCs w:val="28"/>
        </w:rPr>
        <w:t>式收购了杭州奥能电源设备有限公司，公司与奥能电源在业务模式、管理制度</w:t>
      </w:r>
      <w:r>
        <w:rPr>
          <w:rFonts w:ascii="宋体" w:hAnsi="宋体" w:cs="宋体" w:eastAsia="宋体" w:hint="default"/>
          <w:spacing w:val="3"/>
          <w:sz w:val="28"/>
          <w:szCs w:val="28"/>
        </w:rPr>
      </w:r>
    </w:p>
    <w:p>
      <w:pPr>
        <w:spacing w:after="0" w:line="352" w:lineRule="exact"/>
        <w:jc w:val="both"/>
        <w:rPr>
          <w:rFonts w:ascii="宋体" w:hAnsi="宋体" w:cs="宋体" w:eastAsia="宋体" w:hint="default"/>
          <w:sz w:val="28"/>
          <w:szCs w:val="28"/>
        </w:rPr>
        <w:sectPr>
          <w:pgSz w:w="11910" w:h="16840"/>
          <w:pgMar w:header="747" w:footer="979" w:top="1060" w:bottom="1160" w:left="980" w:right="980"/>
        </w:sect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3"/>
          <w:szCs w:val="13"/>
        </w:rPr>
      </w:pPr>
    </w:p>
    <w:p>
      <w:pPr>
        <w:spacing w:line="408" w:lineRule="auto" w:before="13"/>
        <w:ind w:left="154" w:right="164" w:firstLine="0"/>
        <w:jc w:val="both"/>
        <w:rPr>
          <w:rFonts w:ascii="宋体" w:hAnsi="宋体" w:cs="宋体" w:eastAsia="宋体" w:hint="default"/>
          <w:sz w:val="28"/>
          <w:szCs w:val="28"/>
        </w:rPr>
      </w:pPr>
      <w:r>
        <w:rPr>
          <w:rFonts w:ascii="宋体" w:hAnsi="宋体" w:cs="宋体" w:eastAsia="宋体" w:hint="default"/>
          <w:b/>
          <w:bCs/>
          <w:spacing w:val="3"/>
          <w:w w:val="95"/>
          <w:sz w:val="28"/>
          <w:szCs w:val="28"/>
        </w:rPr>
        <w:t>和企业文化等方面存在一定的差异，业务板块之间的整合和协同发展效应有达</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pacing w:val="3"/>
          <w:w w:val="95"/>
          <w:sz w:val="28"/>
          <w:szCs w:val="28"/>
        </w:rPr>
        <w:t>不到预设目标的风险。收购奥能电源后，公司合并资产负债表中形成了一定金</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pacing w:val="3"/>
          <w:w w:val="95"/>
          <w:sz w:val="28"/>
          <w:szCs w:val="28"/>
        </w:rPr>
        <w:t>额的商誉，如果未来奥能电源的经营状况及盈利能力没有达到预期，则公司存</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z w:val="28"/>
          <w:szCs w:val="28"/>
        </w:rPr>
        <w:t>在计提商誉减值的风险。</w:t>
      </w:r>
      <w:r>
        <w:rPr>
          <w:rFonts w:ascii="宋体" w:hAnsi="宋体" w:cs="宋体" w:eastAsia="宋体" w:hint="default"/>
          <w:sz w:val="28"/>
          <w:szCs w:val="28"/>
        </w:rPr>
      </w:r>
    </w:p>
    <w:p>
      <w:pPr>
        <w:spacing w:before="160"/>
        <w:ind w:left="716" w:right="0" w:firstLine="0"/>
        <w:jc w:val="left"/>
        <w:rPr>
          <w:rFonts w:ascii="宋体" w:hAnsi="宋体" w:cs="宋体" w:eastAsia="宋体" w:hint="default"/>
          <w:sz w:val="28"/>
          <w:szCs w:val="28"/>
        </w:rPr>
      </w:pPr>
      <w:r>
        <w:rPr>
          <w:rFonts w:ascii="宋体" w:hAnsi="宋体" w:cs="宋体" w:eastAsia="宋体" w:hint="default"/>
          <w:b/>
          <w:bCs/>
          <w:sz w:val="28"/>
          <w:szCs w:val="28"/>
        </w:rPr>
        <w:t>公司经本次董事会审议通过的利润分配预案为：以</w:t>
      </w:r>
      <w:r>
        <w:rPr>
          <w:rFonts w:ascii="宋体" w:hAnsi="宋体" w:cs="宋体" w:eastAsia="宋体" w:hint="default"/>
          <w:b/>
          <w:bCs/>
          <w:spacing w:val="-94"/>
          <w:sz w:val="28"/>
          <w:szCs w:val="28"/>
        </w:rPr>
        <w:t> </w:t>
      </w:r>
      <w:r>
        <w:rPr>
          <w:rFonts w:ascii="Times New Roman" w:hAnsi="Times New Roman" w:cs="Times New Roman" w:eastAsia="Times New Roman" w:hint="default"/>
          <w:b/>
          <w:bCs/>
          <w:sz w:val="28"/>
          <w:szCs w:val="28"/>
        </w:rPr>
        <w:t>66670000</w:t>
      </w:r>
      <w:r>
        <w:rPr>
          <w:rFonts w:ascii="Times New Roman" w:hAnsi="Times New Roman" w:cs="Times New Roman" w:eastAsia="Times New Roman" w:hint="default"/>
          <w:b/>
          <w:bCs/>
          <w:spacing w:val="-27"/>
          <w:sz w:val="28"/>
          <w:szCs w:val="28"/>
        </w:rPr>
        <w:t> </w:t>
      </w:r>
      <w:r>
        <w:rPr>
          <w:rFonts w:ascii="宋体" w:hAnsi="宋体" w:cs="宋体" w:eastAsia="宋体" w:hint="default"/>
          <w:b/>
          <w:bCs/>
          <w:spacing w:val="-5"/>
          <w:sz w:val="28"/>
          <w:szCs w:val="28"/>
        </w:rPr>
        <w:t>为基数，向全</w:t>
      </w:r>
      <w:r>
        <w:rPr>
          <w:rFonts w:ascii="宋体" w:hAnsi="宋体" w:cs="宋体" w:eastAsia="宋体" w:hint="default"/>
          <w:spacing w:val="-5"/>
          <w:sz w:val="28"/>
          <w:szCs w:val="28"/>
        </w:rPr>
      </w:r>
    </w:p>
    <w:p>
      <w:pPr>
        <w:spacing w:before="236"/>
        <w:ind w:left="154" w:right="0" w:firstLine="0"/>
        <w:jc w:val="both"/>
        <w:rPr>
          <w:rFonts w:ascii="宋体" w:hAnsi="宋体" w:cs="宋体" w:eastAsia="宋体" w:hint="default"/>
          <w:sz w:val="28"/>
          <w:szCs w:val="28"/>
        </w:rPr>
      </w:pPr>
      <w:r>
        <w:rPr>
          <w:rFonts w:ascii="宋体" w:hAnsi="宋体" w:cs="宋体" w:eastAsia="宋体" w:hint="default"/>
          <w:b/>
          <w:bCs/>
          <w:spacing w:val="1"/>
          <w:w w:val="99"/>
          <w:sz w:val="28"/>
          <w:szCs w:val="28"/>
        </w:rPr>
        <w:t>体股东</w:t>
      </w:r>
      <w:r>
        <w:rPr>
          <w:rFonts w:ascii="宋体" w:hAnsi="宋体" w:cs="宋体" w:eastAsia="宋体" w:hint="default"/>
          <w:b/>
          <w:bCs/>
          <w:w w:val="99"/>
          <w:sz w:val="28"/>
          <w:szCs w:val="28"/>
        </w:rPr>
        <w:t>每</w:t>
      </w:r>
      <w:r>
        <w:rPr>
          <w:rFonts w:ascii="宋体" w:hAnsi="宋体" w:cs="宋体" w:eastAsia="宋体" w:hint="default"/>
          <w:b/>
          <w:bCs/>
          <w:spacing w:val="-68"/>
          <w:sz w:val="28"/>
          <w:szCs w:val="28"/>
        </w:rPr>
        <w:t> </w:t>
      </w:r>
      <w:r>
        <w:rPr>
          <w:rFonts w:ascii="Times New Roman" w:hAnsi="Times New Roman" w:cs="Times New Roman" w:eastAsia="Times New Roman" w:hint="default"/>
          <w:b/>
          <w:bCs/>
          <w:w w:val="99"/>
          <w:sz w:val="28"/>
          <w:szCs w:val="28"/>
        </w:rPr>
        <w:t>10</w:t>
      </w:r>
      <w:r>
        <w:rPr>
          <w:rFonts w:ascii="Times New Roman" w:hAnsi="Times New Roman" w:cs="Times New Roman" w:eastAsia="Times New Roman" w:hint="default"/>
          <w:b/>
          <w:bCs/>
          <w:spacing w:val="1"/>
          <w:sz w:val="28"/>
          <w:szCs w:val="28"/>
        </w:rPr>
        <w:t> </w:t>
      </w:r>
      <w:r>
        <w:rPr>
          <w:rFonts w:ascii="宋体" w:hAnsi="宋体" w:cs="宋体" w:eastAsia="宋体" w:hint="default"/>
          <w:b/>
          <w:bCs/>
          <w:spacing w:val="1"/>
          <w:w w:val="99"/>
          <w:sz w:val="28"/>
          <w:szCs w:val="28"/>
        </w:rPr>
        <w:t>股派发现金红</w:t>
      </w:r>
      <w:r>
        <w:rPr>
          <w:rFonts w:ascii="宋体" w:hAnsi="宋体" w:cs="宋体" w:eastAsia="宋体" w:hint="default"/>
          <w:b/>
          <w:bCs/>
          <w:w w:val="99"/>
          <w:sz w:val="28"/>
          <w:szCs w:val="28"/>
        </w:rPr>
        <w:t>利</w:t>
      </w:r>
      <w:r>
        <w:rPr>
          <w:rFonts w:ascii="宋体" w:hAnsi="宋体" w:cs="宋体" w:eastAsia="宋体" w:hint="default"/>
          <w:b/>
          <w:bCs/>
          <w:spacing w:val="-68"/>
          <w:sz w:val="28"/>
          <w:szCs w:val="28"/>
        </w:rPr>
        <w:t> </w:t>
      </w:r>
      <w:r>
        <w:rPr>
          <w:rFonts w:ascii="Times New Roman" w:hAnsi="Times New Roman" w:cs="Times New Roman" w:eastAsia="Times New Roman" w:hint="default"/>
          <w:b/>
          <w:bCs/>
          <w:w w:val="99"/>
          <w:sz w:val="28"/>
          <w:szCs w:val="28"/>
        </w:rPr>
        <w:t>1.50</w:t>
      </w:r>
      <w:r>
        <w:rPr>
          <w:rFonts w:ascii="Times New Roman" w:hAnsi="Times New Roman" w:cs="Times New Roman" w:eastAsia="Times New Roman" w:hint="default"/>
          <w:b/>
          <w:bCs/>
          <w:spacing w:val="2"/>
          <w:sz w:val="28"/>
          <w:szCs w:val="28"/>
        </w:rPr>
        <w:t> </w:t>
      </w:r>
      <w:r>
        <w:rPr>
          <w:rFonts w:ascii="宋体" w:hAnsi="宋体" w:cs="宋体" w:eastAsia="宋体" w:hint="default"/>
          <w:b/>
          <w:bCs/>
          <w:spacing w:val="-30"/>
          <w:w w:val="99"/>
          <w:sz w:val="28"/>
          <w:szCs w:val="28"/>
        </w:rPr>
        <w:t>元</w:t>
      </w:r>
      <w:r>
        <w:rPr>
          <w:rFonts w:ascii="宋体" w:hAnsi="宋体" w:cs="宋体" w:eastAsia="宋体" w:hint="default"/>
          <w:b/>
          <w:bCs/>
          <w:w w:val="99"/>
          <w:sz w:val="28"/>
          <w:szCs w:val="28"/>
        </w:rPr>
        <w:t>（含税</w:t>
      </w:r>
      <w:r>
        <w:rPr>
          <w:rFonts w:ascii="宋体" w:hAnsi="宋体" w:cs="宋体" w:eastAsia="宋体" w:hint="default"/>
          <w:b/>
          <w:bCs/>
          <w:spacing w:val="-140"/>
          <w:w w:val="99"/>
          <w:sz w:val="28"/>
          <w:szCs w:val="28"/>
        </w:rPr>
        <w:t>）</w:t>
      </w:r>
      <w:r>
        <w:rPr>
          <w:rFonts w:ascii="宋体" w:hAnsi="宋体" w:cs="宋体" w:eastAsia="宋体" w:hint="default"/>
          <w:b/>
          <w:bCs/>
          <w:spacing w:val="-30"/>
          <w:w w:val="99"/>
          <w:sz w:val="28"/>
          <w:szCs w:val="28"/>
        </w:rPr>
        <w:t>，</w:t>
      </w:r>
      <w:r>
        <w:rPr>
          <w:rFonts w:ascii="宋体" w:hAnsi="宋体" w:cs="宋体" w:eastAsia="宋体" w:hint="default"/>
          <w:b/>
          <w:bCs/>
          <w:w w:val="99"/>
          <w:sz w:val="28"/>
          <w:szCs w:val="28"/>
        </w:rPr>
        <w:t>送红股</w:t>
      </w:r>
      <w:r>
        <w:rPr>
          <w:rFonts w:ascii="宋体" w:hAnsi="宋体" w:cs="宋体" w:eastAsia="宋体" w:hint="default"/>
          <w:b/>
          <w:bCs/>
          <w:spacing w:val="-68"/>
          <w:sz w:val="28"/>
          <w:szCs w:val="28"/>
        </w:rPr>
        <w:t> </w:t>
      </w:r>
      <w:r>
        <w:rPr>
          <w:rFonts w:ascii="Times New Roman" w:hAnsi="Times New Roman" w:cs="Times New Roman" w:eastAsia="Times New Roman" w:hint="default"/>
          <w:b/>
          <w:bCs/>
          <w:w w:val="99"/>
          <w:sz w:val="28"/>
          <w:szCs w:val="28"/>
        </w:rPr>
        <w:t>0</w:t>
      </w:r>
      <w:r>
        <w:rPr>
          <w:rFonts w:ascii="Times New Roman" w:hAnsi="Times New Roman" w:cs="Times New Roman" w:eastAsia="Times New Roman" w:hint="default"/>
          <w:b/>
          <w:bCs/>
          <w:sz w:val="28"/>
          <w:szCs w:val="28"/>
        </w:rPr>
        <w:t> </w:t>
      </w:r>
      <w:r>
        <w:rPr>
          <w:rFonts w:ascii="宋体" w:hAnsi="宋体" w:cs="宋体" w:eastAsia="宋体" w:hint="default"/>
          <w:b/>
          <w:bCs/>
          <w:spacing w:val="-30"/>
          <w:w w:val="99"/>
          <w:sz w:val="28"/>
          <w:szCs w:val="28"/>
        </w:rPr>
        <w:t>股</w:t>
      </w:r>
      <w:r>
        <w:rPr>
          <w:rFonts w:ascii="宋体" w:hAnsi="宋体" w:cs="宋体" w:eastAsia="宋体" w:hint="default"/>
          <w:b/>
          <w:bCs/>
          <w:spacing w:val="1"/>
          <w:w w:val="99"/>
          <w:sz w:val="28"/>
          <w:szCs w:val="28"/>
        </w:rPr>
        <w:t>（</w:t>
      </w:r>
      <w:r>
        <w:rPr>
          <w:rFonts w:ascii="宋体" w:hAnsi="宋体" w:cs="宋体" w:eastAsia="宋体" w:hint="default"/>
          <w:b/>
          <w:bCs/>
          <w:w w:val="99"/>
          <w:sz w:val="28"/>
          <w:szCs w:val="28"/>
        </w:rPr>
        <w:t>含</w:t>
      </w:r>
      <w:r>
        <w:rPr>
          <w:rFonts w:ascii="宋体" w:hAnsi="宋体" w:cs="宋体" w:eastAsia="宋体" w:hint="default"/>
          <w:b/>
          <w:bCs/>
          <w:spacing w:val="2"/>
          <w:w w:val="99"/>
          <w:sz w:val="28"/>
          <w:szCs w:val="28"/>
        </w:rPr>
        <w:t>税</w:t>
      </w:r>
      <w:r>
        <w:rPr>
          <w:rFonts w:ascii="宋体" w:hAnsi="宋体" w:cs="宋体" w:eastAsia="宋体" w:hint="default"/>
          <w:b/>
          <w:bCs/>
          <w:spacing w:val="-140"/>
          <w:w w:val="99"/>
          <w:sz w:val="28"/>
          <w:szCs w:val="28"/>
        </w:rPr>
        <w:t>）</w:t>
      </w:r>
      <w:r>
        <w:rPr>
          <w:rFonts w:ascii="宋体" w:hAnsi="宋体" w:cs="宋体" w:eastAsia="宋体" w:hint="default"/>
          <w:b/>
          <w:bCs/>
          <w:spacing w:val="-30"/>
          <w:w w:val="99"/>
          <w:sz w:val="28"/>
          <w:szCs w:val="28"/>
        </w:rPr>
        <w:t>，</w:t>
      </w:r>
      <w:r>
        <w:rPr>
          <w:rFonts w:ascii="宋体" w:hAnsi="宋体" w:cs="宋体" w:eastAsia="宋体" w:hint="default"/>
          <w:b/>
          <w:bCs/>
          <w:w w:val="99"/>
          <w:sz w:val="28"/>
          <w:szCs w:val="28"/>
        </w:rPr>
        <w:t>以资本公积</w:t>
      </w:r>
      <w:r>
        <w:rPr>
          <w:rFonts w:ascii="宋体" w:hAnsi="宋体" w:cs="宋体" w:eastAsia="宋体" w:hint="default"/>
          <w:sz w:val="28"/>
          <w:szCs w:val="28"/>
        </w:rPr>
      </w:r>
    </w:p>
    <w:p>
      <w:pPr>
        <w:spacing w:before="237"/>
        <w:ind w:left="154" w:right="0" w:firstLine="0"/>
        <w:jc w:val="both"/>
        <w:rPr>
          <w:rFonts w:ascii="宋体" w:hAnsi="宋体" w:cs="宋体" w:eastAsia="宋体" w:hint="default"/>
          <w:sz w:val="28"/>
          <w:szCs w:val="28"/>
        </w:rPr>
      </w:pPr>
      <w:r>
        <w:rPr>
          <w:rFonts w:ascii="宋体" w:hAnsi="宋体" w:cs="宋体" w:eastAsia="宋体" w:hint="default"/>
          <w:b/>
          <w:bCs/>
          <w:sz w:val="28"/>
          <w:szCs w:val="28"/>
        </w:rPr>
        <w:t>金向全体股东每</w:t>
      </w:r>
      <w:r>
        <w:rPr>
          <w:rFonts w:ascii="宋体" w:hAnsi="宋体" w:cs="宋体" w:eastAsia="宋体" w:hint="default"/>
          <w:b/>
          <w:bCs/>
          <w:spacing w:val="-71"/>
          <w:sz w:val="28"/>
          <w:szCs w:val="28"/>
        </w:rPr>
        <w:t> </w:t>
      </w:r>
      <w:r>
        <w:rPr>
          <w:rFonts w:ascii="Times New Roman" w:hAnsi="Times New Roman" w:cs="Times New Roman" w:eastAsia="Times New Roman" w:hint="default"/>
          <w:b/>
          <w:bCs/>
          <w:sz w:val="28"/>
          <w:szCs w:val="28"/>
        </w:rPr>
        <w:t>10</w:t>
      </w:r>
      <w:r>
        <w:rPr>
          <w:rFonts w:ascii="Times New Roman" w:hAnsi="Times New Roman" w:cs="Times New Roman" w:eastAsia="Times New Roman" w:hint="default"/>
          <w:b/>
          <w:bCs/>
          <w:spacing w:val="-3"/>
          <w:sz w:val="28"/>
          <w:szCs w:val="28"/>
        </w:rPr>
        <w:t> </w:t>
      </w:r>
      <w:r>
        <w:rPr>
          <w:rFonts w:ascii="宋体" w:hAnsi="宋体" w:cs="宋体" w:eastAsia="宋体" w:hint="default"/>
          <w:b/>
          <w:bCs/>
          <w:sz w:val="28"/>
          <w:szCs w:val="28"/>
        </w:rPr>
        <w:t>股转增</w:t>
      </w:r>
      <w:r>
        <w:rPr>
          <w:rFonts w:ascii="宋体" w:hAnsi="宋体" w:cs="宋体" w:eastAsia="宋体" w:hint="default"/>
          <w:b/>
          <w:bCs/>
          <w:spacing w:val="-75"/>
          <w:sz w:val="28"/>
          <w:szCs w:val="28"/>
        </w:rPr>
        <w:t> </w:t>
      </w:r>
      <w:r>
        <w:rPr>
          <w:rFonts w:ascii="Times New Roman" w:hAnsi="Times New Roman" w:cs="Times New Roman" w:eastAsia="Times New Roman" w:hint="default"/>
          <w:b/>
          <w:bCs/>
          <w:sz w:val="28"/>
          <w:szCs w:val="28"/>
        </w:rPr>
        <w:t>9</w:t>
      </w:r>
      <w:r>
        <w:rPr>
          <w:rFonts w:ascii="Times New Roman" w:hAnsi="Times New Roman" w:cs="Times New Roman" w:eastAsia="Times New Roman" w:hint="default"/>
          <w:b/>
          <w:bCs/>
          <w:spacing w:val="-3"/>
          <w:sz w:val="28"/>
          <w:szCs w:val="28"/>
        </w:rPr>
        <w:t> </w:t>
      </w:r>
      <w:r>
        <w:rPr>
          <w:rFonts w:ascii="宋体" w:hAnsi="宋体" w:cs="宋体" w:eastAsia="宋体" w:hint="default"/>
          <w:b/>
          <w:bCs/>
          <w:sz w:val="28"/>
          <w:szCs w:val="28"/>
        </w:rPr>
        <w:t>股。</w:t>
      </w:r>
      <w:r>
        <w:rPr>
          <w:rFonts w:ascii="宋体" w:hAnsi="宋体" w:cs="宋体" w:eastAsia="宋体" w:hint="default"/>
          <w:sz w:val="28"/>
          <w:szCs w:val="28"/>
        </w:rPr>
      </w:r>
    </w:p>
    <w:p>
      <w:pPr>
        <w:spacing w:after="0"/>
        <w:jc w:val="both"/>
        <w:rPr>
          <w:rFonts w:ascii="宋体" w:hAnsi="宋体" w:cs="宋体" w:eastAsia="宋体" w:hint="default"/>
          <w:sz w:val="28"/>
          <w:szCs w:val="28"/>
        </w:rPr>
        <w:sectPr>
          <w:pgSz w:w="11910" w:h="16840"/>
          <w:pgMar w:header="747" w:footer="979" w:top="1060" w:bottom="1160" w:left="980" w:right="98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before="123"/>
        <w:ind w:left="151" w:right="150"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1"/>
        <w:rPr>
          <w:rFonts w:ascii="宋体" w:hAnsi="宋体" w:cs="宋体" w:eastAsia="宋体" w:hint="default"/>
          <w:b/>
          <w:bCs/>
          <w:sz w:val="42"/>
          <w:szCs w:val="42"/>
        </w:rPr>
      </w:pPr>
    </w:p>
    <w:sdt>
      <w:sdtPr>
        <w:docPartObj>
          <w:docPartGallery w:val="Table of Contents"/>
          <w:docPartUnique/>
        </w:docPartObj>
      </w:sdtPr>
      <w:sdtEndPr/>
      <w:sdtContent>
        <w:p>
          <w:pPr>
            <w:pStyle w:val="TOC1"/>
            <w:tabs>
              <w:tab w:pos="9782" w:val="right" w:leader="dot"/>
            </w:tabs>
            <w:spacing w:line="240" w:lineRule="auto" w:before="0"/>
            <w:ind w:right="0"/>
            <w:jc w:val="left"/>
            <w:rPr>
              <w:rFonts w:ascii="Times New Roman" w:hAnsi="Times New Roman" w:cs="Times New Roman" w:eastAsia="Times New Roman" w:hint="default"/>
              <w:b w:val="0"/>
              <w:bCs w:val="0"/>
            </w:rPr>
          </w:pPr>
          <w:hyperlink w:history="true" w:anchor="_bookmark0">
            <w:r>
              <w:rPr/>
              <w:t>第一节</w:t>
            </w:r>
            <w:r>
              <w:rPr>
                <w:spacing w:val="-19"/>
              </w:rPr>
              <w:t> </w:t>
            </w:r>
            <w:r>
              <w:rPr/>
              <w:t>重要提示、目录和释义</w:t>
            </w:r>
            <w:r>
              <w:rPr>
                <w:rFonts w:ascii="Times New Roman" w:hAnsi="Times New Roman" w:cs="Times New Roman" w:eastAsia="Times New Roman" w:hint="default"/>
              </w:rPr>
              <w:tab/>
              <w:t>7</w:t>
            </w:r>
            <w:r>
              <w:rPr>
                <w:rFonts w:ascii="Times New Roman" w:hAnsi="Times New Roman" w:cs="Times New Roman" w:eastAsia="Times New Roman" w:hint="default"/>
                <w:b w:val="0"/>
                <w:bCs w:val="0"/>
              </w:rPr>
            </w:r>
          </w:hyperlink>
        </w:p>
        <w:p>
          <w:pPr>
            <w:pStyle w:val="TOC1"/>
            <w:tabs>
              <w:tab w:pos="9769" w:val="right" w:leader="dot"/>
            </w:tabs>
            <w:spacing w:line="240" w:lineRule="auto"/>
            <w:ind w:right="0"/>
            <w:jc w:val="left"/>
            <w:rPr>
              <w:rFonts w:ascii="Times New Roman" w:hAnsi="Times New Roman" w:cs="Times New Roman" w:eastAsia="Times New Roman" w:hint="default"/>
              <w:b w:val="0"/>
              <w:bCs w:val="0"/>
            </w:rPr>
          </w:pPr>
          <w:hyperlink w:history="true" w:anchor="_bookmark1">
            <w:r>
              <w:rPr/>
              <w:t>第二节</w:t>
            </w:r>
            <w:r>
              <w:rPr>
                <w:spacing w:val="-19"/>
              </w:rPr>
              <w:t> </w:t>
            </w:r>
            <w:r>
              <w:rPr/>
              <w:t>公司简介和主要财务指标</w:t>
            </w:r>
            <w:r>
              <w:rPr>
                <w:rFonts w:ascii="Times New Roman" w:hAnsi="Times New Roman" w:cs="Times New Roman" w:eastAsia="Times New Roman" w:hint="default"/>
              </w:rPr>
              <w:tab/>
            </w:r>
            <w:r>
              <w:rPr>
                <w:rFonts w:ascii="Times New Roman" w:hAnsi="Times New Roman" w:cs="Times New Roman" w:eastAsia="Times New Roman" w:hint="default"/>
                <w:spacing w:val="-14"/>
              </w:rPr>
              <w:t>11</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2">
            <w:r>
              <w:rPr/>
              <w:t>第三节</w:t>
            </w:r>
            <w:r>
              <w:rPr>
                <w:spacing w:val="-19"/>
              </w:rPr>
              <w:t> </w:t>
            </w:r>
            <w:r>
              <w:rPr/>
              <w:t>公司业务概要</w:t>
            </w:r>
            <w:r>
              <w:rPr>
                <w:rFonts w:ascii="Times New Roman" w:hAnsi="Times New Roman" w:cs="Times New Roman" w:eastAsia="Times New Roman" w:hint="default"/>
              </w:rPr>
              <w:tab/>
              <w:t>13</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3">
            <w:r>
              <w:rPr/>
              <w:t>第四节</w:t>
            </w:r>
            <w:r>
              <w:rPr>
                <w:spacing w:val="-19"/>
              </w:rPr>
              <w:t> </w:t>
            </w:r>
            <w:r>
              <w:rPr/>
              <w:t>经营情况讨论与分析</w:t>
            </w:r>
            <w:r>
              <w:rPr>
                <w:rFonts w:ascii="Times New Roman" w:hAnsi="Times New Roman" w:cs="Times New Roman" w:eastAsia="Times New Roman" w:hint="default"/>
              </w:rPr>
              <w:tab/>
              <w:t>28</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4">
            <w:r>
              <w:rPr/>
              <w:t>第五节</w:t>
            </w:r>
            <w:r>
              <w:rPr>
                <w:spacing w:val="-19"/>
              </w:rPr>
              <w:t> </w:t>
            </w:r>
            <w:r>
              <w:rPr/>
              <w:t>重要事项</w:t>
            </w:r>
            <w:r>
              <w:rPr>
                <w:rFonts w:ascii="Times New Roman" w:hAnsi="Times New Roman" w:cs="Times New Roman" w:eastAsia="Times New Roman" w:hint="default"/>
              </w:rPr>
              <w:tab/>
              <w:t>49</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5">
            <w:r>
              <w:rPr/>
              <w:t>第六节</w:t>
            </w:r>
            <w:r>
              <w:rPr>
                <w:spacing w:val="-19"/>
              </w:rPr>
              <w:t> </w:t>
            </w:r>
            <w:r>
              <w:rPr/>
              <w:t>股份变动及股东情况</w:t>
            </w:r>
            <w:r>
              <w:rPr>
                <w:rFonts w:ascii="Times New Roman" w:hAnsi="Times New Roman" w:cs="Times New Roman" w:eastAsia="Times New Roman" w:hint="default"/>
              </w:rPr>
              <w:tab/>
              <w:t>54</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5">
            <w:r>
              <w:rPr/>
              <w:t>第七节</w:t>
            </w:r>
            <w:r>
              <w:rPr>
                <w:spacing w:val="-19"/>
              </w:rPr>
              <w:t> </w:t>
            </w:r>
            <w:r>
              <w:rPr/>
              <w:t>优先股相关情况</w:t>
            </w:r>
            <w:r>
              <w:rPr>
                <w:rFonts w:ascii="Times New Roman" w:hAnsi="Times New Roman" w:cs="Times New Roman" w:eastAsia="Times New Roman" w:hint="default"/>
              </w:rPr>
              <w:tab/>
              <w:t>54</w:t>
            </w:r>
            <w:r>
              <w:rPr>
                <w:rFonts w:ascii="Times New Roman" w:hAnsi="Times New Roman" w:cs="Times New Roman" w:eastAsia="Times New Roman" w:hint="default"/>
                <w:b w:val="0"/>
                <w:bCs w:val="0"/>
              </w:rPr>
            </w:r>
          </w:hyperlink>
        </w:p>
        <w:p>
          <w:pPr>
            <w:pStyle w:val="TOC1"/>
            <w:tabs>
              <w:tab w:pos="9782" w:val="right" w:leader="dot"/>
            </w:tabs>
            <w:spacing w:line="240" w:lineRule="auto" w:before="160"/>
            <w:ind w:right="0"/>
            <w:jc w:val="left"/>
            <w:rPr>
              <w:rFonts w:ascii="Times New Roman" w:hAnsi="Times New Roman" w:cs="Times New Roman" w:eastAsia="Times New Roman" w:hint="default"/>
              <w:b w:val="0"/>
              <w:bCs w:val="0"/>
            </w:rPr>
          </w:pPr>
          <w:hyperlink w:history="true" w:anchor="_bookmark6">
            <w:r>
              <w:rPr/>
              <w:t>第八节</w:t>
            </w:r>
            <w:r>
              <w:rPr>
                <w:spacing w:val="-19"/>
              </w:rPr>
              <w:t> </w:t>
            </w:r>
            <w:r>
              <w:rPr/>
              <w:t>董事、监事、高级管理人员和员工情况</w:t>
            </w:r>
            <w:r>
              <w:rPr>
                <w:rFonts w:ascii="Times New Roman" w:hAnsi="Times New Roman" w:cs="Times New Roman" w:eastAsia="Times New Roman" w:hint="default"/>
              </w:rPr>
              <w:tab/>
              <w:t>55</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7">
            <w:r>
              <w:rPr/>
              <w:t>第九节</w:t>
            </w:r>
            <w:r>
              <w:rPr>
                <w:spacing w:val="-19"/>
              </w:rPr>
              <w:t> </w:t>
            </w:r>
            <w:r>
              <w:rPr/>
              <w:t>公司治理</w:t>
            </w:r>
            <w:r>
              <w:rPr>
                <w:rFonts w:ascii="Times New Roman" w:hAnsi="Times New Roman" w:cs="Times New Roman" w:eastAsia="Times New Roman" w:hint="default"/>
              </w:rPr>
              <w:tab/>
              <w:t>63</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8">
            <w:r>
              <w:rPr/>
              <w:t>第十节</w:t>
            </w:r>
            <w:r>
              <w:rPr>
                <w:spacing w:val="-19"/>
              </w:rPr>
              <w:t> </w:t>
            </w:r>
            <w:r>
              <w:rPr/>
              <w:t>公司债券相关情况</w:t>
            </w:r>
            <w:r>
              <w:rPr>
                <w:rFonts w:ascii="Times New Roman" w:hAnsi="Times New Roman" w:cs="Times New Roman" w:eastAsia="Times New Roman" w:hint="default"/>
              </w:rPr>
              <w:tab/>
              <w:t>68</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9">
            <w:r>
              <w:rPr/>
              <w:t>第十一节</w:t>
            </w:r>
            <w:r>
              <w:rPr>
                <w:spacing w:val="-19"/>
              </w:rPr>
              <w:t> </w:t>
            </w:r>
            <w:r>
              <w:rPr/>
              <w:t>财务报告</w:t>
            </w:r>
            <w:r>
              <w:rPr>
                <w:rFonts w:ascii="Times New Roman" w:hAnsi="Times New Roman" w:cs="Times New Roman" w:eastAsia="Times New Roman" w:hint="default"/>
              </w:rPr>
              <w:tab/>
              <w:t>69</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10">
            <w:r>
              <w:rPr/>
              <w:t>第十二节</w:t>
            </w:r>
            <w:r>
              <w:rPr>
                <w:spacing w:val="-20"/>
              </w:rPr>
              <w:t> </w:t>
            </w:r>
            <w:r>
              <w:rPr/>
              <w:t>备查文件目录</w:t>
            </w:r>
            <w:r>
              <w:rPr>
                <w:rFonts w:ascii="Times New Roman" w:hAnsi="Times New Roman" w:cs="Times New Roman" w:eastAsia="Times New Roman" w:hint="default"/>
              </w:rPr>
              <w:tab/>
              <w:t>165</w:t>
            </w:r>
            <w:r>
              <w:rPr>
                <w:rFonts w:ascii="Times New Roman" w:hAnsi="Times New Roman" w:cs="Times New Roman" w:eastAsia="Times New Roman" w:hint="default"/>
                <w:b w:val="0"/>
                <w:bCs w:val="0"/>
              </w:rPr>
            </w:r>
          </w:hyperlink>
        </w:p>
      </w:sdtContent>
    </w:sdt>
    <w:p>
      <w:pPr>
        <w:spacing w:after="0" w:line="240" w:lineRule="auto"/>
        <w:jc w:val="left"/>
        <w:rPr>
          <w:rFonts w:ascii="Times New Roman" w:hAnsi="Times New Roman" w:cs="Times New Roman" w:eastAsia="Times New Roman" w:hint="default"/>
        </w:rPr>
        <w:sectPr>
          <w:pgSz w:w="11910" w:h="16840"/>
          <w:pgMar w:header="747" w:footer="979" w:top="1060" w:bottom="1160" w:left="980" w:right="980"/>
        </w:sectPr>
      </w:pPr>
    </w:p>
    <w:p>
      <w:pPr>
        <w:spacing w:before="946"/>
        <w:ind w:left="151" w:right="150"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536"/>
        <w:gridCol w:w="598"/>
        <w:gridCol w:w="5436"/>
      </w:tblGrid>
      <w:tr>
        <w:trPr>
          <w:trHeight w:val="402" w:hRule="exact"/>
        </w:trPr>
        <w:tc>
          <w:tcPr>
            <w:tcW w:w="3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公司、本公司及杭州高新</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杭州高新橡塑材料股份有限公司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奥能电源</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杭州奥能电源设备有限公司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中国证监会</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保荐机构</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中泰证券股份有限公司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财务顾问</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财通证券股份有限公司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审计机构</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天健会计师事务所（特殊普通合伙）</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评估机构</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坤元资产评估有限公司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高兴集团</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高兴控股集团有限公司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双帆投资</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中国双帆投资控股集团（香港）有限公司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天眼投资</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杭州天眼投资有限公司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太阳高新</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福建南平太阳高新材料有限公司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元、万元</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人民币元、人民币万元</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0"/>
          <w:szCs w:val="20"/>
        </w:rPr>
      </w:pPr>
    </w:p>
    <w:p>
      <w:pPr>
        <w:pStyle w:val="Heading1"/>
        <w:spacing w:line="240" w:lineRule="auto"/>
        <w:ind w:left="2644" w:right="0"/>
        <w:jc w:val="left"/>
        <w:rPr>
          <w:b w:val="0"/>
          <w:bCs w:val="0"/>
        </w:rPr>
      </w:pPr>
      <w:bookmarkStart w:name="第二节 公司简介和主要财务指标" w:id="2"/>
      <w:bookmarkEnd w:id="2"/>
      <w:r>
        <w:rPr>
          <w:b w:val="0"/>
          <w:bCs w:val="0"/>
        </w:rPr>
      </w:r>
      <w:bookmarkStart w:name="_bookmark0" w:id="3"/>
      <w:bookmarkEnd w:id="3"/>
      <w:r>
        <w:rPr>
          <w:b w:val="0"/>
          <w:bCs w:val="0"/>
        </w:rPr>
      </w:r>
      <w:r>
        <w:rPr/>
        <w:t>第二节</w:t>
      </w:r>
      <w:r>
        <w:rPr>
          <w:spacing w:val="-11"/>
        </w:rPr>
        <w:t> </w:t>
      </w:r>
      <w:r>
        <w:rPr/>
        <w:t>公司简介和主要财务指标</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r>
        <w:rPr/>
        <w:pict>
          <v:group style="position:absolute;margin-left:172.339996pt;margin-top:114.735596pt;width:361.5pt;height:19.6pt;mso-position-horizontal-relative:page;mso-position-vertical-relative:paragraph;z-index:-903592" coordorigin="3447,2295" coordsize="7230,392">
            <v:shape style="position:absolute;left:3447;top:2295;width:7230;height:392" coordorigin="3447,2295" coordsize="7230,392" path="m3447,2686l10676,2686,10676,2295,3447,2295,3447,2686xe" filled="true" fillcolor="#ffffff" stroked="false">
              <v:path arrowok="t"/>
              <v:fill type="solid"/>
            </v:shape>
            <w10:wrap type="none"/>
          </v:group>
        </w:pict>
      </w:r>
      <w:bookmarkStart w:name="一、公司信息" w:id="4"/>
      <w:bookmarkEnd w:id="4"/>
      <w:r>
        <w:rPr>
          <w:b w:val="0"/>
          <w:bCs w:val="0"/>
        </w:rPr>
      </w: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273"/>
        <w:gridCol w:w="2965"/>
        <w:gridCol w:w="2145"/>
        <w:gridCol w:w="2188"/>
      </w:tblGrid>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6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杭州高新</w:t>
            </w:r>
          </w:p>
        </w:tc>
        <w:tc>
          <w:tcPr>
            <w:tcW w:w="2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8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left="27" w:right="0"/>
              <w:jc w:val="left"/>
              <w:rPr>
                <w:rFonts w:ascii="Times New Roman" w:hAnsi="Times New Roman" w:cs="Times New Roman" w:eastAsia="Times New Roman" w:hint="default"/>
                <w:sz w:val="18"/>
                <w:szCs w:val="18"/>
              </w:rPr>
            </w:pPr>
            <w:r>
              <w:rPr>
                <w:rFonts w:ascii="Times New Roman"/>
                <w:sz w:val="18"/>
              </w:rPr>
              <w:t>300478</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杭州高新橡塑材料股份有限公司</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杭州高新</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Hangzhou Gaoxin Rubber &amp; Plastic Materials Co.,</w:t>
            </w:r>
            <w:r>
              <w:rPr>
                <w:rFonts w:ascii="Times New Roman"/>
                <w:spacing w:val="-8"/>
                <w:sz w:val="18"/>
              </w:rPr>
              <w:t> </w:t>
            </w:r>
            <w:r>
              <w:rPr>
                <w:rFonts w:ascii="Times New Roman"/>
                <w:sz w:val="18"/>
              </w:rPr>
              <w:t>Ltd.</w:t>
            </w:r>
          </w:p>
        </w:tc>
      </w:tr>
      <w:tr>
        <w:trPr>
          <w:trHeight w:val="402" w:hRule="exact"/>
        </w:trPr>
        <w:tc>
          <w:tcPr>
            <w:tcW w:w="2273"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2"/>
              <w:ind w:left="22" w:right="-58"/>
              <w:jc w:val="left"/>
              <w:rPr>
                <w:rFonts w:ascii="宋体" w:hAnsi="宋体" w:cs="宋体" w:eastAsia="宋体" w:hint="default"/>
                <w:sz w:val="18"/>
                <w:szCs w:val="18"/>
              </w:rPr>
            </w:pPr>
            <w:r>
              <w:rPr>
                <w:rFonts w:ascii="宋体" w:hAnsi="宋体" w:cs="宋体" w:eastAsia="宋体" w:hint="default"/>
                <w:spacing w:val="-5"/>
                <w:sz w:val="18"/>
                <w:szCs w:val="18"/>
              </w:rPr>
              <w:t>公司的外文名称缩写（如有）</w:t>
            </w:r>
            <w:r>
              <w:rPr>
                <w:rFonts w:ascii="宋体" w:hAnsi="宋体" w:cs="宋体" w:eastAsia="宋体" w:hint="default"/>
                <w:sz w:val="18"/>
                <w:szCs w:val="18"/>
              </w:rPr>
            </w:r>
          </w:p>
        </w:tc>
        <w:tc>
          <w:tcPr>
            <w:tcW w:w="7297" w:type="dxa"/>
            <w:gridSpan w:val="3"/>
            <w:tcBorders>
              <w:top w:val="single" w:sz="4" w:space="0" w:color="000000"/>
              <w:left w:val="single" w:sz="23" w:space="0" w:color="FFFFFF"/>
              <w:bottom w:val="single" w:sz="4" w:space="0" w:color="000000"/>
              <w:right w:val="single" w:sz="4" w:space="0" w:color="000000"/>
            </w:tcBorders>
          </w:tcPr>
          <w:p>
            <w:pPr>
              <w:pStyle w:val="TableParagraph"/>
              <w:spacing w:line="240" w:lineRule="auto" w:before="92"/>
              <w:ind w:left="12" w:right="0"/>
              <w:jc w:val="left"/>
              <w:rPr>
                <w:rFonts w:ascii="Times New Roman" w:hAnsi="Times New Roman" w:cs="Times New Roman" w:eastAsia="Times New Roman" w:hint="default"/>
                <w:sz w:val="18"/>
                <w:szCs w:val="18"/>
              </w:rPr>
            </w:pPr>
            <w:r>
              <w:rPr>
                <w:rFonts w:ascii="Times New Roman"/>
                <w:sz w:val="18"/>
              </w:rPr>
              <w:t>Hangzhou</w:t>
            </w:r>
            <w:r>
              <w:rPr>
                <w:rFonts w:ascii="Times New Roman"/>
                <w:spacing w:val="-2"/>
                <w:sz w:val="18"/>
              </w:rPr>
              <w:t> </w:t>
            </w:r>
            <w:r>
              <w:rPr>
                <w:rFonts w:ascii="Times New Roman"/>
                <w:sz w:val="18"/>
              </w:rPr>
              <w:t>Gaoxin</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高长虹</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杭州市余杭区径山镇龙皇路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pacing w:val="-4"/>
                <w:sz w:val="18"/>
              </w:rPr>
              <w:t>311116</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杭州市余杭区径山镇龙皇路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pacing w:val="-4"/>
                <w:sz w:val="18"/>
              </w:rPr>
              <w:t>311116</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公司国际互联网网址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hyperlink r:id="rId9">
              <w:r>
                <w:rPr>
                  <w:rFonts w:ascii="Times New Roman"/>
                  <w:sz w:val="18"/>
                </w:rPr>
                <w:t>www.gxsl.com</w:t>
              </w:r>
            </w:hyperlink>
          </w:p>
        </w:tc>
      </w:tr>
      <w:tr>
        <w:trPr>
          <w:trHeight w:val="403"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hyperlink r:id="rId10">
              <w:r>
                <w:rPr>
                  <w:rFonts w:ascii="Times New Roman"/>
                  <w:sz w:val="18"/>
                </w:rPr>
                <w:t>hzgaoxinxiangsu@163.com</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bookmarkStart w:name="二、联系人和联系方式" w:id="5"/>
      <w:bookmarkEnd w:id="5"/>
      <w:r>
        <w:rPr>
          <w:b w:val="0"/>
          <w:bCs w:val="0"/>
        </w:rPr>
      </w: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蒋鹏</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田会芳</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杭州市余杭区径山镇龙皇路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杭州市余杭区径山镇龙皇路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0571-88581338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0571-88581338</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0571-88581338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0571-88581338</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0">
              <w:r>
                <w:rPr>
                  <w:rFonts w:ascii="Times New Roman"/>
                  <w:sz w:val="18"/>
                </w:rPr>
                <w:t>hzgaoxinxiangsu@163.com</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0">
              <w:r>
                <w:rPr>
                  <w:rFonts w:ascii="Times New Roman"/>
                  <w:sz w:val="18"/>
                </w:rPr>
                <w:t>hzgaoxinxiangsu@163.com</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bookmarkStart w:name="三、信息披露及备置地点" w:id="6"/>
      <w:bookmarkEnd w:id="6"/>
      <w:r>
        <w:rPr>
          <w:b w:val="0"/>
          <w:bCs w:val="0"/>
        </w:rPr>
      </w:r>
      <w:r>
        <w:rPr/>
        <w:t>三、信息披露及备置地点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993"/>
        <w:gridCol w:w="5576"/>
      </w:tblGrid>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90"/>
                <w:sz w:val="18"/>
                <w:szCs w:val="18"/>
              </w:rPr>
              <w:t>》、</w:t>
            </w:r>
            <w:r>
              <w:rPr>
                <w:rFonts w:ascii="宋体" w:hAnsi="宋体" w:cs="宋体" w:eastAsia="宋体" w:hint="default"/>
                <w:sz w:val="18"/>
                <w:szCs w:val="18"/>
              </w:rPr>
              <w:t>《中国证券报</w:t>
            </w:r>
            <w:r>
              <w:rPr>
                <w:rFonts w:ascii="宋体" w:hAnsi="宋体" w:cs="宋体" w:eastAsia="宋体" w:hint="default"/>
                <w:spacing w:val="-90"/>
                <w:sz w:val="18"/>
                <w:szCs w:val="18"/>
              </w:rPr>
              <w:t>》、</w:t>
            </w:r>
            <w:r>
              <w:rPr>
                <w:rFonts w:ascii="宋体" w:hAnsi="宋体" w:cs="宋体" w:eastAsia="宋体" w:hint="default"/>
                <w:sz w:val="18"/>
                <w:szCs w:val="18"/>
              </w:rPr>
              <w:t>《上海证券报</w:t>
            </w:r>
            <w:r>
              <w:rPr>
                <w:rFonts w:ascii="宋体" w:hAnsi="宋体" w:cs="宋体" w:eastAsia="宋体" w:hint="default"/>
                <w:spacing w:val="-90"/>
                <w:sz w:val="18"/>
                <w:szCs w:val="18"/>
              </w:rPr>
              <w:t>》、</w:t>
            </w:r>
            <w:r>
              <w:rPr>
                <w:rFonts w:ascii="宋体" w:hAnsi="宋体" w:cs="宋体" w:eastAsia="宋体" w:hint="default"/>
                <w:sz w:val="18"/>
                <w:szCs w:val="18"/>
              </w:rPr>
              <w:t>《证券日报》</w:t>
            </w:r>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杭州高新橡塑材料股份有限公司证券部</w:t>
            </w:r>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bookmarkStart w:name="四、其他有关资料" w:id="7"/>
      <w:bookmarkEnd w:id="7"/>
      <w:r>
        <w:rPr>
          <w:b w:val="0"/>
          <w:bCs w:val="0"/>
        </w:rPr>
      </w:r>
      <w:r>
        <w:rPr/>
        <w:t>四、其他有关资料</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0"/>
        <w:jc w:val="left"/>
      </w:pPr>
      <w:r>
        <w:rPr/>
        <w:t>公司聘请的会计师事务所</w:t>
      </w:r>
    </w:p>
    <w:p>
      <w:pPr>
        <w:spacing w:after="0" w:line="240" w:lineRule="auto"/>
        <w:jc w:val="left"/>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662"/>
        <w:gridCol w:w="6907"/>
      </w:tblGrid>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天健会计师事务所（特殊普通合伙）</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杭州市江干区钱江路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1366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号华润大厦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B </w:t>
            </w:r>
            <w:r>
              <w:rPr>
                <w:rFonts w:ascii="宋体" w:hAnsi="宋体" w:cs="宋体" w:eastAsia="宋体" w:hint="default"/>
                <w:sz w:val="18"/>
                <w:szCs w:val="18"/>
              </w:rPr>
              <w:t>座</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王强、李唯婕</w:t>
            </w:r>
          </w:p>
        </w:tc>
      </w:tr>
    </w:tbl>
    <w:p>
      <w:pPr>
        <w:pStyle w:val="BodyText"/>
        <w:spacing w:line="240" w:lineRule="auto" w:before="51"/>
        <w:ind w:right="0"/>
        <w:jc w:val="left"/>
      </w:pPr>
      <w:r>
        <w:rPr/>
        <w:t>公司聘请的报告期内履行持续督导职责的保荐机构</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0" w:right="0"/>
              <w:jc w:val="left"/>
              <w:rPr>
                <w:rFonts w:ascii="宋体" w:hAnsi="宋体" w:cs="宋体" w:eastAsia="宋体" w:hint="default"/>
                <w:sz w:val="18"/>
                <w:szCs w:val="18"/>
              </w:rPr>
            </w:pPr>
            <w:r>
              <w:rPr>
                <w:rFonts w:ascii="宋体" w:hAnsi="宋体" w:cs="宋体" w:eastAsia="宋体" w:hint="default"/>
                <w:sz w:val="18"/>
                <w:szCs w:val="18"/>
              </w:rPr>
              <w:t>保荐机构名称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71" w:right="0"/>
              <w:jc w:val="left"/>
              <w:rPr>
                <w:rFonts w:ascii="宋体" w:hAnsi="宋体" w:cs="宋体" w:eastAsia="宋体" w:hint="default"/>
                <w:sz w:val="18"/>
                <w:szCs w:val="18"/>
              </w:rPr>
            </w:pPr>
            <w:r>
              <w:rPr>
                <w:rFonts w:ascii="宋体" w:hAnsi="宋体" w:cs="宋体" w:eastAsia="宋体" w:hint="default"/>
                <w:sz w:val="18"/>
                <w:szCs w:val="18"/>
              </w:rPr>
              <w:t>保荐机构办公地址</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0" w:right="0"/>
              <w:jc w:val="left"/>
              <w:rPr>
                <w:rFonts w:ascii="宋体" w:hAnsi="宋体" w:cs="宋体" w:eastAsia="宋体" w:hint="default"/>
                <w:sz w:val="18"/>
                <w:szCs w:val="18"/>
              </w:rPr>
            </w:pPr>
            <w:r>
              <w:rPr>
                <w:rFonts w:ascii="宋体" w:hAnsi="宋体" w:cs="宋体" w:eastAsia="宋体" w:hint="default"/>
                <w:sz w:val="18"/>
                <w:szCs w:val="18"/>
              </w:rPr>
              <w:t>保荐代表人姓名</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0" w:right="0"/>
              <w:jc w:val="left"/>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715"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中泰证券股份有限公司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上海市浦东新区花园石桥路</w:t>
            </w:r>
          </w:p>
          <w:p>
            <w:pPr>
              <w:pStyle w:val="TableParagraph"/>
              <w:spacing w:line="240" w:lineRule="auto" w:before="7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号东亚银行金融大厦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于新华、王庆刚</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pStyle w:val="BodyText"/>
        <w:spacing w:line="240" w:lineRule="auto" w:before="51"/>
        <w:ind w:right="0"/>
        <w:jc w:val="left"/>
      </w:pPr>
      <w:r>
        <w:rPr/>
        <w:t>公司聘请的报告期内履行持续督导职责的财务顾问</w:t>
      </w:r>
    </w:p>
    <w:p>
      <w:pPr>
        <w:pStyle w:val="BodyText"/>
        <w:spacing w:line="240" w:lineRule="auto" w:before="116"/>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财务顾问名称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1" w:right="0"/>
              <w:jc w:val="left"/>
              <w:rPr>
                <w:rFonts w:ascii="宋体" w:hAnsi="宋体" w:cs="宋体" w:eastAsia="宋体" w:hint="default"/>
                <w:sz w:val="18"/>
                <w:szCs w:val="18"/>
              </w:rPr>
            </w:pPr>
            <w:r>
              <w:rPr>
                <w:rFonts w:ascii="宋体" w:hAnsi="宋体" w:cs="宋体" w:eastAsia="宋体" w:hint="default"/>
                <w:sz w:val="18"/>
                <w:szCs w:val="18"/>
              </w:rPr>
              <w:t>财务顾问办公地址</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0" w:right="0"/>
              <w:jc w:val="left"/>
              <w:rPr>
                <w:rFonts w:ascii="宋体" w:hAnsi="宋体" w:cs="宋体" w:eastAsia="宋体" w:hint="default"/>
                <w:sz w:val="18"/>
                <w:szCs w:val="18"/>
              </w:rPr>
            </w:pPr>
            <w:r>
              <w:rPr>
                <w:rFonts w:ascii="宋体" w:hAnsi="宋体" w:cs="宋体" w:eastAsia="宋体" w:hint="default"/>
                <w:sz w:val="18"/>
                <w:szCs w:val="18"/>
              </w:rPr>
              <w:t>财务顾问主办人姓名</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财通证券股份有限公司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3" w:right="108"/>
              <w:jc w:val="left"/>
              <w:rPr>
                <w:rFonts w:ascii="宋体" w:hAnsi="宋体" w:cs="宋体" w:eastAsia="宋体" w:hint="default"/>
                <w:sz w:val="18"/>
                <w:szCs w:val="18"/>
              </w:rPr>
            </w:pPr>
            <w:r>
              <w:rPr>
                <w:rFonts w:ascii="宋体" w:hAnsi="宋体" w:cs="宋体" w:eastAsia="宋体" w:hint="default"/>
                <w:sz w:val="18"/>
                <w:szCs w:val="18"/>
              </w:rPr>
              <w:t>杭州市西湖区杭大路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号嘉 华国际商务中心</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郭春洪、陈伟男</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bookmarkStart w:name="五、主要会计数据和财务指标" w:id="8"/>
      <w:bookmarkEnd w:id="8"/>
      <w:r>
        <w:rPr>
          <w:b w:val="0"/>
          <w:bCs w:val="0"/>
        </w:rPr>
      </w:r>
      <w:r>
        <w:rPr/>
        <w:t>五、主要会计数据和财务指标</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0"/>
        <w:jc w:val="left"/>
      </w:pPr>
      <w:r>
        <w:rPr/>
        <w:t>公司是否需追溯调整或重述以前年度会计数据</w:t>
      </w:r>
    </w:p>
    <w:p>
      <w:pPr>
        <w:pStyle w:val="BodyText"/>
        <w:spacing w:line="240" w:lineRule="auto" w:before="116"/>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0"/>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598"/>
        <w:gridCol w:w="1751"/>
        <w:gridCol w:w="1736"/>
        <w:gridCol w:w="1738"/>
        <w:gridCol w:w="1735"/>
      </w:tblGrid>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651,537,809.23</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561,567,900.62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16.02%</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542,310,639.42</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42,340,004.51</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35,314,916.69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19.89%</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41,114,297.43</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55"/>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42,146,682.10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31,174,661.99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35.20%</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38,053,788.27</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11,414,674.43</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43,568,836.07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-73.80%</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2,527,349.23</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0.64</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0.53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20.75%</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0.7</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0.64</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0.53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20.75%</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0.7</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7.98%</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7.04%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0.94%</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11.24%</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资产总额（元）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1,367,859,046.07</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618,499,790.35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121.16%</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590,554,690.58</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547,279,983.75</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514,940,479.24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6.28%</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489,626,062.55</w:t>
            </w: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bookmarkStart w:name="六、分季度主要财务指标" w:id="9"/>
      <w:bookmarkEnd w:id="9"/>
      <w:r>
        <w:rPr>
          <w:b w:val="0"/>
          <w:bCs w:val="0"/>
        </w:rPr>
      </w:r>
      <w:r>
        <w:rPr/>
        <w:t>六、分季度主要财务指标</w:t>
      </w:r>
      <w:r>
        <w:rPr>
          <w:b w:val="0"/>
          <w:bCs w:val="0"/>
        </w:rPr>
      </w:r>
    </w:p>
    <w:p>
      <w:pPr>
        <w:spacing w:line="240" w:lineRule="auto" w:before="2"/>
        <w:rPr>
          <w:rFonts w:ascii="宋体" w:hAnsi="宋体" w:cs="宋体" w:eastAsia="宋体" w:hint="default"/>
          <w:b/>
          <w:bCs/>
          <w:sz w:val="23"/>
          <w:szCs w:val="23"/>
        </w:rPr>
      </w:pPr>
    </w:p>
    <w:p>
      <w:pPr>
        <w:pStyle w:val="BodyText"/>
        <w:spacing w:line="240" w:lineRule="auto"/>
        <w:ind w:left="0" w:right="150"/>
        <w:jc w:val="right"/>
      </w:pPr>
      <w:r>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21"/>
        <w:gridCol w:w="1740"/>
        <w:gridCol w:w="1739"/>
        <w:gridCol w:w="1740"/>
        <w:gridCol w:w="1718"/>
      </w:tblGrid>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3"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4"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5"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621"/>
        <w:gridCol w:w="1740"/>
        <w:gridCol w:w="1739"/>
        <w:gridCol w:w="1740"/>
        <w:gridCol w:w="1729"/>
      </w:tblGrid>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95,725,453.06</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179,898,504.15</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166,921,229.68</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208,992,622.34</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2,103,729.88</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11,381,878.17</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3,323,802.41</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25,530,594.05</w:t>
            </w:r>
          </w:p>
        </w:tc>
      </w:tr>
      <w:tr>
        <w:trPr>
          <w:trHeight w:val="714"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66"/>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2,088,300.23</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11,383,928.07</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3,297,763.71</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25,376,690.09</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-17,682,983.94</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-15,183,182.40</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-18,155,901.84</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62,436,742.61</w:t>
            </w:r>
          </w:p>
        </w:tc>
      </w:tr>
    </w:tbl>
    <w:p>
      <w:pPr>
        <w:pStyle w:val="BodyText"/>
        <w:spacing w:line="240" w:lineRule="auto" w:before="51"/>
        <w:ind w:right="0"/>
        <w:jc w:val="left"/>
      </w:pPr>
      <w:r>
        <w:rPr/>
        <w:t>上述财务指标或其加总数是否与公司已披露季度报告、半年度报告相关财务指标存在重大差异</w:t>
      </w:r>
    </w:p>
    <w:p>
      <w:pPr>
        <w:pStyle w:val="BodyText"/>
        <w:spacing w:line="240" w:lineRule="auto" w:before="117"/>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七、境内外会计准则下会计数据差异" w:id="10"/>
      <w:bookmarkEnd w:id="10"/>
      <w:r>
        <w:rPr>
          <w:b w:val="0"/>
          <w:bCs w:val="0"/>
        </w:rPr>
      </w:r>
      <w:r>
        <w:rPr/>
        <w:t>七、境内外会计准则下会计数据差异</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right="0"/>
        <w:jc w:val="left"/>
        <w:rPr>
          <w:b w:val="0"/>
          <w:bCs w:val="0"/>
        </w:rPr>
      </w:pPr>
      <w:bookmarkStart w:name="1、同时按照国际会计准则与按照中国会计准则披露的财务报告中净利润和净资产差异情况" w:id="11"/>
      <w:bookmarkEnd w:id="11"/>
      <w:r>
        <w:rPr>
          <w:b w:val="0"/>
          <w:bCs w:val="0"/>
        </w:rPr>
      </w: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8"/>
        <w:rPr>
          <w:rFonts w:ascii="宋体" w:hAnsi="宋体" w:cs="宋体" w:eastAsia="宋体" w:hint="default"/>
          <w:b/>
          <w:bCs/>
          <w:sz w:val="26"/>
          <w:szCs w:val="26"/>
        </w:rPr>
      </w:pPr>
    </w:p>
    <w:p>
      <w:pPr>
        <w:pStyle w:val="BodyText"/>
        <w:spacing w:line="338" w:lineRule="auto" w:before="0"/>
        <w:ind w:right="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公司报告期不存在按照国际会计准则与按照中国会计准则披露的财务报告中净利润和净资产差异情况。</w:t>
      </w:r>
    </w:p>
    <w:p>
      <w:pPr>
        <w:spacing w:line="240" w:lineRule="auto" w:before="2"/>
        <w:rPr>
          <w:rFonts w:ascii="宋体" w:hAnsi="宋体" w:cs="宋体" w:eastAsia="宋体" w:hint="default"/>
          <w:sz w:val="21"/>
          <w:szCs w:val="21"/>
        </w:rPr>
      </w:pPr>
    </w:p>
    <w:p>
      <w:pPr>
        <w:pStyle w:val="Heading5"/>
        <w:spacing w:line="240" w:lineRule="auto"/>
        <w:ind w:right="0"/>
        <w:jc w:val="left"/>
        <w:rPr>
          <w:b w:val="0"/>
          <w:bCs w:val="0"/>
        </w:rPr>
      </w:pPr>
      <w:bookmarkStart w:name="2、同时按照境外会计准则与按照中国会计准则披露的财务报告中净利润和净资产差异情况" w:id="12"/>
      <w:bookmarkEnd w:id="12"/>
      <w:r>
        <w:rPr>
          <w:b w:val="0"/>
          <w:bCs w:val="0"/>
        </w:rPr>
      </w: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before="0"/>
        <w:ind w:right="167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公司报告期不存在按照境外会计准则与按照中国会计准则披露的财务报告中净利润和净资产差异情况。</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bookmarkStart w:name="八、非经常性损益项目及金额" w:id="13"/>
      <w:bookmarkEnd w:id="13"/>
      <w:r>
        <w:rPr>
          <w:b w:val="0"/>
          <w:bCs w:val="0"/>
        </w:rPr>
      </w:r>
      <w:r>
        <w:rPr/>
        <w:t>八、非经常性损益项目及金额</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5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273"/>
        <w:gridCol w:w="1532"/>
        <w:gridCol w:w="1520"/>
        <w:gridCol w:w="1522"/>
        <w:gridCol w:w="1710"/>
      </w:tblGrid>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4"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0"/>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272,320.00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100,561.63</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1,645,062.83</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0"/>
              <w:jc w:val="left"/>
              <w:rPr>
                <w:rFonts w:ascii="宋体" w:hAnsi="宋体" w:cs="宋体" w:eastAsia="宋体" w:hint="default"/>
                <w:sz w:val="18"/>
                <w:szCs w:val="18"/>
              </w:rPr>
            </w:pPr>
            <w:r>
              <w:rPr>
                <w:rFonts w:ascii="宋体" w:hAnsi="宋体" w:cs="宋体" w:eastAsia="宋体" w:hint="default"/>
                <w:sz w:val="18"/>
                <w:szCs w:val="18"/>
              </w:rPr>
              <w:t>越权审批或无正式批准文件的税收返还、 减免</w:t>
            </w:r>
          </w:p>
        </w:tc>
        <w:tc>
          <w:tcPr>
            <w:tcW w:w="1532" w:type="dxa"/>
            <w:tcBorders>
              <w:top w:val="single" w:sz="4" w:space="0" w:color="000000"/>
              <w:left w:val="single" w:sz="13" w:space="0" w:color="D2D2D2"/>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710,845.66</w:t>
            </w: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0"/>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32" w:type="dxa"/>
            <w:tcBorders>
              <w:top w:val="single" w:sz="4" w:space="0" w:color="000000"/>
              <w:left w:val="single" w:sz="13" w:space="0" w:color="D2D2D2"/>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3,987,000.00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1,915,200.00</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0"/>
              <w:jc w:val="left"/>
              <w:rPr>
                <w:rFonts w:ascii="宋体" w:hAnsi="宋体" w:cs="宋体" w:eastAsia="宋体" w:hint="default"/>
                <w:sz w:val="18"/>
                <w:szCs w:val="18"/>
              </w:rPr>
            </w:pPr>
            <w:r>
              <w:rPr>
                <w:rFonts w:ascii="宋体" w:hAnsi="宋体" w:cs="宋体" w:eastAsia="宋体" w:hint="default"/>
                <w:sz w:val="18"/>
                <w:szCs w:val="18"/>
              </w:rPr>
              <w:t>计入当期损益的对非金融企业收取的资金 占用费</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8,445.86</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-53,327.73</w:t>
            </w:r>
            <w:r>
              <w:rPr>
                <w:rFonts w:ascii="Times New Roman"/>
                <w:sz w:val="18"/>
              </w:rPr>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72,611.49</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40,336.18</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34,115.72</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730,764.08</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540,089.85</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193,322.41</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4,140,254.70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3,060,509.16</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spacing w:val="-3"/>
        </w:rPr>
        <w:t>对公司根据《公开发行证券的公司信息披露解释性公告第</w:t>
      </w:r>
      <w:r>
        <w:rPr>
          <w:spacing w:val="-39"/>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2" w:lineRule="auto" w:before="61"/>
        <w:ind w:right="138"/>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spacing w:after="0" w:line="302" w:lineRule="auto"/>
        <w:jc w:val="left"/>
        <w:sectPr>
          <w:pgSz w:w="11910" w:h="16840"/>
          <w:pgMar w:header="747" w:footer="979" w:top="1060" w:bottom="1160" w:left="980" w:right="980"/>
        </w:sectPr>
      </w:pPr>
    </w:p>
    <w:p>
      <w:pPr>
        <w:spacing w:line="240" w:lineRule="auto" w:before="13"/>
        <w:rPr>
          <w:rFonts w:ascii="宋体" w:hAnsi="宋体" w:cs="宋体" w:eastAsia="宋体" w:hint="default"/>
          <w:sz w:val="25"/>
          <w:szCs w:val="25"/>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2" w:lineRule="auto" w:before="101"/>
        <w:ind w:right="136"/>
        <w:jc w:val="left"/>
      </w:pPr>
      <w:r>
        <w:rPr/>
        <w:t>公司报告期不存在将根据《公开发行证券的公司信息披露解释性公告第</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spacing w:val="-3"/>
        </w:rPr>
        <w:t>号</w:t>
      </w:r>
      <w:r>
        <w:rPr>
          <w:rFonts w:ascii="Times New Roman" w:hAnsi="Times New Roman" w:cs="Times New Roman" w:eastAsia="Times New Roman" w:hint="default"/>
          <w:spacing w:val="-3"/>
        </w:rPr>
        <w:t>——</w:t>
      </w:r>
      <w:r>
        <w:rPr>
          <w:spacing w:val="-3"/>
        </w:rPr>
        <w:t>非经常性损益》定义、列举的非经常性损益</w:t>
      </w:r>
      <w:r>
        <w:rPr/>
        <w:t> 项目界定为经常性损益的项目的情形。</w:t>
      </w:r>
    </w:p>
    <w:p>
      <w:pPr>
        <w:spacing w:after="0" w:line="302" w:lineRule="auto"/>
        <w:jc w:val="left"/>
        <w:sectPr>
          <w:pgSz w:w="11910" w:h="16840"/>
          <w:pgMar w:header="747" w:footer="979"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431" w:right="3469"/>
        <w:jc w:val="center"/>
        <w:rPr>
          <w:b w:val="0"/>
          <w:bCs w:val="0"/>
        </w:rPr>
      </w:pPr>
      <w:bookmarkStart w:name="第三节 公司业务概要" w:id="14"/>
      <w:bookmarkEnd w:id="14"/>
      <w:r>
        <w:rPr>
          <w:b w:val="0"/>
          <w:bCs w:val="0"/>
        </w:rPr>
      </w:r>
      <w:bookmarkStart w:name="_bookmark1" w:id="15"/>
      <w:bookmarkEnd w:id="15"/>
      <w:r>
        <w:rPr>
          <w:b w:val="0"/>
          <w:bCs w:val="0"/>
        </w:rPr>
      </w:r>
      <w:r>
        <w:rPr/>
        <w:t>第三节</w:t>
      </w:r>
      <w:r>
        <w:rPr>
          <w:spacing w:val="-7"/>
        </w:rPr>
        <w:t> </w:t>
      </w:r>
      <w:r>
        <w:rPr/>
        <w:t>公司业务概要</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92"/>
        <w:jc w:val="left"/>
        <w:rPr>
          <w:b w:val="0"/>
          <w:bCs w:val="0"/>
        </w:rPr>
      </w:pPr>
      <w:bookmarkStart w:name="一、报告期内公司从事的主要业务" w:id="16"/>
      <w:bookmarkEnd w:id="16"/>
      <w:r>
        <w:rPr>
          <w:b w:val="0"/>
          <w:bCs w:val="0"/>
        </w:rPr>
      </w:r>
      <w:r>
        <w:rPr/>
        <w:t>一、报告期内公司从事的主要业务</w:t>
      </w:r>
      <w:r>
        <w:rPr>
          <w:b w:val="0"/>
          <w:bCs w:val="0"/>
        </w:rPr>
      </w:r>
    </w:p>
    <w:p>
      <w:pPr>
        <w:spacing w:line="240" w:lineRule="auto" w:before="7"/>
        <w:rPr>
          <w:rFonts w:ascii="宋体" w:hAnsi="宋体" w:cs="宋体" w:eastAsia="宋体" w:hint="default"/>
          <w:b/>
          <w:bCs/>
          <w:sz w:val="26"/>
          <w:szCs w:val="26"/>
        </w:rPr>
      </w:pPr>
    </w:p>
    <w:p>
      <w:pPr>
        <w:pStyle w:val="BodyText"/>
        <w:spacing w:line="360" w:lineRule="auto" w:before="0"/>
        <w:ind w:right="6752"/>
        <w:jc w:val="left"/>
      </w:pPr>
      <w:r>
        <w:rPr/>
        <w:t>公司是否需要遵守特殊行业的披露要求 否</w:t>
      </w:r>
    </w:p>
    <w:p>
      <w:pPr>
        <w:pStyle w:val="BodyText"/>
        <w:spacing w:line="316" w:lineRule="auto" w:before="25"/>
        <w:ind w:right="190" w:firstLine="360"/>
        <w:jc w:val="both"/>
      </w:pPr>
      <w:r>
        <w:rPr>
          <w:spacing w:val="-2"/>
        </w:rPr>
        <w:t>公司主营业务为线缆用高分子材料的研发、生产和销售，产品广泛运用于电力、船舶、轨道交通、通信、电气装备、建</w:t>
      </w:r>
      <w:r>
        <w:rPr/>
        <w:t> </w:t>
      </w:r>
      <w:r>
        <w:rPr>
          <w:spacing w:val="-2"/>
        </w:rPr>
        <w:t>筑、新能源等领域。公司始终以市场为导向，以技术为抓手，在研发的道路不断寻求突破，产品线得到有效延伸，公司目前</w:t>
      </w:r>
      <w:r>
        <w:rPr>
          <w:spacing w:val="-68"/>
        </w:rPr>
        <w:t> </w:t>
      </w:r>
      <w:r>
        <w:rPr>
          <w:spacing w:val="-68"/>
        </w:rPr>
      </w:r>
      <w:r>
        <w:rPr>
          <w:spacing w:val="-2"/>
        </w:rPr>
        <w:t>已有通用聚氯乙烯电缆料、特种聚氯乙烯电缆料、无卤低烟阻燃电缆料、特种聚乙烯及交联聚乙烯电缆料、橡胶电缆料和橡</w:t>
      </w:r>
      <w:r>
        <w:rPr>
          <w:spacing w:val="-66"/>
        </w:rPr>
        <w:t> </w:t>
      </w:r>
      <w:r>
        <w:rPr>
          <w:spacing w:val="-66"/>
        </w:rPr>
      </w:r>
      <w:r>
        <w:rPr>
          <w:spacing w:val="-2"/>
        </w:rPr>
        <w:t>塑改性弹性体材料六大产品系列，二百多个品种，是国内少数生产规模化、产品系列化、配方和生产工艺先进的线缆材料生</w:t>
      </w:r>
      <w:r>
        <w:rPr>
          <w:spacing w:val="-66"/>
        </w:rPr>
        <w:t> </w:t>
      </w:r>
      <w:r>
        <w:rPr>
          <w:spacing w:val="-66"/>
        </w:rPr>
      </w:r>
      <w:r>
        <w:rPr/>
        <w:t>产企业。</w:t>
      </w:r>
    </w:p>
    <w:p>
      <w:pPr>
        <w:pStyle w:val="BodyText"/>
        <w:spacing w:line="316" w:lineRule="auto" w:before="19"/>
        <w:ind w:right="92" w:firstLine="360"/>
        <w:jc w:val="left"/>
      </w:pPr>
      <w:r>
        <w:rPr>
          <w:spacing w:val="-2"/>
        </w:rPr>
        <w:t>公司销售模式以直销为主，公司产品专业性强，客户对技术服务的要求较高，直销模式可减少中间环节、贴近市场并及</w:t>
      </w:r>
      <w:r>
        <w:rPr/>
        <w:t> 时深入了解客户的需求，有利于向客户提供技术服务和控制产品销售风险。公司下游知名客户对供应商资格认证较为严格， </w:t>
      </w:r>
      <w:r>
        <w:rPr>
          <w:spacing w:val="-2"/>
        </w:rPr>
        <w:t>多数规模化的电线电缆企业已建立了较为完善的合格供应商体系，由于线缆材料的性能与电线电缆质量息息相关，下游厂商</w:t>
      </w:r>
      <w:r>
        <w:rPr>
          <w:spacing w:val="-63"/>
        </w:rPr>
        <w:t> </w:t>
      </w:r>
      <w:r>
        <w:rPr>
          <w:spacing w:val="-63"/>
        </w:rPr>
      </w:r>
      <w:r>
        <w:rPr>
          <w:spacing w:val="-2"/>
        </w:rPr>
        <w:t>更换供应商的转换成本较高，因此公司制定了与客户建立长期稳定的合作关系、共同成长与发展的销售策略。公司在销售的</w:t>
      </w:r>
      <w:r>
        <w:rPr>
          <w:spacing w:val="-66"/>
        </w:rPr>
        <w:t> </w:t>
      </w:r>
      <w:r>
        <w:rPr>
          <w:spacing w:val="-66"/>
        </w:rPr>
      </w:r>
      <w:r>
        <w:rPr/>
        <w:t>过程中重点突出技术领先、性价比突出、服务优良的综合优势，及时跟进行业发展趋势，适时推出新产品以满足客户需要。 同时公司通过参与客户新型电缆的开发，根据客户要求的参数指标，灵活调整配方，为客户提供性价比高的新型线缆材料， 与客户实现双赢，进一步稳固战略合作关系。</w:t>
      </w:r>
    </w:p>
    <w:p>
      <w:pPr>
        <w:pStyle w:val="BodyText"/>
        <w:spacing w:line="309" w:lineRule="auto" w:before="19"/>
        <w:ind w:right="190" w:firstLine="360"/>
        <w:jc w:val="both"/>
      </w:pPr>
      <w:r>
        <w:rPr>
          <w:spacing w:val="-6"/>
        </w:rPr>
        <w:t>报告期内，公司继续发挥主营业务的优势，以线缆用高分子材料为根基，同时，成功收购杭州奥能电源设备有限公司</w:t>
      </w:r>
      <w:r>
        <w:rPr>
          <w:rFonts w:ascii="Times New Roman" w:hAnsi="Times New Roman" w:cs="Times New Roman" w:eastAsia="Times New Roman" w:hint="default"/>
          <w:spacing w:val="-6"/>
        </w:rPr>
        <w:t>100%</w:t>
      </w:r>
      <w:r>
        <w:rPr>
          <w:rFonts w:ascii="Times New Roman" w:hAnsi="Times New Roman" w:cs="Times New Roman" w:eastAsia="Times New Roman" w:hint="default"/>
        </w:rPr>
        <w:t> </w:t>
      </w:r>
      <w:r>
        <w:rPr>
          <w:spacing w:val="-2"/>
        </w:rPr>
        <w:t>股权，将智能化电源系统和新能源充电设备纳入公司核心产品体系，公司由全面聚焦于线缆用高分子材料的战略部署转向新</w:t>
      </w:r>
      <w:r>
        <w:rPr>
          <w:spacing w:val="-64"/>
        </w:rPr>
        <w:t> </w:t>
      </w:r>
      <w:r>
        <w:rPr>
          <w:spacing w:val="-64"/>
        </w:rPr>
      </w:r>
      <w:r>
        <w:rPr/>
        <w:t>材料和新能源两大业务板块双轮驱动的战略格局。</w:t>
      </w:r>
    </w:p>
    <w:p>
      <w:pPr>
        <w:pStyle w:val="BodyText"/>
        <w:spacing w:line="314" w:lineRule="auto" w:before="24"/>
        <w:ind w:right="191" w:firstLine="360"/>
        <w:jc w:val="both"/>
      </w:pPr>
      <w:r>
        <w:rPr>
          <w:spacing w:val="-2"/>
        </w:rPr>
        <w:t>奥能电源是国内新能源充电设备和智能一体化电源系统的主流供应商之一，在电源系统领域已经深耕多年，</w:t>
      </w:r>
      <w:r>
        <w:rPr>
          <w:rFonts w:ascii="Times New Roman" w:hAnsi="Times New Roman" w:cs="Times New Roman" w:eastAsia="Times New Roman" w:hint="default"/>
          <w:spacing w:val="-2"/>
        </w:rPr>
        <w:t>2014</w:t>
      </w:r>
      <w:r>
        <w:rPr>
          <w:spacing w:val="-2"/>
        </w:rPr>
        <w:t>年，国</w:t>
      </w:r>
      <w:r>
        <w:rPr/>
        <w:t> </w:t>
      </w:r>
      <w:r>
        <w:rPr>
          <w:spacing w:val="-2"/>
        </w:rPr>
        <w:t>家电网向民间资本开放电动车充电桩市场后，掀起了一阵充电桩建设热潮，奥能电源借机进入该领域并迅速站稳了脚跟，成</w:t>
      </w:r>
      <w:r>
        <w:rPr>
          <w:spacing w:val="-66"/>
        </w:rPr>
        <w:t> </w:t>
      </w:r>
      <w:r>
        <w:rPr>
          <w:spacing w:val="-66"/>
        </w:rPr>
      </w:r>
      <w:r>
        <w:rPr>
          <w:spacing w:val="-2"/>
        </w:rPr>
        <w:t>为国内充电桩行业领先品牌之一，目前奥能电源拥有直流充电桩和交流充电桩两大产品系列，服务于电网、汽车厂家、房地</w:t>
      </w:r>
      <w:r>
        <w:rPr>
          <w:spacing w:val="-66"/>
        </w:rPr>
        <w:t> </w:t>
      </w:r>
      <w:r>
        <w:rPr>
          <w:spacing w:val="-66"/>
        </w:rPr>
      </w:r>
      <w:r>
        <w:rPr>
          <w:spacing w:val="-2"/>
        </w:rPr>
        <w:t>产商、物业公司以及一般运营商。收购奥能电源，使公司成功避开了行业壁垒，快速进入充电桩领域，为公司提供了新的业</w:t>
      </w:r>
      <w:r>
        <w:rPr>
          <w:spacing w:val="-66"/>
        </w:rPr>
        <w:t> </w:t>
      </w:r>
      <w:r>
        <w:rPr>
          <w:spacing w:val="-66"/>
        </w:rPr>
      </w:r>
      <w:r>
        <w:rPr/>
        <w:t>绩增长点。</w:t>
      </w:r>
    </w:p>
    <w:p>
      <w:pPr>
        <w:spacing w:line="240" w:lineRule="auto" w:before="12"/>
        <w:rPr>
          <w:rFonts w:ascii="宋体" w:hAnsi="宋体" w:cs="宋体" w:eastAsia="宋体" w:hint="default"/>
          <w:sz w:val="20"/>
          <w:szCs w:val="20"/>
        </w:rPr>
      </w:pPr>
    </w:p>
    <w:p>
      <w:pPr>
        <w:pStyle w:val="Heading2"/>
        <w:spacing w:line="240" w:lineRule="auto"/>
        <w:ind w:right="92"/>
        <w:jc w:val="left"/>
        <w:rPr>
          <w:b w:val="0"/>
          <w:bCs w:val="0"/>
        </w:rPr>
      </w:pPr>
      <w:bookmarkStart w:name="二、主要资产重大变化情况" w:id="17"/>
      <w:bookmarkEnd w:id="17"/>
      <w:r>
        <w:rPr>
          <w:b w:val="0"/>
          <w:bCs w:val="0"/>
        </w:rPr>
      </w:r>
      <w:r>
        <w:rPr/>
        <w:t>二、主要资产重大变化情况</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92"/>
        <w:jc w:val="left"/>
        <w:rPr>
          <w:b w:val="0"/>
          <w:bCs w:val="0"/>
        </w:rPr>
      </w:pPr>
      <w:bookmarkStart w:name="1、主要资产重大变化情况" w:id="18"/>
      <w:bookmarkEnd w:id="18"/>
      <w:r>
        <w:rPr>
          <w:b w:val="0"/>
          <w:bCs w:val="0"/>
        </w:rPr>
      </w:r>
      <w:r>
        <w:rPr>
          <w:rFonts w:ascii="Times New Roman" w:hAnsi="Times New Roman" w:cs="Times New Roman" w:eastAsia="Times New Roman" w:hint="default"/>
        </w:rPr>
        <w:t>1</w:t>
      </w:r>
      <w:r>
        <w:rPr/>
        <w:t>、主要资产重大变化情况</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041"/>
        <w:gridCol w:w="6517"/>
      </w:tblGrid>
      <w:tr>
        <w:trPr>
          <w:trHeight w:val="186" w:hRule="exact"/>
        </w:trPr>
        <w:tc>
          <w:tcPr>
            <w:tcW w:w="3041" w:type="dxa"/>
            <w:tcBorders>
              <w:top w:val="single" w:sz="4" w:space="0" w:color="000000"/>
              <w:left w:val="single" w:sz="4" w:space="0" w:color="000000"/>
              <w:bottom w:val="nil" w:sz="6" w:space="0" w:color="auto"/>
              <w:right w:val="single" w:sz="4" w:space="0" w:color="000000"/>
            </w:tcBorders>
            <w:shd w:val="clear" w:color="auto" w:fill="D2D2D2"/>
          </w:tcPr>
          <w:p>
            <w:pPr/>
          </w:p>
        </w:tc>
        <w:tc>
          <w:tcPr>
            <w:tcW w:w="651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304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651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186" w:hRule="exact"/>
        </w:trPr>
        <w:tc>
          <w:tcPr>
            <w:tcW w:w="3041" w:type="dxa"/>
            <w:tcBorders>
              <w:top w:val="nil" w:sz="6" w:space="0" w:color="auto"/>
              <w:left w:val="single" w:sz="4" w:space="0" w:color="000000"/>
              <w:bottom w:val="single" w:sz="4" w:space="0" w:color="000000"/>
              <w:right w:val="single" w:sz="4" w:space="0" w:color="000000"/>
            </w:tcBorders>
            <w:shd w:val="clear" w:color="auto" w:fill="D2D2D2"/>
          </w:tcPr>
          <w:p>
            <w:pPr/>
          </w:p>
        </w:tc>
        <w:tc>
          <w:tcPr>
            <w:tcW w:w="651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3041" w:type="dxa"/>
            <w:tcBorders>
              <w:top w:val="single" w:sz="4" w:space="0" w:color="000000"/>
              <w:left w:val="single" w:sz="4" w:space="0" w:color="000000"/>
              <w:bottom w:val="nil" w:sz="6" w:space="0" w:color="auto"/>
              <w:right w:val="single" w:sz="4" w:space="0" w:color="000000"/>
            </w:tcBorders>
            <w:shd w:val="clear" w:color="auto" w:fill="D2D2D2"/>
          </w:tcPr>
          <w:p>
            <w:pPr/>
          </w:p>
        </w:tc>
        <w:tc>
          <w:tcPr>
            <w:tcW w:w="6517" w:type="dxa"/>
            <w:vMerge w:val="restart"/>
            <w:tcBorders>
              <w:top w:val="single" w:sz="4" w:space="0" w:color="000000"/>
              <w:left w:val="single" w:sz="9" w:space="0" w:color="D2D2D2"/>
              <w:right w:val="single" w:sz="4" w:space="0" w:color="000000"/>
            </w:tcBorders>
          </w:tcPr>
          <w:p>
            <w:pPr>
              <w:pStyle w:val="TableParagraph"/>
              <w:spacing w:line="300" w:lineRule="auto" w:before="51"/>
              <w:ind w:left="16" w:right="21"/>
              <w:jc w:val="left"/>
              <w:rPr>
                <w:rFonts w:ascii="宋体" w:hAnsi="宋体" w:cs="宋体" w:eastAsia="宋体" w:hint="default"/>
                <w:sz w:val="18"/>
                <w:szCs w:val="18"/>
              </w:rPr>
            </w:pPr>
            <w:r>
              <w:rPr>
                <w:rFonts w:ascii="宋体" w:hAnsi="宋体" w:cs="宋体" w:eastAsia="宋体" w:hint="default"/>
                <w:sz w:val="18"/>
                <w:szCs w:val="18"/>
              </w:rPr>
              <w:t>报告期末可供出售金融资产余额新增</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7.19</w:t>
            </w:r>
            <w:r>
              <w:rPr>
                <w:rFonts w:ascii="Times New Roman" w:hAnsi="Times New Roman" w:cs="Times New Roman" w:eastAsia="Times New Roman" w:hint="default"/>
                <w:spacing w:val="2"/>
                <w:sz w:val="18"/>
                <w:szCs w:val="18"/>
              </w:rPr>
              <w:t> </w:t>
            </w:r>
            <w:r>
              <w:rPr>
                <w:rFonts w:ascii="宋体" w:hAnsi="宋体" w:cs="宋体" w:eastAsia="宋体" w:hint="default"/>
                <w:spacing w:val="-4"/>
                <w:sz w:val="18"/>
                <w:szCs w:val="18"/>
              </w:rPr>
              <w:t>万元，主要系本期新增纳入合并报表的子</w:t>
            </w:r>
            <w:r>
              <w:rPr>
                <w:rFonts w:ascii="宋体" w:hAnsi="宋体" w:cs="宋体" w:eastAsia="宋体" w:hint="default"/>
                <w:sz w:val="18"/>
                <w:szCs w:val="18"/>
              </w:rPr>
              <w:t> 公司杭州奥能电源设备有限公司合并转入的对外投资款所致；</w:t>
            </w:r>
          </w:p>
        </w:tc>
      </w:tr>
      <w:tr>
        <w:trPr>
          <w:trHeight w:val="392" w:hRule="exact"/>
        </w:trPr>
        <w:tc>
          <w:tcPr>
            <w:tcW w:w="304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股权资产</w:t>
            </w:r>
          </w:p>
        </w:tc>
        <w:tc>
          <w:tcPr>
            <w:tcW w:w="6517" w:type="dxa"/>
            <w:vMerge/>
            <w:tcBorders>
              <w:left w:val="single" w:sz="9" w:space="0" w:color="D2D2D2"/>
              <w:right w:val="single" w:sz="4" w:space="0" w:color="000000"/>
            </w:tcBorders>
          </w:tcPr>
          <w:p>
            <w:pPr/>
          </w:p>
        </w:tc>
      </w:tr>
      <w:tr>
        <w:trPr>
          <w:trHeight w:val="161" w:hRule="exact"/>
        </w:trPr>
        <w:tc>
          <w:tcPr>
            <w:tcW w:w="3041" w:type="dxa"/>
            <w:tcBorders>
              <w:top w:val="nil" w:sz="6" w:space="0" w:color="auto"/>
              <w:left w:val="single" w:sz="4" w:space="0" w:color="000000"/>
              <w:bottom w:val="single" w:sz="4" w:space="0" w:color="000000"/>
              <w:right w:val="single" w:sz="4" w:space="0" w:color="000000"/>
            </w:tcBorders>
            <w:shd w:val="clear" w:color="auto" w:fill="D2D2D2"/>
          </w:tcPr>
          <w:p>
            <w:pPr/>
          </w:p>
        </w:tc>
        <w:tc>
          <w:tcPr>
            <w:tcW w:w="6517" w:type="dxa"/>
            <w:vMerge/>
            <w:tcBorders>
              <w:left w:val="single" w:sz="9" w:space="0" w:color="D2D2D2"/>
              <w:bottom w:val="single" w:sz="4" w:space="0" w:color="000000"/>
              <w:right w:val="single" w:sz="4" w:space="0" w:color="000000"/>
            </w:tcBorders>
          </w:tcPr>
          <w:p>
            <w:pPr/>
          </w:p>
        </w:tc>
      </w:tr>
      <w:tr>
        <w:trPr>
          <w:trHeight w:val="317" w:hRule="exact"/>
        </w:trPr>
        <w:tc>
          <w:tcPr>
            <w:tcW w:w="3041" w:type="dxa"/>
            <w:tcBorders>
              <w:top w:val="single" w:sz="4" w:space="0" w:color="000000"/>
              <w:left w:val="single" w:sz="4" w:space="0" w:color="000000"/>
              <w:bottom w:val="nil" w:sz="6" w:space="0" w:color="auto"/>
              <w:right w:val="single" w:sz="4" w:space="0" w:color="000000"/>
            </w:tcBorders>
            <w:shd w:val="clear" w:color="auto" w:fill="D2D2D2"/>
          </w:tcPr>
          <w:p>
            <w:pPr/>
          </w:p>
        </w:tc>
        <w:tc>
          <w:tcPr>
            <w:tcW w:w="6517" w:type="dxa"/>
            <w:vMerge w:val="restart"/>
            <w:tcBorders>
              <w:top w:val="single" w:sz="4" w:space="0" w:color="000000"/>
              <w:left w:val="single" w:sz="9" w:space="0" w:color="D2D2D2"/>
              <w:right w:val="single" w:sz="4" w:space="0" w:color="000000"/>
            </w:tcBorders>
          </w:tcPr>
          <w:p>
            <w:pPr>
              <w:pStyle w:val="TableParagraph"/>
              <w:spacing w:line="300" w:lineRule="auto" w:before="51"/>
              <w:ind w:left="16" w:right="20"/>
              <w:jc w:val="left"/>
              <w:rPr>
                <w:rFonts w:ascii="宋体" w:hAnsi="宋体" w:cs="宋体" w:eastAsia="宋体" w:hint="default"/>
                <w:sz w:val="18"/>
                <w:szCs w:val="18"/>
              </w:rPr>
            </w:pPr>
            <w:r>
              <w:rPr>
                <w:rFonts w:ascii="宋体" w:hAnsi="宋体" w:cs="宋体" w:eastAsia="宋体" w:hint="default"/>
                <w:sz w:val="18"/>
                <w:szCs w:val="18"/>
              </w:rPr>
              <w:t>报告期末无形资产余额较年初增长</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31.08%</w:t>
            </w:r>
            <w:r>
              <w:rPr>
                <w:rFonts w:ascii="宋体" w:hAnsi="宋体" w:cs="宋体" w:eastAsia="宋体" w:hint="default"/>
                <w:sz w:val="18"/>
                <w:szCs w:val="18"/>
              </w:rPr>
              <w:t>，增加额</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1454.21</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万元，主要是新增纳入 </w:t>
            </w:r>
            <w:r>
              <w:rPr>
                <w:rFonts w:ascii="宋体" w:hAnsi="宋体" w:cs="宋体" w:eastAsia="宋体" w:hint="default"/>
                <w:spacing w:val="-1"/>
                <w:sz w:val="18"/>
                <w:szCs w:val="18"/>
              </w:rPr>
              <w:t>合并报表的子公司杭州奥能电源设备有限公司其合并转入的的专利、商标和著作权</w:t>
            </w:r>
          </w:p>
          <w:p>
            <w:pPr>
              <w:pStyle w:val="TableParagraph"/>
              <w:spacing w:line="240" w:lineRule="auto" w:before="33"/>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1576.71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万元所致；</w:t>
            </w:r>
          </w:p>
        </w:tc>
      </w:tr>
      <w:tr>
        <w:trPr>
          <w:trHeight w:val="393" w:hRule="exact"/>
        </w:trPr>
        <w:tc>
          <w:tcPr>
            <w:tcW w:w="304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6517" w:type="dxa"/>
            <w:vMerge/>
            <w:tcBorders>
              <w:left w:val="single" w:sz="9" w:space="0" w:color="D2D2D2"/>
              <w:right w:val="single" w:sz="4" w:space="0" w:color="000000"/>
            </w:tcBorders>
          </w:tcPr>
          <w:p>
            <w:pPr/>
          </w:p>
        </w:tc>
      </w:tr>
      <w:tr>
        <w:trPr>
          <w:trHeight w:val="317" w:hRule="exact"/>
        </w:trPr>
        <w:tc>
          <w:tcPr>
            <w:tcW w:w="3041" w:type="dxa"/>
            <w:tcBorders>
              <w:top w:val="nil" w:sz="6" w:space="0" w:color="auto"/>
              <w:left w:val="single" w:sz="4" w:space="0" w:color="000000"/>
              <w:bottom w:val="single" w:sz="4" w:space="0" w:color="000000"/>
              <w:right w:val="single" w:sz="4" w:space="0" w:color="000000"/>
            </w:tcBorders>
            <w:shd w:val="clear" w:color="auto" w:fill="D2D2D2"/>
          </w:tcPr>
          <w:p>
            <w:pPr/>
          </w:p>
        </w:tc>
        <w:tc>
          <w:tcPr>
            <w:tcW w:w="6517" w:type="dxa"/>
            <w:vMerge/>
            <w:tcBorders>
              <w:left w:val="single" w:sz="9" w:space="0" w:color="D2D2D2"/>
              <w:bottom w:val="single" w:sz="4" w:space="0" w:color="000000"/>
              <w:right w:val="single" w:sz="4" w:space="0" w:color="000000"/>
            </w:tcBorders>
          </w:tcPr>
          <w:p>
            <w:pPr/>
          </w:p>
        </w:tc>
      </w:tr>
      <w:tr>
        <w:trPr>
          <w:trHeight w:val="161" w:hRule="exact"/>
        </w:trPr>
        <w:tc>
          <w:tcPr>
            <w:tcW w:w="3041" w:type="dxa"/>
            <w:tcBorders>
              <w:top w:val="single" w:sz="4" w:space="0" w:color="000000"/>
              <w:left w:val="single" w:sz="4" w:space="0" w:color="000000"/>
              <w:bottom w:val="nil" w:sz="6" w:space="0" w:color="auto"/>
              <w:right w:val="single" w:sz="4" w:space="0" w:color="000000"/>
            </w:tcBorders>
            <w:shd w:val="clear" w:color="auto" w:fill="D2D2D2"/>
          </w:tcPr>
          <w:p>
            <w:pPr/>
          </w:p>
        </w:tc>
        <w:tc>
          <w:tcPr>
            <w:tcW w:w="6517" w:type="dxa"/>
            <w:vMerge w:val="restart"/>
            <w:tcBorders>
              <w:top w:val="single" w:sz="4" w:space="0" w:color="000000"/>
              <w:left w:val="single" w:sz="9" w:space="0" w:color="D2D2D2"/>
              <w:right w:val="single" w:sz="4" w:space="0" w:color="000000"/>
            </w:tcBorders>
          </w:tcPr>
          <w:p>
            <w:pPr>
              <w:pStyle w:val="TableParagraph"/>
              <w:spacing w:line="300" w:lineRule="auto" w:before="51"/>
              <w:ind w:left="16" w:right="32"/>
              <w:jc w:val="left"/>
              <w:rPr>
                <w:rFonts w:ascii="Times New Roman" w:hAnsi="Times New Roman" w:cs="Times New Roman" w:eastAsia="Times New Roman" w:hint="default"/>
                <w:sz w:val="18"/>
                <w:szCs w:val="18"/>
              </w:rPr>
            </w:pPr>
            <w:r>
              <w:rPr>
                <w:rFonts w:ascii="宋体" w:hAnsi="宋体" w:cs="宋体" w:eastAsia="宋体" w:hint="default"/>
                <w:sz w:val="18"/>
                <w:szCs w:val="18"/>
              </w:rPr>
              <w:t>报告期末在建工程余额较年初增长</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120.04%</w:t>
            </w:r>
            <w:r>
              <w:rPr>
                <w:rFonts w:ascii="宋体" w:hAnsi="宋体" w:cs="宋体" w:eastAsia="宋体" w:hint="default"/>
                <w:sz w:val="18"/>
                <w:szCs w:val="18"/>
              </w:rPr>
              <w:t>，增加额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9143.86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w:t>
            </w:r>
            <w:r>
              <w:rPr>
                <w:rFonts w:ascii="宋体" w:hAnsi="宋体" w:cs="宋体" w:eastAsia="宋体" w:hint="default"/>
                <w:sz w:val="18"/>
                <w:szCs w:val="18"/>
              </w:rPr>
              <w:t>主要系募投项目 建设支出增加所致</w:t>
            </w:r>
            <w:r>
              <w:rPr>
                <w:rFonts w:ascii="Times New Roman" w:hAnsi="Times New Roman" w:cs="Times New Roman" w:eastAsia="Times New Roman" w:hint="default"/>
                <w:sz w:val="18"/>
                <w:szCs w:val="18"/>
              </w:rPr>
              <w:t>.</w:t>
            </w:r>
          </w:p>
        </w:tc>
      </w:tr>
      <w:tr>
        <w:trPr>
          <w:trHeight w:val="392" w:hRule="exact"/>
        </w:trPr>
        <w:tc>
          <w:tcPr>
            <w:tcW w:w="304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6517" w:type="dxa"/>
            <w:vMerge/>
            <w:tcBorders>
              <w:left w:val="single" w:sz="9" w:space="0" w:color="D2D2D2"/>
              <w:right w:val="single" w:sz="4" w:space="0" w:color="000000"/>
            </w:tcBorders>
          </w:tcPr>
          <w:p>
            <w:pPr/>
          </w:p>
        </w:tc>
      </w:tr>
      <w:tr>
        <w:trPr>
          <w:trHeight w:val="161" w:hRule="exact"/>
        </w:trPr>
        <w:tc>
          <w:tcPr>
            <w:tcW w:w="3041" w:type="dxa"/>
            <w:tcBorders>
              <w:top w:val="nil" w:sz="6" w:space="0" w:color="auto"/>
              <w:left w:val="single" w:sz="4" w:space="0" w:color="000000"/>
              <w:bottom w:val="single" w:sz="4" w:space="0" w:color="000000"/>
              <w:right w:val="single" w:sz="4" w:space="0" w:color="000000"/>
            </w:tcBorders>
            <w:shd w:val="clear" w:color="auto" w:fill="D2D2D2"/>
          </w:tcPr>
          <w:p>
            <w:pPr/>
          </w:p>
        </w:tc>
        <w:tc>
          <w:tcPr>
            <w:tcW w:w="6517" w:type="dxa"/>
            <w:vMerge/>
            <w:tcBorders>
              <w:left w:val="single" w:sz="9" w:space="0" w:color="D2D2D2"/>
              <w:bottom w:val="single" w:sz="4" w:space="0" w:color="000000"/>
              <w:right w:val="single" w:sz="4" w:space="0" w:color="000000"/>
            </w:tcBorders>
          </w:tcPr>
          <w:p>
            <w:pPr/>
          </w:p>
        </w:tc>
      </w:tr>
    </w:tbl>
    <w:p>
      <w:pPr>
        <w:spacing w:after="0"/>
        <w:sectPr>
          <w:pgSz w:w="11910" w:h="16840"/>
          <w:pgMar w:header="747" w:footer="979" w:top="1060" w:bottom="1160" w:left="980" w:right="94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3052"/>
        <w:gridCol w:w="6517"/>
      </w:tblGrid>
      <w:tr>
        <w:trPr>
          <w:trHeight w:val="714"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报告期末长期待摊费用余额新增</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367.55</w:t>
            </w:r>
            <w:r>
              <w:rPr>
                <w:rFonts w:ascii="Times New Roman" w:hAnsi="Times New Roman" w:cs="Times New Roman" w:eastAsia="Times New Roman" w:hint="default"/>
                <w:spacing w:val="4"/>
                <w:sz w:val="18"/>
                <w:szCs w:val="18"/>
              </w:rPr>
              <w:t> </w:t>
            </w:r>
            <w:r>
              <w:rPr>
                <w:rFonts w:ascii="宋体" w:hAnsi="宋体" w:cs="宋体" w:eastAsia="宋体" w:hint="default"/>
                <w:spacing w:val="-4"/>
                <w:sz w:val="18"/>
                <w:szCs w:val="18"/>
              </w:rPr>
              <w:t>万元，主要系本期新增纳入合并报表的子公</w:t>
            </w:r>
            <w:r>
              <w:rPr>
                <w:rFonts w:ascii="宋体" w:hAnsi="宋体" w:cs="宋体" w:eastAsia="宋体" w:hint="default"/>
                <w:sz w:val="18"/>
                <w:szCs w:val="18"/>
              </w:rPr>
              <w:t> 司杭州奥能电源设备有限公司并转入的经营租入固定资产改良支出所致；</w:t>
            </w:r>
          </w:p>
        </w:tc>
      </w:tr>
    </w:tbl>
    <w:p>
      <w:pPr>
        <w:spacing w:line="240" w:lineRule="auto" w:before="2"/>
        <w:rPr>
          <w:rFonts w:ascii="宋体" w:hAnsi="宋体" w:cs="宋体" w:eastAsia="宋体" w:hint="default"/>
          <w:b/>
          <w:bCs/>
          <w:sz w:val="19"/>
          <w:szCs w:val="19"/>
        </w:rPr>
      </w:pPr>
    </w:p>
    <w:p>
      <w:pPr>
        <w:pStyle w:val="Heading5"/>
        <w:spacing w:line="240" w:lineRule="auto" w:before="35"/>
        <w:ind w:right="92"/>
        <w:jc w:val="left"/>
        <w:rPr>
          <w:b w:val="0"/>
          <w:bCs w:val="0"/>
        </w:rPr>
      </w:pPr>
      <w:bookmarkStart w:name="2、主要境外资产情况" w:id="19"/>
      <w:bookmarkEnd w:id="19"/>
      <w:r>
        <w:rPr>
          <w:b w:val="0"/>
          <w:bCs w:val="0"/>
        </w:rPr>
      </w:r>
      <w:r>
        <w:rPr>
          <w:rFonts w:ascii="Times New Roman" w:hAnsi="Times New Roman" w:cs="Times New Roman" w:eastAsia="Times New Roman" w:hint="default"/>
        </w:rPr>
        <w:t>2</w:t>
      </w:r>
      <w:r>
        <w:rPr/>
        <w:t>、主要境外资产情况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92"/>
        <w:jc w:val="left"/>
        <w:rPr>
          <w:b w:val="0"/>
          <w:bCs w:val="0"/>
        </w:rPr>
      </w:pPr>
      <w:bookmarkStart w:name="三、核心竞争力分析" w:id="20"/>
      <w:bookmarkEnd w:id="20"/>
      <w:r>
        <w:rPr>
          <w:b w:val="0"/>
          <w:bCs w:val="0"/>
        </w:rPr>
      </w:r>
      <w:r>
        <w:rPr/>
        <w:t>三、核心竞争力分析</w:t>
      </w:r>
      <w:r>
        <w:rPr>
          <w:b w:val="0"/>
          <w:bCs w:val="0"/>
        </w:rPr>
      </w:r>
    </w:p>
    <w:p>
      <w:pPr>
        <w:spacing w:line="240" w:lineRule="auto" w:before="7"/>
        <w:rPr>
          <w:rFonts w:ascii="宋体" w:hAnsi="宋体" w:cs="宋体" w:eastAsia="宋体" w:hint="default"/>
          <w:b/>
          <w:bCs/>
          <w:sz w:val="26"/>
          <w:szCs w:val="26"/>
        </w:rPr>
      </w:pPr>
    </w:p>
    <w:p>
      <w:pPr>
        <w:pStyle w:val="BodyText"/>
        <w:spacing w:line="360" w:lineRule="auto" w:before="0"/>
        <w:ind w:right="6752"/>
        <w:jc w:val="left"/>
      </w:pPr>
      <w:r>
        <w:rPr/>
        <w:t>公司是否需要遵守特殊行业的披露要求 否</w:t>
      </w:r>
    </w:p>
    <w:p>
      <w:pPr>
        <w:pStyle w:val="BodyText"/>
        <w:spacing w:line="240" w:lineRule="auto" w:before="25"/>
        <w:ind w:right="92"/>
        <w:jc w:val="left"/>
      </w:pPr>
      <w:r>
        <w:rPr>
          <w:rFonts w:ascii="Times New Roman" w:hAnsi="Times New Roman" w:cs="Times New Roman" w:eastAsia="Times New Roman" w:hint="default"/>
        </w:rPr>
        <w:t>1</w:t>
      </w:r>
      <w:r>
        <w:rPr/>
        <w:t>、技术优势</w:t>
      </w:r>
    </w:p>
    <w:p>
      <w:pPr>
        <w:pStyle w:val="BodyText"/>
        <w:spacing w:line="316" w:lineRule="auto" w:before="63"/>
        <w:ind w:right="92" w:firstLine="360"/>
        <w:jc w:val="left"/>
      </w:pPr>
      <w:r>
        <w:rPr>
          <w:spacing w:val="-4"/>
        </w:rPr>
        <w:t>产品配方体系以及新产品研发能力是线缆用高分子材料企业的核心竞争力。线缆广泛应用于电网、太阳能、核电、风能、</w:t>
      </w:r>
      <w:r>
        <w:rPr/>
        <w:t> </w:t>
      </w:r>
      <w:r>
        <w:rPr>
          <w:spacing w:val="-2"/>
        </w:rPr>
        <w:t>水电、轨道交通、船舶、厂矿、通信、建筑、航天等众多领域，不同领域具有不同的气候条件和安全需求，对线缆性能的要</w:t>
      </w:r>
      <w:r>
        <w:rPr>
          <w:spacing w:val="-67"/>
        </w:rPr>
        <w:t> </w:t>
      </w:r>
      <w:r>
        <w:rPr>
          <w:spacing w:val="-67"/>
        </w:rPr>
      </w:r>
      <w:r>
        <w:rPr>
          <w:spacing w:val="-2"/>
        </w:rPr>
        <w:t>求差别较大，而线缆用高分子材料的性能直接决定线缆的性能。公司经过长期的技术积累及持续的研发投入，掌握了相关的</w:t>
      </w:r>
      <w:r>
        <w:rPr>
          <w:spacing w:val="-66"/>
        </w:rPr>
        <w:t> </w:t>
      </w:r>
      <w:r>
        <w:rPr>
          <w:spacing w:val="-66"/>
        </w:rPr>
      </w:r>
      <w:r>
        <w:rPr>
          <w:spacing w:val="-2"/>
        </w:rPr>
        <w:t>技术诀窍，形成了完备的配方体系，具备了在核心技术基础上灵活调整产品配方满足客户需求的能力，是业内少数几家产品</w:t>
      </w:r>
      <w:r>
        <w:rPr>
          <w:spacing w:val="-66"/>
        </w:rPr>
        <w:t> </w:t>
      </w:r>
      <w:r>
        <w:rPr>
          <w:spacing w:val="-66"/>
        </w:rPr>
      </w:r>
      <w:r>
        <w:rPr/>
        <w:t>系列化程度高、产品结构丰富的企业。</w:t>
      </w:r>
    </w:p>
    <w:p>
      <w:pPr>
        <w:pStyle w:val="BodyText"/>
        <w:spacing w:line="240" w:lineRule="auto" w:before="19"/>
        <w:ind w:right="92"/>
        <w:jc w:val="left"/>
      </w:pPr>
      <w:r>
        <w:rPr>
          <w:rFonts w:ascii="Times New Roman" w:hAnsi="Times New Roman" w:cs="Times New Roman" w:eastAsia="Times New Roman" w:hint="default"/>
        </w:rPr>
        <w:t>2</w:t>
      </w:r>
      <w:r>
        <w:rPr/>
        <w:t>、产品优势</w:t>
      </w:r>
    </w:p>
    <w:p>
      <w:pPr>
        <w:pStyle w:val="BodyText"/>
        <w:spacing w:line="316" w:lineRule="auto" w:before="63"/>
        <w:ind w:right="189" w:firstLine="360"/>
        <w:jc w:val="both"/>
      </w:pPr>
      <w:r>
        <w:rPr>
          <w:spacing w:val="-2"/>
        </w:rPr>
        <w:t>公司产品结构丰富，品种齐全，特种电缆料生产销售规模快速扩大，目前已拥有特种聚氯乙烯电缆料、特种聚乙烯及交</w:t>
      </w:r>
      <w:r>
        <w:rPr/>
        <w:t> </w:t>
      </w:r>
      <w:r>
        <w:rPr>
          <w:spacing w:val="-2"/>
        </w:rPr>
        <w:t>联聚乙烯电缆料、无卤低烟阻燃电缆料、橡胶电缆料、橡塑改性弹性体、通用聚氯乙烯电缆料六个系列，二百多个品种，是</w:t>
      </w:r>
      <w:r>
        <w:rPr>
          <w:spacing w:val="-67"/>
        </w:rPr>
        <w:t> </w:t>
      </w:r>
      <w:r>
        <w:rPr>
          <w:spacing w:val="-67"/>
        </w:rPr>
      </w:r>
      <w:r>
        <w:rPr>
          <w:spacing w:val="-2"/>
        </w:rPr>
        <w:t>国内少数生产规模化、产品系列化的线缆用高分子材料生产企业之一，与国内多家大型电线电缆制造企业建立了长期而稳定</w:t>
      </w:r>
      <w:r>
        <w:rPr>
          <w:spacing w:val="-64"/>
        </w:rPr>
        <w:t> </w:t>
      </w:r>
      <w:r>
        <w:rPr>
          <w:spacing w:val="-64"/>
        </w:rPr>
      </w:r>
      <w:r>
        <w:rPr/>
        <w:t>的合作关系</w:t>
      </w:r>
    </w:p>
    <w:p>
      <w:pPr>
        <w:pStyle w:val="BodyText"/>
        <w:spacing w:line="240" w:lineRule="auto" w:before="19"/>
        <w:ind w:right="92"/>
        <w:jc w:val="left"/>
      </w:pPr>
      <w:r>
        <w:rPr>
          <w:rFonts w:ascii="Times New Roman" w:hAnsi="Times New Roman" w:cs="Times New Roman" w:eastAsia="Times New Roman" w:hint="default"/>
        </w:rPr>
        <w:t>3</w:t>
      </w:r>
      <w:r>
        <w:rPr/>
        <w:t>、客户优势</w:t>
      </w:r>
    </w:p>
    <w:p>
      <w:pPr>
        <w:pStyle w:val="BodyText"/>
        <w:spacing w:line="316" w:lineRule="auto" w:before="63"/>
        <w:ind w:right="92" w:firstLine="360"/>
        <w:jc w:val="left"/>
      </w:pPr>
      <w:r>
        <w:rPr>
          <w:spacing w:val="-2"/>
        </w:rPr>
        <w:t>凭借强大的研发能力、丰富的产品结构、稳定的产品质量以及较高的性价比，公司产品广泛运用于国内知名的大型电线</w:t>
      </w:r>
      <w:r>
        <w:rPr/>
        <w:t> 电缆企业，并与其形成了长期、稳定而紧密的合作关系。</w:t>
      </w:r>
    </w:p>
    <w:p>
      <w:pPr>
        <w:pStyle w:val="BodyText"/>
        <w:spacing w:line="300" w:lineRule="auto" w:before="19"/>
        <w:ind w:left="514" w:right="92" w:hanging="360"/>
        <w:jc w:val="left"/>
      </w:pPr>
      <w:r>
        <w:rPr>
          <w:rFonts w:ascii="Times New Roman" w:hAnsi="Times New Roman" w:cs="Times New Roman" w:eastAsia="Times New Roman" w:hint="default"/>
        </w:rPr>
        <w:t>4</w:t>
      </w:r>
      <w:r>
        <w:rPr/>
        <w:t>、生产运营优势 </w:t>
      </w:r>
      <w:r>
        <w:rPr>
          <w:spacing w:val="-4"/>
        </w:rPr>
        <w:t>公司生产模式为以销定产，通过多年来的摸索和积累，理顺了订单的承接、材料的采购和生产等环节之间的流程，销售、</w:t>
      </w:r>
    </w:p>
    <w:p>
      <w:pPr>
        <w:pStyle w:val="BodyText"/>
        <w:spacing w:line="316" w:lineRule="auto" w:before="31"/>
        <w:ind w:right="92"/>
        <w:jc w:val="left"/>
      </w:pPr>
      <w:r>
        <w:rPr>
          <w:spacing w:val="-2"/>
        </w:rPr>
        <w:t>采购、生产、仓库等职能部门信息实时联动，从承接订单到产品生产完工基本均在一到三天之内完成，保证了在基本不对产</w:t>
      </w:r>
      <w:r>
        <w:rPr>
          <w:spacing w:val="-66"/>
        </w:rPr>
        <w:t> </w:t>
      </w:r>
      <w:r>
        <w:rPr>
          <w:spacing w:val="-66"/>
        </w:rPr>
      </w:r>
      <w:r>
        <w:rPr/>
        <w:t>成品备货，仅对常规原材料建立一定库存的情况下，可以做到对订单的快速交付，大大提升了公司存货的周转效率。 </w:t>
      </w:r>
      <w:r>
        <w:rPr>
          <w:rFonts w:ascii="Times New Roman" w:hAnsi="Times New Roman" w:cs="Times New Roman" w:eastAsia="Times New Roman" w:hint="default"/>
        </w:rPr>
        <w:t>5</w:t>
      </w:r>
      <w:r>
        <w:rPr/>
        <w:t>、快速响应优势</w:t>
      </w:r>
    </w:p>
    <w:p>
      <w:pPr>
        <w:pStyle w:val="BodyText"/>
        <w:spacing w:line="316" w:lineRule="auto" w:before="0"/>
        <w:ind w:right="92" w:firstLine="360"/>
        <w:jc w:val="left"/>
      </w:pPr>
      <w:r>
        <w:rPr>
          <w:spacing w:val="-2"/>
        </w:rPr>
        <w:t>公司与主要客户均建立了长期的战略合作关系。当客户需要开发新型电缆时，通常会主动与公司取得联系，邀请公司一</w:t>
      </w:r>
      <w:r>
        <w:rPr/>
        <w:t> </w:t>
      </w:r>
      <w:r>
        <w:rPr>
          <w:spacing w:val="-2"/>
        </w:rPr>
        <w:t>同参与研发。公司有能力根据客户要求的参数指标，迅速灵活调整配方，为客户提供性价比高的线缆材料，快速满足客户需</w:t>
      </w:r>
      <w:r>
        <w:rPr>
          <w:spacing w:val="-66"/>
        </w:rPr>
        <w:t> </w:t>
      </w:r>
      <w:r>
        <w:rPr>
          <w:spacing w:val="-66"/>
        </w:rPr>
      </w:r>
      <w:r>
        <w:rPr/>
        <w:t>求。随着新型电缆研发的成功，公司与客户实现了双赢，战略合作关系进一步稳固。 </w:t>
      </w:r>
      <w:r>
        <w:rPr>
          <w:rFonts w:ascii="Times New Roman" w:hAnsi="Times New Roman" w:cs="Times New Roman" w:eastAsia="Times New Roman" w:hint="default"/>
        </w:rPr>
        <w:t>6</w:t>
      </w:r>
      <w:r>
        <w:rPr/>
        <w:t>、奥能电源的产品研发与客户资源优势</w:t>
      </w:r>
    </w:p>
    <w:p>
      <w:pPr>
        <w:pStyle w:val="BodyText"/>
        <w:spacing w:line="316" w:lineRule="auto" w:before="0"/>
        <w:ind w:right="190" w:firstLine="360"/>
        <w:jc w:val="both"/>
      </w:pPr>
      <w:r>
        <w:rPr>
          <w:spacing w:val="-2"/>
        </w:rPr>
        <w:t>奥能电源凭借较强的研发实力不断更新产品，对研发的持续投入保证了公司始终走在行业的前列，公司现已获得多项发</w:t>
      </w:r>
      <w:r>
        <w:rPr/>
        <w:t> </w:t>
      </w:r>
      <w:r>
        <w:rPr>
          <w:spacing w:val="-2"/>
        </w:rPr>
        <w:t>明专利、实用新型专利、软件著作权、软件产品等，并拥有多项非专利核心技术。奥能电源积极开展与浙江大学、浙江工业</w:t>
      </w:r>
      <w:r>
        <w:rPr>
          <w:spacing w:val="-68"/>
        </w:rPr>
        <w:t> </w:t>
      </w:r>
      <w:r>
        <w:rPr>
          <w:spacing w:val="-68"/>
        </w:rPr>
      </w:r>
      <w:r>
        <w:rPr>
          <w:spacing w:val="-2"/>
        </w:rPr>
        <w:t>大学、中国计量学院等多家高校和科研院所的合作，携手开发并取得了显著成效。国家电网及其下属企业为奥能电源第一大</w:t>
      </w:r>
      <w:r>
        <w:rPr>
          <w:spacing w:val="-66"/>
        </w:rPr>
        <w:t> </w:t>
      </w:r>
      <w:r>
        <w:rPr>
          <w:spacing w:val="-66"/>
        </w:rPr>
      </w:r>
      <w:r>
        <w:rPr>
          <w:spacing w:val="-2"/>
        </w:rPr>
        <w:t>客户。国家电网实力强、资信好、进入其供应体系的门槛高，国家电网作为重要优质客户，长期稳定的合作有利于保障奥能</w:t>
      </w:r>
      <w:r>
        <w:rPr>
          <w:spacing w:val="-66"/>
        </w:rPr>
        <w:t> </w:t>
      </w:r>
      <w:r>
        <w:rPr>
          <w:spacing w:val="-66"/>
        </w:rPr>
      </w:r>
      <w:r>
        <w:rPr/>
        <w:t>电源业绩的持续增长。</w:t>
      </w:r>
    </w:p>
    <w:p>
      <w:pPr>
        <w:spacing w:after="0" w:line="316" w:lineRule="auto"/>
        <w:jc w:val="both"/>
        <w:sectPr>
          <w:pgSz w:w="11910" w:h="16840"/>
          <w:pgMar w:header="747" w:footer="979" w:top="1060" w:bottom="1160" w:left="980" w:right="9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2966" w:right="92"/>
        <w:jc w:val="left"/>
        <w:rPr>
          <w:b w:val="0"/>
          <w:bCs w:val="0"/>
        </w:rPr>
      </w:pPr>
      <w:bookmarkStart w:name="第四节 经营情况讨论与分析" w:id="21"/>
      <w:bookmarkEnd w:id="21"/>
      <w:r>
        <w:rPr>
          <w:b w:val="0"/>
          <w:bCs w:val="0"/>
        </w:rPr>
      </w:r>
      <w:bookmarkStart w:name="_bookmark2" w:id="22"/>
      <w:bookmarkEnd w:id="22"/>
      <w:r>
        <w:rPr>
          <w:b w:val="0"/>
          <w:bCs w:val="0"/>
        </w:rPr>
      </w:r>
      <w:r>
        <w:rPr/>
        <w:t>第四节</w:t>
      </w:r>
      <w:r>
        <w:rPr>
          <w:spacing w:val="-10"/>
        </w:rPr>
        <w:t> </w:t>
      </w:r>
      <w:r>
        <w:rPr/>
        <w:t>经营情况讨论与分析</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92"/>
        <w:jc w:val="left"/>
        <w:rPr>
          <w:b w:val="0"/>
          <w:bCs w:val="0"/>
        </w:rPr>
      </w:pPr>
      <w:bookmarkStart w:name="一、概述" w:id="23"/>
      <w:bookmarkEnd w:id="23"/>
      <w:r>
        <w:rPr>
          <w:b w:val="0"/>
          <w:bCs w:val="0"/>
        </w:rPr>
      </w:r>
      <w:r>
        <w:rPr/>
        <w:t>一、概述</w:t>
      </w:r>
      <w:r>
        <w:rPr>
          <w:b w:val="0"/>
          <w:bCs w:val="0"/>
        </w:rPr>
      </w:r>
    </w:p>
    <w:p>
      <w:pPr>
        <w:spacing w:line="240" w:lineRule="auto" w:before="7"/>
        <w:rPr>
          <w:rFonts w:ascii="宋体" w:hAnsi="宋体" w:cs="宋体" w:eastAsia="宋体" w:hint="default"/>
          <w:b/>
          <w:bCs/>
          <w:sz w:val="26"/>
          <w:szCs w:val="26"/>
        </w:rPr>
      </w:pPr>
    </w:p>
    <w:p>
      <w:pPr>
        <w:pStyle w:val="BodyText"/>
        <w:spacing w:line="312" w:lineRule="auto" w:before="0"/>
        <w:ind w:right="92" w:firstLine="360"/>
        <w:jc w:val="left"/>
      </w:pPr>
      <w:r>
        <w:rPr>
          <w:spacing w:val="-2"/>
        </w:rPr>
        <w:t>在创新驱动、质量优先的国家大方针指导下，我国电缆行业由中高速增长转入中速增长阶段，行业从盘活存量到加快形</w:t>
      </w:r>
      <w:r>
        <w:rPr/>
        <w:t> 成新增量，以渐进的方式洗牌重组，集中度进一步提高。海外市场在市场结构中的作用增强，促使业内企业加强自主创新， 提高自身的竞争实力。随着</w:t>
      </w:r>
      <w:r>
        <w:rPr>
          <w:rFonts w:ascii="Times New Roman" w:hAnsi="Times New Roman" w:cs="Times New Roman" w:eastAsia="Times New Roman" w:hint="default"/>
        </w:rPr>
        <w:t>“</w:t>
      </w:r>
      <w:r>
        <w:rPr/>
        <w:t>互联网</w:t>
      </w:r>
      <w:r>
        <w:rPr>
          <w:rFonts w:ascii="Times New Roman" w:hAnsi="Times New Roman" w:cs="Times New Roman" w:eastAsia="Times New Roman" w:hint="default"/>
        </w:rPr>
        <w:t>+”</w:t>
      </w:r>
      <w:r>
        <w:rPr/>
        <w:t>概念的提出，产业互联网的融入，电缆企业将大力依靠科技创新，以数字化、智能化 制造为主题，抢占国际产业竞争的制高点，掀起一次转型创新的高潮。</w:t>
      </w:r>
    </w:p>
    <w:p>
      <w:pPr>
        <w:pStyle w:val="BodyText"/>
        <w:spacing w:line="304" w:lineRule="auto" w:before="22"/>
        <w:ind w:right="189" w:firstLine="360"/>
        <w:jc w:val="both"/>
      </w:pPr>
      <w:r>
        <w:rPr>
          <w:spacing w:val="-2"/>
        </w:rPr>
        <w:t>面对复杂多变的经济环境，公司管理层紧紧围绕</w:t>
      </w:r>
      <w:r>
        <w:rPr>
          <w:rFonts w:ascii="Times New Roman" w:hAnsi="Times New Roman" w:cs="Times New Roman" w:eastAsia="Times New Roman" w:hint="default"/>
          <w:spacing w:val="-2"/>
        </w:rPr>
        <w:t>“</w:t>
      </w:r>
      <w:r>
        <w:rPr>
          <w:spacing w:val="-2"/>
        </w:rPr>
        <w:t>科学发展、精心经营、开拓创新、规范提升</w:t>
      </w:r>
      <w:r>
        <w:rPr>
          <w:rFonts w:ascii="Times New Roman" w:hAnsi="Times New Roman" w:cs="Times New Roman" w:eastAsia="Times New Roman" w:hint="default"/>
          <w:spacing w:val="-2"/>
        </w:rPr>
        <w:t>”</w:t>
      </w:r>
      <w:r>
        <w:rPr>
          <w:spacing w:val="-2"/>
        </w:rPr>
        <w:t>的企业方略，以科学发展</w:t>
      </w:r>
      <w:r>
        <w:rPr/>
        <w:t> </w:t>
      </w:r>
      <w:r>
        <w:rPr>
          <w:spacing w:val="-2"/>
        </w:rPr>
        <w:t>观为指导，以创建经济效益、社会效益、生态环境效益三位一体的</w:t>
      </w:r>
      <w:r>
        <w:rPr>
          <w:rFonts w:ascii="Times New Roman" w:hAnsi="Times New Roman" w:cs="Times New Roman" w:eastAsia="Times New Roman" w:hint="default"/>
          <w:spacing w:val="-2"/>
        </w:rPr>
        <w:t>“</w:t>
      </w:r>
      <w:r>
        <w:rPr>
          <w:spacing w:val="-2"/>
        </w:rPr>
        <w:t>和谐示范企业</w:t>
      </w:r>
      <w:r>
        <w:rPr>
          <w:rFonts w:ascii="Times New Roman" w:hAnsi="Times New Roman" w:cs="Times New Roman" w:eastAsia="Times New Roman" w:hint="default"/>
          <w:spacing w:val="-2"/>
        </w:rPr>
        <w:t>”</w:t>
      </w:r>
      <w:r>
        <w:rPr>
          <w:spacing w:val="-2"/>
        </w:rPr>
        <w:t>为目标，以加强内控管理为基础，以市场</w:t>
      </w:r>
      <w:r>
        <w:rPr>
          <w:spacing w:val="-46"/>
        </w:rPr>
        <w:t> </w:t>
      </w:r>
      <w:r>
        <w:rPr>
          <w:spacing w:val="-46"/>
        </w:rPr>
      </w:r>
      <w:r>
        <w:rPr>
          <w:spacing w:val="-2"/>
        </w:rPr>
        <w:t>营销和技术研发为工作重点，增强自主创新能力，保持与各相关方的良好协作，从成本、技术和品质上提高公司产品整体竞</w:t>
      </w:r>
      <w:r>
        <w:rPr>
          <w:spacing w:val="-66"/>
        </w:rPr>
        <w:t> </w:t>
      </w:r>
      <w:r>
        <w:rPr>
          <w:spacing w:val="-66"/>
        </w:rPr>
      </w:r>
      <w:r>
        <w:rPr>
          <w:spacing w:val="-2"/>
        </w:rPr>
        <w:t>争力。报告期内，公司将奥能电源纳入合并报表范围，对公司业绩产生了积极影响。报告期内，公司实现营业收入</w:t>
      </w:r>
      <w:r>
        <w:rPr>
          <w:rFonts w:ascii="Times New Roman" w:hAnsi="Times New Roman" w:cs="Times New Roman" w:eastAsia="Times New Roman" w:hint="default"/>
          <w:spacing w:val="-2"/>
        </w:rPr>
        <w:t>65,153.78</w:t>
      </w:r>
      <w:r>
        <w:rPr>
          <w:rFonts w:ascii="Times New Roman" w:hAnsi="Times New Roman" w:cs="Times New Roman" w:eastAsia="Times New Roman" w:hint="default"/>
          <w:spacing w:val="-10"/>
        </w:rPr>
        <w:t> </w:t>
      </w:r>
      <w:r>
        <w:rPr/>
        <w:t>万元，同比增长</w:t>
      </w:r>
      <w:r>
        <w:rPr>
          <w:rFonts w:ascii="Times New Roman" w:hAnsi="Times New Roman" w:cs="Times New Roman" w:eastAsia="Times New Roman" w:hint="default"/>
        </w:rPr>
        <w:t>16.02%</w:t>
      </w:r>
      <w:r>
        <w:rPr/>
        <w:t>，归属于上市公司股东的净利润</w:t>
      </w:r>
      <w:r>
        <w:rPr>
          <w:rFonts w:ascii="Times New Roman" w:hAnsi="Times New Roman" w:cs="Times New Roman" w:eastAsia="Times New Roman" w:hint="default"/>
        </w:rPr>
        <w:t>4234.00</w:t>
      </w:r>
      <w:r>
        <w:rPr/>
        <w:t>万元，同比增长</w:t>
      </w:r>
      <w:r>
        <w:rPr>
          <w:rFonts w:ascii="Times New Roman" w:hAnsi="Times New Roman" w:cs="Times New Roman" w:eastAsia="Times New Roman" w:hint="default"/>
        </w:rPr>
        <w:t>19.89%</w:t>
      </w:r>
      <w:r>
        <w:rPr/>
        <w:t>。</w:t>
      </w:r>
    </w:p>
    <w:p>
      <w:pPr>
        <w:pStyle w:val="BodyText"/>
        <w:spacing w:line="300" w:lineRule="auto" w:before="9"/>
        <w:ind w:left="514" w:right="92" w:hanging="360"/>
        <w:jc w:val="left"/>
      </w:pPr>
      <w:r>
        <w:rPr>
          <w:rFonts w:ascii="Times New Roman" w:hAnsi="Times New Roman" w:cs="Times New Roman" w:eastAsia="Times New Roman" w:hint="default"/>
        </w:rPr>
        <w:t>1</w:t>
      </w:r>
      <w:r>
        <w:rPr/>
        <w:t>、资本运作情况 </w:t>
      </w:r>
      <w:r>
        <w:rPr>
          <w:spacing w:val="-1"/>
        </w:rPr>
        <w:t>报告期内，公司在内延式增长和外延式扩张的战略指导下，公司以</w:t>
      </w:r>
      <w:r>
        <w:rPr>
          <w:rFonts w:ascii="Times New Roman" w:hAnsi="Times New Roman" w:cs="Times New Roman" w:eastAsia="Times New Roman" w:hint="default"/>
          <w:spacing w:val="-1"/>
        </w:rPr>
        <w:t>5.6</w:t>
      </w:r>
      <w:r>
        <w:rPr>
          <w:spacing w:val="-1"/>
        </w:rPr>
        <w:t>亿元现金收购奥能电源</w:t>
      </w:r>
      <w:r>
        <w:rPr>
          <w:rFonts w:ascii="Times New Roman" w:hAnsi="Times New Roman" w:cs="Times New Roman" w:eastAsia="Times New Roman" w:hint="default"/>
          <w:spacing w:val="-1"/>
        </w:rPr>
        <w:t>100%</w:t>
      </w:r>
      <w:r>
        <w:rPr>
          <w:spacing w:val="-1"/>
        </w:rPr>
        <w:t>的股权，进军充电桩</w:t>
      </w:r>
    </w:p>
    <w:p>
      <w:pPr>
        <w:pStyle w:val="BodyText"/>
        <w:spacing w:line="300" w:lineRule="auto" w:before="13"/>
        <w:ind w:right="245"/>
        <w:jc w:val="both"/>
      </w:pPr>
      <w:r>
        <w:rPr/>
        <w:t>新能源领域。</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11</w:t>
      </w:r>
      <w:r>
        <w:rPr/>
        <w:t>月初</w:t>
      </w:r>
      <w:r>
        <w:rPr>
          <w:rFonts w:ascii="Times New Roman" w:hAnsi="Times New Roman" w:cs="Times New Roman" w:eastAsia="Times New Roman" w:hint="default"/>
        </w:rPr>
        <w:t>,</w:t>
      </w:r>
      <w:r>
        <w:rPr/>
        <w:t>杭州高新技术产业开发区（滨江）市场监督管理局核准了奥能电源的股东变更事宜，奥能电源 已收到杭州高新技术产业开发区（滨江）市场监督管理局核发的营业执照（统一社会信用代码</w:t>
      </w:r>
      <w:r>
        <w:rPr>
          <w:rFonts w:ascii="Times New Roman" w:hAnsi="Times New Roman" w:cs="Times New Roman" w:eastAsia="Times New Roman" w:hint="default"/>
        </w:rPr>
        <w:t>“91330100716154179Y”</w:t>
      </w:r>
      <w:r>
        <w:rPr/>
        <w:t>）， 奥能电源股权过户手续完成后，公司持有奥能电源</w:t>
      </w:r>
      <w:r>
        <w:rPr>
          <w:rFonts w:ascii="Times New Roman" w:hAnsi="Times New Roman" w:cs="Times New Roman" w:eastAsia="Times New Roman" w:hint="default"/>
        </w:rPr>
        <w:t>100%</w:t>
      </w:r>
      <w:r>
        <w:rPr/>
        <w:t>股权。</w:t>
      </w:r>
    </w:p>
    <w:p>
      <w:pPr>
        <w:pStyle w:val="BodyText"/>
        <w:spacing w:line="300" w:lineRule="auto" w:before="13"/>
        <w:ind w:left="514" w:right="92" w:hanging="360"/>
        <w:jc w:val="left"/>
      </w:pPr>
      <w:r>
        <w:rPr>
          <w:rFonts w:ascii="Times New Roman" w:hAnsi="Times New Roman" w:cs="Times New Roman" w:eastAsia="Times New Roman" w:hint="default"/>
        </w:rPr>
        <w:t>2</w:t>
      </w:r>
      <w:r>
        <w:rPr/>
        <w:t>、募投项目建设情况 募投项目已按照《创业板股票上市规划》和《创业板上市公司规范运作指引》等法律、法规、规范性文件的相关规定，</w:t>
      </w:r>
    </w:p>
    <w:p>
      <w:pPr>
        <w:pStyle w:val="BodyText"/>
        <w:spacing w:line="309" w:lineRule="auto" w:before="32"/>
        <w:ind w:right="92"/>
        <w:jc w:val="left"/>
      </w:pPr>
      <w:r>
        <w:rPr/>
        <w:t>及时、准确、全面披露募集资金的使用情况。目前，募投项目资金累计投入使用</w:t>
      </w:r>
      <w:r>
        <w:rPr>
          <w:rFonts w:ascii="Times New Roman" w:hAnsi="Times New Roman" w:cs="Times New Roman" w:eastAsia="Times New Roman" w:hint="default"/>
        </w:rPr>
        <w:t>82.66%</w:t>
      </w:r>
      <w:r>
        <w:rPr/>
        <w:t>，项目现已进入最后的装潢、装修 </w:t>
      </w:r>
      <w:r>
        <w:rPr>
          <w:spacing w:val="-2"/>
        </w:rPr>
        <w:t>阶段，其中科研楼、办公楼、活动中心已进入装修竣工阶段，部分设备已完成安装并投入运行，预计在今年即可全面竣工并</w:t>
      </w:r>
      <w:r>
        <w:rPr>
          <w:spacing w:val="-66"/>
        </w:rPr>
        <w:t> </w:t>
      </w:r>
      <w:r>
        <w:rPr>
          <w:spacing w:val="-66"/>
        </w:rPr>
      </w:r>
      <w:r>
        <w:rPr/>
        <w:t>投入运行。</w:t>
      </w:r>
    </w:p>
    <w:p>
      <w:pPr>
        <w:pStyle w:val="BodyText"/>
        <w:spacing w:line="300" w:lineRule="auto" w:before="24"/>
        <w:ind w:left="514" w:right="92" w:hanging="360"/>
        <w:jc w:val="left"/>
      </w:pPr>
      <w:r>
        <w:rPr>
          <w:rFonts w:ascii="Times New Roman" w:hAnsi="Times New Roman" w:cs="Times New Roman" w:eastAsia="Times New Roman" w:hint="default"/>
        </w:rPr>
        <w:t>3</w:t>
      </w:r>
      <w:r>
        <w:rPr/>
        <w:t>、市场销售及研发情况 </w:t>
      </w:r>
      <w:r>
        <w:rPr>
          <w:spacing w:val="-2"/>
        </w:rPr>
        <w:t>报告期内，公司在加强营销人员产品、技术、沟通等专业知识培训的同时，进一步完善包括订单管理、质量跟踪、客户</w:t>
      </w:r>
    </w:p>
    <w:p>
      <w:pPr>
        <w:pStyle w:val="BodyText"/>
        <w:spacing w:line="316" w:lineRule="auto" w:before="31"/>
        <w:ind w:right="191"/>
        <w:jc w:val="both"/>
      </w:pPr>
      <w:r>
        <w:rPr>
          <w:spacing w:val="-2"/>
        </w:rPr>
        <w:t>满意度调查等售前、售后服务体系，向客户提供专业化和标准化的服务，提高客户的忠诚度。建立重点客户和重点区域的双</w:t>
      </w:r>
      <w:r>
        <w:rPr>
          <w:spacing w:val="-66"/>
        </w:rPr>
        <w:t> </w:t>
      </w:r>
      <w:r>
        <w:rPr>
          <w:spacing w:val="-66"/>
        </w:rPr>
      </w:r>
      <w:r>
        <w:rPr>
          <w:spacing w:val="-2"/>
        </w:rPr>
        <w:t>渠道，逐步完善公司的市场营销网络。加强了对技术研发的投入，逐步形成以专利技术为中心，商标、非专利技术为重要组</w:t>
      </w:r>
      <w:r>
        <w:rPr>
          <w:spacing w:val="-66"/>
        </w:rPr>
        <w:t> </w:t>
      </w:r>
      <w:r>
        <w:rPr>
          <w:spacing w:val="-66"/>
        </w:rPr>
      </w:r>
      <w:r>
        <w:rPr/>
        <w:t>成部分的知识产权体系。</w:t>
      </w:r>
    </w:p>
    <w:p>
      <w:pPr>
        <w:pStyle w:val="BodyText"/>
        <w:spacing w:line="300" w:lineRule="auto" w:before="19"/>
        <w:ind w:left="514" w:right="92" w:hanging="360"/>
        <w:jc w:val="left"/>
      </w:pPr>
      <w:r>
        <w:rPr>
          <w:rFonts w:ascii="Times New Roman" w:hAnsi="Times New Roman" w:cs="Times New Roman" w:eastAsia="Times New Roman" w:hint="default"/>
        </w:rPr>
        <w:t>4</w:t>
      </w:r>
      <w:r>
        <w:rPr/>
        <w:t>、公司治理情况 </w:t>
      </w:r>
      <w:r>
        <w:rPr>
          <w:spacing w:val="-4"/>
        </w:rPr>
        <w:t>报告期内，公司严格按照《公司法》、《证券法》等法律法规以及《公司章程》等相关规定，切实围绕广大股东的利益，</w:t>
      </w:r>
    </w:p>
    <w:p>
      <w:pPr>
        <w:pStyle w:val="BodyText"/>
        <w:spacing w:line="300" w:lineRule="auto" w:before="31"/>
        <w:ind w:right="182"/>
        <w:jc w:val="left"/>
      </w:pPr>
      <w:r>
        <w:rPr/>
        <w:t>依照公司的发展策略，勤勉尽职的开展各项工作，对</w:t>
      </w:r>
      <w:r>
        <w:rPr>
          <w:rFonts w:ascii="Times New Roman" w:hAnsi="Times New Roman" w:cs="Times New Roman" w:eastAsia="Times New Roman" w:hint="default"/>
        </w:rPr>
        <w:t>3</w:t>
      </w:r>
      <w:r>
        <w:rPr/>
        <w:t>位独立董事进行了换届选举，对监事会主席、监事进行了换届选举， 对公司高级管理人员进行了续聘和新聘等工作，从而进一步完善了公司内部管理制度和人员结构。</w:t>
      </w:r>
    </w:p>
    <w:p>
      <w:pPr>
        <w:spacing w:line="240" w:lineRule="auto" w:before="9"/>
        <w:rPr>
          <w:rFonts w:ascii="宋体" w:hAnsi="宋体" w:cs="宋体" w:eastAsia="宋体" w:hint="default"/>
          <w:sz w:val="21"/>
          <w:szCs w:val="21"/>
        </w:rPr>
      </w:pPr>
    </w:p>
    <w:p>
      <w:pPr>
        <w:pStyle w:val="Heading2"/>
        <w:spacing w:line="240" w:lineRule="auto"/>
        <w:ind w:right="92"/>
        <w:jc w:val="left"/>
        <w:rPr>
          <w:b w:val="0"/>
          <w:bCs w:val="0"/>
        </w:rPr>
      </w:pPr>
      <w:bookmarkStart w:name="二、主营业务分析" w:id="24"/>
      <w:bookmarkEnd w:id="24"/>
      <w:r>
        <w:rPr>
          <w:b w:val="0"/>
          <w:bCs w:val="0"/>
        </w:rPr>
      </w:r>
      <w:r>
        <w:rPr/>
        <w:t>二、主营业务分析</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92"/>
        <w:jc w:val="left"/>
        <w:rPr>
          <w:b w:val="0"/>
          <w:bCs w:val="0"/>
        </w:rPr>
      </w:pPr>
      <w:bookmarkStart w:name="1、概述" w:id="25"/>
      <w:bookmarkEnd w:id="25"/>
      <w:r>
        <w:rPr>
          <w:b w:val="0"/>
          <w:bCs w:val="0"/>
        </w:rPr>
      </w:r>
      <w:r>
        <w:rPr>
          <w:rFonts w:ascii="Times New Roman" w:hAnsi="Times New Roman" w:cs="Times New Roman" w:eastAsia="Times New Roman" w:hint="default"/>
        </w:rPr>
        <w:t>1</w:t>
      </w:r>
      <w:r>
        <w:rPr/>
        <w:t>、概述</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92"/>
        <w:jc w:val="left"/>
      </w:pPr>
      <w:r>
        <w:rPr/>
        <w:t>参见</w:t>
      </w:r>
      <w:r>
        <w:rPr>
          <w:rFonts w:ascii="Times New Roman" w:hAnsi="Times New Roman" w:cs="Times New Roman" w:eastAsia="Times New Roman" w:hint="default"/>
        </w:rPr>
        <w:t>“</w:t>
      </w:r>
      <w:r>
        <w:rPr/>
        <w:t>经营情况讨论与分析</w:t>
      </w:r>
      <w:r>
        <w:rPr>
          <w:rFonts w:ascii="Times New Roman" w:hAnsi="Times New Roman" w:cs="Times New Roman" w:eastAsia="Times New Roman" w:hint="default"/>
        </w:rPr>
        <w:t>”</w:t>
      </w:r>
      <w:r>
        <w:rPr/>
        <w:t>中的</w:t>
      </w:r>
      <w:r>
        <w:rPr>
          <w:rFonts w:ascii="Times New Roman" w:hAnsi="Times New Roman" w:cs="Times New Roman" w:eastAsia="Times New Roman" w:hint="default"/>
        </w:rPr>
        <w:t>“</w:t>
      </w:r>
      <w:r>
        <w:rPr/>
        <w:t>一、概述</w:t>
      </w:r>
      <w:r>
        <w:rPr>
          <w:rFonts w:ascii="Times New Roman" w:hAnsi="Times New Roman" w:cs="Times New Roman" w:eastAsia="Times New Roman" w:hint="default"/>
        </w:rPr>
        <w:t>”</w:t>
      </w:r>
      <w:r>
        <w:rPr/>
        <w:t>相关内容。</w:t>
      </w:r>
    </w:p>
    <w:p>
      <w:pPr>
        <w:spacing w:after="0" w:line="240" w:lineRule="auto"/>
        <w:jc w:val="left"/>
        <w:sectPr>
          <w:pgSz w:w="11910" w:h="16840"/>
          <w:pgMar w:header="747" w:footer="979" w:top="1060" w:bottom="1160" w:left="980" w:right="940"/>
        </w:sectPr>
      </w:pPr>
    </w:p>
    <w:p>
      <w:pPr>
        <w:spacing w:line="240" w:lineRule="auto" w:before="9"/>
        <w:rPr>
          <w:rFonts w:ascii="宋体" w:hAnsi="宋体" w:cs="宋体" w:eastAsia="宋体" w:hint="default"/>
          <w:sz w:val="24"/>
          <w:szCs w:val="24"/>
        </w:rPr>
      </w:pPr>
    </w:p>
    <w:p>
      <w:pPr>
        <w:pStyle w:val="Heading5"/>
        <w:spacing w:line="240" w:lineRule="auto" w:before="35"/>
        <w:ind w:right="0"/>
        <w:jc w:val="left"/>
        <w:rPr>
          <w:b w:val="0"/>
          <w:bCs w:val="0"/>
        </w:rPr>
      </w:pPr>
      <w:bookmarkStart w:name="2、收入与成本" w:id="26"/>
      <w:bookmarkEnd w:id="26"/>
      <w:r>
        <w:rPr>
          <w:b w:val="0"/>
          <w:bCs w:val="0"/>
        </w:rPr>
      </w:r>
      <w:r>
        <w:rPr>
          <w:rFonts w:ascii="Times New Roman" w:hAnsi="Times New Roman" w:cs="Times New Roman" w:eastAsia="Times New Roman" w:hint="default"/>
        </w:rPr>
        <w:t>2</w:t>
      </w:r>
      <w:r>
        <w:rPr/>
        <w:t>、收入与成本</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bookmarkStart w:name="（1）营业收入构成" w:id="27"/>
      <w:bookmarkEnd w:id="27"/>
      <w:r>
        <w:rPr>
          <w:b w:val="0"/>
          <w:bCs w:val="0"/>
        </w:rPr>
      </w:r>
      <w:r>
        <w:rPr/>
        <w:t>（</w:t>
      </w:r>
      <w:r>
        <w:rPr>
          <w:rFonts w:ascii="Times New Roman" w:hAnsi="Times New Roman" w:cs="Times New Roman" w:eastAsia="Times New Roman" w:hint="default"/>
        </w:rPr>
        <w:t>1</w:t>
      </w:r>
      <w:r>
        <w:rPr/>
        <w:t>）营业收入构成</w:t>
      </w:r>
      <w:r>
        <w:rPr>
          <w:b w:val="0"/>
          <w:bCs w:val="0"/>
        </w:rPr>
      </w:r>
    </w:p>
    <w:p>
      <w:pPr>
        <w:spacing w:line="240" w:lineRule="auto" w:before="8"/>
        <w:rPr>
          <w:rFonts w:ascii="宋体" w:hAnsi="宋体" w:cs="宋体" w:eastAsia="宋体" w:hint="default"/>
          <w:b/>
          <w:bCs/>
          <w:sz w:val="26"/>
          <w:szCs w:val="26"/>
        </w:rPr>
      </w:pPr>
    </w:p>
    <w:p>
      <w:pPr>
        <w:pStyle w:val="BodyText"/>
        <w:spacing w:line="357" w:lineRule="auto" w:before="0"/>
        <w:ind w:right="5992"/>
        <w:jc w:val="left"/>
      </w:pPr>
      <w:r>
        <w:rPr/>
        <w:t>公司是否需要遵守光伏产业链相关业的披露要求 否</w:t>
      </w:r>
    </w:p>
    <w:p>
      <w:pPr>
        <w:pStyle w:val="BodyText"/>
        <w:spacing w:line="338" w:lineRule="auto" w:before="29"/>
        <w:ind w:right="413"/>
        <w:jc w:val="left"/>
      </w:pPr>
      <w:r>
        <w:rPr/>
        <w:t>公司是否需遵守《深圳证券交易所创业板行业信息披露指引第</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上市公司从事广播电影电视业务》的披露要求： 否</w:t>
      </w:r>
    </w:p>
    <w:p>
      <w:pPr>
        <w:pStyle w:val="BodyText"/>
        <w:spacing w:line="340" w:lineRule="auto" w:before="42"/>
        <w:ind w:right="593"/>
        <w:jc w:val="left"/>
      </w:pPr>
      <w:r>
        <w:rPr/>
        <w:t>公司是否需遵守《深圳证券交易所创业板行业信息披露指引第</w:t>
      </w:r>
      <w:r>
        <w:rPr>
          <w:spacing w:val="-45"/>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上市公司从事互联网游戏业务》的披露要求： 否</w:t>
      </w:r>
    </w:p>
    <w:p>
      <w:pPr>
        <w:pStyle w:val="BodyText"/>
        <w:spacing w:line="338" w:lineRule="auto" w:before="40"/>
        <w:ind w:right="155"/>
        <w:jc w:val="left"/>
      </w:pPr>
      <w:r>
        <w:rPr/>
        <w:t>公司是否需遵守《深圳证券交易所创业板行业信息披露指引第</w:t>
      </w:r>
      <w:r>
        <w:rPr>
          <w:spacing w:val="-45"/>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w:t>
      </w:r>
      <w:r>
        <w:rPr>
          <w:spacing w:val="-46"/>
        </w:rPr>
        <w:t> </w:t>
      </w:r>
      <w:r>
        <w:rPr>
          <w:rFonts w:ascii="Times New Roman" w:hAnsi="Times New Roman" w:cs="Times New Roman" w:eastAsia="Times New Roman" w:hint="default"/>
        </w:rPr>
        <w:t>LED</w:t>
      </w:r>
      <w:r>
        <w:rPr>
          <w:rFonts w:ascii="Times New Roman" w:hAnsi="Times New Roman" w:cs="Times New Roman" w:eastAsia="Times New Roman" w:hint="default"/>
          <w:spacing w:val="-1"/>
        </w:rPr>
        <w:t> </w:t>
      </w:r>
      <w:r>
        <w:rPr/>
        <w:t>产业链相关业务》的披露要求： 否</w:t>
      </w:r>
    </w:p>
    <w:p>
      <w:pPr>
        <w:pStyle w:val="BodyText"/>
        <w:spacing w:line="338" w:lineRule="auto" w:before="43"/>
        <w:ind w:right="683"/>
        <w:jc w:val="left"/>
      </w:pPr>
      <w:r>
        <w:rPr/>
        <w:t>公司是否需遵守《深圳证券交易所创业板行业信息披露指引第</w:t>
      </w:r>
      <w:r>
        <w:rPr>
          <w:spacing w:val="-45"/>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上市公司从事医疗器械业务》的披露要求： 否</w:t>
      </w:r>
    </w:p>
    <w:p>
      <w:pPr>
        <w:pStyle w:val="BodyText"/>
        <w:spacing w:line="240" w:lineRule="auto" w:before="42"/>
        <w:ind w:right="0"/>
        <w:jc w:val="left"/>
      </w:pPr>
      <w:r>
        <w:rPr/>
        <w:t>营业收入整体情况</w:t>
      </w:r>
    </w:p>
    <w:p>
      <w:pPr>
        <w:pStyle w:val="BodyText"/>
        <w:spacing w:line="240" w:lineRule="auto" w:before="117"/>
        <w:ind w:left="0" w:right="15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9"/>
        <w:gridCol w:w="1594"/>
        <w:gridCol w:w="1592"/>
        <w:gridCol w:w="1597"/>
        <w:gridCol w:w="1588"/>
        <w:gridCol w:w="1598"/>
      </w:tblGrid>
      <w:tr>
        <w:trPr>
          <w:trHeight w:val="206" w:hRule="exact"/>
        </w:trPr>
        <w:tc>
          <w:tcPr>
            <w:tcW w:w="1599" w:type="dxa"/>
            <w:tcBorders>
              <w:top w:val="single" w:sz="4" w:space="0" w:color="000000"/>
              <w:left w:val="single" w:sz="4" w:space="0" w:color="000000"/>
              <w:bottom w:val="nil" w:sz="6" w:space="0" w:color="auto"/>
              <w:right w:val="single" w:sz="4" w:space="0" w:color="000000"/>
            </w:tcBorders>
            <w:shd w:val="clear" w:color="auto" w:fill="D2D2D2"/>
          </w:tcPr>
          <w:p>
            <w:pPr/>
          </w:p>
        </w:tc>
        <w:tc>
          <w:tcPr>
            <w:tcW w:w="318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8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1" w:hRule="exact"/>
        </w:trPr>
        <w:tc>
          <w:tcPr>
            <w:tcW w:w="1599" w:type="dxa"/>
            <w:vMerge w:val="restart"/>
            <w:tcBorders>
              <w:top w:val="nil" w:sz="6" w:space="0" w:color="auto"/>
              <w:left w:val="single" w:sz="4" w:space="0" w:color="000000"/>
              <w:right w:val="single" w:sz="4" w:space="0" w:color="000000"/>
            </w:tcBorders>
            <w:shd w:val="clear" w:color="auto" w:fill="D2D2D2"/>
          </w:tcPr>
          <w:p>
            <w:pPr/>
          </w:p>
        </w:tc>
        <w:tc>
          <w:tcPr>
            <w:tcW w:w="3186" w:type="dxa"/>
            <w:gridSpan w:val="2"/>
            <w:vMerge/>
            <w:tcBorders>
              <w:left w:val="single" w:sz="4" w:space="0" w:color="000000"/>
              <w:bottom w:val="single" w:sz="4" w:space="0" w:color="000000"/>
              <w:right w:val="single" w:sz="4" w:space="0" w:color="000000"/>
            </w:tcBorders>
            <w:shd w:val="clear" w:color="auto" w:fill="D2D2D2"/>
          </w:tcPr>
          <w:p>
            <w:pPr/>
          </w:p>
        </w:tc>
        <w:tc>
          <w:tcPr>
            <w:tcW w:w="3185" w:type="dxa"/>
            <w:gridSpan w:val="2"/>
            <w:vMerge/>
            <w:tcBorders>
              <w:left w:val="single" w:sz="4" w:space="0" w:color="000000"/>
              <w:bottom w:val="single" w:sz="4" w:space="0" w:color="000000"/>
              <w:right w:val="single" w:sz="4" w:space="0" w:color="000000"/>
            </w:tcBorders>
            <w:shd w:val="clear" w:color="auto" w:fill="D2D2D2"/>
          </w:tcPr>
          <w:p>
            <w:pPr/>
          </w:p>
        </w:tc>
        <w:tc>
          <w:tcPr>
            <w:tcW w:w="15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436"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202" w:hRule="exact"/>
        </w:trPr>
        <w:tc>
          <w:tcPr>
            <w:tcW w:w="1599" w:type="dxa"/>
            <w:vMerge/>
            <w:tcBorders>
              <w:left w:val="single" w:sz="4" w:space="0" w:color="000000"/>
              <w:bottom w:val="nil" w:sz="6" w:space="0" w:color="auto"/>
              <w:right w:val="single" w:sz="4" w:space="0" w:color="000000"/>
            </w:tcBorders>
            <w:shd w:val="clear" w:color="auto" w:fill="D2D2D2"/>
          </w:tcPr>
          <w:p>
            <w:pP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3"/>
              <w:jc w:val="center"/>
              <w:rPr>
                <w:rFonts w:ascii="宋体" w:hAnsi="宋体" w:cs="宋体" w:eastAsia="宋体" w:hint="default"/>
                <w:sz w:val="18"/>
                <w:szCs w:val="18"/>
              </w:rPr>
            </w:pPr>
            <w:r>
              <w:rPr>
                <w:rFonts w:ascii="宋体" w:hAnsi="宋体" w:cs="宋体" w:eastAsia="宋体" w:hint="default"/>
                <w:sz w:val="18"/>
                <w:szCs w:val="18"/>
              </w:rPr>
              <w:t>金额</w:t>
            </w:r>
          </w:p>
        </w:tc>
        <w:tc>
          <w:tcPr>
            <w:tcW w:w="15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60"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59"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8" w:type="dxa"/>
            <w:vMerge/>
            <w:tcBorders>
              <w:left w:val="single" w:sz="4" w:space="0" w:color="000000"/>
              <w:bottom w:val="nil" w:sz="6" w:space="0" w:color="auto"/>
              <w:right w:val="single" w:sz="4" w:space="0" w:color="000000"/>
            </w:tcBorders>
            <w:shd w:val="clear" w:color="auto" w:fill="D2D2D2"/>
          </w:tcPr>
          <w:p>
            <w:pPr/>
          </w:p>
        </w:tc>
      </w:tr>
      <w:tr>
        <w:trPr>
          <w:trHeight w:val="205" w:hRule="exact"/>
        </w:trPr>
        <w:tc>
          <w:tcPr>
            <w:tcW w:w="1599"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2" w:type="dxa"/>
            <w:vMerge/>
            <w:tcBorders>
              <w:left w:val="single" w:sz="4" w:space="0" w:color="000000"/>
              <w:bottom w:val="single" w:sz="4" w:space="0" w:color="000000"/>
              <w:right w:val="single" w:sz="4" w:space="0" w:color="000000"/>
            </w:tcBorders>
            <w:shd w:val="clear" w:color="auto" w:fill="D2D2D2"/>
          </w:tcPr>
          <w:p>
            <w:pPr/>
          </w:p>
        </w:tc>
        <w:tc>
          <w:tcPr>
            <w:tcW w:w="1597" w:type="dxa"/>
            <w:vMerge/>
            <w:tcBorders>
              <w:left w:val="single" w:sz="4" w:space="0" w:color="000000"/>
              <w:bottom w:val="single" w:sz="4" w:space="0" w:color="000000"/>
              <w:right w:val="single" w:sz="4" w:space="0" w:color="000000"/>
            </w:tcBorders>
            <w:shd w:val="clear" w:color="auto" w:fill="D2D2D2"/>
          </w:tcPr>
          <w:p>
            <w:pPr/>
          </w:p>
        </w:tc>
        <w:tc>
          <w:tcPr>
            <w:tcW w:w="1588" w:type="dxa"/>
            <w:vMerge/>
            <w:tcBorders>
              <w:left w:val="single" w:sz="4" w:space="0" w:color="000000"/>
              <w:bottom w:val="single" w:sz="4" w:space="0" w:color="000000"/>
              <w:right w:val="single" w:sz="4" w:space="0" w:color="000000"/>
            </w:tcBorders>
            <w:shd w:val="clear" w:color="auto" w:fill="D2D2D2"/>
          </w:tcPr>
          <w:p>
            <w:pPr/>
          </w:p>
        </w:tc>
        <w:tc>
          <w:tcPr>
            <w:tcW w:w="159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7" w:hRule="exact"/>
        </w:trPr>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594" w:type="dxa"/>
            <w:tcBorders>
              <w:top w:val="single" w:sz="4" w:space="0" w:color="000000"/>
              <w:left w:val="single" w:sz="13" w:space="0" w:color="D2D2D2"/>
              <w:bottom w:val="single" w:sz="4" w:space="0" w:color="000000"/>
              <w:right w:val="single" w:sz="10" w:space="0" w:color="D2D2D2"/>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651,537,809.23</w:t>
            </w:r>
          </w:p>
        </w:tc>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597" w:type="dxa"/>
            <w:tcBorders>
              <w:top w:val="single" w:sz="4" w:space="0" w:color="000000"/>
              <w:left w:val="single" w:sz="13" w:space="0" w:color="D2D2D2"/>
              <w:bottom w:val="single" w:sz="4" w:space="0" w:color="000000"/>
              <w:right w:val="single" w:sz="9" w:space="0" w:color="D2D2D2"/>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561,567,900.62</w:t>
            </w:r>
          </w:p>
        </w:tc>
        <w:tc>
          <w:tcPr>
            <w:tcW w:w="15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5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16.02%</w:t>
            </w:r>
          </w:p>
        </w:tc>
      </w:tr>
      <w:tr>
        <w:trPr>
          <w:trHeight w:val="398"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651,537,809.23</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561,567,900.62</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100.00%</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16.02%</w:t>
            </w:r>
          </w:p>
        </w:tc>
      </w:tr>
      <w:tr>
        <w:trPr>
          <w:trHeight w:val="402"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714"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4"/>
              <w:jc w:val="left"/>
              <w:rPr>
                <w:rFonts w:ascii="宋体" w:hAnsi="宋体" w:cs="宋体" w:eastAsia="宋体" w:hint="default"/>
                <w:sz w:val="18"/>
                <w:szCs w:val="18"/>
              </w:rPr>
            </w:pPr>
            <w:r>
              <w:rPr>
                <w:rFonts w:ascii="宋体" w:hAnsi="宋体" w:cs="宋体" w:eastAsia="宋体" w:hint="default"/>
                <w:sz w:val="18"/>
                <w:szCs w:val="18"/>
              </w:rPr>
              <w:t>电线电缆用高分子 材料</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581,270,604.90</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89.22%</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561,567,900.62</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100.00%</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3.51%</w:t>
            </w:r>
          </w:p>
        </w:tc>
      </w:tr>
      <w:tr>
        <w:trPr>
          <w:trHeight w:val="714"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4"/>
              <w:jc w:val="left"/>
              <w:rPr>
                <w:rFonts w:ascii="宋体" w:hAnsi="宋体" w:cs="宋体" w:eastAsia="宋体" w:hint="default"/>
                <w:sz w:val="18"/>
                <w:szCs w:val="18"/>
              </w:rPr>
            </w:pPr>
            <w:r>
              <w:rPr>
                <w:rFonts w:ascii="宋体" w:hAnsi="宋体" w:cs="宋体" w:eastAsia="宋体" w:hint="default"/>
                <w:sz w:val="18"/>
                <w:szCs w:val="18"/>
              </w:rPr>
              <w:t>智能化电源板块和 新能源板块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70,267,204.33</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10.78%</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0.00</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15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651,537,809.23</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561,567,900.62</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100.00%</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16.02%</w:t>
            </w:r>
          </w:p>
        </w:tc>
      </w:tr>
      <w:tr>
        <w:trPr>
          <w:trHeight w:val="402"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0.00</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0.00</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0.00%</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bookmarkStart w:name="（2）占公司营业收入或营业利润10%以上的行业、产品或地区情况" w:id="28"/>
      <w:bookmarkEnd w:id="28"/>
      <w:r>
        <w:rPr>
          <w:b w:val="0"/>
          <w:bCs w:val="0"/>
        </w:rPr>
      </w:r>
      <w:r>
        <w:rPr/>
        <w:t>（</w:t>
      </w:r>
      <w:r>
        <w:rPr>
          <w:rFonts w:ascii="Times New Roman" w:hAnsi="Times New Roman" w:cs="Times New Roman" w:eastAsia="Times New Roman" w:hint="default"/>
        </w:rPr>
        <w:t>2</w:t>
      </w:r>
      <w:r>
        <w:rPr/>
        <w:t>）占公司营业收入或营业利润</w:t>
      </w:r>
      <w:r>
        <w:rPr>
          <w:spacing w:val="-59"/>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980"/>
        </w:sectPr>
      </w:pPr>
    </w:p>
    <w:p>
      <w:pPr>
        <w:pStyle w:val="BodyText"/>
        <w:spacing w:line="348" w:lineRule="auto"/>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公司是否需要遵守特殊行业的披露要求 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58"/>
        <w:ind w:left="153" w:right="0"/>
        <w:jc w:val="left"/>
      </w:pPr>
      <w:r>
        <w:rPr/>
        <w:t>单位：元</w:t>
      </w:r>
    </w:p>
    <w:p>
      <w:pPr>
        <w:spacing w:after="0" w:line="240" w:lineRule="auto"/>
        <w:jc w:val="left"/>
        <w:sectPr>
          <w:type w:val="continuous"/>
          <w:pgSz w:w="11910" w:h="16840"/>
          <w:pgMar w:top="1060" w:bottom="1160" w:left="980" w:right="980"/>
          <w:cols w:num="2" w:equalWidth="0">
            <w:col w:w="3215" w:space="5705"/>
            <w:col w:w="1030"/>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7"/>
        <w:gridCol w:w="1367"/>
        <w:gridCol w:w="1366"/>
        <w:gridCol w:w="1367"/>
        <w:gridCol w:w="1367"/>
        <w:gridCol w:w="1367"/>
        <w:gridCol w:w="1372"/>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17" w:right="47" w:hanging="270"/>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18" w:right="47" w:hanging="271"/>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11" w:right="48"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bl>
    <w:p>
      <w:pPr>
        <w:spacing w:after="0" w:line="240" w:lineRule="auto"/>
        <w:jc w:val="left"/>
        <w:rPr>
          <w:rFonts w:ascii="宋体" w:hAnsi="宋体" w:cs="宋体" w:eastAsia="宋体" w:hint="default"/>
          <w:sz w:val="18"/>
          <w:szCs w:val="18"/>
        </w:rPr>
        <w:sectPr>
          <w:type w:val="continuous"/>
          <w:pgSz w:w="11910" w:h="16840"/>
          <w:pgMar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7"/>
        <w:gridCol w:w="1367"/>
        <w:gridCol w:w="1366"/>
        <w:gridCol w:w="1367"/>
        <w:gridCol w:w="1367"/>
        <w:gridCol w:w="1367"/>
        <w:gridCol w:w="1372"/>
      </w:tblGrid>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651,537,809.23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500,519,995.26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23.18%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16.02%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13.16%</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1.94%</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电线电缆用高分 子材料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581,270,604.90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465,832,716.05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19.86%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3.51%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5.32%</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-1.38%</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智能化电源板块 和新能源板块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70,267,204.33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34,687,279.21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50.64%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651,537,809.23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500,519,995.26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23.18%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16.02%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13.16%</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1.94%</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境外</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0"/>
        <w:jc w:val="left"/>
      </w:pPr>
      <w:r>
        <w:rPr/>
        <w:t>公司主营业务数据统计口径在报告期发生调整的情况下，公司最近</w:t>
      </w:r>
      <w:r>
        <w:rPr>
          <w:spacing w:val="-45"/>
        </w:rPr>
        <w:t> </w:t>
      </w:r>
      <w:r>
        <w:rPr>
          <w:rFonts w:ascii="Times New Roman" w:hAnsi="Times New Roman" w:cs="Times New Roman" w:eastAsia="Times New Roman" w:hint="default"/>
        </w:rPr>
        <w:t>1 </w:t>
      </w:r>
      <w:r>
        <w:rPr/>
        <w:t>年按报告期末口径调整后的主营业务数据</w:t>
      </w:r>
    </w:p>
    <w:p>
      <w:pPr>
        <w:pStyle w:val="BodyText"/>
        <w:spacing w:line="240" w:lineRule="auto" w:before="10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5"/>
        <w:spacing w:line="240" w:lineRule="auto"/>
        <w:ind w:right="0"/>
        <w:jc w:val="left"/>
        <w:rPr>
          <w:b w:val="0"/>
          <w:bCs w:val="0"/>
        </w:rPr>
      </w:pPr>
      <w:bookmarkStart w:name="（3）公司实物销售收入是否大于劳务收入" w:id="29"/>
      <w:bookmarkEnd w:id="29"/>
      <w:r>
        <w:rPr>
          <w:b w:val="0"/>
          <w:bCs w:val="0"/>
        </w:rPr>
      </w: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608"/>
        <w:gridCol w:w="1571"/>
        <w:gridCol w:w="1607"/>
        <w:gridCol w:w="1594"/>
        <w:gridCol w:w="1594"/>
        <w:gridCol w:w="1595"/>
      </w:tblGrid>
      <w:tr>
        <w:trPr>
          <w:trHeight w:val="402" w:hRule="exact"/>
        </w:trPr>
        <w:tc>
          <w:tcPr>
            <w:tcW w:w="16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单位</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608" w:type="dxa"/>
            <w:vMerge w:val="restart"/>
            <w:tcBorders>
              <w:top w:val="single" w:sz="4" w:space="0" w:color="000000"/>
              <w:left w:val="single" w:sz="4" w:space="0" w:color="000000"/>
              <w:right w:val="single" w:sz="13" w:space="0" w:color="D2D2D2"/>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316" w:lineRule="auto"/>
              <w:ind w:left="22" w:right="123"/>
              <w:jc w:val="left"/>
              <w:rPr>
                <w:rFonts w:ascii="宋体" w:hAnsi="宋体" w:cs="宋体" w:eastAsia="宋体" w:hint="default"/>
                <w:sz w:val="18"/>
                <w:szCs w:val="18"/>
              </w:rPr>
            </w:pPr>
            <w:r>
              <w:rPr>
                <w:rFonts w:ascii="宋体" w:hAnsi="宋体" w:cs="宋体" w:eastAsia="宋体" w:hint="default"/>
                <w:sz w:val="18"/>
                <w:szCs w:val="18"/>
              </w:rPr>
              <w:t>电线电缆用高分子 材料</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吨</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69,533.53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70,885.13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-1.76%</w:t>
            </w:r>
          </w:p>
        </w:tc>
      </w:tr>
      <w:tr>
        <w:trPr>
          <w:trHeight w:val="402" w:hRule="exact"/>
        </w:trPr>
        <w:tc>
          <w:tcPr>
            <w:tcW w:w="1608" w:type="dxa"/>
            <w:vMerge/>
            <w:tcBorders>
              <w:left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吨</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69,430.21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70,973.96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-1.88%</w:t>
            </w:r>
          </w:p>
        </w:tc>
      </w:tr>
      <w:tr>
        <w:trPr>
          <w:trHeight w:val="402" w:hRule="exact"/>
        </w:trPr>
        <w:tc>
          <w:tcPr>
            <w:tcW w:w="1608" w:type="dxa"/>
            <w:vMerge/>
            <w:tcBorders>
              <w:left w:val="single" w:sz="4" w:space="0" w:color="000000"/>
              <w:bottom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吨</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637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740.32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-13.96%</w:t>
            </w:r>
          </w:p>
        </w:tc>
      </w:tr>
      <w:tr>
        <w:trPr>
          <w:trHeight w:val="402" w:hRule="exact"/>
        </w:trPr>
        <w:tc>
          <w:tcPr>
            <w:tcW w:w="1608" w:type="dxa"/>
            <w:vMerge w:val="restart"/>
            <w:tcBorders>
              <w:top w:val="single" w:sz="4" w:space="0" w:color="000000"/>
              <w:left w:val="single" w:sz="4" w:space="0" w:color="000000"/>
              <w:right w:val="single" w:sz="13" w:space="0" w:color="D2D2D2"/>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316" w:lineRule="auto"/>
              <w:ind w:left="22" w:right="123"/>
              <w:jc w:val="left"/>
              <w:rPr>
                <w:rFonts w:ascii="宋体" w:hAnsi="宋体" w:cs="宋体" w:eastAsia="宋体" w:hint="default"/>
                <w:sz w:val="18"/>
                <w:szCs w:val="18"/>
              </w:rPr>
            </w:pPr>
            <w:r>
              <w:rPr>
                <w:rFonts w:ascii="宋体" w:hAnsi="宋体" w:cs="宋体" w:eastAsia="宋体" w:hint="default"/>
                <w:sz w:val="18"/>
                <w:szCs w:val="18"/>
              </w:rPr>
              <w:t>智能化电源设备和 新能源设备</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2,418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08" w:type="dxa"/>
            <w:vMerge/>
            <w:tcBorders>
              <w:left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3,395</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608" w:type="dxa"/>
            <w:vMerge/>
            <w:tcBorders>
              <w:left w:val="single" w:sz="4" w:space="0" w:color="000000"/>
              <w:bottom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5,650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0"/>
        <w:jc w:val="left"/>
      </w:pPr>
      <w:r>
        <w:rPr/>
        <w:t>相关数据同比发生变动</w:t>
      </w:r>
      <w:r>
        <w:rPr>
          <w:spacing w:val="-46"/>
        </w:rPr>
        <w:t> </w:t>
      </w:r>
      <w:r>
        <w:rPr>
          <w:rFonts w:ascii="Times New Roman" w:hAnsi="Times New Roman" w:cs="Times New Roman" w:eastAsia="Times New Roman" w:hint="default"/>
        </w:rPr>
        <w:t>30%</w:t>
      </w:r>
      <w:r>
        <w:rPr/>
        <w:t>以上的原因说明</w:t>
      </w:r>
    </w:p>
    <w:p>
      <w:pPr>
        <w:pStyle w:val="BodyText"/>
        <w:spacing w:line="240" w:lineRule="auto" w:before="102"/>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5"/>
        <w:spacing w:line="240" w:lineRule="auto"/>
        <w:ind w:right="0"/>
        <w:jc w:val="left"/>
        <w:rPr>
          <w:b w:val="0"/>
          <w:bCs w:val="0"/>
        </w:rPr>
      </w:pPr>
      <w:bookmarkStart w:name="（4）公司已签订的重大销售合同截至本报告期的履行情况" w:id="30"/>
      <w:bookmarkEnd w:id="30"/>
      <w:r>
        <w:rPr>
          <w:b w:val="0"/>
          <w:bCs w:val="0"/>
        </w:rPr>
      </w: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5"/>
        <w:spacing w:line="240" w:lineRule="auto"/>
        <w:ind w:right="0"/>
        <w:jc w:val="left"/>
        <w:rPr>
          <w:b w:val="0"/>
          <w:bCs w:val="0"/>
        </w:rPr>
      </w:pPr>
      <w:bookmarkStart w:name="（5）营业成本构成" w:id="31"/>
      <w:bookmarkEnd w:id="31"/>
      <w:r>
        <w:rPr>
          <w:b w:val="0"/>
          <w:bCs w:val="0"/>
        </w:rPr>
      </w:r>
      <w:r>
        <w:rPr/>
        <w:t>（</w:t>
      </w:r>
      <w:r>
        <w:rPr>
          <w:rFonts w:ascii="Times New Roman" w:hAnsi="Times New Roman" w:cs="Times New Roman" w:eastAsia="Times New Roman" w:hint="default"/>
        </w:rPr>
        <w:t>5</w:t>
      </w:r>
      <w:r>
        <w:rPr/>
        <w:t>）营业成本构成</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980"/>
        </w:sectPr>
      </w:pPr>
    </w:p>
    <w:p>
      <w:pPr>
        <w:pStyle w:val="BodyText"/>
        <w:spacing w:line="357" w:lineRule="auto"/>
        <w:ind w:right="-20"/>
        <w:jc w:val="left"/>
      </w:pPr>
      <w:r>
        <w:rPr/>
        <w:t>产品分类 产品分类</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before="0"/>
        <w:ind w:left="153" w:right="0"/>
        <w:jc w:val="left"/>
      </w:pPr>
      <w:r>
        <w:rPr/>
        <w:t>单位：元</w:t>
      </w:r>
    </w:p>
    <w:p>
      <w:pPr>
        <w:spacing w:after="0" w:line="240" w:lineRule="auto"/>
        <w:jc w:val="left"/>
        <w:sectPr>
          <w:type w:val="continuous"/>
          <w:pgSz w:w="11910" w:h="16840"/>
          <w:pgMar w:top="1060" w:bottom="1160" w:left="980" w:right="980"/>
          <w:cols w:num="2" w:equalWidth="0">
            <w:col w:w="875" w:space="8045"/>
            <w:col w:w="1030"/>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402" w:hRule="exact"/>
        </w:trPr>
        <w:tc>
          <w:tcPr>
            <w:tcW w:w="13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370"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5"/>
              <w:jc w:val="left"/>
              <w:rPr>
                <w:rFonts w:ascii="宋体" w:hAnsi="宋体" w:cs="宋体" w:eastAsia="宋体" w:hint="default"/>
                <w:sz w:val="18"/>
                <w:szCs w:val="18"/>
              </w:rPr>
            </w:pPr>
            <w:r>
              <w:rPr>
                <w:rFonts w:ascii="宋体" w:hAnsi="宋体" w:cs="宋体" w:eastAsia="宋体" w:hint="default"/>
                <w:sz w:val="18"/>
                <w:szCs w:val="18"/>
              </w:rPr>
              <w:t>电线电缆用高分 子材料</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0" w:right="0"/>
              <w:jc w:val="left"/>
              <w:rPr>
                <w:rFonts w:ascii="Times New Roman" w:hAnsi="Times New Roman" w:cs="Times New Roman" w:eastAsia="Times New Roman" w:hint="default"/>
                <w:sz w:val="18"/>
                <w:szCs w:val="18"/>
              </w:rPr>
            </w:pPr>
            <w:r>
              <w:rPr>
                <w:rFonts w:ascii="Times New Roman"/>
                <w:sz w:val="18"/>
              </w:rPr>
              <w:t>465,832,716.05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93.07%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1" w:right="0"/>
              <w:jc w:val="left"/>
              <w:rPr>
                <w:rFonts w:ascii="Times New Roman" w:hAnsi="Times New Roman" w:cs="Times New Roman" w:eastAsia="Times New Roman" w:hint="default"/>
                <w:sz w:val="18"/>
                <w:szCs w:val="18"/>
              </w:rPr>
            </w:pPr>
            <w:r>
              <w:rPr>
                <w:rFonts w:ascii="Times New Roman"/>
                <w:sz w:val="18"/>
              </w:rPr>
              <w:t>442,309,871.45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69" w:right="0"/>
              <w:jc w:val="left"/>
              <w:rPr>
                <w:rFonts w:ascii="Times New Roman" w:hAnsi="Times New Roman" w:cs="Times New Roman" w:eastAsia="Times New Roman" w:hint="default"/>
                <w:sz w:val="18"/>
                <w:szCs w:val="18"/>
              </w:rPr>
            </w:pPr>
            <w:r>
              <w:rPr>
                <w:rFonts w:ascii="Times New Roman"/>
                <w:sz w:val="18"/>
              </w:rPr>
              <w:t>5.32%</w:t>
            </w:r>
          </w:p>
        </w:tc>
      </w:tr>
    </w:tbl>
    <w:p>
      <w:pPr>
        <w:spacing w:after="0" w:line="240" w:lineRule="auto"/>
        <w:jc w:val="left"/>
        <w:rPr>
          <w:rFonts w:ascii="Times New Roman" w:hAnsi="Times New Roman" w:cs="Times New Roman" w:eastAsia="Times New Roman" w:hint="default"/>
          <w:sz w:val="18"/>
          <w:szCs w:val="18"/>
        </w:rPr>
        <w:sectPr>
          <w:type w:val="continuous"/>
          <w:pgSz w:w="11910" w:h="16840"/>
          <w:pgMar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5"/>
              <w:jc w:val="left"/>
              <w:rPr>
                <w:rFonts w:ascii="宋体" w:hAnsi="宋体" w:cs="宋体" w:eastAsia="宋体" w:hint="default"/>
                <w:sz w:val="18"/>
                <w:szCs w:val="18"/>
              </w:rPr>
            </w:pPr>
            <w:r>
              <w:rPr>
                <w:rFonts w:ascii="宋体" w:hAnsi="宋体" w:cs="宋体" w:eastAsia="宋体" w:hint="default"/>
                <w:sz w:val="18"/>
                <w:szCs w:val="18"/>
              </w:rPr>
              <w:t>智能化电源板块 和新能源板块</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34,687,279.21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6.93%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500,519,995.26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442,309,871.45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79" w:right="0"/>
              <w:jc w:val="left"/>
              <w:rPr>
                <w:rFonts w:ascii="Times New Roman" w:hAnsi="Times New Roman" w:cs="Times New Roman" w:eastAsia="Times New Roman" w:hint="default"/>
                <w:sz w:val="18"/>
                <w:szCs w:val="18"/>
              </w:rPr>
            </w:pPr>
            <w:r>
              <w:rPr>
                <w:rFonts w:ascii="Times New Roman"/>
                <w:sz w:val="18"/>
              </w:rPr>
              <w:t>13.60%</w:t>
            </w:r>
          </w:p>
        </w:tc>
      </w:tr>
    </w:tbl>
    <w:p>
      <w:pPr>
        <w:pStyle w:val="BodyText"/>
        <w:spacing w:line="240" w:lineRule="auto" w:before="51"/>
        <w:ind w:right="0"/>
        <w:jc w:val="left"/>
      </w:pPr>
      <w:r>
        <w:rPr/>
        <w:t>说明</w:t>
      </w:r>
    </w:p>
    <w:p>
      <w:pPr>
        <w:pStyle w:val="Heading6"/>
        <w:spacing w:line="256" w:lineRule="auto" w:before="90"/>
        <w:ind w:right="269"/>
        <w:jc w:val="left"/>
      </w:pPr>
      <w:r>
        <w:rPr/>
        <w:t>智能化电源板块和新能源板块的营业成本</w:t>
      </w:r>
      <w:r>
        <w:rPr>
          <w:rFonts w:ascii="Times New Roman" w:hAnsi="Times New Roman" w:cs="Times New Roman" w:eastAsia="Times New Roman" w:hint="default"/>
        </w:rPr>
        <w:t>,</w:t>
      </w:r>
      <w:r>
        <w:rPr/>
        <w:t>系本期新增纳入合并报表的子公司杭州奥能电源设备有限公司 构成所致，故无上年同期数据。</w:t>
      </w:r>
    </w:p>
    <w:p>
      <w:pPr>
        <w:spacing w:line="240" w:lineRule="auto" w:before="10"/>
        <w:rPr>
          <w:rFonts w:ascii="宋体" w:hAnsi="宋体" w:cs="宋体" w:eastAsia="宋体" w:hint="default"/>
          <w:sz w:val="24"/>
          <w:szCs w:val="24"/>
        </w:rPr>
      </w:pPr>
    </w:p>
    <w:p>
      <w:pPr>
        <w:pStyle w:val="Heading5"/>
        <w:spacing w:line="240" w:lineRule="auto"/>
        <w:ind w:right="0"/>
        <w:jc w:val="left"/>
        <w:rPr>
          <w:b w:val="0"/>
          <w:bCs w:val="0"/>
        </w:rPr>
      </w:pPr>
      <w:bookmarkStart w:name="（6）报告期内合并范围是否发生变动" w:id="32"/>
      <w:bookmarkEnd w:id="32"/>
      <w:r>
        <w:rPr>
          <w:b w:val="0"/>
          <w:bCs w:val="0"/>
        </w:rPr>
      </w: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0"/>
        <w:jc w:val="left"/>
      </w:pPr>
      <w:r>
        <w:rPr/>
        <w:t>√ 是 □ 否</w:t>
      </w:r>
    </w:p>
    <w:p>
      <w:pPr>
        <w:pStyle w:val="Heading6"/>
        <w:spacing w:line="240" w:lineRule="auto" w:before="89"/>
        <w:ind w:left="574" w:right="0"/>
        <w:jc w:val="left"/>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r>
      <w:r>
        <w:rPr>
          <w:rFonts w:ascii="Times New Roman" w:hAnsi="Times New Roman" w:cs="Times New Roman" w:eastAsia="Times New Roman" w:hint="default"/>
          <w:spacing w:val="31"/>
        </w:rPr>
        <w:t> </w:t>
      </w:r>
      <w:r>
        <w:rPr/>
        <w:t>非同一控制下企业合并</w:t>
      </w:r>
    </w:p>
    <w:p>
      <w:pPr>
        <w:pStyle w:val="Heading6"/>
        <w:spacing w:line="240" w:lineRule="auto" w:before="21"/>
        <w:ind w:left="574"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30"/>
        </w:rPr>
        <w:t> </w:t>
      </w:r>
      <w:r>
        <w:rPr/>
        <w:t>本期发生的非同一控制下企业合并</w:t>
      </w:r>
    </w:p>
    <w:p>
      <w:pPr>
        <w:spacing w:line="240" w:lineRule="auto" w:before="10"/>
        <w:rPr>
          <w:rFonts w:ascii="宋体" w:hAnsi="宋体" w:cs="宋体" w:eastAsia="宋体" w:hint="default"/>
          <w:sz w:val="2"/>
          <w:szCs w:val="2"/>
        </w:rPr>
      </w:pPr>
    </w:p>
    <w:tbl>
      <w:tblPr>
        <w:tblW w:w="0" w:type="auto"/>
        <w:jc w:val="left"/>
        <w:tblInd w:w="146" w:type="dxa"/>
        <w:tblLayout w:type="fixed"/>
        <w:tblCellMar>
          <w:top w:w="0" w:type="dxa"/>
          <w:left w:w="0" w:type="dxa"/>
          <w:bottom w:w="0" w:type="dxa"/>
          <w:right w:w="0" w:type="dxa"/>
        </w:tblCellMar>
        <w:tblLook w:val="01E0"/>
      </w:tblPr>
      <w:tblGrid>
        <w:gridCol w:w="1809"/>
        <w:gridCol w:w="2129"/>
        <w:gridCol w:w="1703"/>
        <w:gridCol w:w="1181"/>
        <w:gridCol w:w="1702"/>
      </w:tblGrid>
      <w:tr>
        <w:trPr>
          <w:trHeight w:val="660" w:hRule="exact"/>
        </w:trPr>
        <w:tc>
          <w:tcPr>
            <w:tcW w:w="1809"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12" w:right="0"/>
              <w:jc w:val="left"/>
              <w:rPr>
                <w:rFonts w:ascii="宋体" w:hAnsi="宋体" w:cs="宋体" w:eastAsia="宋体" w:hint="default"/>
                <w:sz w:val="21"/>
                <w:szCs w:val="21"/>
              </w:rPr>
            </w:pPr>
            <w:r>
              <w:rPr>
                <w:rFonts w:ascii="宋体" w:hAnsi="宋体" w:cs="宋体" w:eastAsia="宋体" w:hint="default"/>
                <w:sz w:val="21"/>
                <w:szCs w:val="21"/>
              </w:rPr>
              <w:t>被购买方名称</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846" w:right="636" w:hanging="210"/>
              <w:jc w:val="left"/>
              <w:rPr>
                <w:rFonts w:ascii="宋体" w:hAnsi="宋体" w:cs="宋体" w:eastAsia="宋体" w:hint="default"/>
                <w:sz w:val="21"/>
                <w:szCs w:val="21"/>
              </w:rPr>
            </w:pPr>
            <w:r>
              <w:rPr>
                <w:rFonts w:ascii="宋体" w:hAnsi="宋体" w:cs="宋体" w:eastAsia="宋体" w:hint="default"/>
                <w:sz w:val="21"/>
                <w:szCs w:val="21"/>
              </w:rPr>
              <w:t>股权取得 时点</w:t>
            </w:r>
          </w:p>
        </w:tc>
        <w:tc>
          <w:tcPr>
            <w:tcW w:w="1703"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633" w:right="422" w:hanging="210"/>
              <w:jc w:val="left"/>
              <w:rPr>
                <w:rFonts w:ascii="宋体" w:hAnsi="宋体" w:cs="宋体" w:eastAsia="宋体" w:hint="default"/>
                <w:sz w:val="21"/>
                <w:szCs w:val="21"/>
              </w:rPr>
            </w:pPr>
            <w:r>
              <w:rPr>
                <w:rFonts w:ascii="宋体" w:hAnsi="宋体" w:cs="宋体" w:eastAsia="宋体" w:hint="default"/>
                <w:sz w:val="21"/>
                <w:szCs w:val="21"/>
              </w:rPr>
              <w:t>股权取得 成本</w:t>
            </w:r>
          </w:p>
        </w:tc>
        <w:tc>
          <w:tcPr>
            <w:tcW w:w="1181"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15" w:right="161" w:hanging="53"/>
              <w:jc w:val="left"/>
              <w:rPr>
                <w:rFonts w:ascii="Times New Roman" w:hAnsi="Times New Roman" w:cs="Times New Roman" w:eastAsia="Times New Roman" w:hint="default"/>
                <w:sz w:val="21"/>
                <w:szCs w:val="21"/>
              </w:rPr>
            </w:pPr>
            <w:r>
              <w:rPr>
                <w:rFonts w:ascii="宋体" w:hAnsi="宋体" w:cs="宋体" w:eastAsia="宋体" w:hint="default"/>
                <w:sz w:val="21"/>
                <w:szCs w:val="21"/>
              </w:rPr>
              <w:t>股权取得 比例</w:t>
            </w:r>
            <w:r>
              <w:rPr>
                <w:rFonts w:ascii="Times New Roman" w:hAnsi="Times New Roman" w:cs="Times New Roman" w:eastAsia="Times New Roman" w:hint="default"/>
                <w:sz w:val="21"/>
                <w:szCs w:val="21"/>
              </w:rPr>
              <w:t>(%)</w:t>
            </w:r>
          </w:p>
        </w:tc>
        <w:tc>
          <w:tcPr>
            <w:tcW w:w="1702" w:type="dxa"/>
            <w:tcBorders>
              <w:top w:val="single" w:sz="6" w:space="0" w:color="000000"/>
              <w:left w:val="single" w:sz="6" w:space="0" w:color="000000"/>
              <w:bottom w:val="single" w:sz="6" w:space="0" w:color="000000"/>
              <w:right w:val="nil" w:sz="6" w:space="0" w:color="auto"/>
            </w:tcBorders>
          </w:tcPr>
          <w:p>
            <w:pPr>
              <w:pStyle w:val="TableParagraph"/>
              <w:spacing w:line="273" w:lineRule="auto"/>
              <w:ind w:left="633" w:right="428" w:hanging="210"/>
              <w:jc w:val="left"/>
              <w:rPr>
                <w:rFonts w:ascii="宋体" w:hAnsi="宋体" w:cs="宋体" w:eastAsia="宋体" w:hint="default"/>
                <w:sz w:val="21"/>
                <w:szCs w:val="21"/>
              </w:rPr>
            </w:pPr>
            <w:r>
              <w:rPr>
                <w:rFonts w:ascii="宋体" w:hAnsi="宋体" w:cs="宋体" w:eastAsia="宋体" w:hint="default"/>
                <w:sz w:val="21"/>
                <w:szCs w:val="21"/>
              </w:rPr>
              <w:t>股权取得 方式</w:t>
            </w:r>
          </w:p>
        </w:tc>
      </w:tr>
      <w:tr>
        <w:trPr>
          <w:trHeight w:val="659" w:hRule="exact"/>
        </w:trPr>
        <w:tc>
          <w:tcPr>
            <w:tcW w:w="1809"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111"/>
              <w:jc w:val="left"/>
              <w:rPr>
                <w:rFonts w:ascii="宋体" w:hAnsi="宋体" w:cs="宋体" w:eastAsia="宋体" w:hint="default"/>
                <w:sz w:val="21"/>
                <w:szCs w:val="21"/>
              </w:rPr>
            </w:pPr>
            <w:r>
              <w:rPr>
                <w:rFonts w:ascii="宋体" w:hAnsi="宋体" w:cs="宋体" w:eastAsia="宋体" w:hint="default"/>
                <w:sz w:val="21"/>
                <w:szCs w:val="21"/>
              </w:rPr>
              <w:t>杭州奥能电源设备 有限公司</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宋体" w:hAnsi="宋体" w:cs="宋体" w:eastAsia="宋体" w:hint="default"/>
                <w:sz w:val="21"/>
                <w:szCs w:val="21"/>
              </w:rPr>
              <w:t>年</w:t>
            </w:r>
            <w:r>
              <w:rPr>
                <w:rFonts w:ascii="Times New Roman" w:hAnsi="Times New Roman" w:cs="Times New Roman" w:eastAsia="Times New Roman" w:hint="default"/>
                <w:sz w:val="21"/>
                <w:szCs w:val="21"/>
              </w:rPr>
              <w:t>11</w:t>
            </w:r>
            <w:r>
              <w:rPr>
                <w:rFonts w:ascii="宋体" w:hAnsi="宋体" w:cs="宋体" w:eastAsia="宋体" w:hint="default"/>
                <w:sz w:val="21"/>
                <w:szCs w:val="21"/>
              </w:rPr>
              <w:t>月初</w:t>
            </w:r>
          </w:p>
        </w:tc>
        <w:tc>
          <w:tcPr>
            <w:tcW w:w="17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87" w:right="0"/>
              <w:jc w:val="left"/>
              <w:rPr>
                <w:rFonts w:ascii="Times New Roman" w:hAnsi="Times New Roman" w:cs="Times New Roman" w:eastAsia="Times New Roman" w:hint="default"/>
                <w:sz w:val="21"/>
                <w:szCs w:val="21"/>
              </w:rPr>
            </w:pPr>
            <w:r>
              <w:rPr>
                <w:rFonts w:ascii="Times New Roman"/>
                <w:sz w:val="21"/>
              </w:rPr>
              <w:t>560,000,000.00</w:t>
            </w:r>
          </w:p>
        </w:tc>
        <w:tc>
          <w:tcPr>
            <w:tcW w:w="11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93" w:right="0"/>
              <w:jc w:val="left"/>
              <w:rPr>
                <w:rFonts w:ascii="Times New Roman" w:hAnsi="Times New Roman" w:cs="Times New Roman" w:eastAsia="Times New Roman" w:hint="default"/>
                <w:sz w:val="21"/>
                <w:szCs w:val="21"/>
              </w:rPr>
            </w:pPr>
            <w:r>
              <w:rPr>
                <w:rFonts w:ascii="Times New Roman"/>
                <w:sz w:val="21"/>
              </w:rPr>
              <w:t>100.00</w:t>
            </w:r>
          </w:p>
        </w:tc>
        <w:tc>
          <w:tcPr>
            <w:tcW w:w="1702" w:type="dxa"/>
            <w:tcBorders>
              <w:top w:val="single" w:sz="6" w:space="0" w:color="000000"/>
              <w:left w:val="single" w:sz="6" w:space="0" w:color="000000"/>
              <w:bottom w:val="single" w:sz="6" w:space="0" w:color="000000"/>
              <w:right w:val="nil" w:sz="6" w:space="0" w:color="auto"/>
            </w:tcBorders>
          </w:tcPr>
          <w:p>
            <w:pPr>
              <w:pStyle w:val="TableParagraph"/>
              <w:spacing w:line="273" w:lineRule="auto"/>
              <w:ind w:left="3" w:right="8"/>
              <w:jc w:val="left"/>
              <w:rPr>
                <w:rFonts w:ascii="宋体" w:hAnsi="宋体" w:cs="宋体" w:eastAsia="宋体" w:hint="default"/>
                <w:sz w:val="21"/>
                <w:szCs w:val="21"/>
              </w:rPr>
            </w:pPr>
            <w:r>
              <w:rPr>
                <w:rFonts w:ascii="宋体" w:hAnsi="宋体" w:cs="宋体" w:eastAsia="宋体" w:hint="default"/>
                <w:sz w:val="21"/>
                <w:szCs w:val="21"/>
              </w:rPr>
              <w:t>非同一控制下企业 合并</w:t>
            </w:r>
          </w:p>
        </w:tc>
      </w:tr>
    </w:tbl>
    <w:p>
      <w:pPr>
        <w:pStyle w:val="Heading6"/>
        <w:spacing w:line="276" w:lineRule="exact"/>
        <w:ind w:left="574" w:right="0"/>
        <w:jc w:val="left"/>
        <w:rPr>
          <w:rFonts w:ascii="Times New Roman" w:hAnsi="Times New Roman" w:cs="Times New Roman" w:eastAsia="Times New Roman" w:hint="default"/>
        </w:rPr>
      </w:pPr>
      <w:r>
        <w:rPr>
          <w:rFonts w:ascii="Times New Roman" w:hAnsi="Times New Roman" w:cs="Times New Roman" w:eastAsia="Times New Roman" w:hint="default"/>
        </w:rPr>
        <w:t>(</w:t>
      </w:r>
      <w:r>
        <w:rPr/>
        <w:t>续上表</w:t>
      </w:r>
      <w:r>
        <w:rPr>
          <w:rFonts w:ascii="Times New Roman" w:hAnsi="Times New Roman" w:cs="Times New Roman" w:eastAsia="Times New Roman" w:hint="default"/>
        </w:rPr>
        <w:t>)</w:t>
      </w:r>
    </w:p>
    <w:p>
      <w:pPr>
        <w:spacing w:line="240" w:lineRule="auto" w:before="2"/>
        <w:rPr>
          <w:rFonts w:ascii="Times New Roman" w:hAnsi="Times New Roman" w:cs="Times New Roman" w:eastAsia="Times New Roman" w:hint="default"/>
          <w:sz w:val="3"/>
          <w:szCs w:val="3"/>
        </w:rPr>
      </w:pPr>
    </w:p>
    <w:tbl>
      <w:tblPr>
        <w:tblW w:w="0" w:type="auto"/>
        <w:jc w:val="left"/>
        <w:tblInd w:w="146" w:type="dxa"/>
        <w:tblLayout w:type="fixed"/>
        <w:tblCellMar>
          <w:top w:w="0" w:type="dxa"/>
          <w:left w:w="0" w:type="dxa"/>
          <w:bottom w:w="0" w:type="dxa"/>
          <w:right w:w="0" w:type="dxa"/>
        </w:tblCellMar>
        <w:tblLook w:val="01E0"/>
      </w:tblPr>
      <w:tblGrid>
        <w:gridCol w:w="1809"/>
        <w:gridCol w:w="1561"/>
        <w:gridCol w:w="1558"/>
        <w:gridCol w:w="1700"/>
        <w:gridCol w:w="1895"/>
      </w:tblGrid>
      <w:tr>
        <w:trPr>
          <w:trHeight w:val="659" w:hRule="exact"/>
        </w:trPr>
        <w:tc>
          <w:tcPr>
            <w:tcW w:w="1809"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12" w:right="0"/>
              <w:jc w:val="left"/>
              <w:rPr>
                <w:rFonts w:ascii="宋体" w:hAnsi="宋体" w:cs="宋体" w:eastAsia="宋体" w:hint="default"/>
                <w:sz w:val="21"/>
                <w:szCs w:val="21"/>
              </w:rPr>
            </w:pPr>
            <w:r>
              <w:rPr>
                <w:rFonts w:ascii="宋体" w:hAnsi="宋体" w:cs="宋体" w:eastAsia="宋体" w:hint="default"/>
                <w:sz w:val="21"/>
                <w:szCs w:val="21"/>
              </w:rPr>
              <w:t>被购买方名称</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购买日</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351" w:right="351"/>
              <w:jc w:val="left"/>
              <w:rPr>
                <w:rFonts w:ascii="宋体" w:hAnsi="宋体" w:cs="宋体" w:eastAsia="宋体" w:hint="default"/>
                <w:sz w:val="21"/>
                <w:szCs w:val="21"/>
              </w:rPr>
            </w:pPr>
            <w:r>
              <w:rPr>
                <w:rFonts w:ascii="宋体" w:hAnsi="宋体" w:cs="宋体" w:eastAsia="宋体" w:hint="default"/>
                <w:sz w:val="21"/>
                <w:szCs w:val="21"/>
              </w:rPr>
              <w:t>购买日的 确定依据</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107" w:right="107" w:firstLine="104"/>
              <w:jc w:val="left"/>
              <w:rPr>
                <w:rFonts w:ascii="宋体" w:hAnsi="宋体" w:cs="宋体" w:eastAsia="宋体" w:hint="default"/>
                <w:sz w:val="21"/>
                <w:szCs w:val="21"/>
              </w:rPr>
            </w:pPr>
            <w:r>
              <w:rPr>
                <w:rFonts w:ascii="宋体" w:hAnsi="宋体" w:cs="宋体" w:eastAsia="宋体" w:hint="default"/>
                <w:sz w:val="21"/>
                <w:szCs w:val="21"/>
              </w:rPr>
              <w:t>购买日至期末 被购买方的收入</w:t>
            </w:r>
          </w:p>
        </w:tc>
        <w:tc>
          <w:tcPr>
            <w:tcW w:w="1895" w:type="dxa"/>
            <w:tcBorders>
              <w:top w:val="single" w:sz="6" w:space="0" w:color="000000"/>
              <w:left w:val="single" w:sz="6" w:space="0" w:color="000000"/>
              <w:bottom w:val="single" w:sz="6" w:space="0" w:color="000000"/>
              <w:right w:val="nil" w:sz="6" w:space="0" w:color="auto"/>
            </w:tcBorders>
          </w:tcPr>
          <w:p>
            <w:pPr>
              <w:pStyle w:val="TableParagraph"/>
              <w:spacing w:line="273" w:lineRule="auto"/>
              <w:ind w:left="205" w:right="210"/>
              <w:jc w:val="left"/>
              <w:rPr>
                <w:rFonts w:ascii="宋体" w:hAnsi="宋体" w:cs="宋体" w:eastAsia="宋体" w:hint="default"/>
                <w:sz w:val="21"/>
                <w:szCs w:val="21"/>
              </w:rPr>
            </w:pPr>
            <w:r>
              <w:rPr>
                <w:rFonts w:ascii="宋体" w:hAnsi="宋体" w:cs="宋体" w:eastAsia="宋体" w:hint="default"/>
                <w:sz w:val="21"/>
                <w:szCs w:val="21"/>
              </w:rPr>
              <w:t>购买日至期末被 购买方的净利润</w:t>
            </w:r>
          </w:p>
        </w:tc>
      </w:tr>
      <w:tr>
        <w:trPr>
          <w:trHeight w:val="660" w:hRule="exact"/>
        </w:trPr>
        <w:tc>
          <w:tcPr>
            <w:tcW w:w="1809"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3"/>
              <w:jc w:val="left"/>
              <w:rPr>
                <w:rFonts w:ascii="宋体" w:hAnsi="宋体" w:cs="宋体" w:eastAsia="宋体" w:hint="default"/>
                <w:sz w:val="21"/>
                <w:szCs w:val="21"/>
              </w:rPr>
            </w:pPr>
            <w:r>
              <w:rPr>
                <w:rFonts w:ascii="宋体" w:hAnsi="宋体" w:cs="宋体" w:eastAsia="宋体" w:hint="default"/>
                <w:spacing w:val="13"/>
                <w:sz w:val="21"/>
                <w:szCs w:val="21"/>
              </w:rPr>
              <w:t>杭州奥能电源设备</w:t>
            </w:r>
            <w:r>
              <w:rPr>
                <w:rFonts w:ascii="宋体" w:hAnsi="宋体" w:cs="宋体" w:eastAsia="宋体" w:hint="default"/>
                <w:sz w:val="21"/>
                <w:szCs w:val="21"/>
              </w:rPr>
              <w:t> 有限公司</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宋体" w:hAnsi="宋体" w:cs="宋体" w:eastAsia="宋体" w:hint="default"/>
                <w:sz w:val="21"/>
                <w:szCs w:val="21"/>
              </w:rPr>
              <w:t>年</w:t>
            </w:r>
            <w:r>
              <w:rPr>
                <w:rFonts w:ascii="Times New Roman" w:hAnsi="Times New Roman" w:cs="Times New Roman" w:eastAsia="Times New Roman" w:hint="default"/>
                <w:sz w:val="21"/>
                <w:szCs w:val="21"/>
              </w:rPr>
              <w:t>11</w:t>
            </w:r>
            <w:r>
              <w:rPr>
                <w:rFonts w:ascii="宋体" w:hAnsi="宋体" w:cs="宋体" w:eastAsia="宋体" w:hint="default"/>
                <w:sz w:val="21"/>
                <w:szCs w:val="21"/>
              </w:rPr>
              <w:t>月初</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46" w:right="0"/>
              <w:jc w:val="left"/>
              <w:rPr>
                <w:rFonts w:ascii="宋体" w:hAnsi="宋体" w:cs="宋体" w:eastAsia="宋体" w:hint="default"/>
                <w:sz w:val="21"/>
                <w:szCs w:val="21"/>
              </w:rPr>
            </w:pPr>
            <w:r>
              <w:rPr>
                <w:rFonts w:ascii="宋体" w:hAnsi="宋体" w:cs="宋体" w:eastAsia="宋体" w:hint="default"/>
                <w:sz w:val="21"/>
                <w:szCs w:val="21"/>
              </w:rPr>
              <w:t>控制权转移</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476" w:right="0"/>
              <w:jc w:val="left"/>
              <w:rPr>
                <w:rFonts w:ascii="Times New Roman" w:hAnsi="Times New Roman" w:cs="Times New Roman" w:eastAsia="Times New Roman" w:hint="default"/>
                <w:sz w:val="21"/>
                <w:szCs w:val="21"/>
              </w:rPr>
            </w:pPr>
            <w:r>
              <w:rPr>
                <w:rFonts w:ascii="Times New Roman"/>
                <w:sz w:val="21"/>
              </w:rPr>
              <w:t>70,267,204.33</w:t>
            </w:r>
          </w:p>
        </w:tc>
        <w:tc>
          <w:tcPr>
            <w:tcW w:w="189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5"/>
              <w:ind w:left="337" w:right="0"/>
              <w:jc w:val="left"/>
              <w:rPr>
                <w:rFonts w:ascii="Times New Roman" w:hAnsi="Times New Roman" w:cs="Times New Roman" w:eastAsia="Times New Roman" w:hint="default"/>
                <w:sz w:val="21"/>
                <w:szCs w:val="21"/>
              </w:rPr>
            </w:pPr>
            <w:r>
              <w:rPr>
                <w:rFonts w:ascii="Times New Roman"/>
                <w:sz w:val="21"/>
              </w:rPr>
              <w:t>20,915,278.65</w:t>
            </w:r>
          </w:p>
        </w:tc>
      </w:tr>
    </w:tbl>
    <w:p>
      <w:pPr>
        <w:pStyle w:val="Heading6"/>
        <w:spacing w:line="276" w:lineRule="exact"/>
        <w:ind w:left="574"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30"/>
        </w:rPr>
        <w:t> </w:t>
      </w:r>
      <w:r>
        <w:rPr/>
        <w:t>合并成本及商誉</w:t>
      </w:r>
    </w:p>
    <w:p>
      <w:pPr>
        <w:pStyle w:val="Heading6"/>
        <w:spacing w:line="240" w:lineRule="auto" w:before="21"/>
        <w:ind w:left="574"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31"/>
        </w:rPr>
        <w:t> </w:t>
      </w:r>
      <w:r>
        <w:rPr/>
        <w:t>明细情况</w:t>
      </w:r>
    </w:p>
    <w:p>
      <w:pPr>
        <w:spacing w:line="240" w:lineRule="auto" w:before="10"/>
        <w:rPr>
          <w:rFonts w:ascii="宋体" w:hAnsi="宋体" w:cs="宋体" w:eastAsia="宋体" w:hint="default"/>
          <w:sz w:val="2"/>
          <w:szCs w:val="2"/>
        </w:rPr>
      </w:pPr>
    </w:p>
    <w:tbl>
      <w:tblPr>
        <w:tblW w:w="0" w:type="auto"/>
        <w:jc w:val="left"/>
        <w:tblInd w:w="146" w:type="dxa"/>
        <w:tblLayout w:type="fixed"/>
        <w:tblCellMar>
          <w:top w:w="0" w:type="dxa"/>
          <w:left w:w="0" w:type="dxa"/>
          <w:bottom w:w="0" w:type="dxa"/>
          <w:right w:w="0" w:type="dxa"/>
        </w:tblCellMar>
        <w:tblLook w:val="01E0"/>
      </w:tblPr>
      <w:tblGrid>
        <w:gridCol w:w="4078"/>
        <w:gridCol w:w="2550"/>
      </w:tblGrid>
      <w:tr>
        <w:trPr>
          <w:trHeight w:val="347" w:hRule="exact"/>
        </w:trPr>
        <w:tc>
          <w:tcPr>
            <w:tcW w:w="4078"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12" w:right="0"/>
              <w:jc w:val="left"/>
              <w:rPr>
                <w:rFonts w:ascii="宋体" w:hAnsi="宋体" w:cs="宋体" w:eastAsia="宋体" w:hint="default"/>
                <w:sz w:val="21"/>
                <w:szCs w:val="21"/>
              </w:rPr>
            </w:pPr>
            <w:r>
              <w:rPr>
                <w:rFonts w:ascii="宋体" w:hAnsi="宋体" w:cs="宋体" w:eastAsia="宋体" w:hint="default"/>
                <w:sz w:val="21"/>
                <w:szCs w:val="21"/>
              </w:rPr>
              <w:t>项</w:t>
            </w:r>
            <w:r>
              <w:rPr>
                <w:rFonts w:ascii="宋体" w:hAnsi="宋体" w:cs="宋体" w:eastAsia="宋体" w:hint="default"/>
                <w:spacing w:val="63"/>
                <w:sz w:val="21"/>
                <w:szCs w:val="21"/>
              </w:rPr>
              <w:t> </w:t>
            </w:r>
            <w:r>
              <w:rPr>
                <w:rFonts w:ascii="宋体" w:hAnsi="宋体" w:cs="宋体" w:eastAsia="宋体" w:hint="default"/>
                <w:sz w:val="21"/>
                <w:szCs w:val="21"/>
              </w:rPr>
              <w:t>目</w:t>
            </w:r>
          </w:p>
        </w:tc>
        <w:tc>
          <w:tcPr>
            <w:tcW w:w="2550" w:type="dxa"/>
            <w:tcBorders>
              <w:top w:val="single" w:sz="6" w:space="0" w:color="000000"/>
              <w:left w:val="single" w:sz="6" w:space="0" w:color="000000"/>
              <w:bottom w:val="single" w:sz="6" w:space="0" w:color="000000"/>
              <w:right w:val="nil" w:sz="6" w:space="0" w:color="auto"/>
            </w:tcBorders>
          </w:tcPr>
          <w:p>
            <w:pPr>
              <w:pStyle w:val="TableParagraph"/>
              <w:spacing w:line="271" w:lineRule="exact"/>
              <w:ind w:left="638" w:right="0"/>
              <w:jc w:val="left"/>
              <w:rPr>
                <w:rFonts w:ascii="宋体" w:hAnsi="宋体" w:cs="宋体" w:eastAsia="宋体" w:hint="default"/>
                <w:sz w:val="21"/>
                <w:szCs w:val="21"/>
              </w:rPr>
            </w:pPr>
            <w:r>
              <w:rPr>
                <w:rFonts w:ascii="宋体" w:hAnsi="宋体" w:cs="宋体" w:eastAsia="宋体" w:hint="default"/>
                <w:sz w:val="21"/>
                <w:szCs w:val="21"/>
              </w:rPr>
              <w:t>奥能电源公司</w:t>
            </w:r>
          </w:p>
        </w:tc>
      </w:tr>
      <w:tr>
        <w:trPr>
          <w:trHeight w:val="347" w:hRule="exact"/>
        </w:trPr>
        <w:tc>
          <w:tcPr>
            <w:tcW w:w="4078"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合并成本</w:t>
            </w:r>
          </w:p>
        </w:tc>
        <w:tc>
          <w:tcPr>
            <w:tcW w:w="2550" w:type="dxa"/>
            <w:tcBorders>
              <w:top w:val="single" w:sz="6" w:space="0" w:color="000000"/>
              <w:left w:val="single" w:sz="6" w:space="0" w:color="000000"/>
              <w:bottom w:val="single" w:sz="6" w:space="0" w:color="000000"/>
              <w:right w:val="nil" w:sz="6" w:space="0" w:color="auto"/>
            </w:tcBorders>
          </w:tcPr>
          <w:p>
            <w:pPr/>
          </w:p>
        </w:tc>
      </w:tr>
      <w:tr>
        <w:trPr>
          <w:trHeight w:val="348" w:hRule="exact"/>
        </w:trPr>
        <w:tc>
          <w:tcPr>
            <w:tcW w:w="4078"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338"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255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5"/>
              <w:ind w:right="6"/>
              <w:jc w:val="right"/>
              <w:rPr>
                <w:rFonts w:ascii="Times New Roman" w:hAnsi="Times New Roman" w:cs="Times New Roman" w:eastAsia="Times New Roman" w:hint="default"/>
                <w:sz w:val="21"/>
                <w:szCs w:val="21"/>
              </w:rPr>
            </w:pPr>
            <w:r>
              <w:rPr>
                <w:rFonts w:ascii="Times New Roman"/>
                <w:spacing w:val="-1"/>
                <w:sz w:val="21"/>
              </w:rPr>
              <w:t>560,000,000.00</w:t>
            </w:r>
          </w:p>
        </w:tc>
      </w:tr>
      <w:tr>
        <w:trPr>
          <w:trHeight w:val="347" w:hRule="exact"/>
        </w:trPr>
        <w:tc>
          <w:tcPr>
            <w:tcW w:w="4078"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2" w:right="0"/>
              <w:jc w:val="left"/>
              <w:rPr>
                <w:rFonts w:ascii="宋体" w:hAnsi="宋体" w:cs="宋体" w:eastAsia="宋体" w:hint="default"/>
                <w:sz w:val="21"/>
                <w:szCs w:val="21"/>
              </w:rPr>
            </w:pPr>
            <w:r>
              <w:rPr>
                <w:rFonts w:ascii="宋体" w:hAnsi="宋体" w:cs="宋体" w:eastAsia="宋体" w:hint="default"/>
                <w:sz w:val="21"/>
                <w:szCs w:val="21"/>
              </w:rPr>
              <w:t>合并成本合计</w:t>
            </w:r>
          </w:p>
        </w:tc>
        <w:tc>
          <w:tcPr>
            <w:tcW w:w="255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4"/>
              <w:ind w:right="6"/>
              <w:jc w:val="right"/>
              <w:rPr>
                <w:rFonts w:ascii="Times New Roman" w:hAnsi="Times New Roman" w:cs="Times New Roman" w:eastAsia="Times New Roman" w:hint="default"/>
                <w:sz w:val="21"/>
                <w:szCs w:val="21"/>
              </w:rPr>
            </w:pPr>
            <w:r>
              <w:rPr>
                <w:rFonts w:ascii="Times New Roman"/>
                <w:spacing w:val="-1"/>
                <w:sz w:val="21"/>
              </w:rPr>
              <w:t>560,000,000.00</w:t>
            </w:r>
          </w:p>
        </w:tc>
      </w:tr>
      <w:tr>
        <w:trPr>
          <w:trHeight w:val="347" w:hRule="exact"/>
        </w:trPr>
        <w:tc>
          <w:tcPr>
            <w:tcW w:w="4078"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减：取得的可辨认净资产公允价值份额</w:t>
            </w:r>
          </w:p>
        </w:tc>
        <w:tc>
          <w:tcPr>
            <w:tcW w:w="255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5"/>
              <w:ind w:right="8"/>
              <w:jc w:val="right"/>
              <w:rPr>
                <w:rFonts w:ascii="Times New Roman" w:hAnsi="Times New Roman" w:cs="Times New Roman" w:eastAsia="Times New Roman" w:hint="default"/>
                <w:sz w:val="21"/>
                <w:szCs w:val="21"/>
              </w:rPr>
            </w:pPr>
            <w:r>
              <w:rPr>
                <w:rFonts w:ascii="Times New Roman"/>
                <w:sz w:val="21"/>
              </w:rPr>
              <w:t>90,709,599.06</w:t>
            </w:r>
          </w:p>
        </w:tc>
      </w:tr>
      <w:tr>
        <w:trPr>
          <w:trHeight w:val="348" w:hRule="exact"/>
        </w:trPr>
        <w:tc>
          <w:tcPr>
            <w:tcW w:w="4078"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255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5"/>
              <w:ind w:right="8"/>
              <w:jc w:val="right"/>
              <w:rPr>
                <w:rFonts w:ascii="Times New Roman" w:hAnsi="Times New Roman" w:cs="Times New Roman" w:eastAsia="Times New Roman" w:hint="default"/>
                <w:sz w:val="21"/>
                <w:szCs w:val="21"/>
              </w:rPr>
            </w:pPr>
            <w:r>
              <w:rPr>
                <w:rFonts w:ascii="Times New Roman"/>
                <w:sz w:val="21"/>
              </w:rPr>
              <w:t>469,290,400.94</w:t>
            </w:r>
          </w:p>
        </w:tc>
      </w:tr>
    </w:tbl>
    <w:p>
      <w:pPr>
        <w:pStyle w:val="Heading6"/>
        <w:spacing w:line="276" w:lineRule="exact"/>
        <w:ind w:left="574"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31"/>
        </w:rPr>
        <w:t> </w:t>
      </w:r>
      <w:r>
        <w:rPr/>
        <w:t>合并成本公允价值的确定方法、或有对价及其变动的说明</w:t>
      </w:r>
    </w:p>
    <w:p>
      <w:pPr>
        <w:pStyle w:val="Heading6"/>
        <w:spacing w:line="261" w:lineRule="auto" w:before="21"/>
        <w:ind w:right="150" w:firstLine="420"/>
        <w:jc w:val="both"/>
      </w:pPr>
      <w:r>
        <w:rPr>
          <w:spacing w:val="-1"/>
        </w:rPr>
        <w:t>根据本公司与杭州奥能电源设备有限公司签订的《盈利预测补偿协议》，杭州奥能电源设备有限公司</w:t>
      </w:r>
      <w:r>
        <w:rPr/>
        <w:t> </w:t>
      </w:r>
      <w:r>
        <w:rPr>
          <w:rFonts w:ascii="Times New Roman" w:hAnsi="Times New Roman" w:cs="Times New Roman" w:eastAsia="Times New Roman" w:hint="default"/>
        </w:rPr>
        <w:t>2017</w:t>
      </w:r>
      <w:r>
        <w:rPr/>
        <w:t>年度、</w:t>
      </w:r>
      <w:r>
        <w:rPr>
          <w:rFonts w:ascii="Times New Roman" w:hAnsi="Times New Roman" w:cs="Times New Roman" w:eastAsia="Times New Roman" w:hint="default"/>
        </w:rPr>
        <w:t>2018</w:t>
      </w:r>
      <w:r>
        <w:rPr/>
        <w:t>年度、</w:t>
      </w:r>
      <w:r>
        <w:rPr>
          <w:rFonts w:ascii="Times New Roman" w:hAnsi="Times New Roman" w:cs="Times New Roman" w:eastAsia="Times New Roman" w:hint="default"/>
        </w:rPr>
        <w:t>2019</w:t>
      </w:r>
      <w:r>
        <w:rPr/>
        <w:t>年度扣除非经常性损益后实现的净利润不低于</w:t>
      </w:r>
      <w:r>
        <w:rPr>
          <w:rFonts w:ascii="Times New Roman" w:hAnsi="Times New Roman" w:cs="Times New Roman" w:eastAsia="Times New Roman" w:hint="default"/>
        </w:rPr>
        <w:t>3,600</w:t>
      </w:r>
      <w:r>
        <w:rPr/>
        <w:t>万元、</w:t>
      </w:r>
      <w:r>
        <w:rPr>
          <w:rFonts w:ascii="Times New Roman" w:hAnsi="Times New Roman" w:cs="Times New Roman" w:eastAsia="Times New Roman" w:hint="default"/>
        </w:rPr>
        <w:t>5,000</w:t>
      </w:r>
      <w:r>
        <w:rPr/>
        <w:t>万元、</w:t>
      </w:r>
      <w:r>
        <w:rPr>
          <w:rFonts w:ascii="Times New Roman" w:hAnsi="Times New Roman" w:cs="Times New Roman" w:eastAsia="Times New Roman" w:hint="default"/>
        </w:rPr>
        <w:t>6,500</w:t>
      </w:r>
      <w:r>
        <w:rPr/>
        <w:t>万</w:t>
      </w:r>
      <w:r>
        <w:rPr>
          <w:spacing w:val="-80"/>
        </w:rPr>
        <w:t> </w:t>
      </w:r>
      <w:r>
        <w:rPr>
          <w:spacing w:val="-2"/>
        </w:rPr>
        <w:t>元，且每个年度净利润中的非经常性损益不超过</w:t>
      </w:r>
      <w:r>
        <w:rPr>
          <w:rFonts w:ascii="Times New Roman" w:hAnsi="Times New Roman" w:cs="Times New Roman" w:eastAsia="Times New Roman" w:hint="default"/>
          <w:spacing w:val="-2"/>
        </w:rPr>
        <w:t>200</w:t>
      </w:r>
      <w:r>
        <w:rPr>
          <w:spacing w:val="-2"/>
        </w:rPr>
        <w:t>万元</w:t>
      </w:r>
      <w:r>
        <w:rPr>
          <w:rFonts w:ascii="Times New Roman" w:hAnsi="Times New Roman" w:cs="Times New Roman" w:eastAsia="Times New Roman" w:hint="default"/>
          <w:spacing w:val="-2"/>
        </w:rPr>
        <w:t>(</w:t>
      </w:r>
      <w:r>
        <w:rPr>
          <w:spacing w:val="-2"/>
        </w:rPr>
        <w:t>不包含增值税退税</w:t>
      </w:r>
      <w:r>
        <w:rPr>
          <w:rFonts w:ascii="Times New Roman" w:hAnsi="Times New Roman" w:cs="Times New Roman" w:eastAsia="Times New Roman" w:hint="default"/>
          <w:spacing w:val="-2"/>
        </w:rPr>
        <w:t>)</w:t>
      </w:r>
      <w:r>
        <w:rPr>
          <w:spacing w:val="-2"/>
        </w:rPr>
        <w:t>。否则，奥能电源公司原股东</w:t>
      </w:r>
      <w:r>
        <w:rPr>
          <w:spacing w:val="-68"/>
        </w:rPr>
        <w:t> </w:t>
      </w:r>
      <w:r>
        <w:rPr>
          <w:spacing w:val="-68"/>
        </w:rPr>
      </w:r>
      <w:r>
        <w:rPr>
          <w:spacing w:val="3"/>
        </w:rPr>
        <w:t>应依据相关规定对本公司以现金方式予以补偿，具体补偿金额按以下公式计算：当年应补偿的现金金额</w:t>
      </w:r>
    </w:p>
    <w:p>
      <w:pPr>
        <w:pStyle w:val="Heading6"/>
        <w:spacing w:line="256" w:lineRule="auto" w:before="18"/>
        <w:ind w:right="0"/>
        <w:jc w:val="left"/>
      </w:pPr>
      <w:r>
        <w:rPr>
          <w:rFonts w:ascii="Times New Roman" w:hAnsi="Times New Roman" w:cs="Times New Roman" w:eastAsia="Times New Roman" w:hint="default"/>
        </w:rPr>
        <w:t>=(</w:t>
      </w:r>
      <w:r>
        <w:rPr/>
        <w:t>截至当年期末的累计承诺净利润总额－截至当年期末的累计实现净利润总额</w:t>
      </w:r>
      <w:r>
        <w:rPr>
          <w:rFonts w:ascii="Times New Roman" w:hAnsi="Times New Roman" w:cs="Times New Roman" w:eastAsia="Times New Roman" w:hint="default"/>
        </w:rPr>
        <w:t>)÷</w:t>
      </w:r>
      <w:r>
        <w:rPr/>
        <w:t>业绩承诺期内各年度的承</w:t>
      </w:r>
      <w:r>
        <w:rPr>
          <w:spacing w:val="-85"/>
        </w:rPr>
        <w:t> </w:t>
      </w:r>
      <w:r>
        <w:rPr>
          <w:spacing w:val="-85"/>
        </w:rPr>
      </w:r>
      <w:r>
        <w:rPr/>
        <w:t>诺净利润总和</w:t>
      </w:r>
      <w:r>
        <w:rPr>
          <w:rFonts w:ascii="Times New Roman" w:hAnsi="Times New Roman" w:cs="Times New Roman" w:eastAsia="Times New Roman" w:hint="default"/>
        </w:rPr>
        <w:t>×</w:t>
      </w:r>
      <w:r>
        <w:rPr/>
        <w:t>交易总价款－累计已补偿金额。</w:t>
      </w:r>
    </w:p>
    <w:p>
      <w:pPr>
        <w:pStyle w:val="Heading6"/>
        <w:spacing w:line="256" w:lineRule="auto" w:before="4"/>
        <w:ind w:left="574" w:right="147"/>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31"/>
        </w:rPr>
        <w:t> </w:t>
      </w:r>
      <w:r>
        <w:rPr/>
        <w:t>大额商誉形成的主要原因</w:t>
      </w:r>
      <w:r>
        <w:rPr>
          <w:w w:val="99"/>
        </w:rPr>
        <w:t> </w:t>
      </w:r>
      <w:r>
        <w:rPr/>
        <w:t>本期公司非同一控制下合并奥能电源公司</w:t>
      </w:r>
      <w:r>
        <w:rPr>
          <w:rFonts w:ascii="Times New Roman" w:hAnsi="Times New Roman" w:cs="Times New Roman" w:eastAsia="Times New Roman" w:hint="default"/>
        </w:rPr>
        <w:t>100.00%</w:t>
      </w:r>
      <w:r>
        <w:rPr/>
        <w:t>股权，以购买价</w:t>
      </w:r>
      <w:r>
        <w:rPr>
          <w:rFonts w:ascii="Times New Roman" w:hAnsi="Times New Roman" w:cs="Times New Roman" w:eastAsia="Times New Roman" w:hint="default"/>
        </w:rPr>
        <w:t>560,000,000.00</w:t>
      </w:r>
      <w:r>
        <w:rPr/>
        <w:t>元高于购买日按持股</w:t>
      </w:r>
    </w:p>
    <w:p>
      <w:pPr>
        <w:pStyle w:val="Heading6"/>
        <w:spacing w:line="256" w:lineRule="auto" w:before="5"/>
        <w:ind w:right="0"/>
        <w:jc w:val="left"/>
      </w:pPr>
      <w:r>
        <w:rPr/>
        <w:t>比例</w:t>
      </w:r>
      <w:r>
        <w:rPr>
          <w:rFonts w:ascii="Times New Roman" w:hAnsi="Times New Roman" w:cs="Times New Roman" w:eastAsia="Times New Roman" w:hint="default"/>
        </w:rPr>
        <w:t>100.00%</w:t>
      </w:r>
      <w:r>
        <w:rPr/>
        <w:t>计算应享有的该公司可辨认净资产公允价值份额</w:t>
      </w:r>
      <w:r>
        <w:rPr>
          <w:rFonts w:ascii="Times New Roman" w:hAnsi="Times New Roman" w:cs="Times New Roman" w:eastAsia="Times New Roman" w:hint="default"/>
        </w:rPr>
        <w:t>90,709,599.06</w:t>
      </w:r>
      <w:r>
        <w:rPr/>
        <w:t>元的差额</w:t>
      </w:r>
      <w:r>
        <w:rPr>
          <w:rFonts w:ascii="Times New Roman" w:hAnsi="Times New Roman" w:cs="Times New Roman" w:eastAsia="Times New Roman" w:hint="default"/>
        </w:rPr>
        <w:t>469,290,400.94</w:t>
      </w:r>
      <w:r>
        <w:rPr/>
        <w:t>元确认</w:t>
      </w:r>
      <w:r>
        <w:rPr>
          <w:spacing w:val="-42"/>
        </w:rPr>
        <w:t> </w:t>
      </w:r>
      <w:r>
        <w:rPr/>
        <w:t>商誉。</w:t>
      </w:r>
    </w:p>
    <w:p>
      <w:pPr>
        <w:pStyle w:val="Heading6"/>
        <w:spacing w:line="256" w:lineRule="auto" w:before="22"/>
        <w:ind w:left="658" w:right="6610" w:hanging="85"/>
        <w:jc w:val="left"/>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31"/>
        </w:rPr>
        <w:t> </w:t>
      </w:r>
      <w:r>
        <w:rPr/>
        <w:t>其他原因的合并范围变动</w:t>
      </w:r>
      <w:r>
        <w:rPr>
          <w:w w:val="99"/>
        </w:rPr>
        <w:t> </w:t>
      </w:r>
      <w:r>
        <w:rPr/>
        <w:t>合并范围增加</w:t>
      </w:r>
    </w:p>
    <w:p>
      <w:pPr>
        <w:spacing w:after="0" w:line="256" w:lineRule="auto"/>
        <w:jc w:val="left"/>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1704"/>
        <w:gridCol w:w="1704"/>
        <w:gridCol w:w="1704"/>
        <w:gridCol w:w="1705"/>
        <w:gridCol w:w="1706"/>
      </w:tblGrid>
      <w:tr>
        <w:trPr>
          <w:trHeight w:val="347" w:hRule="exact"/>
        </w:trPr>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12" w:right="0"/>
              <w:jc w:val="left"/>
              <w:rPr>
                <w:rFonts w:ascii="宋体" w:hAnsi="宋体" w:cs="宋体" w:eastAsia="宋体" w:hint="default"/>
                <w:sz w:val="21"/>
                <w:szCs w:val="21"/>
              </w:rPr>
            </w:pPr>
            <w:r>
              <w:rPr>
                <w:rFonts w:ascii="宋体" w:hAnsi="宋体" w:cs="宋体" w:eastAsia="宋体" w:hint="default"/>
                <w:sz w:val="21"/>
                <w:szCs w:val="21"/>
              </w:rPr>
              <w:t>公司名称</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股权取得方式</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股权取得时点</w:t>
            </w:r>
          </w:p>
        </w:tc>
        <w:tc>
          <w:tcPr>
            <w:tcW w:w="1705"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530" w:right="0"/>
              <w:jc w:val="left"/>
              <w:rPr>
                <w:rFonts w:ascii="宋体" w:hAnsi="宋体" w:cs="宋体" w:eastAsia="宋体" w:hint="default"/>
                <w:sz w:val="21"/>
                <w:szCs w:val="21"/>
              </w:rPr>
            </w:pPr>
            <w:r>
              <w:rPr>
                <w:rFonts w:ascii="宋体" w:hAnsi="宋体" w:cs="宋体" w:eastAsia="宋体" w:hint="default"/>
                <w:sz w:val="21"/>
                <w:szCs w:val="21"/>
              </w:rPr>
              <w:t>出资额</w:t>
            </w:r>
          </w:p>
        </w:tc>
        <w:tc>
          <w:tcPr>
            <w:tcW w:w="1706" w:type="dxa"/>
            <w:tcBorders>
              <w:top w:val="single" w:sz="6" w:space="0" w:color="000000"/>
              <w:left w:val="single" w:sz="6" w:space="0" w:color="000000"/>
              <w:bottom w:val="single" w:sz="6" w:space="0" w:color="000000"/>
              <w:right w:val="nil" w:sz="6" w:space="0" w:color="auto"/>
            </w:tcBorders>
          </w:tcPr>
          <w:p>
            <w:pPr>
              <w:pStyle w:val="TableParagraph"/>
              <w:spacing w:line="271" w:lineRule="exact"/>
              <w:ind w:right="3"/>
              <w:jc w:val="center"/>
              <w:rPr>
                <w:rFonts w:ascii="宋体" w:hAnsi="宋体" w:cs="宋体" w:eastAsia="宋体" w:hint="default"/>
                <w:sz w:val="21"/>
                <w:szCs w:val="21"/>
              </w:rPr>
            </w:pPr>
            <w:r>
              <w:rPr>
                <w:rFonts w:ascii="宋体" w:hAnsi="宋体" w:cs="宋体" w:eastAsia="宋体" w:hint="default"/>
                <w:sz w:val="21"/>
                <w:szCs w:val="21"/>
              </w:rPr>
              <w:t>出资比例</w:t>
            </w:r>
          </w:p>
        </w:tc>
      </w:tr>
      <w:tr>
        <w:trPr>
          <w:trHeight w:val="660" w:hRule="exact"/>
        </w:trPr>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3"/>
              <w:jc w:val="left"/>
              <w:rPr>
                <w:rFonts w:ascii="宋体" w:hAnsi="宋体" w:cs="宋体" w:eastAsia="宋体" w:hint="default"/>
                <w:sz w:val="21"/>
                <w:szCs w:val="21"/>
              </w:rPr>
            </w:pPr>
            <w:r>
              <w:rPr>
                <w:rFonts w:ascii="宋体" w:hAnsi="宋体" w:cs="宋体" w:eastAsia="宋体" w:hint="default"/>
                <w:sz w:val="21"/>
                <w:szCs w:val="21"/>
              </w:rPr>
              <w:t>福建南平太阳高新 材料有限公司</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新设子公司</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宋体" w:hAnsi="宋体" w:cs="宋体" w:eastAsia="宋体" w:hint="default"/>
                <w:sz w:val="21"/>
                <w:szCs w:val="21"/>
              </w:rPr>
              <w:t>年</w:t>
            </w:r>
            <w:r>
              <w:rPr>
                <w:rFonts w:ascii="Times New Roman" w:hAnsi="Times New Roman" w:cs="Times New Roman" w:eastAsia="Times New Roman" w:hint="default"/>
                <w:sz w:val="21"/>
                <w:szCs w:val="21"/>
              </w:rPr>
              <w:t>2</w:t>
            </w:r>
            <w:r>
              <w:rPr>
                <w:rFonts w:ascii="宋体" w:hAnsi="宋体" w:cs="宋体" w:eastAsia="宋体" w:hint="default"/>
                <w:sz w:val="21"/>
                <w:szCs w:val="21"/>
              </w:rPr>
              <w:t>月</w:t>
            </w:r>
          </w:p>
        </w:tc>
        <w:tc>
          <w:tcPr>
            <w:tcW w:w="17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479" w:right="0"/>
              <w:jc w:val="left"/>
              <w:rPr>
                <w:rFonts w:ascii="Times New Roman" w:hAnsi="Times New Roman" w:cs="Times New Roman" w:eastAsia="Times New Roman" w:hint="default"/>
                <w:sz w:val="21"/>
                <w:szCs w:val="21"/>
              </w:rPr>
            </w:pPr>
            <w:r>
              <w:rPr>
                <w:rFonts w:ascii="Times New Roman"/>
                <w:sz w:val="21"/>
              </w:rPr>
              <w:t>15,300,000.00</w:t>
            </w:r>
          </w:p>
        </w:tc>
        <w:tc>
          <w:tcPr>
            <w:tcW w:w="170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5"/>
              <w:ind w:right="5"/>
              <w:jc w:val="center"/>
              <w:rPr>
                <w:rFonts w:ascii="Times New Roman" w:hAnsi="Times New Roman" w:cs="Times New Roman" w:eastAsia="Times New Roman" w:hint="default"/>
                <w:sz w:val="21"/>
                <w:szCs w:val="21"/>
              </w:rPr>
            </w:pPr>
            <w:r>
              <w:rPr>
                <w:rFonts w:ascii="Times New Roman"/>
                <w:sz w:val="21"/>
              </w:rPr>
              <w:t>51.00%</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3"/>
          <w:szCs w:val="23"/>
        </w:rPr>
      </w:pPr>
    </w:p>
    <w:p>
      <w:pPr>
        <w:pStyle w:val="Heading5"/>
        <w:spacing w:line="240" w:lineRule="auto" w:before="35"/>
        <w:ind w:right="0"/>
        <w:jc w:val="left"/>
        <w:rPr>
          <w:b w:val="0"/>
          <w:bCs w:val="0"/>
        </w:rPr>
      </w:pPr>
      <w:bookmarkStart w:name="（7）公司报告期内业务、产品或服务发生重大变化或调整有关情况" w:id="33"/>
      <w:bookmarkEnd w:id="33"/>
      <w:r>
        <w:rPr>
          <w:b w:val="0"/>
          <w:bCs w:val="0"/>
        </w:rPr>
      </w: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8"/>
        <w:rPr>
          <w:rFonts w:ascii="宋体" w:hAnsi="宋体" w:cs="宋体" w:eastAsia="宋体" w:hint="default"/>
          <w:b/>
          <w:bCs/>
          <w:sz w:val="26"/>
          <w:szCs w:val="26"/>
        </w:rPr>
      </w:pPr>
    </w:p>
    <w:p>
      <w:pPr>
        <w:pStyle w:val="BodyText"/>
        <w:spacing w:line="319"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11</w:t>
      </w:r>
      <w:r>
        <w:rPr>
          <w:spacing w:val="-2"/>
        </w:rPr>
        <w:t>月，公司完成对杭州奥能电源设备有限公司的收购工作，将公司业务范围拓宽至智能一体化电源设备和新能源充电</w:t>
      </w:r>
      <w:r>
        <w:rPr>
          <w:spacing w:val="-58"/>
        </w:rPr>
        <w:t> </w:t>
      </w:r>
      <w:r>
        <w:rPr>
          <w:spacing w:val="-58"/>
        </w:rPr>
      </w:r>
      <w:r>
        <w:rPr/>
        <w:t>系统领域，故公司</w:t>
      </w:r>
      <w:r>
        <w:rPr>
          <w:rFonts w:ascii="Times New Roman" w:hAnsi="Times New Roman" w:cs="Times New Roman" w:eastAsia="Times New Roman" w:hint="default"/>
        </w:rPr>
        <w:t>2017</w:t>
      </w:r>
      <w:r>
        <w:rPr/>
        <w:t>年度产品分类进行了一定调整。</w:t>
      </w:r>
    </w:p>
    <w:p>
      <w:pPr>
        <w:spacing w:line="240" w:lineRule="auto" w:before="11"/>
        <w:rPr>
          <w:rFonts w:ascii="宋体" w:hAnsi="宋体" w:cs="宋体" w:eastAsia="宋体" w:hint="default"/>
          <w:sz w:val="20"/>
          <w:szCs w:val="20"/>
        </w:rPr>
      </w:pPr>
    </w:p>
    <w:p>
      <w:pPr>
        <w:pStyle w:val="Heading5"/>
        <w:spacing w:line="240" w:lineRule="auto"/>
        <w:ind w:right="0"/>
        <w:jc w:val="left"/>
        <w:rPr>
          <w:b w:val="0"/>
          <w:bCs w:val="0"/>
        </w:rPr>
      </w:pPr>
      <w:bookmarkStart w:name="（8）主要销售客户和主要供应商情况" w:id="34"/>
      <w:bookmarkEnd w:id="34"/>
      <w:r>
        <w:rPr>
          <w:b w:val="0"/>
          <w:bCs w:val="0"/>
        </w:rPr>
      </w: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0"/>
        <w:jc w:val="left"/>
      </w:pPr>
      <w:r>
        <w:rPr/>
        <w:t>公司主要销售客户情况</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258"/>
        <w:gridCol w:w="5311"/>
      </w:tblGrid>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213,661,035.48</w:t>
            </w:r>
          </w:p>
        </w:tc>
      </w:tr>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32.79%</w:t>
            </w:r>
          </w:p>
        </w:tc>
      </w:tr>
      <w:tr>
        <w:trPr>
          <w:trHeight w:val="714"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83"/>
              <w:jc w:val="left"/>
              <w:rPr>
                <w:rFonts w:ascii="宋体" w:hAnsi="宋体" w:cs="宋体" w:eastAsia="宋体" w:hint="default"/>
                <w:sz w:val="18"/>
                <w:szCs w:val="18"/>
              </w:rPr>
            </w:pPr>
            <w:r>
              <w:rPr>
                <w:rFonts w:ascii="宋体" w:hAnsi="宋体" w:cs="宋体" w:eastAsia="宋体" w:hint="default"/>
                <w:sz w:val="18"/>
                <w:szCs w:val="18"/>
              </w:rPr>
              <w:t>前五名客户销售额中关联方销售额占年度销售总额比 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right="0"/>
        <w:jc w:val="left"/>
      </w:pPr>
      <w:r>
        <w:rPr/>
        <w:t>公司前</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大客户资料</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791"/>
        <w:gridCol w:w="3313"/>
        <w:gridCol w:w="2322"/>
        <w:gridCol w:w="3143"/>
      </w:tblGrid>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5"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5"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6"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客户一</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94,233,128.85</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14.46%</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客户二</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32,356,349.74</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4.97%</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客户三</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31,442,387.36</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4.83%</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4</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客户四</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29,566,929.48</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4.54%</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客户五</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26,062,240.04</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4.00%</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213,661,035.47</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32.79%</w:t>
            </w:r>
          </w:p>
        </w:tc>
      </w:tr>
    </w:tbl>
    <w:p>
      <w:pPr>
        <w:pStyle w:val="BodyText"/>
        <w:spacing w:line="240" w:lineRule="auto" w:before="51"/>
        <w:ind w:right="0"/>
        <w:jc w:val="left"/>
      </w:pPr>
      <w:r>
        <w:rPr/>
        <w:t>主要客户其他情况说明</w:t>
      </w:r>
    </w:p>
    <w:p>
      <w:pPr>
        <w:pStyle w:val="BodyText"/>
        <w:spacing w:line="357" w:lineRule="auto" w:before="117"/>
        <w:ind w:right="8152"/>
        <w:jc w:val="left"/>
      </w:pPr>
      <w:r>
        <w:rPr/>
        <w:t>□ 适用 √ 不适用 公司主要供应商情况</w:t>
      </w:r>
    </w:p>
    <w:tbl>
      <w:tblPr>
        <w:tblW w:w="0" w:type="auto"/>
        <w:jc w:val="left"/>
        <w:tblInd w:w="149" w:type="dxa"/>
        <w:tblLayout w:type="fixed"/>
        <w:tblCellMar>
          <w:top w:w="0" w:type="dxa"/>
          <w:left w:w="0" w:type="dxa"/>
          <w:bottom w:w="0" w:type="dxa"/>
          <w:right w:w="0" w:type="dxa"/>
        </w:tblCellMar>
        <w:tblLook w:val="01E0"/>
      </w:tblPr>
      <w:tblGrid>
        <w:gridCol w:w="4258"/>
        <w:gridCol w:w="5311"/>
      </w:tblGrid>
      <w:tr>
        <w:trPr>
          <w:trHeight w:val="403"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293,077,466.63</w:t>
            </w:r>
          </w:p>
        </w:tc>
      </w:tr>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55.85%</w:t>
            </w:r>
          </w:p>
        </w:tc>
      </w:tr>
      <w:tr>
        <w:trPr>
          <w:trHeight w:val="715"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83"/>
              <w:jc w:val="left"/>
              <w:rPr>
                <w:rFonts w:ascii="宋体" w:hAnsi="宋体" w:cs="宋体" w:eastAsia="宋体" w:hint="default"/>
                <w:sz w:val="18"/>
                <w:szCs w:val="18"/>
              </w:rPr>
            </w:pPr>
            <w:r>
              <w:rPr>
                <w:rFonts w:ascii="宋体" w:hAnsi="宋体" w:cs="宋体" w:eastAsia="宋体" w:hint="default"/>
                <w:sz w:val="18"/>
                <w:szCs w:val="18"/>
              </w:rPr>
              <w:t>前五名供应商采购额中关联方采购额占年度采购总额 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67"/>
        <w:ind w:right="0"/>
        <w:jc w:val="left"/>
      </w:pPr>
      <w:r>
        <w:rPr/>
        <w:t>公司前</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名供应商资料</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912"/>
        <w:gridCol w:w="3180"/>
        <w:gridCol w:w="2322"/>
        <w:gridCol w:w="3143"/>
      </w:tblGrid>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70"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15"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56"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1" w:right="0"/>
              <w:jc w:val="left"/>
              <w:rPr>
                <w:rFonts w:ascii="Times New Roman" w:hAnsi="Times New Roman" w:cs="Times New Roman" w:eastAsia="Times New Roman" w:hint="default"/>
                <w:sz w:val="18"/>
                <w:szCs w:val="18"/>
              </w:rPr>
            </w:pPr>
            <w:r>
              <w:rPr>
                <w:rFonts w:ascii="Times New Roman"/>
                <w:sz w:val="18"/>
              </w:rPr>
              <w:t>1</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供应商一</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120,097,956.20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22.89%</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1" w:right="0"/>
              <w:jc w:val="left"/>
              <w:rPr>
                <w:rFonts w:ascii="Times New Roman" w:hAnsi="Times New Roman" w:cs="Times New Roman" w:eastAsia="Times New Roman" w:hint="default"/>
                <w:sz w:val="18"/>
                <w:szCs w:val="18"/>
              </w:rPr>
            </w:pPr>
            <w:r>
              <w:rPr>
                <w:rFonts w:ascii="Times New Roman"/>
                <w:sz w:val="18"/>
              </w:rPr>
              <w:t>2</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供应商二</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86,997,701.50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16.58%</w:t>
            </w:r>
          </w:p>
        </w:tc>
      </w:tr>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1" w:right="0"/>
              <w:jc w:val="left"/>
              <w:rPr>
                <w:rFonts w:ascii="Times New Roman" w:hAnsi="Times New Roman" w:cs="Times New Roman" w:eastAsia="Times New Roman" w:hint="default"/>
                <w:sz w:val="18"/>
                <w:szCs w:val="18"/>
              </w:rPr>
            </w:pPr>
            <w:r>
              <w:rPr>
                <w:rFonts w:ascii="Times New Roman"/>
                <w:sz w:val="18"/>
              </w:rPr>
              <w:t>3</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供应商三</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37,641,640.55</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7.17%</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912"/>
        <w:gridCol w:w="3180"/>
        <w:gridCol w:w="2322"/>
        <w:gridCol w:w="3143"/>
      </w:tblGrid>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4</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供应商四</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27,725,864.44</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5.28%</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5</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供应商五</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20,614,303.94</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3.93%</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293,077,466.63</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55.85%</w:t>
            </w:r>
          </w:p>
        </w:tc>
      </w:tr>
    </w:tbl>
    <w:p>
      <w:pPr>
        <w:pStyle w:val="BodyText"/>
        <w:spacing w:line="240" w:lineRule="auto" w:before="51"/>
        <w:ind w:right="92"/>
        <w:jc w:val="left"/>
      </w:pPr>
      <w:r>
        <w:rPr/>
        <w:t>主要供应商其他情况说明</w:t>
      </w:r>
    </w:p>
    <w:p>
      <w:pPr>
        <w:pStyle w:val="BodyText"/>
        <w:spacing w:line="240" w:lineRule="auto" w:before="117"/>
        <w:ind w:right="92"/>
        <w:jc w:val="left"/>
      </w:pPr>
      <w:r>
        <w:rPr/>
        <w:t>□ 适用 √ 不适用</w:t>
      </w:r>
    </w:p>
    <w:p>
      <w:pPr>
        <w:spacing w:line="240" w:lineRule="auto" w:before="10"/>
        <w:rPr>
          <w:rFonts w:ascii="宋体" w:hAnsi="宋体" w:cs="宋体" w:eastAsia="宋体" w:hint="default"/>
          <w:sz w:val="26"/>
          <w:szCs w:val="26"/>
        </w:rPr>
      </w:pPr>
    </w:p>
    <w:p>
      <w:pPr>
        <w:pStyle w:val="Heading5"/>
        <w:spacing w:line="240" w:lineRule="auto"/>
        <w:ind w:right="92"/>
        <w:jc w:val="left"/>
        <w:rPr>
          <w:b w:val="0"/>
          <w:bCs w:val="0"/>
        </w:rPr>
      </w:pPr>
      <w:bookmarkStart w:name="3、费用" w:id="35"/>
      <w:bookmarkEnd w:id="35"/>
      <w:r>
        <w:rPr>
          <w:b w:val="0"/>
          <w:bCs w:val="0"/>
        </w:rPr>
      </w:r>
      <w:r>
        <w:rPr>
          <w:rFonts w:ascii="Times New Roman" w:hAnsi="Times New Roman" w:cs="Times New Roman" w:eastAsia="Times New Roman" w:hint="default"/>
        </w:rPr>
        <w:t>3</w:t>
      </w:r>
      <w:r>
        <w:rPr/>
        <w:t>、费用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9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92"/>
        <w:gridCol w:w="1649"/>
        <w:gridCol w:w="1637"/>
        <w:gridCol w:w="1462"/>
        <w:gridCol w:w="2918"/>
      </w:tblGrid>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3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64"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4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569" w:right="0"/>
              <w:jc w:val="left"/>
              <w:rPr>
                <w:rFonts w:ascii="Times New Roman" w:hAnsi="Times New Roman" w:cs="Times New Roman" w:eastAsia="Times New Roman" w:hint="default"/>
                <w:sz w:val="18"/>
                <w:szCs w:val="18"/>
              </w:rPr>
            </w:pPr>
            <w:r>
              <w:rPr>
                <w:rFonts w:ascii="Times New Roman"/>
                <w:sz w:val="18"/>
              </w:rPr>
              <w:t>33,349,450.29</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70" w:right="0"/>
              <w:jc w:val="left"/>
              <w:rPr>
                <w:rFonts w:ascii="Times New Roman" w:hAnsi="Times New Roman" w:cs="Times New Roman" w:eastAsia="Times New Roman" w:hint="default"/>
                <w:sz w:val="18"/>
                <w:szCs w:val="18"/>
              </w:rPr>
            </w:pPr>
            <w:r>
              <w:rPr>
                <w:rFonts w:ascii="Times New Roman"/>
                <w:sz w:val="18"/>
              </w:rPr>
              <w:t>26,547,452.72</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25.62%</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4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569" w:right="0"/>
              <w:jc w:val="left"/>
              <w:rPr>
                <w:rFonts w:ascii="Times New Roman" w:hAnsi="Times New Roman" w:cs="Times New Roman" w:eastAsia="Times New Roman" w:hint="default"/>
                <w:sz w:val="18"/>
                <w:szCs w:val="18"/>
              </w:rPr>
            </w:pPr>
            <w:r>
              <w:rPr>
                <w:rFonts w:ascii="Times New Roman"/>
                <w:sz w:val="18"/>
              </w:rPr>
              <w:t>60,696,432.81</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70" w:right="0"/>
              <w:jc w:val="left"/>
              <w:rPr>
                <w:rFonts w:ascii="Times New Roman" w:hAnsi="Times New Roman" w:cs="Times New Roman" w:eastAsia="Times New Roman" w:hint="default"/>
                <w:sz w:val="18"/>
                <w:szCs w:val="18"/>
              </w:rPr>
            </w:pPr>
            <w:r>
              <w:rPr>
                <w:rFonts w:ascii="Times New Roman"/>
                <w:sz w:val="18"/>
              </w:rPr>
              <w:t>53,375,160.53</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13.72%</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162" w:hRule="exact"/>
        </w:trPr>
        <w:tc>
          <w:tcPr>
            <w:tcW w:w="1892" w:type="dxa"/>
            <w:tcBorders>
              <w:top w:val="single" w:sz="4" w:space="0" w:color="000000"/>
              <w:left w:val="single" w:sz="4" w:space="0" w:color="000000"/>
              <w:bottom w:val="nil" w:sz="6" w:space="0" w:color="auto"/>
              <w:right w:val="single" w:sz="4" w:space="0" w:color="000000"/>
            </w:tcBorders>
            <w:shd w:val="clear" w:color="auto" w:fill="D2D2D2"/>
          </w:tcPr>
          <w:p>
            <w:pPr/>
          </w:p>
        </w:tc>
        <w:tc>
          <w:tcPr>
            <w:tcW w:w="1649" w:type="dxa"/>
            <w:vMerge w:val="restart"/>
            <w:tcBorders>
              <w:top w:val="single" w:sz="4" w:space="0" w:color="000000"/>
              <w:left w:val="single" w:sz="10" w:space="0" w:color="D2D2D2"/>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64" w:right="0"/>
              <w:jc w:val="left"/>
              <w:rPr>
                <w:rFonts w:ascii="Times New Roman" w:hAnsi="Times New Roman" w:cs="Times New Roman" w:eastAsia="Times New Roman" w:hint="default"/>
                <w:sz w:val="18"/>
                <w:szCs w:val="18"/>
              </w:rPr>
            </w:pPr>
            <w:r>
              <w:rPr>
                <w:rFonts w:ascii="Times New Roman"/>
                <w:sz w:val="18"/>
              </w:rPr>
              <w:t>5,967,250.12</w:t>
            </w:r>
          </w:p>
        </w:tc>
        <w:tc>
          <w:tcPr>
            <w:tcW w:w="1637"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60" w:right="0"/>
              <w:jc w:val="left"/>
              <w:rPr>
                <w:rFonts w:ascii="Times New Roman" w:hAnsi="Times New Roman" w:cs="Times New Roman" w:eastAsia="Times New Roman" w:hint="default"/>
                <w:sz w:val="18"/>
                <w:szCs w:val="18"/>
              </w:rPr>
            </w:pPr>
            <w:r>
              <w:rPr>
                <w:rFonts w:ascii="Times New Roman"/>
                <w:sz w:val="18"/>
              </w:rPr>
              <w:t>1,929,777.66</w:t>
            </w:r>
          </w:p>
        </w:tc>
        <w:tc>
          <w:tcPr>
            <w:tcW w:w="14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83" w:right="0"/>
              <w:jc w:val="left"/>
              <w:rPr>
                <w:rFonts w:ascii="Times New Roman" w:hAnsi="Times New Roman" w:cs="Times New Roman" w:eastAsia="Times New Roman" w:hint="default"/>
                <w:sz w:val="18"/>
                <w:szCs w:val="18"/>
              </w:rPr>
            </w:pPr>
            <w:r>
              <w:rPr>
                <w:rFonts w:ascii="Times New Roman"/>
                <w:sz w:val="18"/>
              </w:rPr>
              <w:t>209.22%</w:t>
            </w:r>
          </w:p>
        </w:tc>
        <w:tc>
          <w:tcPr>
            <w:tcW w:w="2918" w:type="dxa"/>
            <w:vMerge w:val="restart"/>
            <w:tcBorders>
              <w:top w:val="single" w:sz="4" w:space="0" w:color="000000"/>
              <w:left w:val="single" w:sz="4" w:space="0" w:color="000000"/>
              <w:right w:val="single" w:sz="4" w:space="0" w:color="000000"/>
            </w:tcBorders>
          </w:tcPr>
          <w:p>
            <w:pPr>
              <w:pStyle w:val="TableParagraph"/>
              <w:spacing w:line="316" w:lineRule="auto" w:before="52"/>
              <w:ind w:left="22" w:right="183"/>
              <w:jc w:val="left"/>
              <w:rPr>
                <w:rFonts w:ascii="宋体" w:hAnsi="宋体" w:cs="宋体" w:eastAsia="宋体" w:hint="default"/>
                <w:sz w:val="18"/>
                <w:szCs w:val="18"/>
              </w:rPr>
            </w:pPr>
            <w:r>
              <w:rPr>
                <w:rFonts w:ascii="宋体" w:hAnsi="宋体" w:cs="宋体" w:eastAsia="宋体" w:hint="default"/>
                <w:sz w:val="18"/>
                <w:szCs w:val="18"/>
              </w:rPr>
              <w:t>本期收购奥能电源新增并购贷款所 致</w:t>
            </w:r>
          </w:p>
        </w:tc>
      </w:tr>
      <w:tr>
        <w:trPr>
          <w:trHeight w:val="391" w:hRule="exact"/>
        </w:trPr>
        <w:tc>
          <w:tcPr>
            <w:tcW w:w="18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49" w:type="dxa"/>
            <w:vMerge/>
            <w:tcBorders>
              <w:left w:val="single" w:sz="10" w:space="0" w:color="D2D2D2"/>
              <w:right w:val="single" w:sz="4" w:space="0" w:color="000000"/>
            </w:tcBorders>
          </w:tcPr>
          <w:p>
            <w:pPr/>
          </w:p>
        </w:tc>
        <w:tc>
          <w:tcPr>
            <w:tcW w:w="1637" w:type="dxa"/>
            <w:vMerge/>
            <w:tcBorders>
              <w:left w:val="single" w:sz="4" w:space="0" w:color="000000"/>
              <w:right w:val="single" w:sz="4" w:space="0" w:color="000000"/>
            </w:tcBorders>
          </w:tcPr>
          <w:p>
            <w:pPr/>
          </w:p>
        </w:tc>
        <w:tc>
          <w:tcPr>
            <w:tcW w:w="1462"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2" w:hRule="exact"/>
        </w:trPr>
        <w:tc>
          <w:tcPr>
            <w:tcW w:w="1892" w:type="dxa"/>
            <w:tcBorders>
              <w:top w:val="nil" w:sz="6" w:space="0" w:color="auto"/>
              <w:left w:val="single" w:sz="4" w:space="0" w:color="000000"/>
              <w:bottom w:val="single" w:sz="4" w:space="0" w:color="000000"/>
              <w:right w:val="single" w:sz="4" w:space="0" w:color="000000"/>
            </w:tcBorders>
            <w:shd w:val="clear" w:color="auto" w:fill="D2D2D2"/>
          </w:tcPr>
          <w:p>
            <w:pPr/>
          </w:p>
        </w:tc>
        <w:tc>
          <w:tcPr>
            <w:tcW w:w="1649" w:type="dxa"/>
            <w:vMerge/>
            <w:tcBorders>
              <w:left w:val="single" w:sz="10" w:space="0" w:color="D2D2D2"/>
              <w:bottom w:val="single" w:sz="4" w:space="0" w:color="000000"/>
              <w:right w:val="single" w:sz="4" w:space="0" w:color="000000"/>
            </w:tcBorders>
          </w:tcPr>
          <w:p>
            <w:pPr/>
          </w:p>
        </w:tc>
        <w:tc>
          <w:tcPr>
            <w:tcW w:w="1637" w:type="dxa"/>
            <w:vMerge/>
            <w:tcBorders>
              <w:left w:val="single" w:sz="4" w:space="0" w:color="000000"/>
              <w:bottom w:val="single" w:sz="4" w:space="0" w:color="000000"/>
              <w:right w:val="single" w:sz="4" w:space="0" w:color="000000"/>
            </w:tcBorders>
          </w:tcPr>
          <w:p>
            <w:pPr/>
          </w:p>
        </w:tc>
        <w:tc>
          <w:tcPr>
            <w:tcW w:w="1462"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5"/>
        <w:spacing w:line="240" w:lineRule="auto" w:before="35"/>
        <w:ind w:right="92"/>
        <w:jc w:val="left"/>
        <w:rPr>
          <w:b w:val="0"/>
          <w:bCs w:val="0"/>
        </w:rPr>
      </w:pPr>
      <w:bookmarkStart w:name="4、研发投入" w:id="36"/>
      <w:bookmarkEnd w:id="36"/>
      <w:r>
        <w:rPr>
          <w:b w:val="0"/>
          <w:bCs w:val="0"/>
        </w:rPr>
      </w:r>
      <w:r>
        <w:rPr>
          <w:rFonts w:ascii="Times New Roman" w:hAnsi="Times New Roman" w:cs="Times New Roman" w:eastAsia="Times New Roman" w:hint="default"/>
        </w:rPr>
        <w:t>4</w:t>
      </w:r>
      <w:r>
        <w:rPr/>
        <w:t>、研发投入</w:t>
      </w:r>
      <w:r>
        <w:rPr>
          <w:b w:val="0"/>
          <w:bCs w:val="0"/>
        </w:rPr>
      </w:r>
    </w:p>
    <w:p>
      <w:pPr>
        <w:spacing w:line="240" w:lineRule="auto" w:before="8"/>
        <w:rPr>
          <w:rFonts w:ascii="宋体" w:hAnsi="宋体" w:cs="宋体" w:eastAsia="宋体" w:hint="default"/>
          <w:b/>
          <w:bCs/>
          <w:sz w:val="26"/>
          <w:szCs w:val="26"/>
        </w:rPr>
      </w:pPr>
    </w:p>
    <w:p>
      <w:pPr>
        <w:pStyle w:val="BodyText"/>
        <w:spacing w:line="338" w:lineRule="auto" w:before="0"/>
        <w:ind w:right="92"/>
        <w:jc w:val="left"/>
      </w:pPr>
      <w:r>
        <w:rPr/>
        <w:t>√ 适用 □ 不适用 </w:t>
      </w:r>
      <w:r>
        <w:rPr>
          <w:spacing w:val="-2"/>
        </w:rPr>
        <w:t>杭州高新橡塑材料股份有限公司是国内最大的专业从事研发生产销售电线电缆用高分子橡塑材料厂家之一，系国家重点支持</w:t>
      </w:r>
      <w:r>
        <w:rPr>
          <w:spacing w:val="-64"/>
        </w:rPr>
        <w:t> </w:t>
      </w:r>
      <w:r>
        <w:rPr>
          <w:spacing w:val="-64"/>
        </w:rPr>
      </w:r>
      <w:r>
        <w:rPr/>
        <w:t>领域高新技术企业。</w:t>
      </w:r>
    </w:p>
    <w:p>
      <w:pPr>
        <w:pStyle w:val="BodyText"/>
        <w:spacing w:line="316" w:lineRule="auto" w:before="3"/>
        <w:ind w:right="92" w:firstLine="360"/>
        <w:jc w:val="left"/>
      </w:pPr>
      <w:r>
        <w:rPr>
          <w:spacing w:val="-2"/>
        </w:rPr>
        <w:t>公司在</w:t>
      </w:r>
      <w:r>
        <w:rPr>
          <w:rFonts w:ascii="宋体" w:hAnsi="宋体" w:cs="宋体" w:eastAsia="宋体" w:hint="default"/>
          <w:spacing w:val="-2"/>
        </w:rPr>
        <w:t>2017</w:t>
      </w:r>
      <w:r>
        <w:rPr>
          <w:spacing w:val="-2"/>
        </w:rPr>
        <w:t>年开展的科研活动有</w:t>
      </w:r>
      <w:r>
        <w:rPr>
          <w:rFonts w:ascii="宋体" w:hAnsi="宋体" w:cs="宋体" w:eastAsia="宋体" w:hint="default"/>
          <w:spacing w:val="-2"/>
        </w:rPr>
        <w:t>:</w:t>
      </w:r>
      <w:r>
        <w:rPr>
          <w:spacing w:val="-2"/>
        </w:rPr>
        <w:t>超高压电缆用高电性低烟低卤聚氯乙烯护套料、高阻燃耐油低烟低卤聚氯乙烯护套料、</w:t>
      </w:r>
      <w:r>
        <w:rPr/>
        <w:t> 通讯电缆用</w:t>
      </w:r>
      <w:r>
        <w:rPr>
          <w:rFonts w:ascii="宋体" w:hAnsi="宋体" w:cs="宋体" w:eastAsia="宋体" w:hint="default"/>
        </w:rPr>
        <w:t>CMR</w:t>
      </w:r>
      <w:r>
        <w:rPr/>
        <w:t>级聚氯乙烯护套料、架空电缆用辐照交联聚乙烯绝缘料、耐低温防紫外线阻燃聚乙烯护套料、低回缩一步法</w:t>
      </w:r>
      <w:r>
        <w:rPr>
          <w:spacing w:val="-82"/>
        </w:rPr>
        <w:t> </w:t>
      </w:r>
      <w:r>
        <w:rPr>
          <w:spacing w:val="-82"/>
        </w:rPr>
      </w:r>
      <w:r>
        <w:rPr>
          <w:spacing w:val="-2"/>
        </w:rPr>
        <w:t>硅烷交联聚乙烯绝缘料、辐照交联双耐油无卤低烟聚烯烃绝缘料、辐照交联双耐油无卤低烟聚烯烃护套料、</w:t>
      </w:r>
      <w:r>
        <w:rPr>
          <w:rFonts w:ascii="宋体" w:hAnsi="宋体" w:cs="宋体" w:eastAsia="宋体" w:hint="default"/>
          <w:spacing w:val="-2"/>
        </w:rPr>
        <w:t>70</w:t>
      </w:r>
      <w:r>
        <w:rPr>
          <w:spacing w:val="-2"/>
        </w:rPr>
        <w:t>年使用寿命无</w:t>
      </w:r>
      <w:r>
        <w:rPr>
          <w:spacing w:val="-63"/>
        </w:rPr>
        <w:t> </w:t>
      </w:r>
      <w:r>
        <w:rPr>
          <w:spacing w:val="-2"/>
        </w:rPr>
        <w:t>卤低烟辐照交联聚烯烃绝缘料、充电桩用</w:t>
      </w:r>
      <w:r>
        <w:rPr>
          <w:rFonts w:ascii="宋体" w:hAnsi="宋体" w:cs="宋体" w:eastAsia="宋体" w:hint="default"/>
          <w:spacing w:val="-2"/>
        </w:rPr>
        <w:t>TPE</w:t>
      </w:r>
      <w:r>
        <w:rPr>
          <w:spacing w:val="-2"/>
        </w:rPr>
        <w:t>弹性体无卤低烟绝缘料、充电桩用</w:t>
      </w:r>
      <w:r>
        <w:rPr>
          <w:rFonts w:ascii="宋体" w:hAnsi="宋体" w:cs="宋体" w:eastAsia="宋体" w:hint="default"/>
          <w:spacing w:val="-2"/>
        </w:rPr>
        <w:t>TPE</w:t>
      </w:r>
      <w:r>
        <w:rPr>
          <w:spacing w:val="-2"/>
        </w:rPr>
        <w:t>弹性体无卤低烟护套料、耐油型阻燃乙丙</w:t>
      </w:r>
      <w:r>
        <w:rPr>
          <w:spacing w:val="-60"/>
        </w:rPr>
        <w:t> </w:t>
      </w:r>
      <w:r>
        <w:rPr>
          <w:spacing w:val="-60"/>
        </w:rPr>
      </w:r>
      <w:r>
        <w:rPr/>
        <w:t>橡胶绝缘料、核电站用辐照交联体系电缆料等</w:t>
      </w:r>
      <w:r>
        <w:rPr>
          <w:rFonts w:ascii="宋体" w:hAnsi="宋体" w:cs="宋体" w:eastAsia="宋体" w:hint="default"/>
        </w:rPr>
        <w:t>13</w:t>
      </w:r>
      <w:r>
        <w:rPr/>
        <w:t>项。</w:t>
      </w:r>
    </w:p>
    <w:p>
      <w:pPr>
        <w:pStyle w:val="BodyText"/>
        <w:spacing w:line="240" w:lineRule="auto" w:before="59"/>
        <w:ind w:right="92"/>
        <w:jc w:val="left"/>
      </w:pPr>
      <w:r>
        <w:rPr/>
        <w:t>近三年公司研发投入金额及占营业收入的比例</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69"/>
        <w:gridCol w:w="2405"/>
        <w:gridCol w:w="2392"/>
        <w:gridCol w:w="2392"/>
      </w:tblGrid>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18.71%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15.97%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14.64%</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35,049,291.30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36,741,366.25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28,540,877.29</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5.38%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5.26%</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研发支出资本化的金额（元）</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86"/>
              <w:jc w:val="left"/>
              <w:rPr>
                <w:rFonts w:ascii="宋体" w:hAnsi="宋体" w:cs="宋体" w:eastAsia="宋体" w:hint="default"/>
                <w:sz w:val="18"/>
                <w:szCs w:val="18"/>
              </w:rPr>
            </w:pPr>
            <w:r>
              <w:rPr>
                <w:rFonts w:ascii="宋体" w:hAnsi="宋体" w:cs="宋体" w:eastAsia="宋体" w:hint="default"/>
                <w:sz w:val="18"/>
                <w:szCs w:val="18"/>
              </w:rPr>
              <w:t>资本化研发支出占研发投入 的比例</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86"/>
              <w:jc w:val="left"/>
              <w:rPr>
                <w:rFonts w:ascii="宋体" w:hAnsi="宋体" w:cs="宋体" w:eastAsia="宋体" w:hint="default"/>
                <w:sz w:val="18"/>
                <w:szCs w:val="18"/>
              </w:rPr>
            </w:pPr>
            <w:r>
              <w:rPr>
                <w:rFonts w:ascii="宋体" w:hAnsi="宋体" w:cs="宋体" w:eastAsia="宋体" w:hint="default"/>
                <w:sz w:val="18"/>
                <w:szCs w:val="18"/>
              </w:rPr>
              <w:t>资本化研发支出占当期净利 润的比重</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right="92"/>
        <w:jc w:val="left"/>
      </w:pPr>
      <w:r>
        <w:rPr/>
        <w:t>研发投入总额占营业收入的比重较上年发生显著变化的原因</w:t>
      </w:r>
    </w:p>
    <w:p>
      <w:pPr>
        <w:pStyle w:val="BodyText"/>
        <w:spacing w:line="338" w:lineRule="auto" w:before="117"/>
        <w:ind w:right="585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研发投入资本化率大幅变动的原因及其合理性说明</w:t>
      </w:r>
    </w:p>
    <w:p>
      <w:pPr>
        <w:spacing w:after="0" w:line="338" w:lineRule="auto"/>
        <w:jc w:val="left"/>
        <w:sectPr>
          <w:pgSz w:w="11910" w:h="16840"/>
          <w:pgMar w:header="747" w:footer="979" w:top="1060" w:bottom="1160" w:left="980" w:right="940"/>
        </w:sectPr>
      </w:pPr>
    </w:p>
    <w:p>
      <w:pPr>
        <w:spacing w:line="240" w:lineRule="auto" w:before="13"/>
        <w:rPr>
          <w:rFonts w:ascii="宋体" w:hAnsi="宋体" w:cs="宋体" w:eastAsia="宋体" w:hint="default"/>
          <w:sz w:val="25"/>
          <w:szCs w:val="25"/>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5"/>
        <w:spacing w:line="240" w:lineRule="auto"/>
        <w:ind w:right="0"/>
        <w:jc w:val="left"/>
        <w:rPr>
          <w:b w:val="0"/>
          <w:bCs w:val="0"/>
        </w:rPr>
      </w:pPr>
      <w:bookmarkStart w:name="5、现金流" w:id="37"/>
      <w:bookmarkEnd w:id="37"/>
      <w:r>
        <w:rPr>
          <w:b w:val="0"/>
          <w:bCs w:val="0"/>
        </w:rPr>
      </w:r>
      <w:r>
        <w:rPr>
          <w:rFonts w:ascii="Times New Roman" w:hAnsi="Times New Roman" w:cs="Times New Roman" w:eastAsia="Times New Roman" w:hint="default"/>
        </w:rPr>
        <w:t>5</w:t>
      </w:r>
      <w:r>
        <w:rPr/>
        <w:t>、现金流</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5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369"/>
        <w:gridCol w:w="2405"/>
        <w:gridCol w:w="2392"/>
        <w:gridCol w:w="2392"/>
      </w:tblGrid>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339,503,800.17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280,987,598.63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20.83%</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328,089,125.74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237,418,762.56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38.19%</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86"/>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11,414,674.43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43,568,836.07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-73.80%</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2,553,800.00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2,531,147.79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0.89%</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287,050,620.76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32,593,833.93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780.69%</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86"/>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-284,496,820.76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-30,062,686.14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846.35%</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453,300,000.00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85,000,000.00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433.29%</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221,051,369.89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114,535,862.19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93.00%</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86"/>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232,248,630.11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-29,535,862.19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-886.33%</w:t>
            </w:r>
            <w:r>
              <w:rPr>
                <w:rFonts w:ascii="Times New Roman"/>
                <w:sz w:val="18"/>
              </w:rPr>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-40,833,517.66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-16,029,710.67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154.74%</w:t>
            </w:r>
          </w:p>
        </w:tc>
      </w:tr>
    </w:tbl>
    <w:p>
      <w:pPr>
        <w:pStyle w:val="BodyText"/>
        <w:spacing w:line="240" w:lineRule="auto" w:before="51"/>
        <w:ind w:right="0"/>
        <w:jc w:val="left"/>
      </w:pPr>
      <w:r>
        <w:rPr/>
        <w:t>相关数据同比发生重大变动的主要影响因素说明</w:t>
      </w:r>
    </w:p>
    <w:p>
      <w:pPr>
        <w:pStyle w:val="BodyText"/>
        <w:spacing w:line="240" w:lineRule="auto" w:before="116"/>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Heading6"/>
        <w:spacing w:line="256" w:lineRule="auto" w:before="77"/>
        <w:ind w:right="0" w:firstLine="420"/>
        <w:jc w:val="left"/>
      </w:pPr>
      <w:r>
        <w:rPr>
          <w:spacing w:val="-6"/>
        </w:rPr>
        <w:t>（</w:t>
      </w:r>
      <w:r>
        <w:rPr>
          <w:rFonts w:ascii="Times New Roman" w:hAnsi="Times New Roman" w:cs="Times New Roman" w:eastAsia="Times New Roman" w:hint="default"/>
          <w:spacing w:val="-6"/>
        </w:rPr>
        <w:t>1</w:t>
      </w:r>
      <w:r>
        <w:rPr>
          <w:spacing w:val="-6"/>
        </w:rPr>
        <w:t>）报告期经营活动产生的现金流量净额</w:t>
      </w:r>
      <w:r>
        <w:rPr>
          <w:rFonts w:ascii="Times New Roman" w:hAnsi="Times New Roman" w:cs="Times New Roman" w:eastAsia="Times New Roman" w:hint="default"/>
          <w:spacing w:val="-6"/>
        </w:rPr>
        <w:t>1141.47</w:t>
      </w:r>
      <w:r>
        <w:rPr>
          <w:spacing w:val="-6"/>
        </w:rPr>
        <w:t>万元，较上年</w:t>
      </w:r>
      <w:r>
        <w:rPr>
          <w:rFonts w:ascii="Times New Roman" w:hAnsi="Times New Roman" w:cs="Times New Roman" w:eastAsia="Times New Roman" w:hint="default"/>
          <w:spacing w:val="-6"/>
        </w:rPr>
        <w:t>4356.88</w:t>
      </w:r>
      <w:r>
        <w:rPr>
          <w:spacing w:val="-6"/>
        </w:rPr>
        <w:t>万元减少</w:t>
      </w:r>
      <w:r>
        <w:rPr>
          <w:rFonts w:ascii="Times New Roman" w:hAnsi="Times New Roman" w:cs="Times New Roman" w:eastAsia="Times New Roman" w:hint="default"/>
          <w:spacing w:val="-6"/>
        </w:rPr>
        <w:t>73.80%</w:t>
      </w:r>
      <w:r>
        <w:rPr>
          <w:spacing w:val="-6"/>
        </w:rPr>
        <w:t>，减少额</w:t>
      </w:r>
      <w:r>
        <w:rPr>
          <w:rFonts w:ascii="Times New Roman" w:hAnsi="Times New Roman" w:cs="Times New Roman" w:eastAsia="Times New Roman" w:hint="default"/>
          <w:spacing w:val="-6"/>
        </w:rPr>
        <w:t>3215.42</w:t>
      </w:r>
      <w:r>
        <w:rPr>
          <w:rFonts w:ascii="Times New Roman" w:hAnsi="Times New Roman" w:cs="Times New Roman" w:eastAsia="Times New Roman" w:hint="default"/>
        </w:rPr>
        <w:t> </w:t>
      </w:r>
      <w:r>
        <w:rPr/>
        <w:t>万元，主要是本期购买商品、接受劳务支付的现金增加所致；</w:t>
      </w:r>
    </w:p>
    <w:p>
      <w:pPr>
        <w:pStyle w:val="Heading6"/>
        <w:spacing w:line="240" w:lineRule="auto" w:before="142"/>
        <w:ind w:left="574" w:right="0"/>
        <w:jc w:val="left"/>
      </w:pPr>
      <w:r>
        <w:rPr/>
        <w:t>（</w:t>
      </w:r>
      <w:r>
        <w:rPr>
          <w:rFonts w:ascii="Times New Roman" w:hAnsi="Times New Roman" w:cs="Times New Roman" w:eastAsia="Times New Roman" w:hint="default"/>
        </w:rPr>
        <w:t>2</w:t>
      </w:r>
      <w:r>
        <w:rPr/>
        <w:t>）报告期投资活动产生的现金流量净额</w:t>
      </w:r>
      <w:r>
        <w:rPr>
          <w:rFonts w:ascii="Times New Roman" w:hAnsi="Times New Roman" w:cs="Times New Roman" w:eastAsia="Times New Roman" w:hint="default"/>
        </w:rPr>
        <w:t>-28449.68</w:t>
      </w:r>
      <w:r>
        <w:rPr/>
        <w:t>万元，较上年</w:t>
      </w:r>
      <w:r>
        <w:rPr>
          <w:rFonts w:ascii="Times New Roman" w:hAnsi="Times New Roman" w:cs="Times New Roman" w:eastAsia="Times New Roman" w:hint="default"/>
        </w:rPr>
        <w:t>-3006.27</w:t>
      </w:r>
      <w:r>
        <w:rPr/>
        <w:t>万元增加</w:t>
      </w:r>
      <w:r>
        <w:rPr>
          <w:rFonts w:ascii="Times New Roman" w:hAnsi="Times New Roman" w:cs="Times New Roman" w:eastAsia="Times New Roman" w:hint="default"/>
        </w:rPr>
        <w:t>846.35%</w:t>
      </w:r>
      <w:r>
        <w:rPr/>
        <w:t>，增加额</w:t>
      </w:r>
    </w:p>
    <w:p>
      <w:pPr>
        <w:pStyle w:val="Heading6"/>
        <w:spacing w:line="240" w:lineRule="auto" w:before="21"/>
        <w:ind w:right="0"/>
        <w:jc w:val="left"/>
      </w:pPr>
      <w:r>
        <w:rPr>
          <w:rFonts w:ascii="Times New Roman" w:hAnsi="Times New Roman" w:cs="Times New Roman" w:eastAsia="Times New Roman" w:hint="default"/>
        </w:rPr>
        <w:t>25443.41</w:t>
      </w:r>
      <w:r>
        <w:rPr/>
        <w:t>万元，主要是本期取得子公司及其他营业单位支付的现金净额增加所致；</w:t>
      </w:r>
    </w:p>
    <w:p>
      <w:pPr>
        <w:pStyle w:val="Heading6"/>
        <w:spacing w:line="240" w:lineRule="auto" w:before="141"/>
        <w:ind w:left="574" w:right="0"/>
        <w:jc w:val="left"/>
      </w:pPr>
      <w:r>
        <w:rPr/>
        <w:t>（</w:t>
      </w:r>
      <w:r>
        <w:rPr>
          <w:rFonts w:ascii="Times New Roman" w:hAnsi="Times New Roman" w:cs="Times New Roman" w:eastAsia="Times New Roman" w:hint="default"/>
        </w:rPr>
        <w:t>3</w:t>
      </w:r>
      <w:r>
        <w:rPr/>
        <w:t>）报告期筹资活动产生的现金流量净额</w:t>
      </w:r>
      <w:r>
        <w:rPr>
          <w:rFonts w:ascii="Times New Roman" w:hAnsi="Times New Roman" w:cs="Times New Roman" w:eastAsia="Times New Roman" w:hint="default"/>
        </w:rPr>
        <w:t>23224.86</w:t>
      </w:r>
      <w:r>
        <w:rPr/>
        <w:t>万元，较上年</w:t>
      </w:r>
      <w:r>
        <w:rPr>
          <w:rFonts w:ascii="Times New Roman" w:hAnsi="Times New Roman" w:cs="Times New Roman" w:eastAsia="Times New Roman" w:hint="default"/>
        </w:rPr>
        <w:t>-2953.59</w:t>
      </w:r>
      <w:r>
        <w:rPr/>
        <w:t>万元减少</w:t>
      </w:r>
      <w:r>
        <w:rPr>
          <w:rFonts w:ascii="Times New Roman" w:hAnsi="Times New Roman" w:cs="Times New Roman" w:eastAsia="Times New Roman" w:hint="default"/>
        </w:rPr>
        <w:t>886.33%</w:t>
      </w:r>
      <w:r>
        <w:rPr/>
        <w:t>，减少额</w:t>
      </w:r>
    </w:p>
    <w:p>
      <w:pPr>
        <w:pStyle w:val="Heading6"/>
        <w:spacing w:line="240" w:lineRule="auto" w:before="21"/>
        <w:ind w:right="0"/>
        <w:jc w:val="left"/>
      </w:pPr>
      <w:r>
        <w:rPr>
          <w:rFonts w:ascii="Times New Roman" w:hAnsi="Times New Roman" w:cs="Times New Roman" w:eastAsia="Times New Roman" w:hint="default"/>
        </w:rPr>
        <w:t>26178.45</w:t>
      </w:r>
      <w:r>
        <w:rPr/>
        <w:t>万元，主要是取得借款收到的现金和子公司吸收少数股东投资收到的现金增加所致；</w:t>
      </w:r>
    </w:p>
    <w:p>
      <w:pPr>
        <w:pStyle w:val="BodyText"/>
        <w:spacing w:line="240" w:lineRule="auto" w:before="168"/>
        <w:ind w:right="0"/>
        <w:jc w:val="left"/>
      </w:pPr>
      <w:r>
        <w:rPr/>
        <w:t>报告期内公司经营活动产生的现金净流量与本年度净利润存在重大差异的原因说明</w:t>
      </w:r>
    </w:p>
    <w:p>
      <w:pPr>
        <w:pStyle w:val="BodyText"/>
        <w:spacing w:line="240" w:lineRule="auto" w:before="116"/>
        <w:ind w:right="0"/>
        <w:jc w:val="left"/>
      </w:pPr>
      <w:r>
        <w:rPr/>
        <w:t>□ 适用 √ 不适用</w:t>
      </w:r>
    </w:p>
    <w:p>
      <w:pPr>
        <w:spacing w:line="240" w:lineRule="auto" w:before="13"/>
        <w:rPr>
          <w:rFonts w:ascii="宋体" w:hAnsi="宋体" w:cs="宋体" w:eastAsia="宋体" w:hint="default"/>
          <w:sz w:val="24"/>
          <w:szCs w:val="24"/>
        </w:rPr>
      </w:pPr>
    </w:p>
    <w:p>
      <w:pPr>
        <w:pStyle w:val="Heading2"/>
        <w:spacing w:line="240" w:lineRule="auto"/>
        <w:ind w:right="0"/>
        <w:jc w:val="left"/>
        <w:rPr>
          <w:b w:val="0"/>
          <w:bCs w:val="0"/>
        </w:rPr>
      </w:pPr>
      <w:bookmarkStart w:name="三、非主营业务情况" w:id="38"/>
      <w:bookmarkEnd w:id="38"/>
      <w:r>
        <w:rPr>
          <w:b w:val="0"/>
          <w:bCs w:val="0"/>
        </w:rPr>
      </w:r>
      <w:r>
        <w:rPr/>
        <w:t>三、非主营业务情况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right="0"/>
        <w:jc w:val="left"/>
      </w:pPr>
      <w:r>
        <w:rPr/>
        <w:t>√ 适用 □ 不适用</w:t>
      </w:r>
    </w:p>
    <w:p>
      <w:pPr>
        <w:pStyle w:val="BodyText"/>
        <w:spacing w:line="240" w:lineRule="auto" w:before="116"/>
        <w:ind w:left="0" w:right="15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500"/>
        <w:gridCol w:w="1928"/>
        <w:gridCol w:w="1623"/>
        <w:gridCol w:w="2166"/>
        <w:gridCol w:w="2340"/>
      </w:tblGrid>
      <w:tr>
        <w:trPr>
          <w:trHeight w:val="402" w:hRule="exact"/>
        </w:trPr>
        <w:tc>
          <w:tcPr>
            <w:tcW w:w="15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76" w:right="0"/>
              <w:jc w:val="left"/>
              <w:rPr>
                <w:rFonts w:ascii="宋体" w:hAnsi="宋体" w:cs="宋体" w:eastAsia="宋体" w:hint="default"/>
                <w:sz w:val="18"/>
                <w:szCs w:val="18"/>
              </w:rPr>
            </w:pPr>
            <w:r>
              <w:rPr>
                <w:rFonts w:ascii="宋体" w:hAnsi="宋体" w:cs="宋体" w:eastAsia="宋体" w:hint="default"/>
                <w:sz w:val="18"/>
                <w:szCs w:val="18"/>
              </w:rPr>
              <w:t>占利润总额比例</w:t>
            </w:r>
          </w:p>
        </w:tc>
        <w:tc>
          <w:tcPr>
            <w:tcW w:w="2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38" w:right="0"/>
              <w:jc w:val="left"/>
              <w:rPr>
                <w:rFonts w:ascii="宋体" w:hAnsi="宋体" w:cs="宋体" w:eastAsia="宋体" w:hint="default"/>
                <w:sz w:val="18"/>
                <w:szCs w:val="18"/>
              </w:rPr>
            </w:pPr>
            <w:r>
              <w:rPr>
                <w:rFonts w:ascii="宋体" w:hAnsi="宋体" w:cs="宋体" w:eastAsia="宋体" w:hint="default"/>
                <w:sz w:val="18"/>
                <w:szCs w:val="18"/>
              </w:rPr>
              <w:t>形成原因说明</w:t>
            </w:r>
          </w:p>
        </w:tc>
        <w:tc>
          <w:tcPr>
            <w:tcW w:w="23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45" w:right="0"/>
              <w:jc w:val="left"/>
              <w:rPr>
                <w:rFonts w:ascii="宋体" w:hAnsi="宋体" w:cs="宋体" w:eastAsia="宋体" w:hint="default"/>
                <w:sz w:val="18"/>
                <w:szCs w:val="18"/>
              </w:rPr>
            </w:pPr>
            <w:r>
              <w:rPr>
                <w:rFonts w:ascii="宋体" w:hAnsi="宋体" w:cs="宋体" w:eastAsia="宋体" w:hint="default"/>
                <w:sz w:val="18"/>
                <w:szCs w:val="18"/>
              </w:rPr>
              <w:t>是否具有可持续性</w:t>
            </w:r>
          </w:p>
        </w:tc>
      </w:tr>
      <w:tr>
        <w:trPr>
          <w:trHeight w:val="317" w:hRule="exact"/>
        </w:trPr>
        <w:tc>
          <w:tcPr>
            <w:tcW w:w="1500" w:type="dxa"/>
            <w:tcBorders>
              <w:top w:val="single" w:sz="4" w:space="0" w:color="000000"/>
              <w:left w:val="single" w:sz="4" w:space="0" w:color="000000"/>
              <w:bottom w:val="nil" w:sz="6" w:space="0" w:color="auto"/>
              <w:right w:val="single" w:sz="4" w:space="0" w:color="000000"/>
            </w:tcBorders>
            <w:shd w:val="clear" w:color="auto" w:fill="D2D2D2"/>
          </w:tcPr>
          <w:p>
            <w:pPr/>
          </w:p>
        </w:tc>
        <w:tc>
          <w:tcPr>
            <w:tcW w:w="1928"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943" w:right="0"/>
              <w:jc w:val="left"/>
              <w:rPr>
                <w:rFonts w:ascii="Times New Roman" w:hAnsi="Times New Roman" w:cs="Times New Roman" w:eastAsia="Times New Roman" w:hint="default"/>
                <w:sz w:val="18"/>
                <w:szCs w:val="18"/>
              </w:rPr>
            </w:pPr>
            <w:r>
              <w:rPr>
                <w:rFonts w:ascii="Times New Roman"/>
                <w:sz w:val="18"/>
              </w:rPr>
              <w:t>4,250,374.12</w:t>
            </w:r>
          </w:p>
        </w:tc>
        <w:tc>
          <w:tcPr>
            <w:tcW w:w="162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8.96%</w:t>
            </w:r>
          </w:p>
        </w:tc>
        <w:tc>
          <w:tcPr>
            <w:tcW w:w="2166" w:type="dxa"/>
            <w:vMerge w:val="restart"/>
            <w:tcBorders>
              <w:top w:val="single" w:sz="4" w:space="0" w:color="000000"/>
              <w:left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本报告期计提坏账准备</w:t>
            </w:r>
          </w:p>
          <w:p>
            <w:pPr>
              <w:pStyle w:val="TableParagraph"/>
              <w:spacing w:line="240" w:lineRule="auto" w:before="7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4,247,874.77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元及存货跌价</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损失</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2,499.35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tc>
        <w:tc>
          <w:tcPr>
            <w:tcW w:w="234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92" w:hRule="exact"/>
        </w:trPr>
        <w:tc>
          <w:tcPr>
            <w:tcW w:w="150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资产减值</w:t>
            </w:r>
          </w:p>
        </w:tc>
        <w:tc>
          <w:tcPr>
            <w:tcW w:w="1928" w:type="dxa"/>
            <w:vMerge/>
            <w:tcBorders>
              <w:left w:val="single" w:sz="9" w:space="0" w:color="D2D2D2"/>
              <w:right w:val="single" w:sz="4" w:space="0" w:color="000000"/>
            </w:tcBorders>
          </w:tcPr>
          <w:p>
            <w:pPr/>
          </w:p>
        </w:tc>
        <w:tc>
          <w:tcPr>
            <w:tcW w:w="1623" w:type="dxa"/>
            <w:vMerge/>
            <w:tcBorders>
              <w:left w:val="single" w:sz="4" w:space="0" w:color="000000"/>
              <w:right w:val="single" w:sz="4" w:space="0" w:color="000000"/>
            </w:tcBorders>
          </w:tcPr>
          <w:p>
            <w:pPr/>
          </w:p>
        </w:tc>
        <w:tc>
          <w:tcPr>
            <w:tcW w:w="2166" w:type="dxa"/>
            <w:vMerge/>
            <w:tcBorders>
              <w:left w:val="single" w:sz="4" w:space="0" w:color="000000"/>
              <w:right w:val="single" w:sz="4" w:space="0" w:color="000000"/>
            </w:tcBorders>
          </w:tcPr>
          <w:p>
            <w:pPr/>
          </w:p>
        </w:tc>
        <w:tc>
          <w:tcPr>
            <w:tcW w:w="2340" w:type="dxa"/>
            <w:vMerge/>
            <w:tcBorders>
              <w:left w:val="single" w:sz="4" w:space="0" w:color="000000"/>
              <w:right w:val="single" w:sz="4" w:space="0" w:color="000000"/>
            </w:tcBorders>
          </w:tcPr>
          <w:p>
            <w:pPr/>
          </w:p>
        </w:tc>
      </w:tr>
      <w:tr>
        <w:trPr>
          <w:trHeight w:val="317" w:hRule="exact"/>
        </w:trPr>
        <w:tc>
          <w:tcPr>
            <w:tcW w:w="1500"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8" w:type="dxa"/>
            <w:vMerge/>
            <w:tcBorders>
              <w:left w:val="single" w:sz="9" w:space="0" w:color="D2D2D2"/>
              <w:bottom w:val="single" w:sz="4" w:space="0" w:color="000000"/>
              <w:right w:val="single" w:sz="4" w:space="0" w:color="000000"/>
            </w:tcBorders>
          </w:tcPr>
          <w:p>
            <w:pPr/>
          </w:p>
        </w:tc>
        <w:tc>
          <w:tcPr>
            <w:tcW w:w="1623" w:type="dxa"/>
            <w:vMerge/>
            <w:tcBorders>
              <w:left w:val="single" w:sz="4" w:space="0" w:color="000000"/>
              <w:bottom w:val="single" w:sz="4" w:space="0" w:color="000000"/>
              <w:right w:val="single" w:sz="4" w:space="0" w:color="000000"/>
            </w:tcBorders>
          </w:tcPr>
          <w:p>
            <w:pPr/>
          </w:p>
        </w:tc>
        <w:tc>
          <w:tcPr>
            <w:tcW w:w="2166" w:type="dxa"/>
            <w:vMerge/>
            <w:tcBorders>
              <w:left w:val="single" w:sz="4" w:space="0" w:color="000000"/>
              <w:bottom w:val="single" w:sz="4" w:space="0" w:color="000000"/>
              <w:right w:val="single" w:sz="4" w:space="0" w:color="000000"/>
            </w:tcBorders>
          </w:tcPr>
          <w:p>
            <w:pPr/>
          </w:p>
        </w:tc>
        <w:tc>
          <w:tcPr>
            <w:tcW w:w="2340"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23"/>
        <w:gridCol w:w="1916"/>
        <w:gridCol w:w="1623"/>
        <w:gridCol w:w="2166"/>
        <w:gridCol w:w="2340"/>
      </w:tblGrid>
      <w:tr>
        <w:trPr>
          <w:trHeight w:val="714" w:hRule="exact"/>
        </w:trPr>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148,448.65</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0.31%</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50"/>
              <w:jc w:val="left"/>
              <w:rPr>
                <w:rFonts w:ascii="宋体" w:hAnsi="宋体" w:cs="宋体" w:eastAsia="宋体" w:hint="default"/>
                <w:sz w:val="18"/>
                <w:szCs w:val="18"/>
              </w:rPr>
            </w:pPr>
            <w:r>
              <w:rPr>
                <w:rFonts w:ascii="宋体" w:hAnsi="宋体" w:cs="宋体" w:eastAsia="宋体" w:hint="default"/>
                <w:sz w:val="18"/>
                <w:szCs w:val="18"/>
              </w:rPr>
              <w:t>本报告期收到政府补助及 其他</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148,448.65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97,776.38</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0.21%</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本报告期发生对外捐赠</w:t>
            </w:r>
          </w:p>
          <w:p>
            <w:pPr>
              <w:pStyle w:val="TableParagraph"/>
              <w:spacing w:line="240" w:lineRule="auto" w:before="77"/>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13000</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元及其他</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84776.38</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元</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3,026,655.66</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6.38%</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本报告期收到税费返还</w:t>
            </w:r>
          </w:p>
          <w:p>
            <w:pPr>
              <w:pStyle w:val="TableParagraph"/>
              <w:spacing w:line="240" w:lineRule="auto" w:before="7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2,858,335.66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元及其他政府</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补助</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168,320.00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bookmarkStart w:name="四、资产及负债状况" w:id="39"/>
      <w:bookmarkEnd w:id="39"/>
      <w:r>
        <w:rPr>
          <w:b w:val="0"/>
          <w:bCs w:val="0"/>
        </w:rPr>
      </w:r>
      <w:r>
        <w:rPr/>
        <w:t>四、资产及负债状况</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bookmarkStart w:name="1、资产构成重大变动情况" w:id="40"/>
      <w:bookmarkEnd w:id="40"/>
      <w:r>
        <w:rPr>
          <w:b w:val="0"/>
          <w:bCs w:val="0"/>
        </w:rPr>
      </w:r>
      <w:r>
        <w:rPr>
          <w:rFonts w:ascii="Times New Roman" w:hAnsi="Times New Roman" w:cs="Times New Roman" w:eastAsia="Times New Roman" w:hint="default"/>
        </w:rPr>
        <w:t>1</w:t>
      </w:r>
      <w:r>
        <w:rPr/>
        <w:t>、资产构成重大变动情况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57"/>
        <w:gridCol w:w="1164"/>
        <w:gridCol w:w="1063"/>
        <w:gridCol w:w="1196"/>
        <w:gridCol w:w="1063"/>
        <w:gridCol w:w="798"/>
        <w:gridCol w:w="2918"/>
      </w:tblGrid>
      <w:tr>
        <w:trPr>
          <w:trHeight w:val="380" w:hRule="exact"/>
        </w:trPr>
        <w:tc>
          <w:tcPr>
            <w:tcW w:w="1357" w:type="dxa"/>
            <w:tcBorders>
              <w:top w:val="single" w:sz="4" w:space="0" w:color="000000"/>
              <w:left w:val="single" w:sz="4" w:space="0" w:color="000000"/>
              <w:bottom w:val="single" w:sz="14" w:space="0" w:color="FFFFFF"/>
              <w:right w:val="single" w:sz="4" w:space="0" w:color="000000"/>
            </w:tcBorders>
            <w:shd w:val="clear" w:color="auto" w:fill="D2D2D2"/>
          </w:tcPr>
          <w:p>
            <w:pPr/>
          </w:p>
        </w:tc>
        <w:tc>
          <w:tcPr>
            <w:tcW w:w="2227" w:type="dxa"/>
            <w:gridSpan w:val="2"/>
            <w:tcBorders>
              <w:top w:val="single" w:sz="4" w:space="0" w:color="000000"/>
              <w:left w:val="single" w:sz="4" w:space="0" w:color="000000"/>
              <w:bottom w:val="single" w:sz="14" w:space="0" w:color="FFFFFF"/>
              <w:right w:val="single" w:sz="4" w:space="0" w:color="000000"/>
            </w:tcBorders>
            <w:shd w:val="clear" w:color="auto" w:fill="D2D2D2"/>
          </w:tcPr>
          <w:p>
            <w:pPr>
              <w:pStyle w:val="TableParagraph"/>
              <w:spacing w:line="240" w:lineRule="auto" w:before="51"/>
              <w:ind w:left="7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259" w:type="dxa"/>
            <w:gridSpan w:val="2"/>
            <w:tcBorders>
              <w:top w:val="single" w:sz="4" w:space="0" w:color="000000"/>
              <w:left w:val="single" w:sz="4" w:space="0" w:color="000000"/>
              <w:bottom w:val="single" w:sz="14" w:space="0" w:color="FFFFFF"/>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798" w:type="dxa"/>
            <w:tcBorders>
              <w:top w:val="single" w:sz="4" w:space="0" w:color="000000"/>
              <w:left w:val="single" w:sz="4" w:space="0" w:color="000000"/>
              <w:bottom w:val="single" w:sz="14" w:space="0" w:color="FFFFFF"/>
              <w:right w:val="single" w:sz="4" w:space="0" w:color="000000"/>
            </w:tcBorders>
            <w:shd w:val="clear" w:color="auto" w:fill="D2D2D2"/>
          </w:tcPr>
          <w:p>
            <w:pPr/>
          </w:p>
        </w:tc>
        <w:tc>
          <w:tcPr>
            <w:tcW w:w="2918" w:type="dxa"/>
            <w:tcBorders>
              <w:top w:val="single" w:sz="4" w:space="0" w:color="000000"/>
              <w:left w:val="single" w:sz="4" w:space="0" w:color="000000"/>
              <w:bottom w:val="single" w:sz="14" w:space="0" w:color="FFFFFF"/>
              <w:right w:val="single" w:sz="4" w:space="0" w:color="000000"/>
            </w:tcBorders>
            <w:shd w:val="clear" w:color="auto" w:fill="D2D2D2"/>
          </w:tcPr>
          <w:p>
            <w:pPr/>
          </w:p>
        </w:tc>
      </w:tr>
      <w:tr>
        <w:trPr>
          <w:trHeight w:val="183" w:hRule="exact"/>
        </w:trPr>
        <w:tc>
          <w:tcPr>
            <w:tcW w:w="1357" w:type="dxa"/>
            <w:vMerge w:val="restart"/>
            <w:tcBorders>
              <w:top w:val="single" w:sz="14" w:space="0" w:color="FFFFFF"/>
              <w:left w:val="single" w:sz="4" w:space="0" w:color="000000"/>
              <w:right w:val="single" w:sz="4" w:space="0" w:color="000000"/>
            </w:tcBorders>
            <w:shd w:val="clear" w:color="auto" w:fill="D2D2D2"/>
          </w:tcPr>
          <w:p>
            <w:pPr/>
          </w:p>
        </w:tc>
        <w:tc>
          <w:tcPr>
            <w:tcW w:w="1164" w:type="dxa"/>
            <w:tcBorders>
              <w:top w:val="single" w:sz="14" w:space="0" w:color="FFFFFF"/>
              <w:left w:val="single" w:sz="4" w:space="0" w:color="000000"/>
              <w:bottom w:val="nil" w:sz="6" w:space="0" w:color="auto"/>
              <w:right w:val="single" w:sz="4" w:space="0" w:color="000000"/>
            </w:tcBorders>
            <w:shd w:val="clear" w:color="auto" w:fill="D2D2D2"/>
          </w:tcPr>
          <w:p>
            <w:pPr/>
          </w:p>
        </w:tc>
        <w:tc>
          <w:tcPr>
            <w:tcW w:w="1063" w:type="dxa"/>
            <w:vMerge w:val="restart"/>
            <w:tcBorders>
              <w:top w:val="single" w:sz="14" w:space="0" w:color="FFFFFF"/>
              <w:left w:val="single" w:sz="4" w:space="0" w:color="000000"/>
              <w:right w:val="single" w:sz="4" w:space="0" w:color="000000"/>
            </w:tcBorders>
            <w:shd w:val="clear" w:color="auto" w:fill="D2D2D2"/>
          </w:tcPr>
          <w:p>
            <w:pPr>
              <w:pStyle w:val="TableParagraph"/>
              <w:spacing w:line="316" w:lineRule="auto" w:before="61"/>
              <w:ind w:left="435" w:right="77"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1196" w:type="dxa"/>
            <w:tcBorders>
              <w:top w:val="single" w:sz="14" w:space="0" w:color="FFFFFF"/>
              <w:left w:val="single" w:sz="4" w:space="0" w:color="000000"/>
              <w:bottom w:val="nil" w:sz="6" w:space="0" w:color="auto"/>
              <w:right w:val="single" w:sz="4" w:space="0" w:color="000000"/>
            </w:tcBorders>
            <w:shd w:val="clear" w:color="auto" w:fill="D2D2D2"/>
          </w:tcPr>
          <w:p>
            <w:pPr/>
          </w:p>
        </w:tc>
        <w:tc>
          <w:tcPr>
            <w:tcW w:w="1063" w:type="dxa"/>
            <w:vMerge w:val="restart"/>
            <w:tcBorders>
              <w:top w:val="single" w:sz="14" w:space="0" w:color="FFFFFF"/>
              <w:left w:val="single" w:sz="4" w:space="0" w:color="000000"/>
              <w:right w:val="single" w:sz="4" w:space="0" w:color="000000"/>
            </w:tcBorders>
            <w:shd w:val="clear" w:color="auto" w:fill="D2D2D2"/>
          </w:tcPr>
          <w:p>
            <w:pPr>
              <w:pStyle w:val="TableParagraph"/>
              <w:spacing w:line="316" w:lineRule="auto" w:before="61"/>
              <w:ind w:left="435" w:right="77"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798"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16"/>
              <w:ind w:left="33"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918"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16"/>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1" w:hRule="exact"/>
        </w:trPr>
        <w:tc>
          <w:tcPr>
            <w:tcW w:w="1357" w:type="dxa"/>
            <w:vMerge/>
            <w:tcBorders>
              <w:left w:val="single" w:sz="4" w:space="0" w:color="000000"/>
              <w:bottom w:val="nil" w:sz="6" w:space="0" w:color="auto"/>
              <w:right w:val="single" w:sz="4" w:space="0" w:color="000000"/>
            </w:tcBorders>
            <w:shd w:val="clear" w:color="auto" w:fill="D2D2D2"/>
          </w:tcPr>
          <w:p>
            <w:pPr/>
          </w:p>
        </w:tc>
        <w:tc>
          <w:tcPr>
            <w:tcW w:w="116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2918"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357" w:type="dxa"/>
            <w:vMerge w:val="restart"/>
            <w:tcBorders>
              <w:top w:val="nil" w:sz="6" w:space="0" w:color="auto"/>
              <w:left w:val="single" w:sz="4" w:space="0" w:color="000000"/>
              <w:right w:val="single" w:sz="4" w:space="0" w:color="000000"/>
            </w:tcBorders>
            <w:shd w:val="clear" w:color="auto" w:fill="D2D2D2"/>
          </w:tcPr>
          <w:p>
            <w:pPr/>
          </w:p>
        </w:tc>
        <w:tc>
          <w:tcPr>
            <w:tcW w:w="1164" w:type="dxa"/>
            <w:vMerge/>
            <w:tcBorders>
              <w:left w:val="single" w:sz="4" w:space="0" w:color="000000"/>
              <w:bottom w:val="nil" w:sz="6" w:space="0" w:color="auto"/>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
        </w:tc>
        <w:tc>
          <w:tcPr>
            <w:tcW w:w="2918"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357" w:type="dxa"/>
            <w:vMerge/>
            <w:tcBorders>
              <w:left w:val="single" w:sz="4" w:space="0" w:color="000000"/>
              <w:bottom w:val="single" w:sz="4" w:space="0" w:color="000000"/>
              <w:right w:val="single" w:sz="4" w:space="0" w:color="000000"/>
            </w:tcBorders>
            <w:shd w:val="clear" w:color="auto" w:fill="D2D2D2"/>
          </w:tcPr>
          <w:p>
            <w:pPr/>
          </w:p>
        </w:tc>
        <w:tc>
          <w:tcPr>
            <w:tcW w:w="1164"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2918"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112,323,066.7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8.21%</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137,172,514.12</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22.18%</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9" w:right="0"/>
              <w:jc w:val="left"/>
              <w:rPr>
                <w:rFonts w:ascii="Times New Roman" w:hAnsi="Times New Roman" w:cs="Times New Roman" w:eastAsia="Times New Roman" w:hint="default"/>
                <w:sz w:val="18"/>
                <w:szCs w:val="18"/>
              </w:rPr>
            </w:pPr>
            <w:r>
              <w:rPr>
                <w:rFonts w:ascii="Times New Roman"/>
                <w:sz w:val="18"/>
              </w:rPr>
              <w:t>-13.97%</w:t>
            </w:r>
          </w:p>
        </w:tc>
        <w:tc>
          <w:tcPr>
            <w:tcW w:w="2918" w:type="dxa"/>
            <w:vMerge w:val="restart"/>
            <w:tcBorders>
              <w:top w:val="single" w:sz="4" w:space="0" w:color="000000"/>
              <w:left w:val="single" w:sz="4" w:space="0" w:color="000000"/>
              <w:right w:val="single" w:sz="4" w:space="0" w:color="000000"/>
            </w:tcBorders>
          </w:tcPr>
          <w:p>
            <w:pPr/>
          </w:p>
        </w:tc>
      </w:tr>
      <w:tr>
        <w:trPr>
          <w:trHeight w:val="392"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164"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161"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243,735,502.6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17.82%</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146,923,027.80</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23.75%</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9" w:right="0"/>
              <w:jc w:val="left"/>
              <w:rPr>
                <w:rFonts w:ascii="Times New Roman" w:hAnsi="Times New Roman" w:cs="Times New Roman" w:eastAsia="Times New Roman" w:hint="default"/>
                <w:sz w:val="18"/>
                <w:szCs w:val="18"/>
              </w:rPr>
            </w:pPr>
            <w:r>
              <w:rPr>
                <w:rFonts w:ascii="Times New Roman"/>
                <w:sz w:val="18"/>
              </w:rPr>
              <w:t>-5.93%</w:t>
            </w:r>
          </w:p>
        </w:tc>
        <w:tc>
          <w:tcPr>
            <w:tcW w:w="2918" w:type="dxa"/>
            <w:vMerge w:val="restart"/>
            <w:tcBorders>
              <w:top w:val="single" w:sz="4" w:space="0" w:color="000000"/>
              <w:left w:val="single" w:sz="4" w:space="0" w:color="000000"/>
              <w:right w:val="single" w:sz="4" w:space="0" w:color="000000"/>
            </w:tcBorders>
          </w:tcPr>
          <w:p>
            <w:pPr/>
          </w:p>
        </w:tc>
      </w:tr>
      <w:tr>
        <w:trPr>
          <w:trHeight w:val="392"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164"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161"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117,992,830.6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8.63%</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7" w:right="0"/>
              <w:jc w:val="left"/>
              <w:rPr>
                <w:rFonts w:ascii="Times New Roman" w:hAnsi="Times New Roman" w:cs="Times New Roman" w:eastAsia="Times New Roman" w:hint="default"/>
                <w:sz w:val="18"/>
                <w:szCs w:val="18"/>
              </w:rPr>
            </w:pPr>
            <w:r>
              <w:rPr>
                <w:rFonts w:ascii="Times New Roman"/>
                <w:sz w:val="18"/>
              </w:rPr>
              <w:t>57,477,893.55</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9.29%</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9" w:right="0"/>
              <w:jc w:val="left"/>
              <w:rPr>
                <w:rFonts w:ascii="Times New Roman" w:hAnsi="Times New Roman" w:cs="Times New Roman" w:eastAsia="Times New Roman" w:hint="default"/>
                <w:sz w:val="18"/>
                <w:szCs w:val="18"/>
              </w:rPr>
            </w:pPr>
            <w:r>
              <w:rPr>
                <w:rFonts w:ascii="Times New Roman"/>
                <w:sz w:val="18"/>
              </w:rPr>
              <w:t>-0.66%</w:t>
            </w:r>
          </w:p>
        </w:tc>
        <w:tc>
          <w:tcPr>
            <w:tcW w:w="2918" w:type="dxa"/>
            <w:vMerge w:val="restart"/>
            <w:tcBorders>
              <w:top w:val="single" w:sz="4" w:space="0" w:color="000000"/>
              <w:left w:val="single" w:sz="4" w:space="0" w:color="000000"/>
              <w:right w:val="single" w:sz="4" w:space="0" w:color="000000"/>
            </w:tcBorders>
          </w:tcPr>
          <w:p>
            <w:pPr/>
          </w:p>
        </w:tc>
      </w:tr>
      <w:tr>
        <w:trPr>
          <w:trHeight w:val="392"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164"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1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3,734,230.09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0.27%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3,964,136.34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0.64%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-0.37%</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1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66,851,739.73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4.89%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69,905,581.99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11.30%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-6.41%</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167,611,933.0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12.25%</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7" w:right="0"/>
              <w:jc w:val="left"/>
              <w:rPr>
                <w:rFonts w:ascii="Times New Roman" w:hAnsi="Times New Roman" w:cs="Times New Roman" w:eastAsia="Times New Roman" w:hint="default"/>
                <w:sz w:val="18"/>
                <w:szCs w:val="18"/>
              </w:rPr>
            </w:pPr>
            <w:r>
              <w:rPr>
                <w:rFonts w:ascii="Times New Roman"/>
                <w:sz w:val="18"/>
              </w:rPr>
              <w:t>76,173,337.94</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12.32%</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9" w:right="0"/>
              <w:jc w:val="left"/>
              <w:rPr>
                <w:rFonts w:ascii="Times New Roman" w:hAnsi="Times New Roman" w:cs="Times New Roman" w:eastAsia="Times New Roman" w:hint="default"/>
                <w:sz w:val="18"/>
                <w:szCs w:val="18"/>
              </w:rPr>
            </w:pPr>
            <w:r>
              <w:rPr>
                <w:rFonts w:ascii="Times New Roman"/>
                <w:sz w:val="18"/>
              </w:rPr>
              <w:t>-0.07%</w:t>
            </w:r>
          </w:p>
        </w:tc>
        <w:tc>
          <w:tcPr>
            <w:tcW w:w="2918" w:type="dxa"/>
            <w:vMerge w:val="restart"/>
            <w:tcBorders>
              <w:top w:val="single" w:sz="4" w:space="0" w:color="000000"/>
              <w:left w:val="single" w:sz="4" w:space="0" w:color="000000"/>
              <w:right w:val="single" w:sz="4" w:space="0" w:color="000000"/>
            </w:tcBorders>
          </w:tcPr>
          <w:p>
            <w:pPr/>
          </w:p>
        </w:tc>
      </w:tr>
      <w:tr>
        <w:trPr>
          <w:trHeight w:val="392"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164"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161"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163,000,000.0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81" w:right="0"/>
              <w:jc w:val="left"/>
              <w:rPr>
                <w:rFonts w:ascii="Times New Roman" w:hAnsi="Times New Roman" w:cs="Times New Roman" w:eastAsia="Times New Roman" w:hint="default"/>
                <w:sz w:val="18"/>
                <w:szCs w:val="18"/>
              </w:rPr>
            </w:pPr>
            <w:r>
              <w:rPr>
                <w:rFonts w:ascii="Times New Roman"/>
                <w:sz w:val="18"/>
              </w:rPr>
              <w:t>11.92%</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7" w:right="0"/>
              <w:jc w:val="left"/>
              <w:rPr>
                <w:rFonts w:ascii="Times New Roman" w:hAnsi="Times New Roman" w:cs="Times New Roman" w:eastAsia="Times New Roman" w:hint="default"/>
                <w:sz w:val="18"/>
                <w:szCs w:val="18"/>
              </w:rPr>
            </w:pPr>
            <w:r>
              <w:rPr>
                <w:rFonts w:ascii="Times New Roman"/>
                <w:sz w:val="18"/>
              </w:rPr>
              <w:t>40,000,000.00</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6.47%</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9" w:right="0"/>
              <w:jc w:val="left"/>
              <w:rPr>
                <w:rFonts w:ascii="Times New Roman" w:hAnsi="Times New Roman" w:cs="Times New Roman" w:eastAsia="Times New Roman" w:hint="default"/>
                <w:sz w:val="18"/>
                <w:szCs w:val="18"/>
              </w:rPr>
            </w:pPr>
            <w:r>
              <w:rPr>
                <w:rFonts w:ascii="Times New Roman"/>
                <w:sz w:val="18"/>
              </w:rPr>
              <w:t>5.45%</w:t>
            </w:r>
          </w:p>
        </w:tc>
        <w:tc>
          <w:tcPr>
            <w:tcW w:w="2918" w:type="dxa"/>
            <w:vMerge w:val="restart"/>
            <w:tcBorders>
              <w:top w:val="single" w:sz="4" w:space="0" w:color="000000"/>
              <w:left w:val="single" w:sz="4" w:space="0" w:color="000000"/>
              <w:right w:val="single" w:sz="4" w:space="0" w:color="000000"/>
            </w:tcBorders>
          </w:tcPr>
          <w:p>
            <w:pPr/>
          </w:p>
        </w:tc>
      </w:tr>
      <w:tr>
        <w:trPr>
          <w:trHeight w:val="392"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164"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161"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9" w:right="0"/>
              <w:jc w:val="left"/>
              <w:rPr>
                <w:rFonts w:ascii="Times New Roman" w:hAnsi="Times New Roman" w:cs="Times New Roman" w:eastAsia="Times New Roman" w:hint="default"/>
                <w:sz w:val="18"/>
                <w:szCs w:val="18"/>
              </w:rPr>
            </w:pPr>
            <w:r>
              <w:rPr>
                <w:rFonts w:ascii="Times New Roman"/>
                <w:sz w:val="18"/>
              </w:rPr>
              <w:t>84,600,000.00</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6.18%</w:t>
            </w:r>
          </w:p>
        </w:tc>
        <w:tc>
          <w:tcPr>
            <w:tcW w:w="1196" w:type="dxa"/>
            <w:vMerge w:val="restart"/>
            <w:tcBorders>
              <w:top w:val="single" w:sz="4" w:space="0" w:color="000000"/>
              <w:left w:val="single" w:sz="4" w:space="0" w:color="000000"/>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9" w:right="0"/>
              <w:jc w:val="left"/>
              <w:rPr>
                <w:rFonts w:ascii="Times New Roman" w:hAnsi="Times New Roman" w:cs="Times New Roman" w:eastAsia="Times New Roman" w:hint="default"/>
                <w:sz w:val="18"/>
                <w:szCs w:val="18"/>
              </w:rPr>
            </w:pPr>
            <w:r>
              <w:rPr>
                <w:rFonts w:ascii="Times New Roman"/>
                <w:sz w:val="18"/>
              </w:rPr>
              <w:t>6.18%</w:t>
            </w:r>
          </w:p>
        </w:tc>
        <w:tc>
          <w:tcPr>
            <w:tcW w:w="2918" w:type="dxa"/>
            <w:vMerge w:val="restart"/>
            <w:tcBorders>
              <w:top w:val="single" w:sz="4" w:space="0" w:color="000000"/>
              <w:left w:val="single" w:sz="4" w:space="0" w:color="000000"/>
              <w:right w:val="single" w:sz="4" w:space="0" w:color="000000"/>
            </w:tcBorders>
          </w:tcPr>
          <w:p>
            <w:pPr>
              <w:pStyle w:val="TableParagraph"/>
              <w:spacing w:line="316" w:lineRule="auto" w:before="51"/>
              <w:ind w:left="22" w:right="183"/>
              <w:jc w:val="left"/>
              <w:rPr>
                <w:rFonts w:ascii="宋体" w:hAnsi="宋体" w:cs="宋体" w:eastAsia="宋体" w:hint="default"/>
                <w:sz w:val="18"/>
                <w:szCs w:val="18"/>
              </w:rPr>
            </w:pPr>
            <w:r>
              <w:rPr>
                <w:rFonts w:ascii="宋体" w:hAnsi="宋体" w:cs="宋体" w:eastAsia="宋体" w:hint="default"/>
                <w:sz w:val="18"/>
                <w:szCs w:val="18"/>
              </w:rPr>
              <w:t>本期现金收购子公司新增银行长期 借款所致</w:t>
            </w:r>
          </w:p>
        </w:tc>
      </w:tr>
      <w:tr>
        <w:trPr>
          <w:trHeight w:val="392"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164"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bookmarkStart w:name="2、以公允价值计量的资产和负债" w:id="41"/>
      <w:bookmarkEnd w:id="41"/>
      <w:r>
        <w:rPr>
          <w:b w:val="0"/>
          <w:bCs w:val="0"/>
        </w:rPr>
      </w:r>
      <w:r>
        <w:rPr>
          <w:rFonts w:ascii="Times New Roman" w:hAnsi="Times New Roman" w:cs="Times New Roman" w:eastAsia="Times New Roman" w:hint="default"/>
        </w:rPr>
        <w:t>2</w:t>
      </w:r>
      <w:r>
        <w:rPr/>
        <w:t>、以公允价值计量的资产和负债</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0"/>
        <w:jc w:val="left"/>
      </w:pPr>
      <w:r>
        <w:rPr/>
        <w:t>□ 适用 √ 不适用</w:t>
      </w: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bookmarkStart w:name="3、截至报告期末的资产权利受限情况" w:id="42"/>
      <w:bookmarkEnd w:id="42"/>
      <w:r>
        <w:rPr>
          <w:b w:val="0"/>
          <w:bCs w:val="0"/>
        </w:rPr>
      </w:r>
      <w:r>
        <w:rPr>
          <w:rFonts w:ascii="Times New Roman" w:hAnsi="Times New Roman" w:cs="Times New Roman" w:eastAsia="Times New Roman" w:hint="default"/>
        </w:rPr>
        <w:t>3</w:t>
      </w:r>
      <w:r>
        <w:rPr/>
        <w:t>、截至报告期末的资产权利受限情况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6" w:type="dxa"/>
        <w:tblLayout w:type="fixed"/>
        <w:tblCellMar>
          <w:top w:w="0" w:type="dxa"/>
          <w:left w:w="0" w:type="dxa"/>
          <w:bottom w:w="0" w:type="dxa"/>
          <w:right w:w="0" w:type="dxa"/>
        </w:tblCellMar>
        <w:tblLook w:val="01E0"/>
      </w:tblPr>
      <w:tblGrid>
        <w:gridCol w:w="2841"/>
        <w:gridCol w:w="2841"/>
        <w:gridCol w:w="2842"/>
      </w:tblGrid>
      <w:tr>
        <w:trPr>
          <w:trHeight w:val="347" w:hRule="exact"/>
        </w:trPr>
        <w:tc>
          <w:tcPr>
            <w:tcW w:w="2841"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170" w:right="0"/>
              <w:jc w:val="left"/>
              <w:rPr>
                <w:rFonts w:ascii="宋体" w:hAnsi="宋体" w:cs="宋体" w:eastAsia="宋体" w:hint="default"/>
                <w:sz w:val="21"/>
                <w:szCs w:val="21"/>
              </w:rPr>
            </w:pPr>
            <w:r>
              <w:rPr>
                <w:rFonts w:ascii="宋体" w:hAnsi="宋体" w:cs="宋体" w:eastAsia="宋体" w:hint="default"/>
                <w:sz w:val="21"/>
                <w:szCs w:val="21"/>
              </w:rPr>
              <w:t>项</w:t>
            </w:r>
            <w:r>
              <w:rPr>
                <w:rFonts w:ascii="宋体" w:hAnsi="宋体" w:cs="宋体" w:eastAsia="宋体" w:hint="default"/>
                <w:spacing w:val="63"/>
                <w:sz w:val="21"/>
                <w:szCs w:val="21"/>
              </w:rPr>
              <w:t> </w:t>
            </w:r>
            <w:r>
              <w:rPr>
                <w:rFonts w:ascii="宋体" w:hAnsi="宋体" w:cs="宋体" w:eastAsia="宋体" w:hint="default"/>
                <w:sz w:val="21"/>
                <w:szCs w:val="21"/>
              </w:rPr>
              <w:t>目</w:t>
            </w:r>
          </w:p>
        </w:tc>
        <w:tc>
          <w:tcPr>
            <w:tcW w:w="2841"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782" w:right="0"/>
              <w:jc w:val="left"/>
              <w:rPr>
                <w:rFonts w:ascii="宋体" w:hAnsi="宋体" w:cs="宋体" w:eastAsia="宋体" w:hint="default"/>
                <w:sz w:val="21"/>
                <w:szCs w:val="21"/>
              </w:rPr>
            </w:pPr>
            <w:r>
              <w:rPr>
                <w:rFonts w:ascii="宋体" w:hAnsi="宋体" w:cs="宋体" w:eastAsia="宋体" w:hint="default"/>
                <w:sz w:val="21"/>
                <w:szCs w:val="21"/>
              </w:rPr>
              <w:t>期末账面价值</w:t>
            </w:r>
          </w:p>
        </w:tc>
        <w:tc>
          <w:tcPr>
            <w:tcW w:w="2842" w:type="dxa"/>
            <w:tcBorders>
              <w:top w:val="single" w:sz="6" w:space="0" w:color="000000"/>
              <w:left w:val="single" w:sz="6" w:space="0" w:color="000000"/>
              <w:bottom w:val="single" w:sz="6" w:space="0" w:color="000000"/>
              <w:right w:val="nil" w:sz="6" w:space="0" w:color="auto"/>
            </w:tcBorders>
          </w:tcPr>
          <w:p>
            <w:pPr>
              <w:pStyle w:val="TableParagraph"/>
              <w:spacing w:line="271" w:lineRule="exact"/>
              <w:ind w:right="5"/>
              <w:jc w:val="center"/>
              <w:rPr>
                <w:rFonts w:ascii="宋体" w:hAnsi="宋体" w:cs="宋体" w:eastAsia="宋体" w:hint="default"/>
                <w:sz w:val="21"/>
                <w:szCs w:val="21"/>
              </w:rPr>
            </w:pPr>
            <w:r>
              <w:rPr>
                <w:rFonts w:ascii="宋体" w:hAnsi="宋体" w:cs="宋体" w:eastAsia="宋体" w:hint="default"/>
                <w:sz w:val="21"/>
                <w:szCs w:val="21"/>
              </w:rPr>
              <w:t>受限原因</w:t>
            </w:r>
          </w:p>
        </w:tc>
      </w:tr>
      <w:tr>
        <w:trPr>
          <w:trHeight w:val="348" w:hRule="exact"/>
        </w:trPr>
        <w:tc>
          <w:tcPr>
            <w:tcW w:w="2841"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其他货币资金</w:t>
            </w:r>
          </w:p>
        </w:tc>
        <w:tc>
          <w:tcPr>
            <w:tcW w:w="2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z w:val="21"/>
              </w:rPr>
              <w:t>15,984,070.33</w:t>
            </w:r>
          </w:p>
        </w:tc>
        <w:tc>
          <w:tcPr>
            <w:tcW w:w="2842" w:type="dxa"/>
            <w:tcBorders>
              <w:top w:val="single" w:sz="6" w:space="0" w:color="000000"/>
              <w:left w:val="single" w:sz="6" w:space="0" w:color="000000"/>
              <w:bottom w:val="single" w:sz="6" w:space="0" w:color="000000"/>
              <w:right w:val="nil" w:sz="6" w:space="0" w:color="auto"/>
            </w:tcBorders>
          </w:tcPr>
          <w:p>
            <w:pPr>
              <w:pStyle w:val="TableParagraph"/>
              <w:spacing w:line="271" w:lineRule="exact"/>
              <w:ind w:right="4"/>
              <w:jc w:val="center"/>
              <w:rPr>
                <w:rFonts w:ascii="宋体" w:hAnsi="宋体" w:cs="宋体" w:eastAsia="宋体" w:hint="default"/>
                <w:sz w:val="21"/>
                <w:szCs w:val="21"/>
              </w:rPr>
            </w:pPr>
            <w:r>
              <w:rPr>
                <w:rFonts w:ascii="宋体" w:hAnsi="宋体" w:cs="宋体" w:eastAsia="宋体" w:hint="default"/>
                <w:sz w:val="21"/>
                <w:szCs w:val="21"/>
              </w:rPr>
              <w:t>保证金</w:t>
            </w:r>
          </w:p>
        </w:tc>
      </w:tr>
      <w:tr>
        <w:trPr>
          <w:trHeight w:val="347" w:hRule="exact"/>
        </w:trPr>
        <w:tc>
          <w:tcPr>
            <w:tcW w:w="2841"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2"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2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3,734,230.08</w:t>
            </w:r>
          </w:p>
        </w:tc>
        <w:tc>
          <w:tcPr>
            <w:tcW w:w="2842" w:type="dxa"/>
            <w:tcBorders>
              <w:top w:val="single" w:sz="6" w:space="0" w:color="000000"/>
              <w:left w:val="single" w:sz="6" w:space="0" w:color="000000"/>
              <w:bottom w:val="single" w:sz="6" w:space="0" w:color="000000"/>
              <w:right w:val="nil" w:sz="6" w:space="0" w:color="auto"/>
            </w:tcBorders>
          </w:tcPr>
          <w:p>
            <w:pPr>
              <w:pStyle w:val="TableParagraph"/>
              <w:spacing w:line="270" w:lineRule="exact"/>
              <w:ind w:right="5"/>
              <w:jc w:val="center"/>
              <w:rPr>
                <w:rFonts w:ascii="宋体" w:hAnsi="宋体" w:cs="宋体" w:eastAsia="宋体" w:hint="default"/>
                <w:sz w:val="21"/>
                <w:szCs w:val="21"/>
              </w:rPr>
            </w:pPr>
            <w:r>
              <w:rPr>
                <w:rFonts w:ascii="宋体" w:hAnsi="宋体" w:cs="宋体" w:eastAsia="宋体" w:hint="default"/>
                <w:sz w:val="21"/>
                <w:szCs w:val="21"/>
              </w:rPr>
              <w:t>抵押</w:t>
            </w:r>
          </w:p>
        </w:tc>
      </w:tr>
    </w:tbl>
    <w:p>
      <w:pPr>
        <w:spacing w:after="0" w:line="270" w:lineRule="exact"/>
        <w:jc w:val="center"/>
        <w:rPr>
          <w:rFonts w:ascii="宋体" w:hAnsi="宋体" w:cs="宋体" w:eastAsia="宋体" w:hint="default"/>
          <w:sz w:val="21"/>
          <w:szCs w:val="21"/>
        </w:rPr>
        <w:sectPr>
          <w:pgSz w:w="11910" w:h="16840"/>
          <w:pgMar w:header="747" w:footer="979" w:top="1060" w:bottom="1160" w:left="980" w:right="980"/>
        </w:sectPr>
      </w:pPr>
    </w:p>
    <w:p>
      <w:pPr>
        <w:spacing w:line="240" w:lineRule="auto" w:before="6"/>
        <w:rPr>
          <w:rFonts w:ascii="宋体" w:hAnsi="宋体" w:cs="宋体" w:eastAsia="宋体" w:hint="default"/>
          <w:b/>
          <w:bCs/>
          <w:sz w:val="28"/>
          <w:szCs w:val="28"/>
        </w:rPr>
      </w:pPr>
    </w:p>
    <w:tbl>
      <w:tblPr>
        <w:tblW w:w="0" w:type="auto"/>
        <w:jc w:val="left"/>
        <w:tblInd w:w="146" w:type="dxa"/>
        <w:tblLayout w:type="fixed"/>
        <w:tblCellMar>
          <w:top w:w="0" w:type="dxa"/>
          <w:left w:w="0" w:type="dxa"/>
          <w:bottom w:w="0" w:type="dxa"/>
          <w:right w:w="0" w:type="dxa"/>
        </w:tblCellMar>
        <w:tblLook w:val="01E0"/>
      </w:tblPr>
      <w:tblGrid>
        <w:gridCol w:w="2841"/>
        <w:gridCol w:w="2841"/>
        <w:gridCol w:w="2842"/>
      </w:tblGrid>
      <w:tr>
        <w:trPr>
          <w:trHeight w:val="347" w:hRule="exact"/>
        </w:trPr>
        <w:tc>
          <w:tcPr>
            <w:tcW w:w="2841"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1979"/>
              <w:jc w:val="center"/>
              <w:rPr>
                <w:rFonts w:ascii="宋体" w:hAnsi="宋体" w:cs="宋体" w:eastAsia="宋体" w:hint="default"/>
                <w:sz w:val="21"/>
                <w:szCs w:val="21"/>
              </w:rPr>
            </w:pPr>
            <w:r>
              <w:rPr>
                <w:rFonts w:ascii="宋体" w:hAnsi="宋体" w:cs="宋体" w:eastAsia="宋体" w:hint="default"/>
                <w:sz w:val="21"/>
                <w:szCs w:val="21"/>
              </w:rPr>
              <w:t>固定资产</w:t>
            </w:r>
          </w:p>
        </w:tc>
        <w:tc>
          <w:tcPr>
            <w:tcW w:w="2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z w:val="21"/>
              </w:rPr>
              <w:t>13,955,589.55</w:t>
            </w:r>
          </w:p>
        </w:tc>
        <w:tc>
          <w:tcPr>
            <w:tcW w:w="2842" w:type="dxa"/>
            <w:tcBorders>
              <w:top w:val="single" w:sz="6" w:space="0" w:color="000000"/>
              <w:left w:val="single" w:sz="6" w:space="0" w:color="000000"/>
              <w:bottom w:val="single" w:sz="6" w:space="0" w:color="000000"/>
              <w:right w:val="nil" w:sz="6" w:space="0" w:color="auto"/>
            </w:tcBorders>
          </w:tcPr>
          <w:p>
            <w:pPr>
              <w:pStyle w:val="TableParagraph"/>
              <w:spacing w:line="271" w:lineRule="exact"/>
              <w:ind w:right="5"/>
              <w:jc w:val="center"/>
              <w:rPr>
                <w:rFonts w:ascii="宋体" w:hAnsi="宋体" w:cs="宋体" w:eastAsia="宋体" w:hint="default"/>
                <w:sz w:val="21"/>
                <w:szCs w:val="21"/>
              </w:rPr>
            </w:pPr>
            <w:r>
              <w:rPr>
                <w:rFonts w:ascii="宋体" w:hAnsi="宋体" w:cs="宋体" w:eastAsia="宋体" w:hint="default"/>
                <w:sz w:val="21"/>
                <w:szCs w:val="21"/>
              </w:rPr>
              <w:t>抵押</w:t>
            </w:r>
          </w:p>
        </w:tc>
      </w:tr>
      <w:tr>
        <w:trPr>
          <w:trHeight w:val="347" w:hRule="exact"/>
        </w:trPr>
        <w:tc>
          <w:tcPr>
            <w:tcW w:w="2841"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1979"/>
              <w:jc w:val="center"/>
              <w:rPr>
                <w:rFonts w:ascii="宋体" w:hAnsi="宋体" w:cs="宋体" w:eastAsia="宋体" w:hint="default"/>
                <w:sz w:val="21"/>
                <w:szCs w:val="21"/>
              </w:rPr>
            </w:pPr>
            <w:r>
              <w:rPr>
                <w:rFonts w:ascii="宋体" w:hAnsi="宋体" w:cs="宋体" w:eastAsia="宋体" w:hint="default"/>
                <w:sz w:val="21"/>
                <w:szCs w:val="21"/>
              </w:rPr>
              <w:t>无形资产</w:t>
            </w:r>
          </w:p>
        </w:tc>
        <w:tc>
          <w:tcPr>
            <w:tcW w:w="2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z w:val="21"/>
              </w:rPr>
              <w:t>18,141,458.25</w:t>
            </w:r>
          </w:p>
        </w:tc>
        <w:tc>
          <w:tcPr>
            <w:tcW w:w="2842" w:type="dxa"/>
            <w:tcBorders>
              <w:top w:val="single" w:sz="6" w:space="0" w:color="000000"/>
              <w:left w:val="single" w:sz="6" w:space="0" w:color="000000"/>
              <w:bottom w:val="single" w:sz="6" w:space="0" w:color="000000"/>
              <w:right w:val="nil" w:sz="6" w:space="0" w:color="auto"/>
            </w:tcBorders>
          </w:tcPr>
          <w:p>
            <w:pPr>
              <w:pStyle w:val="TableParagraph"/>
              <w:spacing w:line="271" w:lineRule="exact"/>
              <w:ind w:right="5"/>
              <w:jc w:val="center"/>
              <w:rPr>
                <w:rFonts w:ascii="宋体" w:hAnsi="宋体" w:cs="宋体" w:eastAsia="宋体" w:hint="default"/>
                <w:sz w:val="21"/>
                <w:szCs w:val="21"/>
              </w:rPr>
            </w:pPr>
            <w:r>
              <w:rPr>
                <w:rFonts w:ascii="宋体" w:hAnsi="宋体" w:cs="宋体" w:eastAsia="宋体" w:hint="default"/>
                <w:sz w:val="21"/>
                <w:szCs w:val="21"/>
              </w:rPr>
              <w:t>抵押</w:t>
            </w:r>
          </w:p>
        </w:tc>
      </w:tr>
      <w:tr>
        <w:trPr>
          <w:trHeight w:val="348" w:hRule="exact"/>
        </w:trPr>
        <w:tc>
          <w:tcPr>
            <w:tcW w:w="2841"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1895"/>
              <w:jc w:val="center"/>
              <w:rPr>
                <w:rFonts w:ascii="宋体" w:hAnsi="宋体" w:cs="宋体" w:eastAsia="宋体" w:hint="default"/>
                <w:sz w:val="21"/>
                <w:szCs w:val="21"/>
              </w:rPr>
            </w:pPr>
            <w:r>
              <w:rPr>
                <w:rFonts w:ascii="宋体" w:hAnsi="宋体" w:cs="宋体" w:eastAsia="宋体" w:hint="default"/>
                <w:sz w:val="21"/>
                <w:szCs w:val="21"/>
              </w:rPr>
              <w:t>合</w:t>
            </w:r>
            <w:r>
              <w:rPr>
                <w:rFonts w:ascii="宋体" w:hAnsi="宋体" w:cs="宋体" w:eastAsia="宋体" w:hint="default"/>
                <w:spacing w:val="63"/>
                <w:sz w:val="21"/>
                <w:szCs w:val="21"/>
              </w:rPr>
              <w:t> </w:t>
            </w:r>
            <w:r>
              <w:rPr>
                <w:rFonts w:ascii="宋体" w:hAnsi="宋体" w:cs="宋体" w:eastAsia="宋体" w:hint="default"/>
                <w:sz w:val="21"/>
                <w:szCs w:val="21"/>
              </w:rPr>
              <w:t>计</w:t>
            </w:r>
          </w:p>
        </w:tc>
        <w:tc>
          <w:tcPr>
            <w:tcW w:w="2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z w:val="21"/>
              </w:rPr>
              <w:t>51,815,348.21</w:t>
            </w:r>
          </w:p>
        </w:tc>
        <w:tc>
          <w:tcPr>
            <w:tcW w:w="2842" w:type="dxa"/>
            <w:tcBorders>
              <w:top w:val="single" w:sz="6" w:space="0" w:color="000000"/>
              <w:left w:val="single" w:sz="6" w:space="0" w:color="000000"/>
              <w:bottom w:val="single" w:sz="6" w:space="0" w:color="000000"/>
              <w:right w:val="nil" w:sz="6" w:space="0" w:color="auto"/>
            </w:tcBorders>
          </w:tcPr>
          <w:p>
            <w:pP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2"/>
          <w:szCs w:val="22"/>
        </w:rPr>
      </w:pPr>
    </w:p>
    <w:p>
      <w:pPr>
        <w:pStyle w:val="Heading2"/>
        <w:spacing w:line="240" w:lineRule="auto" w:before="26"/>
        <w:ind w:right="0"/>
        <w:jc w:val="left"/>
        <w:rPr>
          <w:b w:val="0"/>
          <w:bCs w:val="0"/>
        </w:rPr>
      </w:pPr>
      <w:bookmarkStart w:name="五、投资状况分析" w:id="43"/>
      <w:bookmarkEnd w:id="43"/>
      <w:r>
        <w:rPr>
          <w:b w:val="0"/>
          <w:bCs w:val="0"/>
        </w:rPr>
      </w:r>
      <w:r>
        <w:rPr/>
        <w:t>五、投资状况分析</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bookmarkStart w:name="1、总体情况" w:id="44"/>
      <w:bookmarkEnd w:id="44"/>
      <w:r>
        <w:rPr>
          <w:b w:val="0"/>
          <w:bCs w:val="0"/>
        </w:rPr>
      </w:r>
      <w:r>
        <w:rPr>
          <w:rFonts w:ascii="Times New Roman" w:hAnsi="Times New Roman" w:cs="Times New Roman" w:eastAsia="Times New Roman" w:hint="default"/>
        </w:rPr>
        <w:t>1</w:t>
      </w:r>
      <w:r>
        <w:rPr/>
        <w:t>、总体情况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0"/>
        <w:jc w:val="left"/>
      </w:pPr>
      <w:r>
        <w:rPr/>
        <w:t>√ 适用 □ 不适用</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9"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90"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032" w:right="0"/>
              <w:jc w:val="left"/>
              <w:rPr>
                <w:rFonts w:ascii="Times New Roman" w:hAnsi="Times New Roman" w:cs="Times New Roman" w:eastAsia="Times New Roman" w:hint="default"/>
                <w:sz w:val="18"/>
                <w:szCs w:val="18"/>
              </w:rPr>
            </w:pPr>
            <w:r>
              <w:rPr>
                <w:rFonts w:ascii="Times New Roman"/>
                <w:sz w:val="18"/>
              </w:rPr>
              <w:t>575,300,000.00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bookmarkStart w:name="2、报告期内获取的重大的股权投资情况" w:id="45"/>
      <w:bookmarkEnd w:id="45"/>
      <w:r>
        <w:rPr>
          <w:b w:val="0"/>
          <w:bCs w:val="0"/>
        </w:rPr>
      </w: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right="0"/>
        <w:jc w:val="left"/>
      </w:pPr>
      <w:r>
        <w:rPr/>
        <w:t>√ 适用 □ 不适用</w:t>
      </w:r>
    </w:p>
    <w:p>
      <w:pPr>
        <w:pStyle w:val="BodyText"/>
        <w:spacing w:line="240" w:lineRule="auto" w:before="116"/>
        <w:ind w:left="0" w:right="15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694"/>
        <w:gridCol w:w="694"/>
        <w:gridCol w:w="662"/>
        <w:gridCol w:w="661"/>
        <w:gridCol w:w="662"/>
        <w:gridCol w:w="663"/>
        <w:gridCol w:w="658"/>
        <w:gridCol w:w="655"/>
        <w:gridCol w:w="658"/>
        <w:gridCol w:w="629"/>
        <w:gridCol w:w="740"/>
        <w:gridCol w:w="734"/>
        <w:gridCol w:w="733"/>
        <w:gridCol w:w="724"/>
      </w:tblGrid>
      <w:tr>
        <w:trPr>
          <w:trHeight w:val="1026" w:hRule="exact"/>
        </w:trPr>
        <w:tc>
          <w:tcPr>
            <w:tcW w:w="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1" w:right="70"/>
              <w:jc w:val="center"/>
              <w:rPr>
                <w:rFonts w:ascii="宋体" w:hAnsi="宋体" w:cs="宋体" w:eastAsia="宋体" w:hint="default"/>
                <w:sz w:val="18"/>
                <w:szCs w:val="18"/>
              </w:rPr>
            </w:pPr>
            <w:r>
              <w:rPr>
                <w:rFonts w:ascii="宋体" w:hAnsi="宋体" w:cs="宋体" w:eastAsia="宋体" w:hint="default"/>
                <w:sz w:val="18"/>
                <w:szCs w:val="18"/>
              </w:rPr>
              <w:t>被投资 公司名 称</w:t>
            </w:r>
          </w:p>
        </w:tc>
        <w:tc>
          <w:tcPr>
            <w:tcW w:w="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51" w:right="71" w:hanging="180"/>
              <w:jc w:val="left"/>
              <w:rPr>
                <w:rFonts w:ascii="宋体" w:hAnsi="宋体" w:cs="宋体" w:eastAsia="宋体" w:hint="default"/>
                <w:sz w:val="18"/>
                <w:szCs w:val="18"/>
              </w:rPr>
            </w:pPr>
            <w:r>
              <w:rPr>
                <w:rFonts w:ascii="宋体" w:hAnsi="宋体" w:cs="宋体" w:eastAsia="宋体" w:hint="default"/>
                <w:sz w:val="18"/>
                <w:szCs w:val="18"/>
              </w:rPr>
              <w:t>主要业 务</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35" w:right="55" w:hanging="180"/>
              <w:jc w:val="left"/>
              <w:rPr>
                <w:rFonts w:ascii="宋体" w:hAnsi="宋体" w:cs="宋体" w:eastAsia="宋体" w:hint="default"/>
                <w:sz w:val="18"/>
                <w:szCs w:val="18"/>
              </w:rPr>
            </w:pPr>
            <w:r>
              <w:rPr>
                <w:rFonts w:ascii="宋体" w:hAnsi="宋体" w:cs="宋体" w:eastAsia="宋体" w:hint="default"/>
                <w:sz w:val="18"/>
                <w:szCs w:val="18"/>
              </w:rPr>
              <w:t>投资方 式</w:t>
            </w:r>
          </w:p>
        </w:tc>
        <w:tc>
          <w:tcPr>
            <w:tcW w:w="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35" w:right="54" w:hanging="180"/>
              <w:jc w:val="left"/>
              <w:rPr>
                <w:rFonts w:ascii="宋体" w:hAnsi="宋体" w:cs="宋体" w:eastAsia="宋体" w:hint="default"/>
                <w:sz w:val="18"/>
                <w:szCs w:val="18"/>
              </w:rPr>
            </w:pPr>
            <w:r>
              <w:rPr>
                <w:rFonts w:ascii="宋体" w:hAnsi="宋体" w:cs="宋体" w:eastAsia="宋体" w:hint="default"/>
                <w:sz w:val="18"/>
                <w:szCs w:val="18"/>
              </w:rPr>
              <w:t>投资金 额</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35" w:right="55" w:hanging="180"/>
              <w:jc w:val="left"/>
              <w:rPr>
                <w:rFonts w:ascii="宋体" w:hAnsi="宋体" w:cs="宋体" w:eastAsia="宋体" w:hint="default"/>
                <w:sz w:val="18"/>
                <w:szCs w:val="18"/>
              </w:rPr>
            </w:pPr>
            <w:r>
              <w:rPr>
                <w:rFonts w:ascii="宋体" w:hAnsi="宋体" w:cs="宋体" w:eastAsia="宋体" w:hint="default"/>
                <w:sz w:val="18"/>
                <w:szCs w:val="18"/>
              </w:rPr>
              <w:t>持股比 例</w:t>
            </w:r>
          </w:p>
        </w:tc>
        <w:tc>
          <w:tcPr>
            <w:tcW w:w="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35" w:right="57" w:hanging="180"/>
              <w:jc w:val="left"/>
              <w:rPr>
                <w:rFonts w:ascii="宋体" w:hAnsi="宋体" w:cs="宋体" w:eastAsia="宋体" w:hint="default"/>
                <w:sz w:val="18"/>
                <w:szCs w:val="18"/>
              </w:rPr>
            </w:pPr>
            <w:r>
              <w:rPr>
                <w:rFonts w:ascii="宋体" w:hAnsi="宋体" w:cs="宋体" w:eastAsia="宋体" w:hint="default"/>
                <w:sz w:val="18"/>
                <w:szCs w:val="18"/>
              </w:rPr>
              <w:t>资金来 源</w:t>
            </w:r>
          </w:p>
        </w:tc>
        <w:tc>
          <w:tcPr>
            <w:tcW w:w="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54" w:right="0"/>
              <w:jc w:val="left"/>
              <w:rPr>
                <w:rFonts w:ascii="宋体" w:hAnsi="宋体" w:cs="宋体" w:eastAsia="宋体" w:hint="default"/>
                <w:sz w:val="18"/>
                <w:szCs w:val="18"/>
              </w:rPr>
            </w:pPr>
            <w:r>
              <w:rPr>
                <w:rFonts w:ascii="宋体" w:hAnsi="宋体" w:cs="宋体" w:eastAsia="宋体" w:hint="default"/>
                <w:sz w:val="18"/>
                <w:szCs w:val="18"/>
              </w:rPr>
              <w:t>合作方</w:t>
            </w:r>
          </w:p>
        </w:tc>
        <w:tc>
          <w:tcPr>
            <w:tcW w:w="6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31" w:right="53" w:hanging="180"/>
              <w:jc w:val="left"/>
              <w:rPr>
                <w:rFonts w:ascii="宋体" w:hAnsi="宋体" w:cs="宋体" w:eastAsia="宋体" w:hint="default"/>
                <w:sz w:val="18"/>
                <w:szCs w:val="18"/>
              </w:rPr>
            </w:pPr>
            <w:r>
              <w:rPr>
                <w:rFonts w:ascii="宋体" w:hAnsi="宋体" w:cs="宋体" w:eastAsia="宋体" w:hint="default"/>
                <w:sz w:val="18"/>
                <w:szCs w:val="18"/>
              </w:rPr>
              <w:t>投资期 限</w:t>
            </w:r>
          </w:p>
        </w:tc>
        <w:tc>
          <w:tcPr>
            <w:tcW w:w="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33" w:right="53" w:hanging="180"/>
              <w:jc w:val="left"/>
              <w:rPr>
                <w:rFonts w:ascii="宋体" w:hAnsi="宋体" w:cs="宋体" w:eastAsia="宋体" w:hint="default"/>
                <w:sz w:val="18"/>
                <w:szCs w:val="18"/>
              </w:rPr>
            </w:pPr>
            <w:r>
              <w:rPr>
                <w:rFonts w:ascii="宋体" w:hAnsi="宋体" w:cs="宋体" w:eastAsia="宋体" w:hint="default"/>
                <w:sz w:val="18"/>
                <w:szCs w:val="18"/>
              </w:rPr>
              <w:t>产品类 型</w:t>
            </w:r>
          </w:p>
        </w:tc>
        <w:tc>
          <w:tcPr>
            <w:tcW w:w="6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8" w:right="38" w:hanging="180"/>
              <w:jc w:val="left"/>
              <w:rPr>
                <w:rFonts w:ascii="宋体" w:hAnsi="宋体" w:cs="宋体" w:eastAsia="宋体" w:hint="default"/>
                <w:sz w:val="18"/>
                <w:szCs w:val="18"/>
              </w:rPr>
            </w:pPr>
            <w:r>
              <w:rPr>
                <w:rFonts w:ascii="宋体" w:hAnsi="宋体" w:cs="宋体" w:eastAsia="宋体" w:hint="default"/>
                <w:sz w:val="18"/>
                <w:szCs w:val="18"/>
              </w:rPr>
              <w:t>预计收 益</w:t>
            </w:r>
          </w:p>
        </w:tc>
        <w:tc>
          <w:tcPr>
            <w:tcW w:w="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93" w:right="94"/>
              <w:jc w:val="left"/>
              <w:rPr>
                <w:rFonts w:ascii="宋体" w:hAnsi="宋体" w:cs="宋体" w:eastAsia="宋体" w:hint="default"/>
                <w:sz w:val="18"/>
                <w:szCs w:val="18"/>
              </w:rPr>
            </w:pPr>
            <w:r>
              <w:rPr>
                <w:rFonts w:ascii="宋体" w:hAnsi="宋体" w:cs="宋体" w:eastAsia="宋体" w:hint="default"/>
                <w:sz w:val="18"/>
                <w:szCs w:val="18"/>
              </w:rPr>
              <w:t>本期投 资盈亏</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71" w:right="91" w:hanging="180"/>
              <w:jc w:val="left"/>
              <w:rPr>
                <w:rFonts w:ascii="宋体" w:hAnsi="宋体" w:cs="宋体" w:eastAsia="宋体" w:hint="default"/>
                <w:sz w:val="18"/>
                <w:szCs w:val="18"/>
              </w:rPr>
            </w:pPr>
            <w:r>
              <w:rPr>
                <w:rFonts w:ascii="宋体" w:hAnsi="宋体" w:cs="宋体" w:eastAsia="宋体" w:hint="default"/>
                <w:sz w:val="18"/>
                <w:szCs w:val="18"/>
              </w:rPr>
              <w:t>是否涉 诉</w:t>
            </w:r>
          </w:p>
        </w:tc>
        <w:tc>
          <w:tcPr>
            <w:tcW w:w="7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91" w:right="90"/>
              <w:jc w:val="both"/>
              <w:rPr>
                <w:rFonts w:ascii="宋体" w:hAnsi="宋体" w:cs="宋体" w:eastAsia="宋体" w:hint="default"/>
                <w:sz w:val="18"/>
                <w:szCs w:val="18"/>
              </w:rPr>
            </w:pPr>
            <w:r>
              <w:rPr>
                <w:rFonts w:ascii="宋体" w:hAnsi="宋体" w:cs="宋体" w:eastAsia="宋体" w:hint="default"/>
                <w:sz w:val="18"/>
                <w:szCs w:val="18"/>
              </w:rPr>
              <w:t>披露日 期（如 有）</w:t>
            </w:r>
          </w:p>
        </w:tc>
        <w:tc>
          <w:tcPr>
            <w:tcW w:w="7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87" w:right="84"/>
              <w:jc w:val="both"/>
              <w:rPr>
                <w:rFonts w:ascii="宋体" w:hAnsi="宋体" w:cs="宋体" w:eastAsia="宋体" w:hint="default"/>
                <w:sz w:val="18"/>
                <w:szCs w:val="18"/>
              </w:rPr>
            </w:pPr>
            <w:r>
              <w:rPr>
                <w:rFonts w:ascii="宋体" w:hAnsi="宋体" w:cs="宋体" w:eastAsia="宋体" w:hint="default"/>
                <w:sz w:val="18"/>
                <w:szCs w:val="18"/>
              </w:rPr>
              <w:t>披露索 引（如 有）</w:t>
            </w:r>
          </w:p>
        </w:tc>
      </w:tr>
      <w:tr>
        <w:trPr>
          <w:trHeight w:val="1650" w:hRule="exact"/>
        </w:trPr>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19"/>
              <w:jc w:val="both"/>
              <w:rPr>
                <w:rFonts w:ascii="宋体" w:hAnsi="宋体" w:cs="宋体" w:eastAsia="宋体" w:hint="default"/>
                <w:sz w:val="18"/>
                <w:szCs w:val="18"/>
              </w:rPr>
            </w:pPr>
            <w:r>
              <w:rPr>
                <w:rFonts w:ascii="宋体" w:hAnsi="宋体" w:cs="宋体" w:eastAsia="宋体" w:hint="default"/>
                <w:sz w:val="18"/>
                <w:szCs w:val="18"/>
              </w:rPr>
              <w:t>杭州奥 能电源 设备有 限公司</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19"/>
              <w:jc w:val="both"/>
              <w:rPr>
                <w:rFonts w:ascii="宋体" w:hAnsi="宋体" w:cs="宋体" w:eastAsia="宋体" w:hint="default"/>
                <w:sz w:val="18"/>
                <w:szCs w:val="18"/>
              </w:rPr>
            </w:pPr>
            <w:r>
              <w:rPr>
                <w:rFonts w:ascii="宋体" w:hAnsi="宋体" w:cs="宋体" w:eastAsia="宋体" w:hint="default"/>
                <w:sz w:val="18"/>
                <w:szCs w:val="18"/>
              </w:rPr>
              <w:t>智能化 电源设 备和新 能源设 备</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269"/>
              <w:jc w:val="right"/>
              <w:rPr>
                <w:rFonts w:ascii="宋体" w:hAnsi="宋体" w:cs="宋体" w:eastAsia="宋体" w:hint="default"/>
                <w:sz w:val="18"/>
                <w:szCs w:val="18"/>
              </w:rPr>
            </w:pPr>
            <w:r>
              <w:rPr>
                <w:rFonts w:ascii="宋体" w:hAnsi="宋体" w:cs="宋体" w:eastAsia="宋体" w:hint="default"/>
                <w:sz w:val="18"/>
                <w:szCs w:val="18"/>
              </w:rPr>
              <w:t>收购</w:t>
            </w:r>
          </w:p>
        </w:tc>
        <w:tc>
          <w:tcPr>
            <w:tcW w:w="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560,000</w:t>
            </w:r>
          </w:p>
          <w:p>
            <w:pPr>
              <w:pStyle w:val="TableParagraph"/>
              <w:spacing w:line="240" w:lineRule="auto" w:before="105"/>
              <w:ind w:left="88" w:right="0"/>
              <w:jc w:val="left"/>
              <w:rPr>
                <w:rFonts w:ascii="Times New Roman" w:hAnsi="Times New Roman" w:cs="Times New Roman" w:eastAsia="Times New Roman" w:hint="default"/>
                <w:sz w:val="18"/>
                <w:szCs w:val="18"/>
              </w:rPr>
            </w:pPr>
            <w:r>
              <w:rPr>
                <w:rFonts w:ascii="Times New Roman"/>
                <w:sz w:val="18"/>
              </w:rPr>
              <w:t>,000.00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268"/>
              <w:jc w:val="right"/>
              <w:rPr>
                <w:rFonts w:ascii="宋体" w:hAnsi="宋体" w:cs="宋体" w:eastAsia="宋体" w:hint="default"/>
                <w:sz w:val="18"/>
                <w:szCs w:val="18"/>
              </w:rPr>
            </w:pPr>
            <w:r>
              <w:rPr>
                <w:rFonts w:ascii="宋体" w:hAnsi="宋体" w:cs="宋体" w:eastAsia="宋体" w:hint="default"/>
                <w:sz w:val="18"/>
                <w:szCs w:val="18"/>
              </w:rPr>
              <w:t>自筹</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260"/>
              <w:jc w:val="right"/>
              <w:rPr>
                <w:rFonts w:ascii="宋体" w:hAnsi="宋体" w:cs="宋体" w:eastAsia="宋体" w:hint="default"/>
                <w:sz w:val="18"/>
                <w:szCs w:val="18"/>
              </w:rPr>
            </w:pPr>
            <w:r>
              <w:rPr>
                <w:rFonts w:ascii="宋体" w:hAnsi="宋体" w:cs="宋体" w:eastAsia="宋体" w:hint="default"/>
                <w:sz w:val="18"/>
                <w:szCs w:val="18"/>
              </w:rPr>
              <w:t>长期</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83"/>
              <w:jc w:val="both"/>
              <w:rPr>
                <w:rFonts w:ascii="宋体" w:hAnsi="宋体" w:cs="宋体" w:eastAsia="宋体" w:hint="default"/>
                <w:sz w:val="18"/>
                <w:szCs w:val="18"/>
              </w:rPr>
            </w:pPr>
            <w:r>
              <w:rPr>
                <w:rFonts w:ascii="宋体" w:hAnsi="宋体" w:cs="宋体" w:eastAsia="宋体" w:hint="default"/>
                <w:sz w:val="18"/>
                <w:szCs w:val="18"/>
              </w:rPr>
              <w:t>智能化 电源设 备和新 能源设 备</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55" w:right="0"/>
              <w:jc w:val="left"/>
              <w:rPr>
                <w:rFonts w:ascii="Times New Roman" w:hAnsi="Times New Roman" w:cs="Times New Roman" w:eastAsia="Times New Roman" w:hint="default"/>
                <w:sz w:val="18"/>
                <w:szCs w:val="18"/>
              </w:rPr>
            </w:pPr>
            <w:r>
              <w:rPr>
                <w:rFonts w:ascii="Times New Roman"/>
                <w:sz w:val="18"/>
              </w:rPr>
              <w:t>36,000,</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000.00</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20,915,2</w:t>
            </w:r>
          </w:p>
          <w:p>
            <w:pPr>
              <w:pStyle w:val="TableParagraph"/>
              <w:spacing w:line="240" w:lineRule="auto" w:before="105"/>
              <w:ind w:left="301" w:right="0"/>
              <w:jc w:val="left"/>
              <w:rPr>
                <w:rFonts w:ascii="Times New Roman" w:hAnsi="Times New Roman" w:cs="Times New Roman" w:eastAsia="Times New Roman" w:hint="default"/>
                <w:sz w:val="18"/>
                <w:szCs w:val="18"/>
              </w:rPr>
            </w:pPr>
            <w:r>
              <w:rPr>
                <w:rFonts w:ascii="Times New Roman"/>
                <w:sz w:val="18"/>
              </w:rPr>
              <w:t>78.65</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33" w:type="dxa"/>
            <w:tcBorders>
              <w:top w:val="single" w:sz="4" w:space="0" w:color="000000"/>
              <w:left w:val="single" w:sz="4" w:space="0" w:color="000000"/>
              <w:bottom w:val="single" w:sz="4" w:space="0" w:color="000000"/>
              <w:right w:val="single" w:sz="4" w:space="0" w:color="000000"/>
            </w:tcBorders>
          </w:tcPr>
          <w:p>
            <w:pPr/>
          </w:p>
        </w:tc>
        <w:tc>
          <w:tcPr>
            <w:tcW w:w="724"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9"/>
              <w:jc w:val="both"/>
              <w:rPr>
                <w:rFonts w:ascii="宋体" w:hAnsi="宋体" w:cs="宋体" w:eastAsia="宋体" w:hint="default"/>
                <w:sz w:val="18"/>
                <w:szCs w:val="18"/>
              </w:rPr>
            </w:pPr>
            <w:r>
              <w:rPr>
                <w:rFonts w:ascii="宋体" w:hAnsi="宋体" w:cs="宋体" w:eastAsia="宋体" w:hint="default"/>
                <w:sz w:val="18"/>
                <w:szCs w:val="18"/>
              </w:rPr>
              <w:t>福建南 平太阳 高新材 料有限 公司</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3" w:right="119"/>
              <w:jc w:val="both"/>
              <w:rPr>
                <w:rFonts w:ascii="宋体" w:hAnsi="宋体" w:cs="宋体" w:eastAsia="宋体" w:hint="default"/>
                <w:sz w:val="18"/>
                <w:szCs w:val="18"/>
              </w:rPr>
            </w:pPr>
            <w:r>
              <w:rPr>
                <w:rFonts w:ascii="宋体" w:hAnsi="宋体" w:cs="宋体" w:eastAsia="宋体" w:hint="default"/>
                <w:sz w:val="18"/>
                <w:szCs w:val="18"/>
              </w:rPr>
              <w:t>电线电 缆用高 分子材 料</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269"/>
              <w:jc w:val="right"/>
              <w:rPr>
                <w:rFonts w:ascii="宋体" w:hAnsi="宋体" w:cs="宋体" w:eastAsia="宋体" w:hint="default"/>
                <w:sz w:val="18"/>
                <w:szCs w:val="18"/>
              </w:rPr>
            </w:pPr>
            <w:r>
              <w:rPr>
                <w:rFonts w:ascii="宋体" w:hAnsi="宋体" w:cs="宋体" w:eastAsia="宋体" w:hint="default"/>
                <w:sz w:val="18"/>
                <w:szCs w:val="18"/>
              </w:rPr>
              <w:t>新设</w:t>
            </w:r>
          </w:p>
        </w:tc>
        <w:tc>
          <w:tcPr>
            <w:tcW w:w="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15,300,</w:t>
            </w:r>
          </w:p>
          <w:p>
            <w:pPr>
              <w:pStyle w:val="TableParagraph"/>
              <w:spacing w:line="240" w:lineRule="auto" w:before="105"/>
              <w:ind w:left="134" w:right="0"/>
              <w:jc w:val="left"/>
              <w:rPr>
                <w:rFonts w:ascii="Times New Roman" w:hAnsi="Times New Roman" w:cs="Times New Roman" w:eastAsia="Times New Roman" w:hint="default"/>
                <w:sz w:val="18"/>
                <w:szCs w:val="18"/>
              </w:rPr>
            </w:pPr>
            <w:r>
              <w:rPr>
                <w:rFonts w:ascii="Times New Roman"/>
                <w:sz w:val="18"/>
              </w:rPr>
              <w:t>000.00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51.00%</w:t>
            </w:r>
          </w:p>
        </w:tc>
        <w:tc>
          <w:tcPr>
            <w:tcW w:w="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268"/>
              <w:jc w:val="right"/>
              <w:rPr>
                <w:rFonts w:ascii="宋体" w:hAnsi="宋体" w:cs="宋体" w:eastAsia="宋体" w:hint="default"/>
                <w:sz w:val="18"/>
                <w:szCs w:val="18"/>
              </w:rPr>
            </w:pPr>
            <w:r>
              <w:rPr>
                <w:rFonts w:ascii="宋体" w:hAnsi="宋体" w:cs="宋体" w:eastAsia="宋体" w:hint="default"/>
                <w:sz w:val="18"/>
                <w:szCs w:val="18"/>
              </w:rPr>
              <w:t>自筹</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83"/>
              <w:jc w:val="both"/>
              <w:rPr>
                <w:rFonts w:ascii="宋体" w:hAnsi="宋体" w:cs="宋体" w:eastAsia="宋体" w:hint="default"/>
                <w:sz w:val="18"/>
                <w:szCs w:val="18"/>
              </w:rPr>
            </w:pPr>
            <w:r>
              <w:rPr>
                <w:rFonts w:ascii="宋体" w:hAnsi="宋体" w:cs="宋体" w:eastAsia="宋体" w:hint="default"/>
                <w:sz w:val="18"/>
                <w:szCs w:val="18"/>
              </w:rPr>
              <w:t>福建上 杭太阳 铜业有 限公司</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216"/>
              <w:jc w:val="righ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83"/>
              <w:jc w:val="both"/>
              <w:rPr>
                <w:rFonts w:ascii="宋体" w:hAnsi="宋体" w:cs="宋体" w:eastAsia="宋体" w:hint="default"/>
                <w:sz w:val="18"/>
                <w:szCs w:val="18"/>
              </w:rPr>
            </w:pPr>
            <w:r>
              <w:rPr>
                <w:rFonts w:ascii="宋体" w:hAnsi="宋体" w:cs="宋体" w:eastAsia="宋体" w:hint="default"/>
                <w:sz w:val="18"/>
                <w:szCs w:val="18"/>
              </w:rPr>
              <w:t>电线电 缆用高 分子材 料</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80" w:right="0"/>
              <w:jc w:val="left"/>
              <w:rPr>
                <w:rFonts w:ascii="Times New Roman" w:hAnsi="Times New Roman" w:cs="Times New Roman" w:eastAsia="Times New Roman" w:hint="default"/>
                <w:sz w:val="18"/>
                <w:szCs w:val="18"/>
              </w:rPr>
            </w:pPr>
            <w:r>
              <w:rPr>
                <w:rFonts w:ascii="Times New Roman"/>
                <w:sz w:val="18"/>
              </w:rPr>
              <w:t>0.00</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-6,083.4</w:t>
            </w:r>
            <w:r>
              <w:rPr>
                <w:rFonts w:ascii="Times New Roman"/>
                <w:sz w:val="18"/>
              </w:rPr>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33" w:type="dxa"/>
            <w:tcBorders>
              <w:top w:val="single" w:sz="4" w:space="0" w:color="000000"/>
              <w:left w:val="single" w:sz="4" w:space="0" w:color="000000"/>
              <w:bottom w:val="single" w:sz="4" w:space="0" w:color="000000"/>
              <w:right w:val="single" w:sz="4" w:space="0" w:color="000000"/>
            </w:tcBorders>
          </w:tcPr>
          <w:p>
            <w:pPr/>
          </w:p>
        </w:tc>
        <w:tc>
          <w:tcPr>
            <w:tcW w:w="72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65"/>
              <w:jc w:val="right"/>
              <w:rPr>
                <w:rFonts w:ascii="Times New Roman" w:hAnsi="Times New Roman" w:cs="Times New Roman" w:eastAsia="Times New Roman" w:hint="default"/>
                <w:sz w:val="18"/>
                <w:szCs w:val="18"/>
              </w:rPr>
            </w:pPr>
            <w:r>
              <w:rPr>
                <w:rFonts w:ascii="Times New Roman"/>
                <w:sz w:val="18"/>
              </w:rPr>
              <w:t>--</w:t>
            </w:r>
          </w:p>
        </w:tc>
        <w:tc>
          <w:tcPr>
            <w:tcW w:w="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575,300</w:t>
            </w:r>
          </w:p>
          <w:p>
            <w:pPr>
              <w:pStyle w:val="TableParagraph"/>
              <w:spacing w:line="240" w:lineRule="auto" w:before="105"/>
              <w:ind w:left="88" w:right="0"/>
              <w:jc w:val="left"/>
              <w:rPr>
                <w:rFonts w:ascii="Times New Roman" w:hAnsi="Times New Roman" w:cs="Times New Roman" w:eastAsia="Times New Roman" w:hint="default"/>
                <w:sz w:val="18"/>
                <w:szCs w:val="18"/>
              </w:rPr>
            </w:pPr>
            <w:r>
              <w:rPr>
                <w:rFonts w:ascii="Times New Roman"/>
                <w:sz w:val="18"/>
              </w:rPr>
              <w:t>,000.00</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67"/>
              <w:jc w:val="right"/>
              <w:rPr>
                <w:rFonts w:ascii="Times New Roman" w:hAnsi="Times New Roman" w:cs="Times New Roman" w:eastAsia="Times New Roman" w:hint="default"/>
                <w:sz w:val="18"/>
                <w:szCs w:val="18"/>
              </w:rPr>
            </w:pPr>
            <w:r>
              <w:rPr>
                <w:rFonts w:ascii="Times New Roman"/>
                <w:sz w:val="18"/>
              </w:rPr>
              <w:t>--</w:t>
            </w:r>
          </w:p>
        </w:tc>
        <w:tc>
          <w:tcPr>
            <w:tcW w:w="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63"/>
              <w:jc w:val="right"/>
              <w:rPr>
                <w:rFonts w:ascii="Times New Roman" w:hAnsi="Times New Roman" w:cs="Times New Roman" w:eastAsia="Times New Roman" w:hint="default"/>
                <w:sz w:val="18"/>
                <w:szCs w:val="18"/>
              </w:rPr>
            </w:pPr>
            <w:r>
              <w:rPr>
                <w:rFonts w:ascii="Times New Roman"/>
                <w:sz w:val="18"/>
              </w:rPr>
              <w:t>--</w:t>
            </w:r>
          </w:p>
        </w:tc>
        <w:tc>
          <w:tcPr>
            <w:tcW w:w="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5" w:right="0"/>
              <w:jc w:val="left"/>
              <w:rPr>
                <w:rFonts w:ascii="Times New Roman" w:hAnsi="Times New Roman" w:cs="Times New Roman" w:eastAsia="Times New Roman" w:hint="default"/>
                <w:sz w:val="18"/>
                <w:szCs w:val="18"/>
              </w:rPr>
            </w:pPr>
            <w:r>
              <w:rPr>
                <w:rFonts w:ascii="Times New Roman"/>
                <w:sz w:val="18"/>
              </w:rPr>
              <w:t>36,000,</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000.00</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 w:right="0"/>
              <w:jc w:val="left"/>
              <w:rPr>
                <w:rFonts w:ascii="Times New Roman" w:hAnsi="Times New Roman" w:cs="Times New Roman" w:eastAsia="Times New Roman" w:hint="default"/>
                <w:sz w:val="18"/>
                <w:szCs w:val="18"/>
              </w:rPr>
            </w:pPr>
            <w:r>
              <w:rPr>
                <w:rFonts w:ascii="Times New Roman"/>
                <w:sz w:val="18"/>
              </w:rPr>
              <w:t>20,909,1</w:t>
            </w:r>
          </w:p>
          <w:p>
            <w:pPr>
              <w:pStyle w:val="TableParagraph"/>
              <w:spacing w:line="240" w:lineRule="auto" w:before="105"/>
              <w:ind w:left="301" w:right="0"/>
              <w:jc w:val="left"/>
              <w:rPr>
                <w:rFonts w:ascii="Times New Roman" w:hAnsi="Times New Roman" w:cs="Times New Roman" w:eastAsia="Times New Roman" w:hint="default"/>
                <w:sz w:val="18"/>
                <w:szCs w:val="18"/>
              </w:rPr>
            </w:pPr>
            <w:r>
              <w:rPr>
                <w:rFonts w:ascii="Times New Roman"/>
                <w:sz w:val="18"/>
              </w:rPr>
              <w:t>95.25</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bookmarkStart w:name="3、报告期内正在进行的重大的非股权投资情况" w:id="46"/>
      <w:bookmarkEnd w:id="46"/>
      <w:r>
        <w:rPr>
          <w:b w:val="0"/>
          <w:bCs w:val="0"/>
        </w:rPr>
      </w: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0"/>
        <w:jc w:val="left"/>
      </w:pPr>
      <w:r>
        <w:rPr/>
        <w:t>□ 适用 √ 不适用</w:t>
      </w:r>
    </w:p>
    <w:p>
      <w:pPr>
        <w:spacing w:line="240" w:lineRule="auto" w:before="10"/>
        <w:rPr>
          <w:rFonts w:ascii="宋体" w:hAnsi="宋体" w:cs="宋体" w:eastAsia="宋体" w:hint="default"/>
          <w:sz w:val="26"/>
          <w:szCs w:val="26"/>
        </w:rPr>
      </w:pPr>
    </w:p>
    <w:p>
      <w:pPr>
        <w:pStyle w:val="Heading5"/>
        <w:spacing w:line="240" w:lineRule="auto"/>
        <w:ind w:right="0"/>
        <w:jc w:val="left"/>
        <w:rPr>
          <w:b w:val="0"/>
          <w:bCs w:val="0"/>
        </w:rPr>
      </w:pPr>
      <w:bookmarkStart w:name="4、以公允价值计量的金融资产" w:id="47"/>
      <w:bookmarkEnd w:id="47"/>
      <w:r>
        <w:rPr>
          <w:b w:val="0"/>
          <w:bCs w:val="0"/>
        </w:rPr>
      </w:r>
      <w:r>
        <w:rPr>
          <w:rFonts w:ascii="Times New Roman" w:hAnsi="Times New Roman" w:cs="Times New Roman" w:eastAsia="Times New Roman" w:hint="default"/>
        </w:rPr>
        <w:t>4</w:t>
      </w:r>
      <w:r>
        <w:rPr/>
        <w:t>、以公允价值计量的金融资产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0"/>
        <w:jc w:val="left"/>
      </w:pPr>
      <w:r>
        <w:rPr/>
        <w:t>□ 适用 √ 不适用</w:t>
      </w:r>
    </w:p>
    <w:p>
      <w:pPr>
        <w:spacing w:after="0" w:line="240" w:lineRule="auto"/>
        <w:jc w:val="left"/>
        <w:sectPr>
          <w:pgSz w:w="11910" w:h="16840"/>
          <w:pgMar w:header="747" w:footer="979" w:top="1060" w:bottom="1160" w:left="980" w:right="980"/>
        </w:sectPr>
      </w:pPr>
    </w:p>
    <w:p>
      <w:pPr>
        <w:spacing w:line="240" w:lineRule="auto" w:before="9"/>
        <w:rPr>
          <w:rFonts w:ascii="宋体" w:hAnsi="宋体" w:cs="宋体" w:eastAsia="宋体" w:hint="default"/>
          <w:sz w:val="24"/>
          <w:szCs w:val="24"/>
        </w:rPr>
      </w:pPr>
    </w:p>
    <w:p>
      <w:pPr>
        <w:pStyle w:val="Heading5"/>
        <w:spacing w:line="240" w:lineRule="auto" w:before="35"/>
        <w:ind w:right="0"/>
        <w:jc w:val="left"/>
        <w:rPr>
          <w:b w:val="0"/>
          <w:bCs w:val="0"/>
        </w:rPr>
      </w:pPr>
      <w:bookmarkStart w:name="5、募集资金使用情况" w:id="48"/>
      <w:bookmarkEnd w:id="48"/>
      <w:r>
        <w:rPr>
          <w:b w:val="0"/>
          <w:bCs w:val="0"/>
        </w:rPr>
      </w:r>
      <w:r>
        <w:rPr>
          <w:rFonts w:ascii="Times New Roman" w:hAnsi="Times New Roman" w:cs="Times New Roman" w:eastAsia="Times New Roman" w:hint="default"/>
        </w:rPr>
        <w:t>5</w:t>
      </w:r>
      <w:r>
        <w:rPr/>
        <w:t>、募集资金使用情况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0"/>
        <w:jc w:val="left"/>
      </w:pPr>
      <w:r>
        <w:rPr/>
        <w:t>√ 适用 □ 不适用</w:t>
      </w:r>
    </w:p>
    <w:p>
      <w:pPr>
        <w:spacing w:line="240" w:lineRule="auto" w:before="10"/>
        <w:rPr>
          <w:rFonts w:ascii="宋体" w:hAnsi="宋体" w:cs="宋体" w:eastAsia="宋体" w:hint="default"/>
          <w:sz w:val="26"/>
          <w:szCs w:val="26"/>
        </w:rPr>
      </w:pPr>
    </w:p>
    <w:p>
      <w:pPr>
        <w:pStyle w:val="Heading5"/>
        <w:spacing w:line="240" w:lineRule="auto"/>
        <w:ind w:right="0"/>
        <w:jc w:val="left"/>
        <w:rPr>
          <w:b w:val="0"/>
          <w:bCs w:val="0"/>
        </w:rPr>
      </w:pPr>
      <w:bookmarkStart w:name="（1）募集资金总体使用情况" w:id="49"/>
      <w:bookmarkEnd w:id="49"/>
      <w:r>
        <w:rPr>
          <w:b w:val="0"/>
          <w:bCs w:val="0"/>
        </w:rPr>
      </w: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right="0"/>
        <w:jc w:val="left"/>
      </w:pPr>
      <w:r>
        <w:rPr/>
        <w:t>√ 适用 □ 不适用</w:t>
      </w:r>
    </w:p>
    <w:p>
      <w:pPr>
        <w:pStyle w:val="BodyText"/>
        <w:spacing w:line="240" w:lineRule="auto" w:before="116"/>
        <w:ind w:left="0" w:right="150"/>
        <w:jc w:val="right"/>
      </w:pPr>
      <w:r>
        <w:rPr/>
        <w:t>单位：万元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866"/>
        <w:gridCol w:w="870"/>
        <w:gridCol w:w="870"/>
        <w:gridCol w:w="870"/>
        <w:gridCol w:w="870"/>
        <w:gridCol w:w="869"/>
        <w:gridCol w:w="870"/>
        <w:gridCol w:w="870"/>
        <w:gridCol w:w="870"/>
        <w:gridCol w:w="870"/>
        <w:gridCol w:w="869"/>
      </w:tblGrid>
      <w:tr>
        <w:trPr>
          <w:trHeight w:val="1338" w:hRule="exact"/>
        </w:trPr>
        <w:tc>
          <w:tcPr>
            <w:tcW w:w="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募集年份</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募集方式</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49" w:right="68" w:hanging="180"/>
              <w:jc w:val="left"/>
              <w:rPr>
                <w:rFonts w:ascii="宋体" w:hAnsi="宋体" w:cs="宋体" w:eastAsia="宋体" w:hint="default"/>
                <w:sz w:val="18"/>
                <w:szCs w:val="18"/>
              </w:rPr>
            </w:pPr>
            <w:r>
              <w:rPr>
                <w:rFonts w:ascii="宋体" w:hAnsi="宋体" w:cs="宋体" w:eastAsia="宋体" w:hint="default"/>
                <w:sz w:val="18"/>
                <w:szCs w:val="18"/>
              </w:rPr>
              <w:t>募集资金 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9" w:right="68"/>
              <w:jc w:val="both"/>
              <w:rPr>
                <w:rFonts w:ascii="宋体" w:hAnsi="宋体" w:cs="宋体" w:eastAsia="宋体" w:hint="default"/>
                <w:sz w:val="18"/>
                <w:szCs w:val="18"/>
              </w:rPr>
            </w:pPr>
            <w:r>
              <w:rPr>
                <w:rFonts w:ascii="宋体" w:hAnsi="宋体" w:cs="宋体" w:eastAsia="宋体" w:hint="default"/>
                <w:sz w:val="18"/>
                <w:szCs w:val="18"/>
              </w:rPr>
              <w:t>本期已使 用募集资 金总额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9" w:right="69"/>
              <w:jc w:val="both"/>
              <w:rPr>
                <w:rFonts w:ascii="宋体" w:hAnsi="宋体" w:cs="宋体" w:eastAsia="宋体" w:hint="default"/>
                <w:sz w:val="18"/>
                <w:szCs w:val="18"/>
              </w:rPr>
            </w:pPr>
            <w:r>
              <w:rPr>
                <w:rFonts w:ascii="宋体" w:hAnsi="宋体" w:cs="宋体" w:eastAsia="宋体" w:hint="default"/>
                <w:sz w:val="18"/>
                <w:szCs w:val="18"/>
              </w:rPr>
              <w:t>已累计使 用募集资 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8" w:right="68"/>
              <w:jc w:val="both"/>
              <w:rPr>
                <w:rFonts w:ascii="宋体" w:hAnsi="宋体" w:cs="宋体" w:eastAsia="宋体" w:hint="default"/>
                <w:sz w:val="18"/>
                <w:szCs w:val="18"/>
              </w:rPr>
            </w:pPr>
            <w:r>
              <w:rPr>
                <w:rFonts w:ascii="宋体" w:hAnsi="宋体" w:cs="宋体" w:eastAsia="宋体" w:hint="default"/>
                <w:sz w:val="18"/>
                <w:szCs w:val="18"/>
              </w:rPr>
              <w:t>报告期内 变更用途 的募集资 金总额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9" w:right="68"/>
              <w:jc w:val="center"/>
              <w:rPr>
                <w:rFonts w:ascii="宋体" w:hAnsi="宋体" w:cs="宋体" w:eastAsia="宋体" w:hint="default"/>
                <w:sz w:val="18"/>
                <w:szCs w:val="18"/>
              </w:rPr>
            </w:pPr>
            <w:r>
              <w:rPr>
                <w:rFonts w:ascii="宋体" w:hAnsi="宋体" w:cs="宋体" w:eastAsia="宋体" w:hint="default"/>
                <w:sz w:val="18"/>
                <w:szCs w:val="18"/>
              </w:rPr>
              <w:t>累计变更 用途的募 集资金总 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9" w:right="68"/>
              <w:jc w:val="both"/>
              <w:rPr>
                <w:rFonts w:ascii="宋体" w:hAnsi="宋体" w:cs="宋体" w:eastAsia="宋体" w:hint="default"/>
                <w:sz w:val="18"/>
                <w:szCs w:val="18"/>
              </w:rPr>
            </w:pPr>
            <w:r>
              <w:rPr>
                <w:rFonts w:ascii="宋体" w:hAnsi="宋体" w:cs="宋体" w:eastAsia="宋体" w:hint="default"/>
                <w:sz w:val="18"/>
                <w:szCs w:val="18"/>
              </w:rPr>
              <w:t>累计变更 用途的募 集资金总 额比例</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9" w:right="68"/>
              <w:jc w:val="center"/>
              <w:rPr>
                <w:rFonts w:ascii="宋体" w:hAnsi="宋体" w:cs="宋体" w:eastAsia="宋体" w:hint="default"/>
                <w:sz w:val="18"/>
                <w:szCs w:val="18"/>
              </w:rPr>
            </w:pPr>
            <w:r>
              <w:rPr>
                <w:rFonts w:ascii="宋体" w:hAnsi="宋体" w:cs="宋体" w:eastAsia="宋体" w:hint="default"/>
                <w:sz w:val="18"/>
                <w:szCs w:val="18"/>
              </w:rPr>
              <w:t>尚未使用 募集资金 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9" w:right="68"/>
              <w:jc w:val="center"/>
              <w:rPr>
                <w:rFonts w:ascii="宋体" w:hAnsi="宋体" w:cs="宋体" w:eastAsia="宋体" w:hint="default"/>
                <w:sz w:val="18"/>
                <w:szCs w:val="18"/>
              </w:rPr>
            </w:pPr>
            <w:r>
              <w:rPr>
                <w:rFonts w:ascii="宋体" w:hAnsi="宋体" w:cs="宋体" w:eastAsia="宋体" w:hint="default"/>
                <w:sz w:val="18"/>
                <w:szCs w:val="18"/>
              </w:rPr>
              <w:t>尚未使用 募集资金 用途及去 向</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8" w:right="68"/>
              <w:jc w:val="both"/>
              <w:rPr>
                <w:rFonts w:ascii="宋体" w:hAnsi="宋体" w:cs="宋体" w:eastAsia="宋体" w:hint="default"/>
                <w:sz w:val="18"/>
                <w:szCs w:val="18"/>
              </w:rPr>
            </w:pPr>
            <w:r>
              <w:rPr>
                <w:rFonts w:ascii="宋体" w:hAnsi="宋体" w:cs="宋体" w:eastAsia="宋体" w:hint="default"/>
                <w:sz w:val="18"/>
                <w:szCs w:val="18"/>
              </w:rPr>
              <w:t>闲置两年 以上募集 资金金额</w:t>
            </w:r>
          </w:p>
        </w:tc>
      </w:tr>
      <w:tr>
        <w:trPr>
          <w:trHeight w:val="3834"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left="22" w:right="0"/>
              <w:jc w:val="left"/>
              <w:rPr>
                <w:rFonts w:ascii="Times New Roman" w:hAnsi="Times New Roman" w:cs="Times New Roman" w:eastAsia="Times New Roman" w:hint="default"/>
                <w:sz w:val="18"/>
                <w:szCs w:val="18"/>
              </w:rPr>
            </w:pPr>
            <w:r>
              <w:rPr>
                <w:rFonts w:ascii="Times New Roman"/>
                <w:sz w:val="18"/>
              </w:rPr>
              <w:t>2015</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8"/>
              <w:ind w:right="92"/>
              <w:jc w:val="center"/>
              <w:rPr>
                <w:rFonts w:ascii="宋体" w:hAnsi="宋体" w:cs="宋体" w:eastAsia="宋体" w:hint="default"/>
                <w:sz w:val="18"/>
                <w:szCs w:val="18"/>
              </w:rPr>
            </w:pPr>
            <w:r>
              <w:rPr>
                <w:rFonts w:ascii="宋体" w:hAnsi="宋体" w:cs="宋体" w:eastAsia="宋体" w:hint="default"/>
                <w:sz w:val="18"/>
                <w:szCs w:val="18"/>
              </w:rPr>
              <w:t>公开发行</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left="93" w:right="0"/>
              <w:jc w:val="center"/>
              <w:rPr>
                <w:rFonts w:ascii="Times New Roman" w:hAnsi="Times New Roman" w:cs="Times New Roman" w:eastAsia="Times New Roman" w:hint="default"/>
                <w:sz w:val="18"/>
                <w:szCs w:val="18"/>
              </w:rPr>
            </w:pPr>
            <w:r>
              <w:rPr>
                <w:rFonts w:ascii="Times New Roman"/>
                <w:sz w:val="18"/>
              </w:rPr>
              <w:t>21,303.47</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right="21"/>
              <w:jc w:val="right"/>
              <w:rPr>
                <w:rFonts w:ascii="Times New Roman" w:hAnsi="Times New Roman" w:cs="Times New Roman" w:eastAsia="Times New Roman" w:hint="default"/>
                <w:sz w:val="18"/>
                <w:szCs w:val="18"/>
              </w:rPr>
            </w:pPr>
            <w:r>
              <w:rPr>
                <w:rFonts w:ascii="Times New Roman"/>
                <w:sz w:val="18"/>
              </w:rPr>
              <w:t>8,235.88</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left="92" w:right="0"/>
              <w:jc w:val="center"/>
              <w:rPr>
                <w:rFonts w:ascii="Times New Roman" w:hAnsi="Times New Roman" w:cs="Times New Roman" w:eastAsia="Times New Roman" w:hint="default"/>
                <w:sz w:val="18"/>
                <w:szCs w:val="18"/>
              </w:rPr>
            </w:pPr>
            <w:r>
              <w:rPr>
                <w:rFonts w:ascii="Times New Roman"/>
                <w:sz w:val="18"/>
              </w:rPr>
              <w:t>17,610.35</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right="21"/>
              <w:jc w:val="right"/>
              <w:rPr>
                <w:rFonts w:ascii="Times New Roman" w:hAnsi="Times New Roman" w:cs="Times New Roman" w:eastAsia="Times New Roman" w:hint="default"/>
                <w:sz w:val="18"/>
                <w:szCs w:val="18"/>
              </w:rPr>
            </w:pPr>
            <w:r>
              <w:rPr>
                <w:rFonts w:ascii="Times New Roman"/>
                <w:sz w:val="18"/>
              </w:rPr>
              <w:t>4,007.19</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1"/>
              <w:jc w:val="both"/>
              <w:rPr>
                <w:rFonts w:ascii="宋体" w:hAnsi="宋体" w:cs="宋体" w:eastAsia="宋体" w:hint="default"/>
                <w:sz w:val="18"/>
                <w:szCs w:val="18"/>
              </w:rPr>
            </w:pPr>
            <w:r>
              <w:rPr>
                <w:rFonts w:ascii="宋体" w:hAnsi="宋体" w:cs="宋体" w:eastAsia="宋体" w:hint="default"/>
                <w:sz w:val="18"/>
                <w:szCs w:val="18"/>
              </w:rPr>
              <w:t>公司截至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 尚未使用 的募集资 金存放在 募集资金 专户和通 知存款的 形式存放 在募集资 金开户银 行</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81" w:right="0"/>
              <w:jc w:val="center"/>
              <w:rPr>
                <w:rFonts w:ascii="Times New Roman" w:hAnsi="Times New Roman" w:cs="Times New Roman" w:eastAsia="Times New Roman" w:hint="default"/>
                <w:sz w:val="18"/>
                <w:szCs w:val="18"/>
              </w:rPr>
            </w:pPr>
            <w:r>
              <w:rPr>
                <w:rFonts w:ascii="Times New Roman"/>
                <w:sz w:val="18"/>
              </w:rPr>
              <w:t>21,303.47</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8,235.88</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2" w:right="0"/>
              <w:jc w:val="center"/>
              <w:rPr>
                <w:rFonts w:ascii="Times New Roman" w:hAnsi="Times New Roman" w:cs="Times New Roman" w:eastAsia="Times New Roman" w:hint="default"/>
                <w:sz w:val="18"/>
                <w:szCs w:val="18"/>
              </w:rPr>
            </w:pPr>
            <w:r>
              <w:rPr>
                <w:rFonts w:ascii="Times New Roman"/>
                <w:sz w:val="18"/>
              </w:rPr>
              <w:t>17,610.35</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4,007.19</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9564"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4458" w:hRule="exact"/>
        </w:trPr>
        <w:tc>
          <w:tcPr>
            <w:tcW w:w="9564" w:type="dxa"/>
            <w:gridSpan w:val="11"/>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2"/>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一</w:t>
            </w:r>
            <w:r>
              <w:rPr>
                <w:rFonts w:ascii="Times New Roman" w:hAnsi="Times New Roman" w:cs="Times New Roman" w:eastAsia="Times New Roman" w:hint="default"/>
                <w:sz w:val="18"/>
                <w:szCs w:val="18"/>
              </w:rPr>
              <w:t>) </w:t>
            </w:r>
            <w:r>
              <w:rPr>
                <w:rFonts w:ascii="宋体" w:hAnsi="宋体" w:cs="宋体" w:eastAsia="宋体" w:hint="default"/>
                <w:sz w:val="18"/>
                <w:szCs w:val="18"/>
              </w:rPr>
              <w:t>实际募集资金金额和资金到账时间经中国证券监督管理委员会证监许可〔</w:t>
            </w:r>
            <w:r>
              <w:rPr>
                <w:rFonts w:ascii="Times New Roman" w:hAnsi="Times New Roman" w:cs="Times New Roman" w:eastAsia="Times New Roman" w:hint="default"/>
                <w:sz w:val="18"/>
                <w:szCs w:val="18"/>
              </w:rPr>
              <w:t>2015</w:t>
            </w:r>
            <w:r>
              <w:rPr>
                <w:rFonts w:ascii="宋体" w:hAnsi="宋体" w:cs="宋体" w:eastAsia="宋体" w:hint="default"/>
                <w:sz w:val="18"/>
                <w:szCs w:val="18"/>
              </w:rPr>
              <w:t>〕</w:t>
            </w:r>
            <w:r>
              <w:rPr>
                <w:rFonts w:ascii="Times New Roman" w:hAnsi="Times New Roman" w:cs="Times New Roman" w:eastAsia="Times New Roman" w:hint="default"/>
                <w:sz w:val="18"/>
                <w:szCs w:val="18"/>
              </w:rPr>
              <w:t>957</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号文核准，并经贵所同意，本公</w:t>
            </w:r>
            <w:r>
              <w:rPr>
                <w:rFonts w:ascii="宋体" w:hAnsi="宋体" w:cs="宋体" w:eastAsia="宋体" w:hint="default"/>
                <w:w w:val="99"/>
                <w:sz w:val="18"/>
                <w:szCs w:val="18"/>
              </w:rPr>
              <w:t> </w:t>
            </w:r>
            <w:r>
              <w:rPr>
                <w:rFonts w:ascii="宋体" w:hAnsi="宋体" w:cs="宋体" w:eastAsia="宋体" w:hint="default"/>
                <w:sz w:val="18"/>
                <w:szCs w:val="18"/>
              </w:rPr>
              <w:t>司由主承销商中泰证券股份有限公司采用网下向询价对象询价配售和网上向社会公众投资者资金申购定价发行相结合的</w:t>
            </w:r>
            <w:r>
              <w:rPr>
                <w:rFonts w:ascii="宋体" w:hAnsi="宋体" w:cs="宋体" w:eastAsia="宋体" w:hint="default"/>
                <w:w w:val="99"/>
                <w:sz w:val="18"/>
                <w:szCs w:val="18"/>
              </w:rPr>
              <w:t> </w:t>
            </w:r>
            <w:r>
              <w:rPr>
                <w:rFonts w:ascii="宋体" w:hAnsi="宋体" w:cs="宋体" w:eastAsia="宋体" w:hint="default"/>
                <w:spacing w:val="-4"/>
                <w:sz w:val="18"/>
                <w:szCs w:val="18"/>
              </w:rPr>
              <w:t>方式，向社会公众公开发行人民币普通股（</w:t>
            </w:r>
            <w:r>
              <w:rPr>
                <w:rFonts w:ascii="Times New Roman" w:hAnsi="Times New Roman" w:cs="Times New Roman" w:eastAsia="Times New Roman" w:hint="default"/>
                <w:spacing w:val="-4"/>
                <w:sz w:val="18"/>
                <w:szCs w:val="18"/>
              </w:rPr>
              <w:t>A</w:t>
            </w:r>
            <w:r>
              <w:rPr>
                <w:rFonts w:ascii="Times New Roman" w:hAnsi="Times New Roman" w:cs="Times New Roman" w:eastAsia="Times New Roman" w:hint="default"/>
                <w:spacing w:val="4"/>
                <w:sz w:val="18"/>
                <w:szCs w:val="18"/>
              </w:rPr>
              <w:t> </w:t>
            </w:r>
            <w:r>
              <w:rPr>
                <w:rFonts w:ascii="宋体" w:hAnsi="宋体" w:cs="宋体" w:eastAsia="宋体" w:hint="default"/>
                <w:spacing w:val="-9"/>
                <w:sz w:val="18"/>
                <w:szCs w:val="18"/>
              </w:rPr>
              <w:t>股）股票</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1,667</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万股，发行价为每股人民币</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14.84</w:t>
            </w:r>
            <w:r>
              <w:rPr>
                <w:rFonts w:ascii="Times New Roman" w:hAnsi="Times New Roman" w:cs="Times New Roman" w:eastAsia="Times New Roman" w:hint="default"/>
                <w:spacing w:val="4"/>
                <w:sz w:val="18"/>
                <w:szCs w:val="18"/>
              </w:rPr>
              <w:t> </w:t>
            </w:r>
            <w:r>
              <w:rPr>
                <w:rFonts w:ascii="宋体" w:hAnsi="宋体" w:cs="宋体" w:eastAsia="宋体" w:hint="default"/>
                <w:spacing w:val="-5"/>
                <w:sz w:val="18"/>
                <w:szCs w:val="18"/>
              </w:rPr>
              <w:t>元，共计募集资金</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24,738.28</w:t>
            </w:r>
          </w:p>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万元，坐扣承销和保荐费用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1,779.06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万元后的募集资金为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22,959.22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年预付主承销商中泰证券股份有限</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公司承销及保荐费</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w:t>
            </w:r>
            <w:r>
              <w:rPr>
                <w:rFonts w:ascii="宋体" w:hAnsi="宋体" w:cs="宋体" w:eastAsia="宋体" w:hint="default"/>
                <w:sz w:val="18"/>
                <w:szCs w:val="18"/>
              </w:rPr>
              <w:t>故该承销费及保荐费未从募集资金中坐扣</w:t>
            </w:r>
            <w:r>
              <w:rPr>
                <w:rFonts w:ascii="Times New Roman" w:hAnsi="Times New Roman" w:cs="Times New Roman" w:eastAsia="Times New Roman" w:hint="default"/>
                <w:sz w:val="18"/>
                <w:szCs w:val="18"/>
              </w:rPr>
              <w:t>)</w:t>
            </w:r>
            <w:r>
              <w:rPr>
                <w:rFonts w:ascii="宋体" w:hAnsi="宋体" w:cs="宋体" w:eastAsia="宋体" w:hint="default"/>
                <w:sz w:val="18"/>
                <w:szCs w:val="18"/>
              </w:rPr>
              <w:t>，已由主承销商中泰证券股份有限公司于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日汇入本公司募集资金监管账户。另减除上网发行费、招股说明书印刷费、申报会计师费、律师费、评估费等与发行</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权益性证券直接相关的新增外部费用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1,455.75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万元和预付承销费及保荐费用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万元后，公司本次募集资金净额为</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21,303.47 </w:t>
            </w:r>
            <w:r>
              <w:rPr>
                <w:rFonts w:ascii="宋体" w:hAnsi="宋体" w:cs="宋体" w:eastAsia="宋体" w:hint="default"/>
                <w:sz w:val="18"/>
                <w:szCs w:val="18"/>
              </w:rPr>
              <w:t>万</w:t>
            </w:r>
            <w:r>
              <w:rPr>
                <w:rFonts w:ascii="宋体" w:hAnsi="宋体" w:cs="宋体" w:eastAsia="宋体" w:hint="default"/>
                <w:spacing w:val="-2"/>
                <w:sz w:val="18"/>
                <w:szCs w:val="18"/>
              </w:rPr>
              <w:t>元</w:t>
            </w:r>
            <w:r>
              <w:rPr>
                <w:rFonts w:ascii="宋体" w:hAnsi="宋体" w:cs="宋体" w:eastAsia="宋体" w:hint="default"/>
                <w:sz w:val="18"/>
                <w:szCs w:val="18"/>
              </w:rPr>
              <w:t>。上述募集资金到位情况业经天健会计师事务所（特殊普通合伙）验证，并由其出具《验资报告</w:t>
            </w:r>
            <w:r>
              <w:rPr>
                <w:rFonts w:ascii="宋体" w:hAnsi="宋体" w:cs="宋体" w:eastAsia="宋体" w:hint="default"/>
                <w:spacing w:val="-90"/>
                <w:sz w:val="18"/>
                <w:szCs w:val="18"/>
              </w:rPr>
              <w:t>》</w:t>
            </w:r>
            <w:r>
              <w:rPr>
                <w:rFonts w:ascii="宋体" w:hAnsi="宋体" w:cs="宋体" w:eastAsia="宋体" w:hint="default"/>
                <w:sz w:val="18"/>
                <w:szCs w:val="18"/>
              </w:rPr>
              <w:t>（天健验</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2015</w:t>
            </w:r>
            <w:r>
              <w:rPr>
                <w:rFonts w:ascii="宋体" w:hAnsi="宋体" w:cs="宋体" w:eastAsia="宋体" w:hint="default"/>
                <w:spacing w:val="-81"/>
                <w:sz w:val="18"/>
                <w:szCs w:val="18"/>
              </w:rPr>
              <w:t>〕</w:t>
            </w:r>
            <w:r>
              <w:rPr>
                <w:rFonts w:ascii="Times New Roman" w:hAnsi="Times New Roman" w:cs="Times New Roman" w:eastAsia="Times New Roman" w:hint="default"/>
                <w:sz w:val="18"/>
                <w:szCs w:val="18"/>
              </w:rPr>
              <w:t>177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90"/>
                <w:sz w:val="18"/>
                <w:szCs w:val="18"/>
              </w:rPr>
              <w:t>）</w:t>
            </w:r>
            <w:r>
              <w:rPr>
                <w:rFonts w:ascii="宋体" w:hAnsi="宋体" w:cs="宋体" w:eastAsia="宋体" w:hint="default"/>
                <w:spacing w:val="-81"/>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二</w:t>
            </w:r>
            <w:r>
              <w:rPr>
                <w:rFonts w:ascii="Times New Roman" w:hAnsi="Times New Roman" w:cs="Times New Roman" w:eastAsia="Times New Roman" w:hint="default"/>
                <w:sz w:val="18"/>
                <w:szCs w:val="18"/>
              </w:rPr>
              <w:t>)  </w:t>
            </w:r>
            <w:r>
              <w:rPr>
                <w:rFonts w:ascii="宋体" w:hAnsi="宋体" w:cs="宋体" w:eastAsia="宋体" w:hint="default"/>
                <w:sz w:val="18"/>
                <w:szCs w:val="18"/>
              </w:rPr>
              <w:t>募集资</w:t>
            </w:r>
            <w:r>
              <w:rPr>
                <w:rFonts w:ascii="宋体" w:hAnsi="宋体" w:cs="宋体" w:eastAsia="宋体" w:hint="default"/>
                <w:spacing w:val="-2"/>
                <w:sz w:val="18"/>
                <w:szCs w:val="18"/>
              </w:rPr>
              <w:t>金</w:t>
            </w:r>
            <w:r>
              <w:rPr>
                <w:rFonts w:ascii="宋体" w:hAnsi="宋体" w:cs="宋体" w:eastAsia="宋体" w:hint="default"/>
                <w:sz w:val="18"/>
                <w:szCs w:val="18"/>
              </w:rPr>
              <w:t>使用和结余情况本公司以前年度已使用募集资金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9,374.</w:t>
            </w:r>
            <w:r>
              <w:rPr>
                <w:rFonts w:ascii="Times New Roman" w:hAnsi="Times New Roman" w:cs="Times New Roman" w:eastAsia="Times New Roman" w:hint="default"/>
                <w:spacing w:val="-2"/>
                <w:sz w:val="18"/>
                <w:szCs w:val="18"/>
              </w:rPr>
              <w:t>4</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r>
              <w:rPr>
                <w:rFonts w:ascii="宋体" w:hAnsi="宋体" w:cs="宋体" w:eastAsia="宋体" w:hint="default"/>
                <w:spacing w:val="-81"/>
                <w:sz w:val="18"/>
                <w:szCs w:val="18"/>
              </w:rPr>
              <w:t>元</w:t>
            </w:r>
            <w:r>
              <w:rPr>
                <w:rFonts w:ascii="宋体" w:hAnsi="宋体" w:cs="宋体" w:eastAsia="宋体" w:hint="default"/>
                <w:sz w:val="18"/>
                <w:szCs w:val="18"/>
              </w:rPr>
              <w:t>（包括募投项目投入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9,368.</w:t>
            </w:r>
            <w:r>
              <w:rPr>
                <w:rFonts w:ascii="Times New Roman" w:hAnsi="Times New Roman" w:cs="Times New Roman" w:eastAsia="Times New Roman" w:hint="default"/>
                <w:spacing w:val="1"/>
                <w:sz w:val="18"/>
                <w:szCs w:val="18"/>
              </w:rPr>
              <w:t>9</w:t>
            </w:r>
            <w:r>
              <w:rPr>
                <w:rFonts w:ascii="Times New Roman" w:hAnsi="Times New Roman" w:cs="Times New Roman" w:eastAsia="Times New Roman" w:hint="default"/>
                <w:sz w:val="18"/>
                <w:szCs w:val="18"/>
              </w:rPr>
              <w:t>7</w:t>
            </w:r>
          </w:p>
          <w:p>
            <w:pPr>
              <w:pStyle w:val="TableParagraph"/>
              <w:spacing w:line="300" w:lineRule="auto" w:before="63"/>
              <w:ind w:left="22" w:right="34"/>
              <w:jc w:val="both"/>
              <w:rPr>
                <w:rFonts w:ascii="宋体" w:hAnsi="宋体" w:cs="宋体" w:eastAsia="宋体" w:hint="default"/>
                <w:sz w:val="18"/>
                <w:szCs w:val="18"/>
              </w:rPr>
            </w:pPr>
            <w:r>
              <w:rPr>
                <w:rFonts w:ascii="宋体" w:hAnsi="宋体" w:cs="宋体" w:eastAsia="宋体" w:hint="default"/>
                <w:sz w:val="18"/>
                <w:szCs w:val="18"/>
              </w:rPr>
              <w:t>万元和支付的工程押金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5.50 </w:t>
            </w:r>
            <w:r>
              <w:rPr>
                <w:rFonts w:ascii="宋体" w:hAnsi="宋体" w:cs="宋体" w:eastAsia="宋体" w:hint="default"/>
                <w:spacing w:val="-7"/>
                <w:sz w:val="18"/>
                <w:szCs w:val="18"/>
              </w:rPr>
              <w:t>万元），用于暂时补充流动资金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6,000 </w:t>
            </w:r>
            <w:r>
              <w:rPr>
                <w:rFonts w:ascii="宋体" w:hAnsi="宋体" w:cs="宋体" w:eastAsia="宋体" w:hint="default"/>
                <w:sz w:val="18"/>
                <w:szCs w:val="18"/>
              </w:rPr>
              <w:t>万元，以前年度收到的银行存款利息扣除银行手续费等</w:t>
            </w:r>
            <w:r>
              <w:rPr>
                <w:rFonts w:ascii="宋体" w:hAnsi="宋体" w:cs="宋体" w:eastAsia="宋体" w:hint="default"/>
                <w:spacing w:val="-88"/>
                <w:sz w:val="18"/>
                <w:szCs w:val="18"/>
              </w:rPr>
              <w:t> </w:t>
            </w:r>
            <w:r>
              <w:rPr>
                <w:rFonts w:ascii="宋体" w:hAnsi="宋体" w:cs="宋体" w:eastAsia="宋体" w:hint="default"/>
                <w:sz w:val="18"/>
                <w:szCs w:val="18"/>
              </w:rPr>
              <w:t>的净额为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216.91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年度实际使用募集资金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8,235.88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年发生均系募投项目投入，收回以前年度用于暂 时补充流动资金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年度收到的银行存款利息扣除银行手续费等的净额为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97.16 </w:t>
            </w:r>
            <w:r>
              <w:rPr>
                <w:rFonts w:ascii="宋体" w:hAnsi="宋体" w:cs="宋体" w:eastAsia="宋体" w:hint="default"/>
                <w:sz w:val="18"/>
                <w:szCs w:val="18"/>
              </w:rPr>
              <w:t>万元；累计已使用募集资金</w:t>
            </w:r>
          </w:p>
          <w:p>
            <w:pPr>
              <w:pStyle w:val="TableParagraph"/>
              <w:spacing w:line="240" w:lineRule="auto" w:before="1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17,610.35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万元，累计收到的银行存款利息扣除银行手续费等的净额为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314.07</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万元。截至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日，募集资金余</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额为人民币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4,007.19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万元（包括累计收到的银行存款利息扣除银行手续费等的净额</w:t>
            </w:r>
            <w:r>
              <w:rPr>
                <w:rFonts w:ascii="宋体" w:hAnsi="宋体" w:cs="宋体" w:eastAsia="宋体" w:hint="default"/>
                <w:spacing w:val="-90"/>
                <w:sz w:val="18"/>
                <w:szCs w:val="18"/>
              </w:rPr>
              <w:t>）</w:t>
            </w:r>
            <w:r>
              <w:rPr>
                <w:rFonts w:ascii="宋体" w:hAnsi="宋体" w:cs="宋体" w:eastAsia="宋体" w:hint="default"/>
                <w:sz w:val="18"/>
                <w:szCs w:val="18"/>
              </w:rPr>
              <w:t>。</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10"/>
        <w:rPr>
          <w:rFonts w:ascii="宋体" w:hAnsi="宋体" w:cs="宋体" w:eastAsia="宋体" w:hint="default"/>
          <w:sz w:val="24"/>
          <w:szCs w:val="24"/>
        </w:rPr>
      </w:pPr>
    </w:p>
    <w:p>
      <w:pPr>
        <w:pStyle w:val="Heading5"/>
        <w:spacing w:line="240" w:lineRule="auto" w:before="35"/>
        <w:ind w:right="0"/>
        <w:jc w:val="left"/>
        <w:rPr>
          <w:b w:val="0"/>
          <w:bCs w:val="0"/>
        </w:rPr>
      </w:pPr>
      <w:bookmarkStart w:name="（2）募集资金承诺项目情况" w:id="50"/>
      <w:bookmarkEnd w:id="50"/>
      <w:r>
        <w:rPr>
          <w:b w:val="0"/>
          <w:bCs w:val="0"/>
        </w:rPr>
      </w: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right="0"/>
        <w:jc w:val="left"/>
      </w:pPr>
      <w:r>
        <w:rPr/>
        <w:t>√ 适用 □ 不适用</w:t>
      </w:r>
    </w:p>
    <w:p>
      <w:pPr>
        <w:pStyle w:val="BodyText"/>
        <w:spacing w:line="240" w:lineRule="auto" w:before="116"/>
        <w:ind w:left="0" w:right="150"/>
        <w:jc w:val="right"/>
      </w:pPr>
      <w:r>
        <w:rPr/>
        <w:t>单位：万元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8"/>
          <w:szCs w:val="18"/>
        </w:rPr>
      </w:pPr>
    </w:p>
    <w:p>
      <w:pPr>
        <w:pStyle w:val="BodyText"/>
        <w:spacing w:line="240" w:lineRule="auto" w:before="0"/>
        <w:ind w:left="0" w:right="161"/>
        <w:jc w:val="right"/>
      </w:pPr>
      <w:r>
        <w:rPr/>
        <w:pict>
          <v:shape style="position:absolute;margin-left:56.459999pt;margin-top:-556.548279pt;width:479.2pt;height:619pt;mso-position-horizontal-relative:page;mso-position-vertical-relative:paragraph;z-index:11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70"/>
                    <w:gridCol w:w="779"/>
                    <w:gridCol w:w="780"/>
                    <w:gridCol w:w="780"/>
                    <w:gridCol w:w="779"/>
                    <w:gridCol w:w="780"/>
                    <w:gridCol w:w="780"/>
                    <w:gridCol w:w="780"/>
                    <w:gridCol w:w="780"/>
                    <w:gridCol w:w="780"/>
                    <w:gridCol w:w="780"/>
                  </w:tblGrid>
                  <w:tr>
                    <w:trPr>
                      <w:trHeight w:val="1338"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520" w:right="69" w:hanging="451"/>
                          <w:jc w:val="left"/>
                          <w:rPr>
                            <w:rFonts w:ascii="宋体" w:hAnsi="宋体" w:cs="宋体" w:eastAsia="宋体" w:hint="default"/>
                            <w:sz w:val="18"/>
                            <w:szCs w:val="18"/>
                          </w:rPr>
                        </w:pPr>
                        <w:r>
                          <w:rPr>
                            <w:rFonts w:ascii="宋体" w:hAnsi="宋体" w:cs="宋体" w:eastAsia="宋体" w:hint="default"/>
                            <w:sz w:val="18"/>
                            <w:szCs w:val="18"/>
                          </w:rPr>
                          <w:t>承诺投资项目和超募 资金投向</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1"/>
                          <w:ind w:left="24"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是否已变 更项目 </w:t>
                        </w:r>
                        <w:r>
                          <w:rPr>
                            <w:rFonts w:ascii="Times New Roman" w:hAnsi="Times New Roman" w:cs="Times New Roman" w:eastAsia="Times New Roman" w:hint="default"/>
                            <w:sz w:val="18"/>
                            <w:szCs w:val="18"/>
                          </w:rPr>
                          <w:t>(</w:t>
                        </w:r>
                        <w:r>
                          <w:rPr>
                            <w:rFonts w:ascii="宋体" w:hAnsi="宋体" w:cs="宋体" w:eastAsia="宋体" w:hint="default"/>
                            <w:sz w:val="18"/>
                            <w:szCs w:val="18"/>
                          </w:rPr>
                          <w:t>含部分 变更</w:t>
                        </w:r>
                        <w:r>
                          <w:rPr>
                            <w:rFonts w:ascii="Times New Roman" w:hAnsi="Times New Roman" w:cs="Times New Roman" w:eastAsia="Times New Roman" w:hint="default"/>
                            <w:sz w:val="18"/>
                            <w:szCs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4" w:right="24"/>
                          <w:jc w:val="center"/>
                          <w:rPr>
                            <w:rFonts w:ascii="宋体" w:hAnsi="宋体" w:cs="宋体" w:eastAsia="宋体" w:hint="default"/>
                            <w:sz w:val="18"/>
                            <w:szCs w:val="18"/>
                          </w:rPr>
                        </w:pPr>
                        <w:r>
                          <w:rPr>
                            <w:rFonts w:ascii="宋体" w:hAnsi="宋体" w:cs="宋体" w:eastAsia="宋体" w:hint="default"/>
                            <w:sz w:val="18"/>
                            <w:szCs w:val="18"/>
                          </w:rPr>
                          <w:t>募集资金 承诺投资 总额</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38" w:lineRule="auto"/>
                          <w:ind w:left="24" w:right="24"/>
                          <w:jc w:val="center"/>
                          <w:rPr>
                            <w:rFonts w:ascii="Times New Roman" w:hAnsi="Times New Roman" w:cs="Times New Roman" w:eastAsia="Times New Roman" w:hint="default"/>
                            <w:sz w:val="18"/>
                            <w:szCs w:val="18"/>
                          </w:rPr>
                        </w:pPr>
                        <w:r>
                          <w:rPr>
                            <w:rFonts w:ascii="宋体" w:hAnsi="宋体" w:cs="宋体" w:eastAsia="宋体" w:hint="default"/>
                            <w:sz w:val="18"/>
                            <w:szCs w:val="18"/>
                          </w:rPr>
                          <w:t>调整后投 资总额 </w:t>
                        </w:r>
                        <w:r>
                          <w:rPr>
                            <w:rFonts w:ascii="Times New Roman" w:hAnsi="Times New Roman" w:cs="Times New Roman" w:eastAsia="Times New Roman" w:hint="default"/>
                            <w:sz w:val="18"/>
                            <w:szCs w:val="18"/>
                          </w:rPr>
                          <w:t>(1)</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4" w:right="23"/>
                          <w:jc w:val="left"/>
                          <w:rPr>
                            <w:rFonts w:ascii="宋体" w:hAnsi="宋体" w:cs="宋体" w:eastAsia="宋体" w:hint="default"/>
                            <w:sz w:val="18"/>
                            <w:szCs w:val="18"/>
                          </w:rPr>
                        </w:pPr>
                        <w:r>
                          <w:rPr>
                            <w:rFonts w:ascii="宋体" w:hAnsi="宋体" w:cs="宋体" w:eastAsia="宋体" w:hint="default"/>
                            <w:sz w:val="18"/>
                            <w:szCs w:val="18"/>
                          </w:rPr>
                          <w:t>本报告期 投入金额</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5" w:right="23"/>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截至期末 累计投入 金额</w:t>
                        </w:r>
                        <w:r>
                          <w:rPr>
                            <w:rFonts w:ascii="Times New Roman" w:hAnsi="Times New Roman" w:cs="Times New Roman" w:eastAsia="Times New Roman" w:hint="default"/>
                            <w:sz w:val="18"/>
                            <w:szCs w:val="18"/>
                          </w:rPr>
                          <w:t>(2)</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51"/>
                          <w:ind w:left="25"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 投资进度 </w:t>
                        </w:r>
                        <w:r>
                          <w:rPr>
                            <w:rFonts w:ascii="Times New Roman" w:hAnsi="Times New Roman" w:cs="Times New Roman" w:eastAsia="Times New Roman" w:hint="default"/>
                            <w:sz w:val="18"/>
                            <w:szCs w:val="18"/>
                          </w:rPr>
                          <w:t>(3)</w:t>
                        </w:r>
                        <w:r>
                          <w:rPr>
                            <w:rFonts w:ascii="宋体" w:hAnsi="宋体" w:cs="宋体" w:eastAsia="宋体" w:hint="default"/>
                            <w:sz w:val="18"/>
                            <w:szCs w:val="18"/>
                          </w:rPr>
                          <w:t>＝ </w:t>
                        </w:r>
                        <w:r>
                          <w:rPr>
                            <w:rFonts w:ascii="Times New Roman" w:hAnsi="Times New Roman" w:cs="Times New Roman" w:eastAsia="Times New Roman" w:hint="default"/>
                            <w:sz w:val="18"/>
                            <w:szCs w:val="18"/>
                          </w:rPr>
                          <w:t>(2)/(1)</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5" w:right="23"/>
                          <w:jc w:val="center"/>
                          <w:rPr>
                            <w:rFonts w:ascii="宋体" w:hAnsi="宋体" w:cs="宋体" w:eastAsia="宋体" w:hint="default"/>
                            <w:sz w:val="18"/>
                            <w:szCs w:val="18"/>
                          </w:rPr>
                        </w:pPr>
                        <w:r>
                          <w:rPr>
                            <w:rFonts w:ascii="宋体" w:hAnsi="宋体" w:cs="宋体" w:eastAsia="宋体" w:hint="default"/>
                            <w:sz w:val="18"/>
                            <w:szCs w:val="18"/>
                          </w:rPr>
                          <w:t>项目达到 预定可使 用状态日 期</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5" w:right="23"/>
                          <w:jc w:val="center"/>
                          <w:rPr>
                            <w:rFonts w:ascii="宋体" w:hAnsi="宋体" w:cs="宋体" w:eastAsia="宋体" w:hint="default"/>
                            <w:sz w:val="18"/>
                            <w:szCs w:val="18"/>
                          </w:rPr>
                        </w:pPr>
                        <w:r>
                          <w:rPr>
                            <w:rFonts w:ascii="宋体" w:hAnsi="宋体" w:cs="宋体" w:eastAsia="宋体" w:hint="default"/>
                            <w:sz w:val="18"/>
                            <w:szCs w:val="18"/>
                          </w:rPr>
                          <w:t>本报告期 实现的效 益</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5" w:right="23"/>
                          <w:jc w:val="left"/>
                          <w:rPr>
                            <w:rFonts w:ascii="宋体" w:hAnsi="宋体" w:cs="宋体" w:eastAsia="宋体" w:hint="default"/>
                            <w:sz w:val="18"/>
                            <w:szCs w:val="18"/>
                          </w:rPr>
                        </w:pPr>
                        <w:r>
                          <w:rPr>
                            <w:rFonts w:ascii="宋体" w:hAnsi="宋体" w:cs="宋体" w:eastAsia="宋体" w:hint="default"/>
                            <w:sz w:val="18"/>
                            <w:szCs w:val="18"/>
                          </w:rPr>
                          <w:t>是否达到 预计效益</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5" w:right="23"/>
                          <w:jc w:val="center"/>
                          <w:rPr>
                            <w:rFonts w:ascii="宋体" w:hAnsi="宋体" w:cs="宋体" w:eastAsia="宋体" w:hint="default"/>
                            <w:sz w:val="18"/>
                            <w:szCs w:val="18"/>
                          </w:rPr>
                        </w:pPr>
                        <w:r>
                          <w:rPr>
                            <w:rFonts w:ascii="宋体" w:hAnsi="宋体" w:cs="宋体" w:eastAsia="宋体" w:hint="default"/>
                            <w:sz w:val="18"/>
                            <w:szCs w:val="18"/>
                          </w:rPr>
                          <w:t>项目可行 性是否发 生重大变 化</w:t>
                        </w:r>
                      </w:p>
                    </w:tc>
                  </w:tr>
                  <w:tr>
                    <w:trPr>
                      <w:trHeight w:val="402" w:hRule="exact"/>
                    </w:trPr>
                    <w:tc>
                      <w:tcPr>
                        <w:tcW w:w="9569"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00" w:lineRule="auto"/>
                          <w:ind w:left="22" w:right="115"/>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吨塑料 电缆料颗粒项目</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9,961.51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9,961.51</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3,562.06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7,993.29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80.24%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00" w:lineRule="auto"/>
                          <w:ind w:left="22" w:right="115"/>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年产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吨塑料 电缆料颗粒项目</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11,342.32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11,342.32</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4,673.82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w w:val="95"/>
                            <w:sz w:val="18"/>
                          </w:rPr>
                          <w:t>9,611.56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84.74%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7"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21,303.83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21,303.83</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8,235.88</w:t>
                        </w:r>
                      </w:p>
                    </w:tc>
                    <w:tc>
                      <w:tcPr>
                        <w:tcW w:w="78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17,604.85</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25" w:right="0"/>
                          <w:jc w:val="lef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13" w:space="0" w:color="D2D2D2"/>
                          <w:bottom w:val="single" w:sz="4" w:space="0" w:color="000000"/>
                          <w:right w:val="single" w:sz="10" w:space="0" w:color="D2D2D2"/>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r>
                  <w:tr>
                    <w:trPr>
                      <w:trHeight w:val="397" w:hRule="exact"/>
                    </w:trPr>
                    <w:tc>
                      <w:tcPr>
                        <w:tcW w:w="9569"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402"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21,303.83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21,303.83</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8,235.88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17,604.85</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25" w:right="0"/>
                          <w:jc w:val="lef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17"/>
                          <w:jc w:val="left"/>
                          <w:rPr>
                            <w:rFonts w:ascii="宋体" w:hAnsi="宋体" w:cs="宋体" w:eastAsia="宋体" w:hint="default"/>
                            <w:sz w:val="18"/>
                            <w:szCs w:val="18"/>
                          </w:rPr>
                        </w:pPr>
                        <w:r>
                          <w:rPr>
                            <w:rFonts w:ascii="宋体" w:hAnsi="宋体" w:cs="宋体" w:eastAsia="宋体" w:hint="default"/>
                            <w:sz w:val="18"/>
                            <w:szCs w:val="18"/>
                          </w:rPr>
                          <w:t>未达到计划进度或预 计收益的情况和原因</w:t>
                        </w:r>
                      </w:p>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（分具体项目）</w:t>
                        </w:r>
                      </w:p>
                    </w:tc>
                    <w:tc>
                      <w:tcPr>
                        <w:tcW w:w="7798" w:type="dxa"/>
                        <w:gridSpan w:val="10"/>
                        <w:tcBorders>
                          <w:top w:val="single" w:sz="4" w:space="0" w:color="000000"/>
                          <w:left w:val="single" w:sz="9"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募投项目原计划在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月完成</w:t>
                        </w:r>
                        <w:r>
                          <w:rPr>
                            <w:rFonts w:ascii="宋体" w:hAnsi="宋体" w:cs="宋体" w:eastAsia="宋体" w:hint="default"/>
                            <w:spacing w:val="-88"/>
                            <w:sz w:val="18"/>
                            <w:szCs w:val="18"/>
                          </w:rPr>
                          <w:t>，</w:t>
                        </w:r>
                        <w:r>
                          <w:rPr>
                            <w:rFonts w:ascii="宋体" w:hAnsi="宋体" w:cs="宋体" w:eastAsia="宋体" w:hint="default"/>
                            <w:sz w:val="18"/>
                            <w:szCs w:val="18"/>
                          </w:rPr>
                          <w:t>由于两个募投项目原有生产设备方案设计已落后于目前最先进</w:t>
                        </w:r>
                      </w:p>
                      <w:p>
                        <w:pPr>
                          <w:pStyle w:val="TableParagraph"/>
                          <w:spacing w:line="240" w:lineRule="auto" w:before="63"/>
                          <w:ind w:left="16" w:right="0"/>
                          <w:jc w:val="left"/>
                          <w:rPr>
                            <w:rFonts w:ascii="宋体" w:hAnsi="宋体" w:cs="宋体" w:eastAsia="宋体" w:hint="default"/>
                            <w:sz w:val="18"/>
                            <w:szCs w:val="18"/>
                          </w:rPr>
                        </w:pPr>
                        <w:r>
                          <w:rPr>
                            <w:rFonts w:ascii="宋体" w:hAnsi="宋体" w:cs="宋体" w:eastAsia="宋体" w:hint="default"/>
                            <w:sz w:val="18"/>
                            <w:szCs w:val="18"/>
                          </w:rPr>
                          <w:t>的设备方案，公司对生产工艺和设备布局发生变更，募投项目的预定完成时间延长至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r>
                  <w:tr>
                    <w:trPr>
                      <w:trHeight w:val="714"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17"/>
                          <w:jc w:val="left"/>
                          <w:rPr>
                            <w:rFonts w:ascii="宋体" w:hAnsi="宋体" w:cs="宋体" w:eastAsia="宋体" w:hint="default"/>
                            <w:sz w:val="18"/>
                            <w:szCs w:val="18"/>
                          </w:rPr>
                        </w:pPr>
                        <w:r>
                          <w:rPr>
                            <w:rFonts w:ascii="宋体" w:hAnsi="宋体" w:cs="宋体" w:eastAsia="宋体" w:hint="default"/>
                            <w:sz w:val="18"/>
                            <w:szCs w:val="18"/>
                          </w:rPr>
                          <w:t>项目可行性发生重大 变化的情况说明</w:t>
                        </w:r>
                      </w:p>
                    </w:tc>
                    <w:tc>
                      <w:tcPr>
                        <w:tcW w:w="7798" w:type="dxa"/>
                        <w:gridSpan w:val="10"/>
                        <w:tcBorders>
                          <w:top w:val="single" w:sz="4" w:space="0" w:color="000000"/>
                          <w:left w:val="single" w:sz="9"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报告期无</w:t>
                        </w: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22" w:right="22"/>
                          <w:jc w:val="left"/>
                          <w:rPr>
                            <w:rFonts w:ascii="宋体" w:hAnsi="宋体" w:cs="宋体" w:eastAsia="宋体" w:hint="default"/>
                            <w:sz w:val="18"/>
                            <w:szCs w:val="18"/>
                          </w:rPr>
                        </w:pPr>
                        <w:r>
                          <w:rPr>
                            <w:rFonts w:ascii="宋体" w:hAnsi="宋体" w:cs="宋体" w:eastAsia="宋体" w:hint="default"/>
                            <w:spacing w:val="-9"/>
                            <w:sz w:val="18"/>
                            <w:szCs w:val="18"/>
                          </w:rPr>
                          <w:t>超募资金的金额、用途</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及使用进展情况</w:t>
                        </w:r>
                      </w:p>
                    </w:tc>
                    <w:tc>
                      <w:tcPr>
                        <w:tcW w:w="7798" w:type="dxa"/>
                        <w:gridSpan w:val="10"/>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8" w:type="dxa"/>
                        <w:gridSpan w:val="10"/>
                        <w:tcBorders>
                          <w:top w:val="single" w:sz="4" w:space="0" w:color="000000"/>
                          <w:left w:val="single" w:sz="9" w:space="0" w:color="D2D2D2"/>
                          <w:bottom w:val="single" w:sz="4" w:space="0" w:color="000000"/>
                          <w:right w:val="single" w:sz="4" w:space="0" w:color="000000"/>
                        </w:tcBorders>
                      </w:tcPr>
                      <w:p>
                        <w:pPr/>
                      </w:p>
                    </w:tc>
                  </w:tr>
                  <w:tr>
                    <w:trPr>
                      <w:trHeight w:val="251" w:hRule="exact"/>
                    </w:trPr>
                    <w:tc>
                      <w:tcPr>
                        <w:tcW w:w="1770" w:type="dxa"/>
                        <w:tcBorders>
                          <w:top w:val="single" w:sz="4" w:space="0" w:color="000000"/>
                          <w:left w:val="single" w:sz="4" w:space="0" w:color="000000"/>
                          <w:bottom w:val="nil" w:sz="6" w:space="0" w:color="auto"/>
                          <w:right w:val="single" w:sz="4" w:space="0" w:color="000000"/>
                        </w:tcBorders>
                        <w:shd w:val="clear" w:color="auto" w:fill="D2D2D2"/>
                      </w:tcPr>
                      <w:p>
                        <w:pPr/>
                      </w:p>
                    </w:tc>
                    <w:tc>
                      <w:tcPr>
                        <w:tcW w:w="7798" w:type="dxa"/>
                        <w:gridSpan w:val="10"/>
                        <w:vMerge w:val="restart"/>
                        <w:tcBorders>
                          <w:top w:val="single" w:sz="4" w:space="0" w:color="000000"/>
                          <w:left w:val="single" w:sz="9" w:space="0" w:color="D2D2D2"/>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51" w:hRule="exact"/>
                    </w:trPr>
                    <w:tc>
                      <w:tcPr>
                        <w:tcW w:w="1770"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2" w:right="117"/>
                          <w:jc w:val="left"/>
                          <w:rPr>
                            <w:rFonts w:ascii="宋体" w:hAnsi="宋体" w:cs="宋体" w:eastAsia="宋体" w:hint="default"/>
                            <w:sz w:val="18"/>
                            <w:szCs w:val="18"/>
                          </w:rPr>
                        </w:pPr>
                        <w:r>
                          <w:rPr>
                            <w:rFonts w:ascii="宋体" w:hAnsi="宋体" w:cs="宋体" w:eastAsia="宋体" w:hint="default"/>
                            <w:sz w:val="18"/>
                            <w:szCs w:val="18"/>
                          </w:rPr>
                          <w:t>募集资金投资项目实 施地点变更情况</w:t>
                        </w:r>
                      </w:p>
                    </w:tc>
                    <w:tc>
                      <w:tcPr>
                        <w:tcW w:w="7798" w:type="dxa"/>
                        <w:gridSpan w:val="10"/>
                        <w:vMerge/>
                        <w:tcBorders>
                          <w:left w:val="single" w:sz="9" w:space="0" w:color="D2D2D2"/>
                          <w:bottom w:val="single" w:sz="4" w:space="0" w:color="000000"/>
                          <w:right w:val="single" w:sz="4" w:space="0" w:color="000000"/>
                        </w:tcBorders>
                      </w:tcPr>
                      <w:p>
                        <w:pPr/>
                      </w:p>
                    </w:tc>
                  </w:tr>
                  <w:tr>
                    <w:trPr>
                      <w:trHeight w:val="402" w:hRule="exact"/>
                    </w:trPr>
                    <w:tc>
                      <w:tcPr>
                        <w:tcW w:w="1770" w:type="dxa"/>
                        <w:vMerge/>
                        <w:tcBorders>
                          <w:left w:val="single" w:sz="4" w:space="0" w:color="000000"/>
                          <w:right w:val="single" w:sz="4" w:space="0" w:color="000000"/>
                        </w:tcBorders>
                        <w:shd w:val="clear" w:color="auto" w:fill="D2D2D2"/>
                      </w:tcPr>
                      <w:p>
                        <w:pPr/>
                      </w:p>
                    </w:tc>
                    <w:tc>
                      <w:tcPr>
                        <w:tcW w:w="7798" w:type="dxa"/>
                        <w:gridSpan w:val="10"/>
                        <w:tcBorders>
                          <w:top w:val="single" w:sz="4" w:space="0" w:color="000000"/>
                          <w:left w:val="single" w:sz="9" w:space="0" w:color="D2D2D2"/>
                          <w:bottom w:val="single" w:sz="4" w:space="0" w:color="000000"/>
                          <w:right w:val="single" w:sz="4" w:space="0" w:color="000000"/>
                        </w:tcBorders>
                      </w:tcPr>
                      <w:p>
                        <w:pPr/>
                      </w:p>
                    </w:tc>
                  </w:tr>
                  <w:tr>
                    <w:trPr>
                      <w:trHeight w:val="151" w:hRule="exact"/>
                    </w:trPr>
                    <w:tc>
                      <w:tcPr>
                        <w:tcW w:w="1770" w:type="dxa"/>
                        <w:vMerge/>
                        <w:tcBorders>
                          <w:left w:val="single" w:sz="4" w:space="0" w:color="000000"/>
                          <w:bottom w:val="nil" w:sz="6" w:space="0" w:color="auto"/>
                          <w:right w:val="single" w:sz="4" w:space="0" w:color="000000"/>
                        </w:tcBorders>
                        <w:shd w:val="clear" w:color="auto" w:fill="D2D2D2"/>
                      </w:tcPr>
                      <w:p>
                        <w:pPr/>
                      </w:p>
                    </w:tc>
                    <w:tc>
                      <w:tcPr>
                        <w:tcW w:w="7798" w:type="dxa"/>
                        <w:gridSpan w:val="10"/>
                        <w:vMerge w:val="restart"/>
                        <w:tcBorders>
                          <w:top w:val="single" w:sz="4" w:space="0" w:color="000000"/>
                          <w:left w:val="single" w:sz="9" w:space="0" w:color="D2D2D2"/>
                          <w:right w:val="single" w:sz="4" w:space="0" w:color="000000"/>
                        </w:tcBorders>
                      </w:tcPr>
                      <w:p>
                        <w:pPr/>
                      </w:p>
                    </w:tc>
                  </w:tr>
                  <w:tr>
                    <w:trPr>
                      <w:trHeight w:val="251" w:hRule="exact"/>
                    </w:trPr>
                    <w:tc>
                      <w:tcPr>
                        <w:tcW w:w="1770" w:type="dxa"/>
                        <w:tcBorders>
                          <w:top w:val="nil" w:sz="6" w:space="0" w:color="auto"/>
                          <w:left w:val="single" w:sz="4" w:space="0" w:color="000000"/>
                          <w:bottom w:val="single" w:sz="4" w:space="0" w:color="000000"/>
                          <w:right w:val="single" w:sz="4" w:space="0" w:color="000000"/>
                        </w:tcBorders>
                        <w:shd w:val="clear" w:color="auto" w:fill="D2D2D2"/>
                      </w:tcPr>
                      <w:p>
                        <w:pPr/>
                      </w:p>
                    </w:tc>
                    <w:tc>
                      <w:tcPr>
                        <w:tcW w:w="7798" w:type="dxa"/>
                        <w:gridSpan w:val="10"/>
                        <w:vMerge/>
                        <w:tcBorders>
                          <w:left w:val="single" w:sz="9" w:space="0" w:color="D2D2D2"/>
                          <w:bottom w:val="single" w:sz="4" w:space="0" w:color="000000"/>
                          <w:right w:val="single" w:sz="4" w:space="0" w:color="000000"/>
                        </w:tcBorders>
                      </w:tcPr>
                      <w:p>
                        <w:pPr/>
                      </w:p>
                    </w:tc>
                  </w:tr>
                  <w:tr>
                    <w:trPr>
                      <w:trHeight w:val="251" w:hRule="exact"/>
                    </w:trPr>
                    <w:tc>
                      <w:tcPr>
                        <w:tcW w:w="1770" w:type="dxa"/>
                        <w:tcBorders>
                          <w:top w:val="single" w:sz="4" w:space="0" w:color="000000"/>
                          <w:left w:val="single" w:sz="4" w:space="0" w:color="000000"/>
                          <w:bottom w:val="nil" w:sz="6" w:space="0" w:color="auto"/>
                          <w:right w:val="single" w:sz="4" w:space="0" w:color="000000"/>
                        </w:tcBorders>
                        <w:shd w:val="clear" w:color="auto" w:fill="D2D2D2"/>
                      </w:tcPr>
                      <w:p>
                        <w:pPr/>
                      </w:p>
                    </w:tc>
                    <w:tc>
                      <w:tcPr>
                        <w:tcW w:w="7798" w:type="dxa"/>
                        <w:gridSpan w:val="10"/>
                        <w:vMerge w:val="restart"/>
                        <w:tcBorders>
                          <w:top w:val="single" w:sz="4" w:space="0" w:color="000000"/>
                          <w:left w:val="single" w:sz="9" w:space="0" w:color="D2D2D2"/>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51" w:hRule="exact"/>
                    </w:trPr>
                    <w:tc>
                      <w:tcPr>
                        <w:tcW w:w="1770"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2" w:right="117"/>
                          <w:jc w:val="left"/>
                          <w:rPr>
                            <w:rFonts w:ascii="宋体" w:hAnsi="宋体" w:cs="宋体" w:eastAsia="宋体" w:hint="default"/>
                            <w:sz w:val="18"/>
                            <w:szCs w:val="18"/>
                          </w:rPr>
                        </w:pPr>
                        <w:r>
                          <w:rPr>
                            <w:rFonts w:ascii="宋体" w:hAnsi="宋体" w:cs="宋体" w:eastAsia="宋体" w:hint="default"/>
                            <w:sz w:val="18"/>
                            <w:szCs w:val="18"/>
                          </w:rPr>
                          <w:t>募集资金投资项目实 施方式调整情况</w:t>
                        </w:r>
                      </w:p>
                    </w:tc>
                    <w:tc>
                      <w:tcPr>
                        <w:tcW w:w="7798" w:type="dxa"/>
                        <w:gridSpan w:val="10"/>
                        <w:vMerge/>
                        <w:tcBorders>
                          <w:left w:val="single" w:sz="9" w:space="0" w:color="D2D2D2"/>
                          <w:bottom w:val="single" w:sz="4" w:space="0" w:color="000000"/>
                          <w:right w:val="single" w:sz="4" w:space="0" w:color="000000"/>
                        </w:tcBorders>
                      </w:tcPr>
                      <w:p>
                        <w:pPr/>
                      </w:p>
                    </w:tc>
                  </w:tr>
                  <w:tr>
                    <w:trPr>
                      <w:trHeight w:val="402" w:hRule="exact"/>
                    </w:trPr>
                    <w:tc>
                      <w:tcPr>
                        <w:tcW w:w="1770" w:type="dxa"/>
                        <w:vMerge/>
                        <w:tcBorders>
                          <w:left w:val="single" w:sz="4" w:space="0" w:color="000000"/>
                          <w:right w:val="single" w:sz="4" w:space="0" w:color="000000"/>
                        </w:tcBorders>
                        <w:shd w:val="clear" w:color="auto" w:fill="D2D2D2"/>
                      </w:tcPr>
                      <w:p>
                        <w:pPr/>
                      </w:p>
                    </w:tc>
                    <w:tc>
                      <w:tcPr>
                        <w:tcW w:w="7798" w:type="dxa"/>
                        <w:gridSpan w:val="10"/>
                        <w:tcBorders>
                          <w:top w:val="single" w:sz="4" w:space="0" w:color="000000"/>
                          <w:left w:val="single" w:sz="9" w:space="0" w:color="D2D2D2"/>
                          <w:bottom w:val="single" w:sz="4" w:space="0" w:color="000000"/>
                          <w:right w:val="single" w:sz="4" w:space="0" w:color="000000"/>
                        </w:tcBorders>
                      </w:tcPr>
                      <w:p>
                        <w:pPr/>
                      </w:p>
                    </w:tc>
                  </w:tr>
                  <w:tr>
                    <w:trPr>
                      <w:trHeight w:val="151" w:hRule="exact"/>
                    </w:trPr>
                    <w:tc>
                      <w:tcPr>
                        <w:tcW w:w="1770" w:type="dxa"/>
                        <w:vMerge/>
                        <w:tcBorders>
                          <w:left w:val="single" w:sz="4" w:space="0" w:color="000000"/>
                          <w:bottom w:val="nil" w:sz="6" w:space="0" w:color="auto"/>
                          <w:right w:val="single" w:sz="4" w:space="0" w:color="000000"/>
                        </w:tcBorders>
                        <w:shd w:val="clear" w:color="auto" w:fill="D2D2D2"/>
                      </w:tcPr>
                      <w:p>
                        <w:pPr/>
                      </w:p>
                    </w:tc>
                    <w:tc>
                      <w:tcPr>
                        <w:tcW w:w="7798" w:type="dxa"/>
                        <w:gridSpan w:val="10"/>
                        <w:vMerge w:val="restart"/>
                        <w:tcBorders>
                          <w:top w:val="single" w:sz="4" w:space="0" w:color="000000"/>
                          <w:left w:val="single" w:sz="9" w:space="0" w:color="D2D2D2"/>
                          <w:right w:val="single" w:sz="4" w:space="0" w:color="000000"/>
                        </w:tcBorders>
                      </w:tcPr>
                      <w:p>
                        <w:pPr/>
                      </w:p>
                    </w:tc>
                  </w:tr>
                  <w:tr>
                    <w:trPr>
                      <w:trHeight w:val="251" w:hRule="exact"/>
                    </w:trPr>
                    <w:tc>
                      <w:tcPr>
                        <w:tcW w:w="1770" w:type="dxa"/>
                        <w:tcBorders>
                          <w:top w:val="nil" w:sz="6" w:space="0" w:color="auto"/>
                          <w:left w:val="single" w:sz="4" w:space="0" w:color="000000"/>
                          <w:bottom w:val="single" w:sz="4" w:space="0" w:color="000000"/>
                          <w:right w:val="single" w:sz="4" w:space="0" w:color="000000"/>
                        </w:tcBorders>
                        <w:shd w:val="clear" w:color="auto" w:fill="D2D2D2"/>
                      </w:tcPr>
                      <w:p>
                        <w:pPr/>
                      </w:p>
                    </w:tc>
                    <w:tc>
                      <w:tcPr>
                        <w:tcW w:w="7798" w:type="dxa"/>
                        <w:gridSpan w:val="10"/>
                        <w:vMerge/>
                        <w:tcBorders>
                          <w:left w:val="single" w:sz="9" w:space="0" w:color="D2D2D2"/>
                          <w:bottom w:val="single" w:sz="4" w:space="0" w:color="000000"/>
                          <w:right w:val="single" w:sz="4" w:space="0" w:color="000000"/>
                        </w:tcBorders>
                      </w:tcPr>
                      <w:p>
                        <w:pP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2D2D2"/>
                      </w:tcPr>
                      <w:p>
                        <w:pPr/>
                      </w:p>
                    </w:tc>
                    <w:tc>
                      <w:tcPr>
                        <w:tcW w:w="7798"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252" w:hRule="exact"/>
                    </w:trPr>
                    <w:tc>
                      <w:tcPr>
                        <w:tcW w:w="1770" w:type="dxa"/>
                        <w:vMerge/>
                        <w:tcBorders>
                          <w:left w:val="single" w:sz="4" w:space="0" w:color="000000"/>
                          <w:bottom w:val="nil" w:sz="6" w:space="0" w:color="auto"/>
                          <w:right w:val="single" w:sz="4" w:space="0" w:color="000000"/>
                        </w:tcBorders>
                        <w:shd w:val="clear" w:color="auto" w:fill="D2D2D2"/>
                      </w:tcPr>
                      <w:p>
                        <w:pPr/>
                      </w:p>
                    </w:tc>
                    <w:tc>
                      <w:tcPr>
                        <w:tcW w:w="7798" w:type="dxa"/>
                        <w:gridSpan w:val="10"/>
                        <w:vMerge w:val="restart"/>
                        <w:tcBorders>
                          <w:top w:val="single" w:sz="4" w:space="0" w:color="000000"/>
                          <w:left w:val="single" w:sz="9" w:space="0" w:color="D2D2D2"/>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天健会计师事务所（特殊普通合伙）于 </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 </w:t>
                        </w:r>
                        <w:r>
                          <w:rPr>
                            <w:rFonts w:ascii="Times New Roman" w:hAnsi="Times New Roman" w:cs="Times New Roman" w:eastAsia="Times New Roman" w:hint="default"/>
                            <w:sz w:val="18"/>
                            <w:szCs w:val="18"/>
                          </w:rPr>
                          <w:t>6  </w:t>
                        </w:r>
                        <w:r>
                          <w:rPr>
                            <w:rFonts w:ascii="宋体" w:hAnsi="宋体" w:cs="宋体" w:eastAsia="宋体" w:hint="default"/>
                            <w:sz w:val="18"/>
                            <w:szCs w:val="18"/>
                          </w:rPr>
                          <w:t>月 </w:t>
                        </w:r>
                        <w:r>
                          <w:rPr>
                            <w:rFonts w:ascii="Times New Roman" w:hAnsi="Times New Roman" w:cs="Times New Roman" w:eastAsia="Times New Roman" w:hint="default"/>
                            <w:sz w:val="18"/>
                            <w:szCs w:val="18"/>
                          </w:rPr>
                          <w:t>6  </w:t>
                        </w:r>
                        <w:r>
                          <w:rPr>
                            <w:rFonts w:ascii="宋体" w:hAnsi="宋体" w:cs="宋体" w:eastAsia="宋体" w:hint="default"/>
                            <w:sz w:val="18"/>
                            <w:szCs w:val="18"/>
                          </w:rPr>
                          <w:t>日出具的天健审</w:t>
                        </w:r>
                        <w:r>
                          <w:rPr>
                            <w:rFonts w:ascii="Times New Roman" w:hAnsi="Times New Roman" w:cs="Times New Roman" w:eastAsia="Times New Roman" w:hint="default"/>
                            <w:sz w:val="18"/>
                            <w:szCs w:val="18"/>
                          </w:rPr>
                          <w:t>[2015]6022</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号《关于杭州</w:t>
                        </w:r>
                      </w:p>
                      <w:p>
                        <w:pPr>
                          <w:pStyle w:val="TableParagraph"/>
                          <w:spacing w:line="240" w:lineRule="auto" w:before="62"/>
                          <w:ind w:left="16" w:right="0"/>
                          <w:jc w:val="left"/>
                          <w:rPr>
                            <w:rFonts w:ascii="宋体" w:hAnsi="宋体" w:cs="宋体" w:eastAsia="宋体" w:hint="default"/>
                            <w:sz w:val="18"/>
                            <w:szCs w:val="18"/>
                          </w:rPr>
                        </w:pPr>
                        <w:r>
                          <w:rPr>
                            <w:rFonts w:ascii="宋体" w:hAnsi="宋体" w:cs="宋体" w:eastAsia="宋体" w:hint="default"/>
                            <w:sz w:val="18"/>
                            <w:szCs w:val="18"/>
                          </w:rPr>
                          <w:t>高新橡塑材料股份有限公司以自筹资金预先投入募投项目的鉴证报告</w:t>
                        </w:r>
                        <w:r>
                          <w:rPr>
                            <w:rFonts w:ascii="宋体" w:hAnsi="宋体" w:cs="宋体" w:eastAsia="宋体" w:hint="default"/>
                            <w:spacing w:val="-90"/>
                            <w:sz w:val="18"/>
                            <w:szCs w:val="18"/>
                          </w:rPr>
                          <w:t>》</w:t>
                        </w:r>
                        <w:r>
                          <w:rPr>
                            <w:rFonts w:ascii="宋体" w:hAnsi="宋体" w:cs="宋体" w:eastAsia="宋体" w:hint="default"/>
                            <w:sz w:val="18"/>
                            <w:szCs w:val="18"/>
                          </w:rPr>
                          <w:t>，截至 </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 </w:t>
                        </w:r>
                        <w:r>
                          <w:rPr>
                            <w:rFonts w:ascii="Times New Roman" w:hAnsi="Times New Roman" w:cs="Times New Roman" w:eastAsia="Times New Roman" w:hint="default"/>
                            <w:sz w:val="18"/>
                            <w:szCs w:val="18"/>
                          </w:rPr>
                          <w:t>6  </w:t>
                        </w:r>
                        <w:r>
                          <w:rPr>
                            <w:rFonts w:ascii="宋体" w:hAnsi="宋体" w:cs="宋体" w:eastAsia="宋体" w:hint="default"/>
                            <w:sz w:val="18"/>
                            <w:szCs w:val="18"/>
                          </w:rPr>
                          <w:t>月 </w:t>
                        </w:r>
                        <w:r>
                          <w:rPr>
                            <w:rFonts w:ascii="Times New Roman" w:hAnsi="Times New Roman" w:cs="Times New Roman" w:eastAsia="Times New Roman" w:hint="default"/>
                            <w:sz w:val="18"/>
                            <w:szCs w:val="18"/>
                          </w:rPr>
                          <w:t>5  </w:t>
                        </w:r>
                        <w:r>
                          <w:rPr>
                            <w:rFonts w:ascii="宋体" w:hAnsi="宋体" w:cs="宋体" w:eastAsia="宋体" w:hint="default"/>
                            <w:sz w:val="18"/>
                            <w:szCs w:val="18"/>
                          </w:rPr>
                          <w:t>日</w:t>
                        </w:r>
                      </w:p>
                      <w:p>
                        <w:pPr>
                          <w:pStyle w:val="TableParagraph"/>
                          <w:spacing w:line="240" w:lineRule="auto" w:before="63"/>
                          <w:ind w:left="1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本公司以自筹资金预先投入募集资金投资项目的实际投资金额为 </w:t>
                        </w:r>
                        <w:r>
                          <w:rPr>
                            <w:rFonts w:ascii="Times New Roman" w:hAnsi="Times New Roman" w:cs="Times New Roman" w:eastAsia="Times New Roman" w:hint="default"/>
                            <w:sz w:val="18"/>
                            <w:szCs w:val="18"/>
                          </w:rPr>
                          <w:t>2,956.53  </w:t>
                        </w:r>
                        <w:r>
                          <w:rPr>
                            <w:rFonts w:ascii="宋体" w:hAnsi="宋体" w:cs="宋体" w:eastAsia="宋体" w:hint="default"/>
                            <w:sz w:val="18"/>
                            <w:szCs w:val="18"/>
                          </w:rPr>
                          <w:t>万元。公司 </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
                            <w:sz w:val="18"/>
                            <w:szCs w:val="18"/>
                          </w:rPr>
                          <w:t> </w:t>
                        </w:r>
                        <w:r>
                          <w:rPr>
                            <w:rFonts w:ascii="Times New Roman" w:hAnsi="Times New Roman" w:cs="Times New Roman" w:eastAsia="Times New Roman" w:hint="default"/>
                            <w:sz w:val="18"/>
                            <w:szCs w:val="18"/>
                          </w:rPr>
                          <w:t>6</w:t>
                        </w:r>
                      </w:p>
                      <w:p>
                        <w:pPr>
                          <w:pStyle w:val="TableParagraph"/>
                          <w:spacing w:line="240" w:lineRule="auto" w:before="63"/>
                          <w:ind w:left="16" w:right="0"/>
                          <w:jc w:val="left"/>
                          <w:rPr>
                            <w:rFonts w:ascii="宋体" w:hAnsi="宋体" w:cs="宋体" w:eastAsia="宋体" w:hint="default"/>
                            <w:sz w:val="18"/>
                            <w:szCs w:val="18"/>
                          </w:rPr>
                        </w:pPr>
                        <w:r>
                          <w:rPr>
                            <w:rFonts w:ascii="宋体" w:hAnsi="宋体" w:cs="宋体" w:eastAsia="宋体" w:hint="default"/>
                            <w:sz w:val="18"/>
                            <w:szCs w:val="18"/>
                          </w:rPr>
                          <w:t>月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日的第二届董事会第七次会议决议、第二届监事会第三次会议决议、独立董事在审议相关材</w:t>
                        </w:r>
                      </w:p>
                      <w:p>
                        <w:pPr>
                          <w:pStyle w:val="TableParagraph"/>
                          <w:spacing w:line="240" w:lineRule="auto" w:before="63"/>
                          <w:ind w:left="16" w:right="0"/>
                          <w:jc w:val="left"/>
                          <w:rPr>
                            <w:rFonts w:ascii="宋体" w:hAnsi="宋体" w:cs="宋体" w:eastAsia="宋体" w:hint="default"/>
                            <w:sz w:val="18"/>
                            <w:szCs w:val="18"/>
                          </w:rPr>
                        </w:pPr>
                        <w:r>
                          <w:rPr>
                            <w:rFonts w:ascii="宋体" w:hAnsi="宋体" w:cs="宋体" w:eastAsia="宋体" w:hint="default"/>
                            <w:sz w:val="18"/>
                            <w:szCs w:val="18"/>
                          </w:rPr>
                          <w:t>料后出具的独立意见</w:t>
                        </w:r>
                        <w:r>
                          <w:rPr>
                            <w:rFonts w:ascii="宋体" w:hAnsi="宋体" w:cs="宋体" w:eastAsia="宋体" w:hint="default"/>
                            <w:spacing w:val="-88"/>
                            <w:sz w:val="18"/>
                            <w:szCs w:val="18"/>
                          </w:rPr>
                          <w:t>，</w:t>
                        </w:r>
                        <w:r>
                          <w:rPr>
                            <w:rFonts w:ascii="宋体" w:hAnsi="宋体" w:cs="宋体" w:eastAsia="宋体" w:hint="default"/>
                            <w:sz w:val="18"/>
                            <w:szCs w:val="18"/>
                          </w:rPr>
                          <w:t>同意公司使用募集资金 </w:t>
                        </w:r>
                        <w:r>
                          <w:rPr>
                            <w:rFonts w:ascii="Times New Roman" w:hAnsi="Times New Roman" w:cs="Times New Roman" w:eastAsia="Times New Roman" w:hint="default"/>
                            <w:sz w:val="18"/>
                            <w:szCs w:val="18"/>
                          </w:rPr>
                          <w:t>2,956.53  </w:t>
                        </w:r>
                        <w:r>
                          <w:rPr>
                            <w:rFonts w:ascii="宋体" w:hAnsi="宋体" w:cs="宋体" w:eastAsia="宋体" w:hint="default"/>
                            <w:spacing w:val="-2"/>
                            <w:sz w:val="18"/>
                            <w:szCs w:val="18"/>
                          </w:rPr>
                          <w:t>万</w:t>
                        </w:r>
                        <w:r>
                          <w:rPr>
                            <w:rFonts w:ascii="宋体" w:hAnsi="宋体" w:cs="宋体" w:eastAsia="宋体" w:hint="default"/>
                            <w:sz w:val="18"/>
                            <w:szCs w:val="18"/>
                          </w:rPr>
                          <w:t>元置换预先投入募集资金投资项目的自筹</w:t>
                        </w:r>
                      </w:p>
                    </w:tc>
                  </w:tr>
                  <w:tr>
                    <w:trPr>
                      <w:trHeight w:val="704" w:hRule="exact"/>
                    </w:trPr>
                    <w:tc>
                      <w:tcPr>
                        <w:tcW w:w="177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1"/>
                          <w:ind w:left="22" w:right="117"/>
                          <w:jc w:val="left"/>
                          <w:rPr>
                            <w:rFonts w:ascii="宋体" w:hAnsi="宋体" w:cs="宋体" w:eastAsia="宋体" w:hint="default"/>
                            <w:sz w:val="18"/>
                            <w:szCs w:val="18"/>
                          </w:rPr>
                        </w:pPr>
                        <w:r>
                          <w:rPr>
                            <w:rFonts w:ascii="宋体" w:hAnsi="宋体" w:cs="宋体" w:eastAsia="宋体" w:hint="default"/>
                            <w:sz w:val="18"/>
                            <w:szCs w:val="18"/>
                          </w:rPr>
                          <w:t>募集资金投资项目先 期投入及置换情况</w:t>
                        </w:r>
                      </w:p>
                    </w:tc>
                    <w:tc>
                      <w:tcPr>
                        <w:tcW w:w="7798" w:type="dxa"/>
                        <w:gridSpan w:val="10"/>
                        <w:vMerge/>
                        <w:tcBorders>
                          <w:left w:val="single" w:sz="9" w:space="0" w:color="D2D2D2"/>
                          <w:right w:val="single" w:sz="4" w:space="0" w:color="000000"/>
                        </w:tcBorders>
                      </w:tcPr>
                      <w:p>
                        <w:pPr/>
                      </w:p>
                    </w:tc>
                  </w:tr>
                  <w:tr>
                    <w:trPr>
                      <w:trHeight w:val="655" w:hRule="exact"/>
                    </w:trPr>
                    <w:tc>
                      <w:tcPr>
                        <w:tcW w:w="1770" w:type="dxa"/>
                        <w:tcBorders>
                          <w:top w:val="nil" w:sz="6" w:space="0" w:color="auto"/>
                          <w:left w:val="single" w:sz="4" w:space="0" w:color="000000"/>
                          <w:bottom w:val="single" w:sz="4" w:space="0" w:color="000000"/>
                          <w:right w:val="single" w:sz="4" w:space="0" w:color="000000"/>
                        </w:tcBorders>
                        <w:shd w:val="clear" w:color="auto" w:fill="D2D2D2"/>
                      </w:tcPr>
                      <w:p>
                        <w:pPr/>
                      </w:p>
                    </w:tc>
                    <w:tc>
                      <w:tcPr>
                        <w:tcW w:w="7798" w:type="dxa"/>
                        <w:gridSpan w:val="10"/>
                        <w:vMerge/>
                        <w:tcBorders>
                          <w:left w:val="single" w:sz="9" w:space="0" w:color="D2D2D2"/>
                          <w:bottom w:val="single" w:sz="4" w:space="0" w:color="000000"/>
                          <w:right w:val="single" w:sz="4" w:space="0" w:color="000000"/>
                        </w:tcBorders>
                      </w:tcPr>
                      <w:p>
                        <w:pPr/>
                      </w:p>
                    </w:tc>
                  </w:tr>
                </w:tbl>
                <w:p>
                  <w:pPr/>
                </w:p>
              </w:txbxContent>
            </v:textbox>
            <w10:wrap type="none"/>
          </v:shape>
        </w:pict>
      </w:r>
      <w:r>
        <w:rPr/>
        <w:t>，</w:t>
      </w:r>
    </w:p>
    <w:p>
      <w:pPr>
        <w:spacing w:after="0" w:line="240" w:lineRule="auto"/>
        <w:jc w:val="right"/>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770"/>
        <w:gridCol w:w="7798"/>
      </w:tblGrid>
      <w:tr>
        <w:trPr>
          <w:trHeight w:val="986"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21"/>
              <w:jc w:val="both"/>
              <w:rPr>
                <w:rFonts w:ascii="宋体" w:hAnsi="宋体" w:cs="宋体" w:eastAsia="宋体" w:hint="default"/>
                <w:sz w:val="18"/>
                <w:szCs w:val="18"/>
              </w:rPr>
            </w:pPr>
            <w:r>
              <w:rPr>
                <w:rFonts w:ascii="宋体" w:hAnsi="宋体" w:cs="宋体" w:eastAsia="宋体" w:hint="default"/>
                <w:sz w:val="18"/>
                <w:szCs w:val="18"/>
              </w:rPr>
              <w:t>资金。公司保荐机构齐鲁证券有限公司出具了《齐鲁证券有限公司关于杭州高新橡塑材料股份有限 </w:t>
            </w:r>
            <w:r>
              <w:rPr>
                <w:rFonts w:ascii="宋体" w:hAnsi="宋体" w:cs="宋体" w:eastAsia="宋体" w:hint="default"/>
                <w:spacing w:val="-5"/>
                <w:sz w:val="18"/>
                <w:szCs w:val="18"/>
              </w:rPr>
              <w:t>公司以募集资金置换预先投入募集资金投资项目自筹资金的专项意见》，同意公司以募集资金置换预</w:t>
            </w:r>
            <w:r>
              <w:rPr>
                <w:rFonts w:ascii="宋体" w:hAnsi="宋体" w:cs="宋体" w:eastAsia="宋体" w:hint="default"/>
                <w:spacing w:val="-48"/>
                <w:sz w:val="18"/>
                <w:szCs w:val="18"/>
              </w:rPr>
              <w:t> </w:t>
            </w:r>
            <w:r>
              <w:rPr>
                <w:rFonts w:ascii="宋体" w:hAnsi="宋体" w:cs="宋体" w:eastAsia="宋体" w:hint="default"/>
                <w:spacing w:val="-48"/>
                <w:sz w:val="18"/>
                <w:szCs w:val="18"/>
              </w:rPr>
            </w:r>
            <w:r>
              <w:rPr>
                <w:rFonts w:ascii="宋体" w:hAnsi="宋体" w:cs="宋体" w:eastAsia="宋体" w:hint="default"/>
                <w:sz w:val="18"/>
                <w:szCs w:val="18"/>
              </w:rPr>
              <w:t>先投入募集资金投资项目的自筹资金。</w:t>
            </w: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319" w:lineRule="auto"/>
              <w:ind w:left="22" w:right="117"/>
              <w:jc w:val="left"/>
              <w:rPr>
                <w:rFonts w:ascii="宋体" w:hAnsi="宋体" w:cs="宋体" w:eastAsia="宋体" w:hint="default"/>
                <w:sz w:val="18"/>
                <w:szCs w:val="18"/>
              </w:rPr>
            </w:pPr>
            <w:r>
              <w:rPr>
                <w:rFonts w:ascii="宋体" w:hAnsi="宋体" w:cs="宋体" w:eastAsia="宋体" w:hint="default"/>
                <w:sz w:val="18"/>
                <w:szCs w:val="18"/>
              </w:rPr>
              <w:t>用闲置募集资金暂时 补充流动资金情况</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1962" w:hRule="exact"/>
        </w:trPr>
        <w:tc>
          <w:tcPr>
            <w:tcW w:w="1770" w:type="dxa"/>
            <w:vMerge/>
            <w:tcBorders>
              <w:left w:val="single" w:sz="4" w:space="0" w:color="000000"/>
              <w:bottom w:val="single" w:sz="4" w:space="0" w:color="FFFFFF"/>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 </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 </w:t>
            </w:r>
            <w:r>
              <w:rPr>
                <w:rFonts w:ascii="Times New Roman" w:hAnsi="Times New Roman" w:cs="Times New Roman" w:eastAsia="Times New Roman" w:hint="default"/>
                <w:sz w:val="18"/>
                <w:szCs w:val="18"/>
              </w:rPr>
              <w:t>6  </w:t>
            </w:r>
            <w:r>
              <w:rPr>
                <w:rFonts w:ascii="宋体" w:hAnsi="宋体" w:cs="宋体" w:eastAsia="宋体" w:hint="default"/>
                <w:sz w:val="18"/>
                <w:szCs w:val="18"/>
              </w:rPr>
              <w:t>月 </w:t>
            </w:r>
            <w:r>
              <w:rPr>
                <w:rFonts w:ascii="Times New Roman" w:hAnsi="Times New Roman" w:cs="Times New Roman" w:eastAsia="Times New Roman" w:hint="default"/>
                <w:sz w:val="18"/>
                <w:szCs w:val="18"/>
              </w:rPr>
              <w:t>27 </w:t>
            </w:r>
            <w:r>
              <w:rPr>
                <w:rFonts w:ascii="Times New Roman" w:hAnsi="Times New Roman" w:cs="Times New Roman" w:eastAsia="Times New Roman" w:hint="default"/>
                <w:spacing w:val="6"/>
                <w:sz w:val="18"/>
                <w:szCs w:val="18"/>
              </w:rPr>
              <w:t> </w:t>
            </w:r>
            <w:r>
              <w:rPr>
                <w:rFonts w:ascii="宋体" w:hAnsi="宋体" w:cs="宋体" w:eastAsia="宋体" w:hint="default"/>
                <w:spacing w:val="-3"/>
                <w:sz w:val="18"/>
                <w:szCs w:val="18"/>
              </w:rPr>
              <w:t>日召开第二届董事会第八次会议，审议通过了《关于使用部分闲置募集资</w:t>
            </w:r>
          </w:p>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金暂时补充流动资金的议案</w:t>
            </w:r>
            <w:r>
              <w:rPr>
                <w:rFonts w:ascii="宋体" w:hAnsi="宋体" w:cs="宋体" w:eastAsia="宋体" w:hint="default"/>
                <w:spacing w:val="-90"/>
                <w:sz w:val="18"/>
                <w:szCs w:val="18"/>
              </w:rPr>
              <w:t>》</w:t>
            </w:r>
            <w:r>
              <w:rPr>
                <w:rFonts w:ascii="宋体" w:hAnsi="宋体" w:cs="宋体" w:eastAsia="宋体" w:hint="default"/>
                <w:spacing w:val="-45"/>
                <w:sz w:val="18"/>
                <w:szCs w:val="18"/>
              </w:rPr>
              <w:t>，</w:t>
            </w:r>
            <w:r>
              <w:rPr>
                <w:rFonts w:ascii="宋体" w:hAnsi="宋体" w:cs="宋体" w:eastAsia="宋体" w:hint="default"/>
                <w:sz w:val="18"/>
                <w:szCs w:val="18"/>
              </w:rPr>
              <w:t>募集资金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6,000  </w:t>
            </w:r>
            <w:r>
              <w:rPr>
                <w:rFonts w:ascii="宋体" w:hAnsi="宋体" w:cs="宋体" w:eastAsia="宋体" w:hint="default"/>
                <w:sz w:val="18"/>
                <w:szCs w:val="18"/>
              </w:rPr>
              <w:t>万元暂时用于补充流动资金</w:t>
            </w:r>
            <w:r>
              <w:rPr>
                <w:rFonts w:ascii="宋体" w:hAnsi="宋体" w:cs="宋体" w:eastAsia="宋体" w:hint="default"/>
                <w:spacing w:val="-45"/>
                <w:sz w:val="18"/>
                <w:szCs w:val="18"/>
              </w:rPr>
              <w:t>，</w:t>
            </w:r>
            <w:r>
              <w:rPr>
                <w:rFonts w:ascii="宋体" w:hAnsi="宋体" w:cs="宋体" w:eastAsia="宋体" w:hint="default"/>
                <w:sz w:val="18"/>
                <w:szCs w:val="18"/>
              </w:rPr>
              <w:t>使用期限为董事会批准</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之日起不超过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pacing w:val="-5"/>
                <w:sz w:val="18"/>
                <w:szCs w:val="18"/>
              </w:rPr>
              <w:t>个月。该笔资金已于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月如期归还至募集资金专户。本公司</w:t>
            </w:r>
            <w:r>
              <w:rPr>
                <w:rFonts w:ascii="宋体" w:hAnsi="宋体" w:cs="宋体" w:eastAsia="宋体" w:hint="default"/>
                <w:sz w:val="18"/>
                <w:szCs w:val="18"/>
              </w:rPr>
              <w:t>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 </w:t>
            </w:r>
            <w:r>
              <w:rPr>
                <w:rFonts w:ascii="Times New Roman" w:hAnsi="Times New Roman" w:cs="Times New Roman" w:eastAsia="Times New Roman" w:hint="default"/>
                <w:sz w:val="18"/>
                <w:szCs w:val="18"/>
              </w:rPr>
              <w:t>7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日召开第二届董事会第十三次会议，审议通过了《关于使用部分闲置募集资金暂时补充流动资金</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的议案</w:t>
            </w:r>
            <w:r>
              <w:rPr>
                <w:rFonts w:ascii="宋体" w:hAnsi="宋体" w:cs="宋体" w:eastAsia="宋体" w:hint="default"/>
                <w:spacing w:val="-90"/>
                <w:sz w:val="18"/>
                <w:szCs w:val="18"/>
              </w:rPr>
              <w:t>》</w:t>
            </w:r>
            <w:r>
              <w:rPr>
                <w:rFonts w:ascii="宋体" w:hAnsi="宋体" w:cs="宋体" w:eastAsia="宋体" w:hint="default"/>
                <w:spacing w:val="-45"/>
                <w:sz w:val="18"/>
                <w:szCs w:val="18"/>
              </w:rPr>
              <w:t>，</w:t>
            </w:r>
            <w:r>
              <w:rPr>
                <w:rFonts w:ascii="宋体" w:hAnsi="宋体" w:cs="宋体" w:eastAsia="宋体" w:hint="default"/>
                <w:sz w:val="18"/>
                <w:szCs w:val="18"/>
              </w:rPr>
              <w:t>同意将部分闲置募集资金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6,000  </w:t>
            </w:r>
            <w:r>
              <w:rPr>
                <w:rFonts w:ascii="宋体" w:hAnsi="宋体" w:cs="宋体" w:eastAsia="宋体" w:hint="default"/>
                <w:sz w:val="18"/>
                <w:szCs w:val="18"/>
              </w:rPr>
              <w:t>万元暂时用于补充流动资金</w:t>
            </w:r>
            <w:r>
              <w:rPr>
                <w:rFonts w:ascii="宋体" w:hAnsi="宋体" w:cs="宋体" w:eastAsia="宋体" w:hint="default"/>
                <w:spacing w:val="-45"/>
                <w:sz w:val="18"/>
                <w:szCs w:val="18"/>
              </w:rPr>
              <w:t>，</w:t>
            </w:r>
            <w:r>
              <w:rPr>
                <w:rFonts w:ascii="宋体" w:hAnsi="宋体" w:cs="宋体" w:eastAsia="宋体" w:hint="default"/>
                <w:sz w:val="18"/>
                <w:szCs w:val="18"/>
              </w:rPr>
              <w:t>使用期限为董事会批准之日</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起不超过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个月。该笔资金已于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月如期归还至募集资金专户。</w:t>
            </w:r>
          </w:p>
        </w:tc>
      </w:tr>
      <w:tr>
        <w:trPr>
          <w:trHeight w:val="402" w:hRule="exact"/>
        </w:trPr>
        <w:tc>
          <w:tcPr>
            <w:tcW w:w="1770" w:type="dxa"/>
            <w:vMerge w:val="restart"/>
            <w:tcBorders>
              <w:top w:val="single" w:sz="4" w:space="0" w:color="FFFFFF"/>
              <w:left w:val="single" w:sz="4" w:space="0" w:color="000000"/>
              <w:right w:val="single" w:sz="4" w:space="0" w:color="000000"/>
            </w:tcBorders>
            <w:shd w:val="clear" w:color="auto" w:fill="D2D2D2"/>
          </w:tcPr>
          <w:p>
            <w:pPr>
              <w:pStyle w:val="TableParagraph"/>
              <w:spacing w:line="319" w:lineRule="auto" w:before="95"/>
              <w:ind w:left="22" w:right="117"/>
              <w:jc w:val="left"/>
              <w:rPr>
                <w:rFonts w:ascii="宋体" w:hAnsi="宋体" w:cs="宋体" w:eastAsia="宋体" w:hint="default"/>
                <w:sz w:val="18"/>
                <w:szCs w:val="18"/>
              </w:rPr>
            </w:pPr>
            <w:r>
              <w:rPr>
                <w:rFonts w:ascii="宋体" w:hAnsi="宋体" w:cs="宋体" w:eastAsia="宋体" w:hint="default"/>
                <w:sz w:val="18"/>
                <w:szCs w:val="18"/>
              </w:rPr>
              <w:t>项目实施出现募集资 金结余的金额及原因</w:t>
            </w:r>
          </w:p>
        </w:tc>
        <w:tc>
          <w:tcPr>
            <w:tcW w:w="7798"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17"/>
              <w:jc w:val="left"/>
              <w:rPr>
                <w:rFonts w:ascii="宋体" w:hAnsi="宋体" w:cs="宋体" w:eastAsia="宋体" w:hint="default"/>
                <w:sz w:val="18"/>
                <w:szCs w:val="18"/>
              </w:rPr>
            </w:pPr>
            <w:r>
              <w:rPr>
                <w:rFonts w:ascii="宋体" w:hAnsi="宋体" w:cs="宋体" w:eastAsia="宋体" w:hint="default"/>
                <w:sz w:val="18"/>
                <w:szCs w:val="18"/>
              </w:rPr>
              <w:t>尚未使用的募集资金 用途及去向</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115"/>
              <w:jc w:val="left"/>
              <w:rPr>
                <w:rFonts w:ascii="宋体" w:hAnsi="宋体" w:cs="宋体" w:eastAsia="宋体" w:hint="default"/>
                <w:sz w:val="18"/>
                <w:szCs w:val="18"/>
              </w:rPr>
            </w:pPr>
            <w:r>
              <w:rPr>
                <w:rFonts w:ascii="宋体" w:hAnsi="宋体" w:cs="宋体" w:eastAsia="宋体" w:hint="default"/>
                <w:sz w:val="18"/>
                <w:szCs w:val="18"/>
              </w:rPr>
              <w:t>公司截至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年末尚未使用的募集资金存放在募集资金专户和通知存款的形式存放在募集资金开 户银行</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17"/>
              <w:jc w:val="both"/>
              <w:rPr>
                <w:rFonts w:ascii="宋体" w:hAnsi="宋体" w:cs="宋体" w:eastAsia="宋体" w:hint="default"/>
                <w:sz w:val="18"/>
                <w:szCs w:val="18"/>
              </w:rPr>
            </w:pPr>
            <w:r>
              <w:rPr>
                <w:rFonts w:ascii="宋体" w:hAnsi="宋体" w:cs="宋体" w:eastAsia="宋体" w:hint="default"/>
                <w:sz w:val="18"/>
                <w:szCs w:val="18"/>
              </w:rPr>
              <w:t>募集资金使用及披露 中存在的问题或其他 情况</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bookmarkStart w:name="（3）募集资金变更项目情况" w:id="51"/>
      <w:bookmarkEnd w:id="51"/>
      <w:r>
        <w:rPr>
          <w:b w:val="0"/>
          <w:bCs w:val="0"/>
        </w:rPr>
      </w: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8"/>
        <w:rPr>
          <w:rFonts w:ascii="宋体" w:hAnsi="宋体" w:cs="宋体" w:eastAsia="宋体" w:hint="default"/>
          <w:b/>
          <w:bCs/>
          <w:sz w:val="26"/>
          <w:szCs w:val="26"/>
        </w:rPr>
      </w:pPr>
    </w:p>
    <w:p>
      <w:pPr>
        <w:pStyle w:val="BodyText"/>
        <w:spacing w:line="357" w:lineRule="auto" w:before="0"/>
        <w:ind w:right="6352"/>
        <w:jc w:val="left"/>
      </w:pPr>
      <w:r>
        <w:rPr/>
        <w:t>□ 适用 √ 不适用 公司报告期不存在募集资金变更项目情况。</w:t>
      </w:r>
    </w:p>
    <w:p>
      <w:pPr>
        <w:spacing w:line="240" w:lineRule="auto" w:before="4"/>
        <w:rPr>
          <w:rFonts w:ascii="宋体" w:hAnsi="宋体" w:cs="宋体" w:eastAsia="宋体" w:hint="default"/>
          <w:sz w:val="18"/>
          <w:szCs w:val="18"/>
        </w:rPr>
      </w:pPr>
    </w:p>
    <w:p>
      <w:pPr>
        <w:pStyle w:val="Heading2"/>
        <w:spacing w:line="240" w:lineRule="auto"/>
        <w:ind w:right="0"/>
        <w:jc w:val="left"/>
        <w:rPr>
          <w:b w:val="0"/>
          <w:bCs w:val="0"/>
        </w:rPr>
      </w:pPr>
      <w:bookmarkStart w:name="六、重大资产和股权出售" w:id="52"/>
      <w:bookmarkEnd w:id="52"/>
      <w:r>
        <w:rPr>
          <w:b w:val="0"/>
          <w:bCs w:val="0"/>
        </w:rPr>
      </w:r>
      <w:r>
        <w:rPr/>
        <w:t>六、重大资产和股权出售</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bookmarkStart w:name="1、出售重大资产情况" w:id="53"/>
      <w:bookmarkEnd w:id="53"/>
      <w:r>
        <w:rPr>
          <w:b w:val="0"/>
          <w:bCs w:val="0"/>
        </w:rPr>
      </w:r>
      <w:r>
        <w:rPr>
          <w:rFonts w:ascii="Times New Roman" w:hAnsi="Times New Roman" w:cs="Times New Roman" w:eastAsia="Times New Roman" w:hint="default"/>
        </w:rPr>
        <w:t>1</w:t>
      </w:r>
      <w:r>
        <w:rPr/>
        <w:t>、出售重大资产情况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before="0"/>
        <w:ind w:right="7432"/>
        <w:jc w:val="left"/>
      </w:pPr>
      <w:r>
        <w:rPr/>
        <w:t>□ 适用 √ 不适用 公司报告期未出售重大资产。</w:t>
      </w:r>
    </w:p>
    <w:p>
      <w:pPr>
        <w:spacing w:line="240" w:lineRule="auto" w:before="13"/>
        <w:rPr>
          <w:rFonts w:ascii="宋体" w:hAnsi="宋体" w:cs="宋体" w:eastAsia="宋体" w:hint="default"/>
          <w:sz w:val="19"/>
          <w:szCs w:val="19"/>
        </w:rPr>
      </w:pPr>
    </w:p>
    <w:p>
      <w:pPr>
        <w:pStyle w:val="Heading5"/>
        <w:spacing w:line="240" w:lineRule="auto"/>
        <w:ind w:right="0"/>
        <w:jc w:val="left"/>
        <w:rPr>
          <w:b w:val="0"/>
          <w:bCs w:val="0"/>
        </w:rPr>
      </w:pPr>
      <w:bookmarkStart w:name="2、出售重大股权情况" w:id="54"/>
      <w:bookmarkEnd w:id="54"/>
      <w:r>
        <w:rPr>
          <w:b w:val="0"/>
          <w:bCs w:val="0"/>
        </w:rPr>
      </w:r>
      <w:r>
        <w:rPr>
          <w:rFonts w:ascii="Times New Roman" w:hAnsi="Times New Roman" w:cs="Times New Roman" w:eastAsia="Times New Roman" w:hint="default"/>
        </w:rPr>
        <w:t>2</w:t>
      </w:r>
      <w:r>
        <w:rPr/>
        <w:t>、出售重大股权情况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0"/>
        <w:jc w:val="left"/>
      </w:pPr>
      <w:r>
        <w:rPr/>
        <w:t>□ 适用 √ 不适用</w:t>
      </w:r>
    </w:p>
    <w:p>
      <w:pPr>
        <w:spacing w:line="240" w:lineRule="auto" w:before="13"/>
        <w:rPr>
          <w:rFonts w:ascii="宋体" w:hAnsi="宋体" w:cs="宋体" w:eastAsia="宋体" w:hint="default"/>
          <w:sz w:val="24"/>
          <w:szCs w:val="24"/>
        </w:rPr>
      </w:pPr>
    </w:p>
    <w:p>
      <w:pPr>
        <w:pStyle w:val="Heading2"/>
        <w:spacing w:line="240" w:lineRule="auto"/>
        <w:ind w:right="0"/>
        <w:jc w:val="left"/>
        <w:rPr>
          <w:b w:val="0"/>
          <w:bCs w:val="0"/>
        </w:rPr>
      </w:pPr>
      <w:bookmarkStart w:name="七、主要控股参股公司分析" w:id="55"/>
      <w:bookmarkEnd w:id="55"/>
      <w:r>
        <w:rPr>
          <w:b w:val="0"/>
          <w:bCs w:val="0"/>
        </w:rPr>
      </w:r>
      <w:r>
        <w:rPr/>
        <w:t>七、主要控股参股公司分析</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980"/>
        </w:sectPr>
      </w:pPr>
    </w:p>
    <w:p>
      <w:pPr>
        <w:pStyle w:val="BodyText"/>
        <w:spacing w:line="240" w:lineRule="auto"/>
        <w:ind w:right="-20"/>
        <w:jc w:val="left"/>
      </w:pPr>
      <w:r>
        <w:rPr/>
        <w:t>√ 适用 □ 不适用</w:t>
      </w:r>
    </w:p>
    <w:p>
      <w:pPr>
        <w:pStyle w:val="BodyText"/>
        <w:spacing w:line="240" w:lineRule="auto" w:before="116"/>
        <w:ind w:right="-20"/>
        <w:jc w:val="left"/>
      </w:pPr>
      <w:r>
        <w:rPr/>
        <w:t>主要子公司及对公司净利润影响达</w:t>
      </w:r>
      <w:r>
        <w:rPr>
          <w:spacing w:val="-46"/>
        </w:rPr>
        <w:t> </w:t>
      </w:r>
      <w:r>
        <w:rPr>
          <w:rFonts w:ascii="Times New Roman" w:hAnsi="Times New Roman" w:cs="Times New Roman" w:eastAsia="Times New Roman" w:hint="default"/>
        </w:rPr>
        <w:t>10%</w:t>
      </w:r>
      <w:r>
        <w:rPr/>
        <w:t>以上的参股公司情况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before="0"/>
        <w:ind w:left="153" w:right="0"/>
        <w:jc w:val="left"/>
      </w:pPr>
      <w:r>
        <w:rPr/>
        <w:t>单位：元</w:t>
      </w:r>
    </w:p>
    <w:p>
      <w:pPr>
        <w:spacing w:after="0" w:line="240" w:lineRule="auto"/>
        <w:jc w:val="left"/>
        <w:sectPr>
          <w:type w:val="continuous"/>
          <w:pgSz w:w="11910" w:h="16840"/>
          <w:pgMar w:top="1060" w:bottom="1160" w:left="980" w:right="980"/>
          <w:cols w:num="2" w:equalWidth="0">
            <w:col w:w="4849" w:space="4070"/>
            <w:col w:w="1031"/>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054"/>
        <w:gridCol w:w="1196"/>
        <w:gridCol w:w="1045"/>
        <w:gridCol w:w="1046"/>
        <w:gridCol w:w="1045"/>
        <w:gridCol w:w="1045"/>
        <w:gridCol w:w="1046"/>
        <w:gridCol w:w="1045"/>
        <w:gridCol w:w="1046"/>
      </w:tblGrid>
      <w:tr>
        <w:trPr>
          <w:trHeight w:val="402" w:hRule="exact"/>
        </w:trPr>
        <w:tc>
          <w:tcPr>
            <w:tcW w:w="1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2"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3"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注册资本</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总资产</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净资产</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营业利润</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净利润</w:t>
            </w:r>
          </w:p>
        </w:tc>
      </w:tr>
      <w:tr>
        <w:trPr>
          <w:trHeight w:val="674"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杭州奥能电 源设备有限</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0"/>
              <w:jc w:val="left"/>
              <w:rPr>
                <w:rFonts w:ascii="宋体" w:hAnsi="宋体" w:cs="宋体" w:eastAsia="宋体" w:hint="default"/>
                <w:sz w:val="18"/>
                <w:szCs w:val="18"/>
              </w:rPr>
            </w:pPr>
            <w:r>
              <w:rPr>
                <w:rFonts w:ascii="宋体" w:hAnsi="宋体" w:cs="宋体" w:eastAsia="宋体" w:hint="default"/>
                <w:sz w:val="18"/>
                <w:szCs w:val="18"/>
              </w:rPr>
              <w:t>主要从事智 能一体化电</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43"/>
              <w:jc w:val="center"/>
              <w:rPr>
                <w:rFonts w:ascii="Times New Roman" w:hAnsi="Times New Roman" w:cs="Times New Roman" w:eastAsia="Times New Roman" w:hint="default"/>
                <w:sz w:val="18"/>
                <w:szCs w:val="18"/>
              </w:rPr>
            </w:pPr>
            <w:r>
              <w:rPr>
                <w:rFonts w:ascii="Times New Roman"/>
                <w:sz w:val="18"/>
              </w:rPr>
              <w:t>50,000,000.0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center"/>
              <w:rPr>
                <w:rFonts w:ascii="Times New Roman" w:hAnsi="Times New Roman" w:cs="Times New Roman" w:eastAsia="Times New Roman" w:hint="default"/>
                <w:sz w:val="18"/>
                <w:szCs w:val="18"/>
              </w:rPr>
            </w:pPr>
            <w:r>
              <w:rPr>
                <w:rFonts w:ascii="Times New Roman"/>
                <w:sz w:val="18"/>
              </w:rPr>
              <w:t>204,839,876.</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center"/>
              <w:rPr>
                <w:rFonts w:ascii="Times New Roman" w:hAnsi="Times New Roman" w:cs="Times New Roman" w:eastAsia="Times New Roman" w:hint="default"/>
                <w:sz w:val="18"/>
                <w:szCs w:val="18"/>
              </w:rPr>
            </w:pPr>
            <w:r>
              <w:rPr>
                <w:rFonts w:ascii="Times New Roman"/>
                <w:sz w:val="18"/>
              </w:rPr>
              <w:t>95,857,777.7</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2" w:right="0"/>
              <w:jc w:val="center"/>
              <w:rPr>
                <w:rFonts w:ascii="Times New Roman" w:hAnsi="Times New Roman" w:cs="Times New Roman" w:eastAsia="Times New Roman" w:hint="default"/>
                <w:sz w:val="18"/>
                <w:szCs w:val="18"/>
              </w:rPr>
            </w:pPr>
            <w:r>
              <w:rPr>
                <w:rFonts w:ascii="Times New Roman"/>
                <w:sz w:val="18"/>
              </w:rPr>
              <w:t>178,552,421.</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 w:right="0"/>
              <w:jc w:val="center"/>
              <w:rPr>
                <w:rFonts w:ascii="Times New Roman" w:hAnsi="Times New Roman" w:cs="Times New Roman" w:eastAsia="Times New Roman" w:hint="default"/>
                <w:sz w:val="18"/>
                <w:szCs w:val="18"/>
              </w:rPr>
            </w:pPr>
            <w:r>
              <w:rPr>
                <w:rFonts w:ascii="Times New Roman"/>
                <w:sz w:val="18"/>
              </w:rPr>
              <w:t>40,700,549.7</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center"/>
              <w:rPr>
                <w:rFonts w:ascii="Times New Roman" w:hAnsi="Times New Roman" w:cs="Times New Roman" w:eastAsia="Times New Roman" w:hint="default"/>
                <w:sz w:val="18"/>
                <w:szCs w:val="18"/>
              </w:rPr>
            </w:pPr>
            <w:r>
              <w:rPr>
                <w:rFonts w:ascii="Times New Roman"/>
                <w:sz w:val="18"/>
              </w:rPr>
              <w:t>38,075,786.0</w:t>
            </w:r>
          </w:p>
        </w:tc>
      </w:tr>
    </w:tbl>
    <w:p>
      <w:pPr>
        <w:spacing w:after="0" w:line="240" w:lineRule="auto"/>
        <w:jc w:val="center"/>
        <w:rPr>
          <w:rFonts w:ascii="Times New Roman" w:hAnsi="Times New Roman" w:cs="Times New Roman" w:eastAsia="Times New Roman" w:hint="default"/>
          <w:sz w:val="18"/>
          <w:szCs w:val="18"/>
        </w:rPr>
        <w:sectPr>
          <w:type w:val="continuous"/>
          <w:pgSz w:w="11910" w:h="16840"/>
          <w:pgMar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054"/>
        <w:gridCol w:w="1196"/>
        <w:gridCol w:w="1045"/>
        <w:gridCol w:w="1046"/>
        <w:gridCol w:w="1045"/>
        <w:gridCol w:w="1045"/>
        <w:gridCol w:w="1046"/>
        <w:gridCol w:w="1045"/>
        <w:gridCol w:w="1046"/>
      </w:tblGrid>
      <w:tr>
        <w:trPr>
          <w:trHeight w:val="5979"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196"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53"/>
              <w:jc w:val="left"/>
              <w:rPr>
                <w:rFonts w:ascii="宋体" w:hAnsi="宋体" w:cs="宋体" w:eastAsia="宋体" w:hint="default"/>
                <w:sz w:val="18"/>
                <w:szCs w:val="18"/>
              </w:rPr>
            </w:pPr>
            <w:r>
              <w:rPr>
                <w:rFonts w:ascii="宋体" w:hAnsi="宋体" w:cs="宋体" w:eastAsia="宋体" w:hint="default"/>
                <w:sz w:val="18"/>
                <w:szCs w:val="18"/>
              </w:rPr>
              <w:t>源系统、新 能源汽车充 电设备等产 品的研发、 生产和销 售，主要产 品有</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UPS</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电 源系统、直 流系统、专 用不间断电 源、交流充 电桩、直流 充电桩、智 慧充电运营 管理系统、 智慧交通车 辆管理软、 硬件系列产 品等。</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sz w:val="18"/>
              </w:rPr>
              <w:t>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51</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1</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Times New Roman" w:hAnsi="Times New Roman" w:cs="Times New Roman" w:eastAsia="Times New Roman" w:hint="default"/>
                <w:sz w:val="18"/>
                <w:szCs w:val="18"/>
              </w:rPr>
            </w:pPr>
            <w:r>
              <w:rPr>
                <w:rFonts w:ascii="Times New Roman"/>
                <w:sz w:val="18"/>
              </w:rPr>
              <w:t>33</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Times New Roman" w:hAnsi="Times New Roman" w:cs="Times New Roman" w:eastAsia="Times New Roman" w:hint="default"/>
                <w:sz w:val="18"/>
                <w:szCs w:val="18"/>
              </w:rPr>
            </w:pPr>
            <w:r>
              <w:rPr>
                <w:rFonts w:ascii="Times New Roman"/>
                <w:sz w:val="18"/>
              </w:rPr>
              <w:t>2</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Times New Roman" w:hAnsi="Times New Roman" w:cs="Times New Roman" w:eastAsia="Times New Roman" w:hint="default"/>
                <w:sz w:val="18"/>
                <w:szCs w:val="18"/>
              </w:rPr>
            </w:pPr>
            <w:r>
              <w:rPr>
                <w:rFonts w:ascii="Times New Roman"/>
                <w:sz w:val="18"/>
              </w:rPr>
              <w:t>3</w:t>
            </w:r>
          </w:p>
        </w:tc>
      </w:tr>
      <w:tr>
        <w:trPr>
          <w:trHeight w:val="258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2" w:right="119"/>
              <w:jc w:val="both"/>
              <w:rPr>
                <w:rFonts w:ascii="宋体" w:hAnsi="宋体" w:cs="宋体" w:eastAsia="宋体" w:hint="default"/>
                <w:sz w:val="18"/>
                <w:szCs w:val="18"/>
              </w:rPr>
            </w:pPr>
            <w:r>
              <w:rPr>
                <w:rFonts w:ascii="宋体" w:hAnsi="宋体" w:cs="宋体" w:eastAsia="宋体" w:hint="default"/>
                <w:sz w:val="18"/>
                <w:szCs w:val="18"/>
              </w:rPr>
              <w:t>福建南平太 阳高新材料 有限公司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0"/>
              <w:jc w:val="left"/>
              <w:rPr>
                <w:rFonts w:ascii="宋体" w:hAnsi="宋体" w:cs="宋体" w:eastAsia="宋体" w:hint="default"/>
                <w:sz w:val="18"/>
                <w:szCs w:val="18"/>
              </w:rPr>
            </w:pPr>
            <w:r>
              <w:rPr>
                <w:rFonts w:ascii="宋体" w:hAnsi="宋体" w:cs="宋体" w:eastAsia="宋体" w:hint="default"/>
                <w:sz w:val="18"/>
                <w:szCs w:val="18"/>
              </w:rPr>
              <w:t>高分子橡塑 材料的研 发、生产及 销售，从事 法律法规允 许的商品和 技术的进出 口业务</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30,000,000.0</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42,204,453.0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29,988,071.7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-6,083.40</w:t>
            </w:r>
            <w:r>
              <w:rPr>
                <w:rFonts w:ascii="Times New Roman"/>
                <w:sz w:val="18"/>
              </w:rPr>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-6,083.40</w:t>
            </w:r>
            <w:r>
              <w:rPr>
                <w:rFonts w:ascii="Times New Roman"/>
                <w:sz w:val="18"/>
              </w:rPr>
            </w:r>
          </w:p>
        </w:tc>
      </w:tr>
    </w:tbl>
    <w:p>
      <w:pPr>
        <w:pStyle w:val="BodyText"/>
        <w:spacing w:line="240" w:lineRule="auto" w:before="51"/>
        <w:ind w:right="92"/>
        <w:jc w:val="left"/>
      </w:pPr>
      <w:r>
        <w:rPr/>
        <w:t>报告期内取得和处置子公司的情况</w:t>
      </w:r>
    </w:p>
    <w:p>
      <w:pPr>
        <w:pStyle w:val="BodyText"/>
        <w:spacing w:line="240" w:lineRule="auto" w:before="117"/>
        <w:ind w:right="92"/>
        <w:jc w:val="left"/>
      </w:pPr>
      <w:r>
        <w:rPr/>
        <w:t>√ 适用 □ 不适用</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9"/>
          <w:szCs w:val="19"/>
        </w:rPr>
      </w:pPr>
    </w:p>
    <w:p>
      <w:pPr>
        <w:pStyle w:val="BodyText"/>
        <w:spacing w:line="240" w:lineRule="auto"/>
        <w:ind w:left="0" w:right="199"/>
        <w:jc w:val="right"/>
      </w:pPr>
      <w:r>
        <w:rPr/>
        <w:pict>
          <v:shape style="position:absolute;margin-left:56.459999pt;margin-top:-20.948254pt;width:479.25pt;height:76.4pt;mso-position-horizontal-relative:page;mso-position-vertical-relative:paragraph;z-index:11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89"/>
                    <w:gridCol w:w="3190"/>
                    <w:gridCol w:w="3191"/>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30" w:right="0"/>
                          <w:jc w:val="left"/>
                          <w:rPr>
                            <w:rFonts w:ascii="宋体" w:hAnsi="宋体" w:cs="宋体" w:eastAsia="宋体" w:hint="default"/>
                            <w:sz w:val="18"/>
                            <w:szCs w:val="18"/>
                          </w:rPr>
                        </w:pPr>
                        <w:r>
                          <w:rPr>
                            <w:rFonts w:ascii="宋体" w:hAnsi="宋体" w:cs="宋体" w:eastAsia="宋体" w:hint="default"/>
                            <w:sz w:val="18"/>
                            <w:szCs w:val="18"/>
                          </w:rPr>
                          <w:t>报告期内取得和处置子公司方式</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对整体生产经营和业绩的影响</w:t>
                        </w:r>
                      </w:p>
                    </w:tc>
                  </w:tr>
                  <w:tr>
                    <w:trPr>
                      <w:trHeight w:val="714"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杭州奥能电源设备有限公司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股权收购</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w w:val="99"/>
                            <w:sz w:val="18"/>
                            <w:szCs w:val="18"/>
                          </w:rPr>
                          <w:t>100%</w:t>
                        </w:r>
                        <w:r>
                          <w:rPr>
                            <w:rFonts w:ascii="宋体" w:hAnsi="宋体" w:cs="宋体" w:eastAsia="宋体" w:hint="default"/>
                            <w:w w:val="99"/>
                            <w:sz w:val="18"/>
                            <w:szCs w:val="18"/>
                          </w:rPr>
                          <w:t>控股</w:t>
                        </w:r>
                        <w:r>
                          <w:rPr>
                            <w:rFonts w:ascii="宋体" w:hAnsi="宋体" w:cs="宋体" w:eastAsia="宋体" w:hint="default"/>
                            <w:spacing w:val="-75"/>
                            <w:w w:val="99"/>
                            <w:sz w:val="18"/>
                            <w:szCs w:val="18"/>
                          </w:rPr>
                          <w:t>，</w:t>
                        </w:r>
                        <w:r>
                          <w:rPr>
                            <w:rFonts w:ascii="宋体" w:hAnsi="宋体" w:cs="宋体" w:eastAsia="宋体" w:hint="default"/>
                            <w:spacing w:val="-2"/>
                            <w:w w:val="99"/>
                            <w:sz w:val="18"/>
                            <w:szCs w:val="18"/>
                          </w:rPr>
                          <w:t>合</w:t>
                        </w:r>
                        <w:r>
                          <w:rPr>
                            <w:rFonts w:ascii="宋体" w:hAnsi="宋体" w:cs="宋体" w:eastAsia="宋体" w:hint="default"/>
                            <w:w w:val="99"/>
                            <w:sz w:val="18"/>
                            <w:szCs w:val="18"/>
                          </w:rPr>
                          <w:t>并营业收入</w:t>
                        </w:r>
                        <w:r>
                          <w:rPr>
                            <w:rFonts w:ascii="宋体" w:hAnsi="宋体" w:cs="宋体" w:eastAsia="宋体" w:hint="default"/>
                            <w:spacing w:val="-46"/>
                            <w:w w:val="99"/>
                            <w:sz w:val="18"/>
                            <w:szCs w:val="18"/>
                          </w:rPr>
                          <w:t> </w:t>
                        </w:r>
                        <w:r>
                          <w:rPr>
                            <w:rFonts w:ascii="Times New Roman" w:hAnsi="Times New Roman" w:cs="Times New Roman" w:eastAsia="Times New Roman" w:hint="default"/>
                            <w:w w:val="99"/>
                            <w:sz w:val="18"/>
                            <w:szCs w:val="18"/>
                          </w:rPr>
                          <w:t>7,026.72</w:t>
                        </w:r>
                        <w:r>
                          <w:rPr>
                            <w:rFonts w:ascii="Times New Roman" w:hAnsi="Times New Roman" w:cs="Times New Roman" w:eastAsia="Times New Roman" w:hint="default"/>
                            <w:spacing w:val="-1"/>
                            <w:w w:val="99"/>
                            <w:sz w:val="18"/>
                            <w:szCs w:val="18"/>
                          </w:rPr>
                          <w:t> </w:t>
                        </w:r>
                        <w:r>
                          <w:rPr>
                            <w:rFonts w:ascii="宋体" w:hAnsi="宋体" w:cs="宋体" w:eastAsia="宋体" w:hint="default"/>
                            <w:w w:val="99"/>
                            <w:sz w:val="18"/>
                            <w:szCs w:val="18"/>
                          </w:rPr>
                          <w:t>万元</w:t>
                        </w:r>
                        <w:r>
                          <w:rPr>
                            <w:rFonts w:ascii="宋体" w:hAnsi="宋体" w:cs="宋体" w:eastAsia="宋体" w:hint="default"/>
                            <w:sz w:val="18"/>
                            <w:szCs w:val="18"/>
                          </w:rPr>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净利润</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2,091.53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福建南平太阳高新材料有限公司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33"/>
                          <w:jc w:val="center"/>
                          <w:rPr>
                            <w:rFonts w:ascii="宋体" w:hAnsi="宋体" w:cs="宋体" w:eastAsia="宋体" w:hint="default"/>
                            <w:sz w:val="18"/>
                            <w:szCs w:val="18"/>
                          </w:rPr>
                        </w:pPr>
                        <w:r>
                          <w:rPr>
                            <w:rFonts w:ascii="Times New Roman" w:hAnsi="Times New Roman" w:cs="Times New Roman" w:eastAsia="Times New Roman" w:hint="default"/>
                            <w:sz w:val="18"/>
                            <w:szCs w:val="18"/>
                          </w:rPr>
                          <w:t>51%</w:t>
                        </w:r>
                        <w:r>
                          <w:rPr>
                            <w:rFonts w:ascii="宋体" w:hAnsi="宋体" w:cs="宋体" w:eastAsia="宋体" w:hint="default"/>
                            <w:sz w:val="18"/>
                            <w:szCs w:val="18"/>
                          </w:rPr>
                          <w:t>控股，合并净利润为</w:t>
                        </w:r>
                        <w:r>
                          <w:rPr>
                            <w:rFonts w:ascii="Times New Roman" w:hAnsi="Times New Roman" w:cs="Times New Roman" w:eastAsia="Times New Roman" w:hint="default"/>
                            <w:sz w:val="18"/>
                            <w:szCs w:val="18"/>
                          </w:rPr>
                          <w:t>-6083.40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3"/>
          <w:szCs w:val="23"/>
        </w:rPr>
      </w:pPr>
    </w:p>
    <w:p>
      <w:pPr>
        <w:pStyle w:val="BodyText"/>
        <w:spacing w:line="357" w:lineRule="auto"/>
        <w:ind w:left="514" w:right="122" w:hanging="360"/>
        <w:jc w:val="left"/>
      </w:pPr>
      <w:r>
        <w:rPr/>
        <w:t>主要控股参股公司情况说明 奥能电源主要从事智能一体化电源系统、新能源汽车充电设备等产品的研发、生产和销售，主要产品有</w:t>
      </w:r>
      <w:r>
        <w:rPr>
          <w:rFonts w:ascii="Times New Roman" w:hAnsi="Times New Roman" w:cs="Times New Roman" w:eastAsia="Times New Roman" w:hint="default"/>
        </w:rPr>
        <w:t>UPS</w:t>
      </w:r>
      <w:r>
        <w:rPr/>
        <w:t>电源系统、</w:t>
      </w:r>
    </w:p>
    <w:p>
      <w:pPr>
        <w:pStyle w:val="BodyText"/>
        <w:spacing w:line="201" w:lineRule="exact" w:before="0"/>
        <w:ind w:right="0"/>
        <w:jc w:val="left"/>
      </w:pPr>
      <w:r>
        <w:rPr/>
        <w:t>直流系统、专用不间断电源、交流充电桩、直流充电桩、智慧充电运营管理系统、智慧交通车辆管理软、硬件系列产品等。</w:t>
      </w:r>
    </w:p>
    <w:p>
      <w:pPr>
        <w:pStyle w:val="BodyText"/>
        <w:spacing w:line="312" w:lineRule="auto" w:before="76"/>
        <w:ind w:right="92"/>
        <w:jc w:val="left"/>
      </w:pPr>
      <w:r>
        <w:rPr>
          <w:rFonts w:ascii="Times New Roman" w:hAnsi="Times New Roman" w:cs="Times New Roman" w:eastAsia="Times New Roman" w:hint="default"/>
          <w:spacing w:val="-2"/>
        </w:rPr>
        <w:t>2017</w:t>
      </w:r>
      <w:r>
        <w:rPr>
          <w:spacing w:val="-2"/>
        </w:rPr>
        <w:t>年，面对新能源市场竞争的加剧及行业市场环境的变化，公司经营管理层积极应对电网及行业项目招标规则与招标价格</w:t>
      </w:r>
      <w:r>
        <w:rPr>
          <w:spacing w:val="-59"/>
        </w:rPr>
        <w:t> </w:t>
      </w:r>
      <w:r>
        <w:rPr>
          <w:spacing w:val="-59"/>
        </w:rPr>
      </w:r>
      <w:r>
        <w:rPr/>
        <w:t>的变化，专门成立市场投标项目管理机构，根据市场情况，建立了一套行之有效的营销管理体系，在巩固网内客户的同时， 加大了对网外客户的开拓力度，顺利实现了业绩目标。</w:t>
      </w:r>
      <w:r>
        <w:rPr>
          <w:rFonts w:ascii="宋体" w:hAnsi="宋体" w:cs="宋体" w:eastAsia="宋体" w:hint="default"/>
        </w:rPr>
        <w:t>2017</w:t>
      </w:r>
      <w:r>
        <w:rPr/>
        <w:t>年</w:t>
      </w:r>
      <w:r>
        <w:rPr>
          <w:rFonts w:ascii="宋体" w:hAnsi="宋体" w:cs="宋体" w:eastAsia="宋体" w:hint="default"/>
        </w:rPr>
        <w:t>9</w:t>
      </w:r>
      <w:r>
        <w:rPr/>
        <w:t>月公司出于战略考虑，将车载电源研发项目予以外包，</w:t>
      </w:r>
      <w:r>
        <w:rPr>
          <w:rFonts w:ascii="宋体" w:hAnsi="宋体" w:cs="宋体" w:eastAsia="宋体" w:hint="default"/>
        </w:rPr>
        <w:t>2018 </w:t>
      </w:r>
      <w:r>
        <w:rPr/>
        <w:t>年</w:t>
      </w:r>
      <w:r>
        <w:rPr>
          <w:rFonts w:ascii="宋体" w:hAnsi="宋体" w:cs="宋体" w:eastAsia="宋体" w:hint="default"/>
        </w:rPr>
        <w:t>2</w:t>
      </w:r>
      <w:r>
        <w:rPr/>
        <w:t>月由于该项目和客户开发取得进展，需要投入设备进行批量生产，解除了外包关系，由公司自行进行试生产。</w:t>
      </w:r>
    </w:p>
    <w:p>
      <w:pPr>
        <w:pStyle w:val="BodyText"/>
        <w:spacing w:line="300" w:lineRule="auto" w:before="63"/>
        <w:ind w:right="92" w:firstLine="360"/>
        <w:jc w:val="left"/>
      </w:pPr>
      <w:r>
        <w:rPr>
          <w:spacing w:val="-4"/>
        </w:rPr>
        <w:t>太阳高新拟投资建设年产</w:t>
      </w:r>
      <w:r>
        <w:rPr>
          <w:rFonts w:ascii="Times New Roman" w:hAnsi="Times New Roman" w:cs="Times New Roman" w:eastAsia="Times New Roman" w:hint="default"/>
          <w:spacing w:val="-4"/>
        </w:rPr>
        <w:t>10</w:t>
      </w:r>
      <w:r>
        <w:rPr>
          <w:spacing w:val="-4"/>
        </w:rPr>
        <w:t>万吨的电缆料项目，产品系列包括硅烷交联、化学交联、无卤低烟、聚氯乙烯和橡胶电缆料，</w:t>
      </w:r>
      <w:r>
        <w:rPr/>
        <w:t> </w:t>
      </w:r>
      <w:r>
        <w:rPr>
          <w:spacing w:val="-2"/>
        </w:rPr>
        <w:t>销售市场以福建南平为中心，逐渐向周边省市扩大。太阳高新的设立，会进一步加强公司与太阳电缆之间的合作关系，为公</w:t>
      </w:r>
    </w:p>
    <w:p>
      <w:pPr>
        <w:spacing w:after="0" w:line="300" w:lineRule="auto"/>
        <w:jc w:val="left"/>
        <w:sectPr>
          <w:pgSz w:w="11910" w:h="16840"/>
          <w:pgMar w:header="747" w:footer="979" w:top="1060" w:bottom="1160" w:left="980" w:right="940"/>
        </w:sectPr>
      </w:pPr>
    </w:p>
    <w:p>
      <w:pPr>
        <w:spacing w:line="240" w:lineRule="auto" w:before="13"/>
        <w:rPr>
          <w:rFonts w:ascii="宋体" w:hAnsi="宋体" w:cs="宋体" w:eastAsia="宋体" w:hint="default"/>
          <w:sz w:val="25"/>
          <w:szCs w:val="25"/>
        </w:rPr>
      </w:pPr>
    </w:p>
    <w:p>
      <w:pPr>
        <w:pStyle w:val="BodyText"/>
        <w:spacing w:line="240" w:lineRule="auto"/>
        <w:ind w:right="0"/>
        <w:jc w:val="both"/>
      </w:pPr>
      <w:r>
        <w:rPr/>
        <w:t>司锁定后期销售和开发新产品创造良好的条件。</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5"/>
          <w:szCs w:val="15"/>
        </w:rPr>
      </w:pPr>
    </w:p>
    <w:p>
      <w:pPr>
        <w:pStyle w:val="Heading2"/>
        <w:spacing w:line="240" w:lineRule="auto"/>
        <w:ind w:right="0"/>
        <w:jc w:val="both"/>
        <w:rPr>
          <w:b w:val="0"/>
          <w:bCs w:val="0"/>
        </w:rPr>
      </w:pPr>
      <w:bookmarkStart w:name="八、公司控制的结构化主体情况" w:id="56"/>
      <w:bookmarkEnd w:id="56"/>
      <w:r>
        <w:rPr>
          <w:b w:val="0"/>
          <w:bCs w:val="0"/>
        </w:rPr>
      </w:r>
      <w:r>
        <w:rPr/>
        <w:t>八、公司控制的结构化主体情况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both"/>
        <w:rPr>
          <w:b w:val="0"/>
          <w:bCs w:val="0"/>
        </w:rPr>
      </w:pPr>
      <w:bookmarkStart w:name="九、公司未来发展的展望" w:id="57"/>
      <w:bookmarkEnd w:id="57"/>
      <w:r>
        <w:rPr>
          <w:b w:val="0"/>
          <w:bCs w:val="0"/>
        </w:rPr>
      </w:r>
      <w:r>
        <w:rPr/>
        <w:t>九、公司未来发展的展望</w:t>
      </w:r>
      <w:r>
        <w:rPr>
          <w:b w:val="0"/>
          <w:bCs w:val="0"/>
        </w:rPr>
      </w:r>
    </w:p>
    <w:p>
      <w:pPr>
        <w:spacing w:line="240" w:lineRule="auto" w:before="6"/>
        <w:rPr>
          <w:rFonts w:ascii="宋体" w:hAnsi="宋体" w:cs="宋体" w:eastAsia="宋体" w:hint="default"/>
          <w:b/>
          <w:bCs/>
          <w:sz w:val="26"/>
          <w:szCs w:val="26"/>
        </w:rPr>
      </w:pPr>
    </w:p>
    <w:p>
      <w:pPr>
        <w:pStyle w:val="BodyText"/>
        <w:spacing w:line="240" w:lineRule="auto" w:before="0"/>
        <w:ind w:right="0"/>
        <w:jc w:val="both"/>
      </w:pPr>
      <w:r>
        <w:rPr/>
        <w:t>（一）行业发展趋势</w:t>
      </w:r>
    </w:p>
    <w:p>
      <w:pPr>
        <w:pStyle w:val="BodyText"/>
        <w:spacing w:line="300" w:lineRule="auto" w:before="76"/>
        <w:ind w:left="514" w:right="92" w:hanging="360"/>
        <w:jc w:val="left"/>
      </w:pPr>
      <w:r>
        <w:rPr>
          <w:rFonts w:ascii="Times New Roman" w:hAnsi="Times New Roman" w:cs="Times New Roman" w:eastAsia="Times New Roman" w:hint="default"/>
        </w:rPr>
        <w:t>1</w:t>
      </w:r>
      <w:r>
        <w:rPr/>
        <w:t>、高分子线缆材料领域 </w:t>
      </w:r>
      <w:r>
        <w:rPr>
          <w:spacing w:val="-2"/>
        </w:rPr>
        <w:t>随着国民经济的迅猛发展，国内经济发展模式更加注重节能、环保，新能源的开发及利用比例将越来越高，传统材料的</w:t>
      </w:r>
    </w:p>
    <w:p>
      <w:pPr>
        <w:pStyle w:val="BodyText"/>
        <w:spacing w:line="309" w:lineRule="auto" w:before="31"/>
        <w:ind w:right="189"/>
        <w:jc w:val="both"/>
      </w:pPr>
      <w:r>
        <w:rPr>
          <w:spacing w:val="-2"/>
        </w:rPr>
        <w:t>需求将会持平，而新材料需求增长速度将高于经济增长速度。《国家中长期科学和技术发展规划纲要（</w:t>
      </w:r>
      <w:r>
        <w:rPr>
          <w:rFonts w:ascii="Times New Roman" w:hAnsi="Times New Roman" w:cs="Times New Roman" w:eastAsia="Times New Roman" w:hint="default"/>
          <w:spacing w:val="-2"/>
        </w:rPr>
        <w:t>2006</w:t>
      </w:r>
      <w:r>
        <w:rPr>
          <w:spacing w:val="-2"/>
        </w:rPr>
        <w:t>－</w:t>
      </w:r>
      <w:r>
        <w:rPr>
          <w:rFonts w:ascii="Times New Roman" w:hAnsi="Times New Roman" w:cs="Times New Roman" w:eastAsia="Times New Roman" w:hint="default"/>
          <w:spacing w:val="-2"/>
        </w:rPr>
        <w:t>2020</w:t>
      </w:r>
      <w:r>
        <w:rPr>
          <w:spacing w:val="-2"/>
        </w:rPr>
        <w:t>年）》将</w:t>
      </w:r>
      <w:r>
        <w:rPr>
          <w:spacing w:val="-58"/>
        </w:rPr>
        <w:t> </w:t>
      </w:r>
      <w:r>
        <w:rPr>
          <w:spacing w:val="-58"/>
        </w:rPr>
      </w:r>
      <w:r>
        <w:rPr>
          <w:spacing w:val="-2"/>
        </w:rPr>
        <w:t>能够满足国民经济基础产业发展需求的高性能复合材料、高性能工程塑料、具有环保和健康功能的绿色材料等产品列为制造</w:t>
      </w:r>
      <w:r>
        <w:rPr>
          <w:spacing w:val="-64"/>
        </w:rPr>
        <w:t> </w:t>
      </w:r>
      <w:r>
        <w:rPr>
          <w:spacing w:val="-64"/>
        </w:rPr>
      </w:r>
      <w:r>
        <w:rPr/>
        <w:t>业中的优先主题。</w:t>
      </w:r>
    </w:p>
    <w:p>
      <w:pPr>
        <w:pStyle w:val="BodyText"/>
        <w:spacing w:line="312" w:lineRule="auto" w:before="24"/>
        <w:ind w:right="92" w:firstLine="360"/>
        <w:jc w:val="left"/>
      </w:pPr>
      <w:r>
        <w:rPr>
          <w:spacing w:val="-2"/>
        </w:rPr>
        <w:t>国家一带一路和中国装备加速走出去的战略，低烟无卤阻燃材料有了发展新机遇，应用范围进一步扩大，预计年增速保</w:t>
      </w:r>
      <w:r>
        <w:rPr/>
        <w:t> </w:t>
      </w:r>
      <w:r>
        <w:rPr>
          <w:spacing w:val="-3"/>
        </w:rPr>
        <w:t>持在</w:t>
      </w:r>
      <w:r>
        <w:rPr>
          <w:rFonts w:ascii="Times New Roman" w:hAnsi="Times New Roman" w:cs="Times New Roman" w:eastAsia="Times New Roman" w:hint="default"/>
          <w:spacing w:val="-3"/>
        </w:rPr>
        <w:t>15%</w:t>
      </w:r>
      <w:r>
        <w:rPr>
          <w:spacing w:val="-3"/>
        </w:rPr>
        <w:t>左右。交联聚乙烯线缆材料作为电力电缆的主绝缘材料，已经得到广泛应用，其优点在于良好的耐热性和电气性能，</w:t>
      </w:r>
      <w:r>
        <w:rPr>
          <w:spacing w:val="-65"/>
        </w:rPr>
        <w:t> </w:t>
      </w:r>
      <w:r>
        <w:rPr>
          <w:spacing w:val="-65"/>
        </w:rPr>
      </w:r>
      <w:r>
        <w:rPr>
          <w:spacing w:val="-2"/>
        </w:rPr>
        <w:t>但是其无法降解、难以重复利用的缺点与节能环保的发展主题相冲突，在可回收可降解的替代绝缘材料出现之前，交联聚乙</w:t>
      </w:r>
      <w:r>
        <w:rPr>
          <w:spacing w:val="-66"/>
        </w:rPr>
        <w:t> </w:t>
      </w:r>
      <w:r>
        <w:rPr>
          <w:spacing w:val="-66"/>
        </w:rPr>
      </w:r>
      <w:r>
        <w:rPr/>
        <w:t>烯线缆材料的市场份额依然会持续提升。</w:t>
      </w:r>
    </w:p>
    <w:p>
      <w:pPr>
        <w:pStyle w:val="BodyText"/>
        <w:spacing w:line="319" w:lineRule="auto" w:before="22"/>
        <w:ind w:right="190" w:firstLine="360"/>
        <w:jc w:val="both"/>
      </w:pPr>
      <w:r>
        <w:rPr>
          <w:spacing w:val="-2"/>
        </w:rPr>
        <w:t>高端产品市场空间巨大，超光滑屏蔽料、抗水树电缆料、超高压直流电缆料以及一些跨行业需求的高端材料产品，国内</w:t>
      </w:r>
      <w:r>
        <w:rPr/>
        <w:t> </w:t>
      </w:r>
      <w:r>
        <w:rPr>
          <w:spacing w:val="-2"/>
        </w:rPr>
        <w:t>只有少数厂家可以供货，大部分的市场份额还为国外厂商所占据。未来，我国在高端材料研发方面的发展空间还很大，特种</w:t>
      </w:r>
      <w:r>
        <w:rPr>
          <w:spacing w:val="-66"/>
        </w:rPr>
        <w:t> </w:t>
      </w:r>
      <w:r>
        <w:rPr>
          <w:spacing w:val="-66"/>
        </w:rPr>
      </w:r>
      <w:r>
        <w:rPr>
          <w:spacing w:val="-2"/>
        </w:rPr>
        <w:t>线缆材料发展前景广阔，材料的绿色、安全、可靠性将会备受重视，包括材料的绿色环保特性、使用安全特性、生态效率评</w:t>
      </w:r>
      <w:r>
        <w:rPr>
          <w:spacing w:val="-68"/>
        </w:rPr>
        <w:t> </w:t>
      </w:r>
      <w:r>
        <w:rPr>
          <w:spacing w:val="-68"/>
        </w:rPr>
      </w:r>
      <w:r>
        <w:rPr/>
        <w:t>估等技术将更加受关注。</w:t>
      </w:r>
    </w:p>
    <w:p>
      <w:pPr>
        <w:pStyle w:val="BodyText"/>
        <w:spacing w:line="240" w:lineRule="auto" w:before="17"/>
        <w:ind w:right="0"/>
        <w:jc w:val="both"/>
      </w:pPr>
      <w:r>
        <w:rPr>
          <w:rFonts w:ascii="Times New Roman" w:hAnsi="Times New Roman" w:cs="Times New Roman" w:eastAsia="Times New Roman" w:hint="default"/>
        </w:rPr>
        <w:t>2</w:t>
      </w:r>
      <w:r>
        <w:rPr/>
        <w:t>、新能源领域</w:t>
      </w:r>
    </w:p>
    <w:p>
      <w:pPr>
        <w:pStyle w:val="BodyText"/>
        <w:spacing w:line="302" w:lineRule="auto" w:before="63"/>
        <w:ind w:right="92" w:firstLine="360"/>
        <w:jc w:val="left"/>
      </w:pPr>
      <w:r>
        <w:rPr/>
        <w:t>根据国务院</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28</w:t>
      </w:r>
      <w:r>
        <w:rPr/>
        <w:t>日印发的《节能与新能源汽车产业发展规划（</w:t>
      </w:r>
      <w:r>
        <w:rPr>
          <w:rFonts w:ascii="Times New Roman" w:hAnsi="Times New Roman" w:cs="Times New Roman" w:eastAsia="Times New Roman" w:hint="default"/>
        </w:rPr>
        <w:t>2012</w:t>
      </w:r>
      <w:r>
        <w:rPr>
          <w:rFonts w:ascii="Times New Roman" w:hAnsi="Times New Roman" w:cs="Times New Roman" w:eastAsia="Times New Roman" w:hint="default"/>
        </w:rPr>
        <w:t>—</w:t>
      </w:r>
      <w:r>
        <w:rPr>
          <w:rFonts w:ascii="Times New Roman" w:hAnsi="Times New Roman" w:cs="Times New Roman" w:eastAsia="Times New Roman" w:hint="default"/>
        </w:rPr>
        <w:t>2020</w:t>
      </w:r>
      <w:r>
        <w:rPr/>
        <w:t>年）》，我国计划到</w:t>
      </w:r>
      <w:r>
        <w:rPr>
          <w:rFonts w:ascii="Times New Roman" w:hAnsi="Times New Roman" w:cs="Times New Roman" w:eastAsia="Times New Roman" w:hint="default"/>
        </w:rPr>
        <w:t>2020</w:t>
      </w:r>
      <w:r>
        <w:rPr/>
        <w:t>年，纯电动 </w:t>
      </w:r>
      <w:r>
        <w:rPr>
          <w:spacing w:val="-2"/>
        </w:rPr>
        <w:t>汽车和插电式混合动力汽车生产能力达</w:t>
      </w:r>
      <w:r>
        <w:rPr>
          <w:rFonts w:ascii="Times New Roman" w:hAnsi="Times New Roman" w:cs="Times New Roman" w:eastAsia="Times New Roman" w:hint="default"/>
          <w:spacing w:val="-2"/>
        </w:rPr>
        <w:t>200</w:t>
      </w:r>
      <w:r>
        <w:rPr>
          <w:spacing w:val="-2"/>
        </w:rPr>
        <w:t>万辆、累计产销量超过</w:t>
      </w:r>
      <w:r>
        <w:rPr>
          <w:rFonts w:ascii="Times New Roman" w:hAnsi="Times New Roman" w:cs="Times New Roman" w:eastAsia="Times New Roman" w:hint="default"/>
          <w:spacing w:val="-2"/>
        </w:rPr>
        <w:t>500</w:t>
      </w:r>
      <w:r>
        <w:rPr>
          <w:spacing w:val="-2"/>
        </w:rPr>
        <w:t>万辆。发展规划还要求，充电设施建设要与新能源汽车</w:t>
      </w:r>
      <w:r>
        <w:rPr>
          <w:spacing w:val="-60"/>
        </w:rPr>
        <w:t> </w:t>
      </w:r>
      <w:r>
        <w:rPr>
          <w:spacing w:val="-60"/>
        </w:rPr>
      </w:r>
      <w:r>
        <w:rPr/>
        <w:t>产销规模相适应，满足重点区域内或城际间新能源汽车运行需要。</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9</w:t>
      </w:r>
      <w:r>
        <w:rPr/>
        <w:t>月，工信部、财政部、海关总署、质检总局联合 公布了《乘用车企业平均燃料消耗量与新能源汽车积分并行管理办法》规定，新能源汽车积分可抵消平均燃料消耗量积分， 反之则不然。</w:t>
      </w:r>
      <w:r>
        <w:rPr>
          <w:rFonts w:ascii="Times New Roman" w:hAnsi="Times New Roman" w:cs="Times New Roman" w:eastAsia="Times New Roman" w:hint="default"/>
        </w:rPr>
        <w:t>2018</w:t>
      </w:r>
      <w:r>
        <w:rPr/>
        <w:t>年企业平均燃油消耗量考核将正式实行，新能源汽车积分的考核也将于</w:t>
      </w:r>
      <w:r>
        <w:rPr>
          <w:rFonts w:ascii="Times New Roman" w:hAnsi="Times New Roman" w:cs="Times New Roman" w:eastAsia="Times New Roman" w:hint="default"/>
        </w:rPr>
        <w:t>2019</w:t>
      </w:r>
      <w:r>
        <w:rPr/>
        <w:t>年开始考核，车企迫于</w:t>
      </w:r>
      <w:r>
        <w:rPr>
          <w:rFonts w:ascii="Times New Roman" w:hAnsi="Times New Roman" w:cs="Times New Roman" w:eastAsia="Times New Roman" w:hint="default"/>
        </w:rPr>
        <w:t>“</w:t>
      </w:r>
      <w:r>
        <w:rPr/>
        <w:t>新能 源汽车积分</w:t>
      </w:r>
      <w:r>
        <w:rPr>
          <w:rFonts w:ascii="Times New Roman" w:hAnsi="Times New Roman" w:cs="Times New Roman" w:eastAsia="Times New Roman" w:hint="default"/>
        </w:rPr>
        <w:t>”</w:t>
      </w:r>
      <w:r>
        <w:rPr/>
        <w:t>压力必然会格外注重新能源汽车的销售，并且加大新能源汽车的研发投入。预计</w:t>
      </w:r>
      <w:r>
        <w:rPr>
          <w:rFonts w:ascii="Times New Roman" w:hAnsi="Times New Roman" w:cs="Times New Roman" w:eastAsia="Times New Roman" w:hint="default"/>
        </w:rPr>
        <w:t>2018</w:t>
      </w:r>
      <w:r>
        <w:rPr/>
        <w:t>年国内自主品牌与合资车 </w:t>
      </w:r>
      <w:r>
        <w:rPr>
          <w:spacing w:val="-2"/>
        </w:rPr>
        <w:t>企均会推出不少新的新能源车型。中国汽车工业协会发布的数据显示，</w:t>
      </w:r>
      <w:r>
        <w:rPr>
          <w:rFonts w:ascii="Times New Roman" w:hAnsi="Times New Roman" w:cs="Times New Roman" w:eastAsia="Times New Roman" w:hint="default"/>
          <w:spacing w:val="-2"/>
        </w:rPr>
        <w:t>2017</w:t>
      </w:r>
      <w:r>
        <w:rPr>
          <w:spacing w:val="-2"/>
        </w:rPr>
        <w:t>年，中国新能源汽车产销均接近</w:t>
      </w:r>
      <w:r>
        <w:rPr>
          <w:rFonts w:ascii="Times New Roman" w:hAnsi="Times New Roman" w:cs="Times New Roman" w:eastAsia="Times New Roman" w:hint="default"/>
          <w:spacing w:val="-2"/>
        </w:rPr>
        <w:t>80</w:t>
      </w:r>
      <w:r>
        <w:rPr>
          <w:spacing w:val="-2"/>
        </w:rPr>
        <w:t>万辆，同比增</w:t>
      </w:r>
      <w:r>
        <w:rPr>
          <w:spacing w:val="-59"/>
        </w:rPr>
        <w:t> </w:t>
      </w:r>
      <w:r>
        <w:rPr>
          <w:spacing w:val="-59"/>
        </w:rPr>
      </w:r>
      <w:r>
        <w:rPr>
          <w:spacing w:val="-2"/>
        </w:rPr>
        <w:t>长均超过</w:t>
      </w:r>
      <w:r>
        <w:rPr>
          <w:rFonts w:ascii="Times New Roman" w:hAnsi="Times New Roman" w:cs="Times New Roman" w:eastAsia="Times New Roman" w:hint="default"/>
          <w:spacing w:val="-2"/>
        </w:rPr>
        <w:t>53%</w:t>
      </w:r>
      <w:r>
        <w:rPr>
          <w:spacing w:val="-2"/>
        </w:rPr>
        <w:t>，市场占比比上年提高了</w:t>
      </w:r>
      <w:r>
        <w:rPr>
          <w:rFonts w:ascii="Times New Roman" w:hAnsi="Times New Roman" w:cs="Times New Roman" w:eastAsia="Times New Roman" w:hint="default"/>
          <w:spacing w:val="-2"/>
        </w:rPr>
        <w:t>0.9</w:t>
      </w:r>
      <w:r>
        <w:rPr>
          <w:spacing w:val="-2"/>
        </w:rPr>
        <w:t>个百分点，预计</w:t>
      </w:r>
      <w:r>
        <w:rPr>
          <w:rFonts w:ascii="Times New Roman" w:hAnsi="Times New Roman" w:cs="Times New Roman" w:eastAsia="Times New Roman" w:hint="default"/>
          <w:spacing w:val="-2"/>
        </w:rPr>
        <w:t>2018</w:t>
      </w:r>
      <w:r>
        <w:rPr>
          <w:spacing w:val="-2"/>
        </w:rPr>
        <w:t>年中国新能源汽车的销售增长将达到</w:t>
      </w:r>
      <w:r>
        <w:rPr>
          <w:rFonts w:ascii="Times New Roman" w:hAnsi="Times New Roman" w:cs="Times New Roman" w:eastAsia="Times New Roman" w:hint="default"/>
          <w:spacing w:val="-2"/>
        </w:rPr>
        <w:t>40%</w:t>
      </w:r>
      <w:r>
        <w:rPr>
          <w:spacing w:val="-2"/>
        </w:rPr>
        <w:t>左右，新能源汽车销</w:t>
      </w:r>
      <w:r>
        <w:rPr>
          <w:spacing w:val="-40"/>
        </w:rPr>
        <w:t> </w:t>
      </w:r>
      <w:r>
        <w:rPr>
          <w:spacing w:val="-40"/>
        </w:rPr>
      </w:r>
      <w:r>
        <w:rPr/>
        <w:t>量将达到</w:t>
      </w:r>
      <w:r>
        <w:rPr>
          <w:rFonts w:ascii="Times New Roman" w:hAnsi="Times New Roman" w:cs="Times New Roman" w:eastAsia="Times New Roman" w:hint="default"/>
        </w:rPr>
        <w:t>100</w:t>
      </w:r>
      <w:r>
        <w:rPr/>
        <w:t>万辆。</w:t>
      </w:r>
    </w:p>
    <w:p>
      <w:pPr>
        <w:pStyle w:val="BodyText"/>
        <w:spacing w:line="304" w:lineRule="auto" w:before="11"/>
        <w:ind w:right="110" w:firstLine="360"/>
        <w:jc w:val="left"/>
      </w:pPr>
      <w:r>
        <w:rPr>
          <w:spacing w:val="-2"/>
        </w:rPr>
        <w:t>作为与电动汽车行业</w:t>
      </w:r>
      <w:r>
        <w:rPr>
          <w:rFonts w:ascii="Times New Roman" w:hAnsi="Times New Roman" w:cs="Times New Roman" w:eastAsia="Times New Roman" w:hint="default"/>
          <w:spacing w:val="-2"/>
        </w:rPr>
        <w:t>“</w:t>
      </w:r>
      <w:r>
        <w:rPr>
          <w:spacing w:val="-2"/>
        </w:rPr>
        <w:t>相辅相成</w:t>
      </w:r>
      <w:r>
        <w:rPr>
          <w:rFonts w:ascii="Times New Roman" w:hAnsi="Times New Roman" w:cs="Times New Roman" w:eastAsia="Times New Roman" w:hint="default"/>
          <w:spacing w:val="-2"/>
        </w:rPr>
        <w:t>”</w:t>
      </w:r>
      <w:r>
        <w:rPr>
          <w:spacing w:val="-2"/>
        </w:rPr>
        <w:t>的充电桩行业，随着新能源汽车保有量的增长，充电桩建设也相应得到发展。国家发改</w:t>
      </w:r>
      <w:r>
        <w:rPr/>
        <w:t> </w:t>
      </w:r>
      <w:r>
        <w:rPr>
          <w:spacing w:val="-2"/>
        </w:rPr>
        <w:t>委、能源局、工信部、住建部于</w:t>
      </w:r>
      <w:r>
        <w:rPr>
          <w:rFonts w:ascii="Times New Roman" w:hAnsi="Times New Roman" w:cs="Times New Roman" w:eastAsia="Times New Roman" w:hint="default"/>
          <w:spacing w:val="-2"/>
        </w:rPr>
        <w:t>2015</w:t>
      </w:r>
      <w:r>
        <w:rPr>
          <w:spacing w:val="-2"/>
        </w:rPr>
        <w:t>年联合印发的《电动汽车充电基础设施发展指南</w:t>
      </w:r>
      <w:r>
        <w:rPr>
          <w:rFonts w:ascii="Times New Roman" w:hAnsi="Times New Roman" w:cs="Times New Roman" w:eastAsia="Times New Roman" w:hint="default"/>
          <w:spacing w:val="-2"/>
        </w:rPr>
        <w:t>(2015-2020</w:t>
      </w:r>
      <w:r>
        <w:rPr>
          <w:spacing w:val="-2"/>
        </w:rPr>
        <w:t>年</w:t>
      </w:r>
      <w:r>
        <w:rPr>
          <w:rFonts w:ascii="Times New Roman" w:hAnsi="Times New Roman" w:cs="Times New Roman" w:eastAsia="Times New Roman" w:hint="default"/>
          <w:spacing w:val="-2"/>
        </w:rPr>
        <w:t>)</w:t>
      </w:r>
      <w:r>
        <w:rPr>
          <w:spacing w:val="-2"/>
        </w:rPr>
        <w:t>》要求，到</w:t>
      </w:r>
      <w:r>
        <w:rPr>
          <w:rFonts w:ascii="Times New Roman" w:hAnsi="Times New Roman" w:cs="Times New Roman" w:eastAsia="Times New Roman" w:hint="default"/>
          <w:spacing w:val="-2"/>
        </w:rPr>
        <w:t>2020</w:t>
      </w:r>
      <w:r>
        <w:rPr>
          <w:spacing w:val="-2"/>
        </w:rPr>
        <w:t>年，我国</w:t>
      </w:r>
      <w:r>
        <w:rPr>
          <w:spacing w:val="-52"/>
        </w:rPr>
        <w:t> </w:t>
      </w:r>
      <w:r>
        <w:rPr>
          <w:spacing w:val="-52"/>
        </w:rPr>
      </w:r>
      <w:r>
        <w:rPr>
          <w:spacing w:val="-3"/>
        </w:rPr>
        <w:t>新增分散式充电桩超过</w:t>
      </w:r>
      <w:r>
        <w:rPr>
          <w:rFonts w:ascii="Times New Roman" w:hAnsi="Times New Roman" w:cs="Times New Roman" w:eastAsia="Times New Roman" w:hint="default"/>
          <w:spacing w:val="-3"/>
        </w:rPr>
        <w:t>480</w:t>
      </w:r>
      <w:r>
        <w:rPr>
          <w:spacing w:val="-3"/>
        </w:rPr>
        <w:t>万个，以满足全国</w:t>
      </w:r>
      <w:r>
        <w:rPr>
          <w:rFonts w:ascii="Times New Roman" w:hAnsi="Times New Roman" w:cs="Times New Roman" w:eastAsia="Times New Roman" w:hint="default"/>
          <w:spacing w:val="-3"/>
        </w:rPr>
        <w:t>500</w:t>
      </w:r>
      <w:r>
        <w:rPr>
          <w:spacing w:val="-3"/>
        </w:rPr>
        <w:t>万辆电动汽车充电需求。截止</w:t>
      </w:r>
      <w:r>
        <w:rPr>
          <w:rFonts w:ascii="Times New Roman" w:hAnsi="Times New Roman" w:cs="Times New Roman" w:eastAsia="Times New Roman" w:hint="default"/>
          <w:spacing w:val="-3"/>
        </w:rPr>
        <w:t>2017</w:t>
      </w:r>
      <w:r>
        <w:rPr>
          <w:spacing w:val="-3"/>
        </w:rPr>
        <w:t>年年底，我国充电桩建设数量达到</w:t>
      </w:r>
      <w:r>
        <w:rPr>
          <w:rFonts w:ascii="Times New Roman" w:hAnsi="Times New Roman" w:cs="Times New Roman" w:eastAsia="Times New Roman" w:hint="default"/>
          <w:spacing w:val="-3"/>
        </w:rPr>
        <w:t>45</w:t>
      </w:r>
      <w:r>
        <w:rPr>
          <w:spacing w:val="-3"/>
        </w:rPr>
        <w:t>万个</w:t>
      </w:r>
      <w:r>
        <w:rPr>
          <w:rFonts w:ascii="Times New Roman" w:hAnsi="Times New Roman" w:cs="Times New Roman" w:eastAsia="Times New Roman" w:hint="default"/>
          <w:spacing w:val="-3"/>
        </w:rPr>
        <w:t>,</w:t>
      </w:r>
      <w:r>
        <w:rPr>
          <w:rFonts w:ascii="Times New Roman" w:hAnsi="Times New Roman" w:cs="Times New Roman" w:eastAsia="Times New Roman" w:hint="default"/>
          <w:spacing w:val="10"/>
        </w:rPr>
        <w:t> </w:t>
      </w:r>
      <w:r>
        <w:rPr>
          <w:spacing w:val="-2"/>
        </w:rPr>
        <w:t>其中，公共充电桩达</w:t>
      </w:r>
      <w:r>
        <w:rPr>
          <w:rFonts w:ascii="Times New Roman" w:hAnsi="Times New Roman" w:cs="Times New Roman" w:eastAsia="Times New Roman" w:hint="default"/>
          <w:spacing w:val="-2"/>
        </w:rPr>
        <w:t>21</w:t>
      </w:r>
      <w:r>
        <w:rPr>
          <w:spacing w:val="-2"/>
        </w:rPr>
        <w:t>万个，目前的车桩比为</w:t>
      </w:r>
      <w:r>
        <w:rPr>
          <w:rFonts w:ascii="Times New Roman" w:hAnsi="Times New Roman" w:cs="Times New Roman" w:eastAsia="Times New Roman" w:hint="default"/>
          <w:spacing w:val="-2"/>
        </w:rPr>
        <w:t>3.5:1</w:t>
      </w:r>
      <w:r>
        <w:rPr>
          <w:spacing w:val="-2"/>
        </w:rPr>
        <w:t>，离规划目标相去甚远，在政策和市场双重作用下，充电桩行业已形成较</w:t>
      </w:r>
      <w:r>
        <w:rPr>
          <w:spacing w:val="-62"/>
        </w:rPr>
        <w:t> </w:t>
      </w:r>
      <w:r>
        <w:rPr>
          <w:spacing w:val="-62"/>
        </w:rPr>
      </w:r>
      <w:r>
        <w:rPr/>
        <w:t>好的产业基础，特别是社会资本的介入增强了产业活力，带动了国内充电基础设施发展，国内充电基础设施发展高歌猛进， 产业蛋糕已经被描绘的越来越清晰。</w:t>
      </w:r>
    </w:p>
    <w:p>
      <w:pPr>
        <w:pStyle w:val="BodyText"/>
        <w:spacing w:line="240" w:lineRule="auto" w:before="28"/>
        <w:ind w:right="0"/>
        <w:jc w:val="both"/>
      </w:pPr>
      <w:r>
        <w:rPr/>
        <w:t>（二）公司发展战略</w:t>
      </w:r>
    </w:p>
    <w:p>
      <w:pPr>
        <w:pStyle w:val="BodyText"/>
        <w:spacing w:line="300" w:lineRule="auto" w:before="77"/>
        <w:ind w:right="190" w:firstLine="360"/>
        <w:jc w:val="both"/>
      </w:pPr>
      <w:r>
        <w:rPr>
          <w:rFonts w:ascii="Times New Roman" w:hAnsi="Times New Roman" w:cs="Times New Roman" w:eastAsia="Times New Roman" w:hint="default"/>
          <w:spacing w:val="-2"/>
        </w:rPr>
        <w:t>2018</w:t>
      </w:r>
      <w:r>
        <w:rPr>
          <w:spacing w:val="-2"/>
        </w:rPr>
        <w:t>年，公司管理层将围绕</w:t>
      </w:r>
      <w:r>
        <w:rPr>
          <w:rFonts w:ascii="Times New Roman" w:hAnsi="Times New Roman" w:cs="Times New Roman" w:eastAsia="Times New Roman" w:hint="default"/>
          <w:spacing w:val="-2"/>
        </w:rPr>
        <w:t>“</w:t>
      </w:r>
      <w:r>
        <w:rPr>
          <w:spacing w:val="-2"/>
        </w:rPr>
        <w:t>科学发展、精心经营、开拓创新、规范提升</w:t>
      </w:r>
      <w:r>
        <w:rPr>
          <w:rFonts w:ascii="Times New Roman" w:hAnsi="Times New Roman" w:cs="Times New Roman" w:eastAsia="Times New Roman" w:hint="default"/>
          <w:spacing w:val="-2"/>
        </w:rPr>
        <w:t>”</w:t>
      </w:r>
      <w:r>
        <w:rPr>
          <w:spacing w:val="-2"/>
        </w:rPr>
        <w:t>的企业方略，以科学发展观为指导，以创建经</w:t>
      </w:r>
      <w:r>
        <w:rPr/>
        <w:t> </w:t>
      </w:r>
      <w:r>
        <w:rPr>
          <w:spacing w:val="-2"/>
        </w:rPr>
        <w:t>济效益、社会效益、生态环境效益三位一体的</w:t>
      </w:r>
      <w:r>
        <w:rPr>
          <w:rFonts w:ascii="Times New Roman" w:hAnsi="Times New Roman" w:cs="Times New Roman" w:eastAsia="Times New Roman" w:hint="default"/>
          <w:spacing w:val="-2"/>
        </w:rPr>
        <w:t>“</w:t>
      </w:r>
      <w:r>
        <w:rPr>
          <w:spacing w:val="-2"/>
        </w:rPr>
        <w:t>和谐示范企业</w:t>
      </w:r>
      <w:r>
        <w:rPr>
          <w:rFonts w:ascii="Times New Roman" w:hAnsi="Times New Roman" w:cs="Times New Roman" w:eastAsia="Times New Roman" w:hint="default"/>
          <w:spacing w:val="-2"/>
        </w:rPr>
        <w:t>”</w:t>
      </w:r>
      <w:r>
        <w:rPr>
          <w:spacing w:val="-2"/>
        </w:rPr>
        <w:t>为目标，以企业市值提升为工作重点，以高分子线缆材料和新</w:t>
      </w:r>
      <w:r>
        <w:rPr>
          <w:spacing w:val="-44"/>
        </w:rPr>
        <w:t> </w:t>
      </w:r>
      <w:r>
        <w:rPr>
          <w:spacing w:val="-44"/>
        </w:rPr>
      </w:r>
      <w:r>
        <w:rPr/>
        <w:t>能源双轮驱动为发展基调，为广大投资者带来稳定的投资回报。</w:t>
      </w:r>
    </w:p>
    <w:p>
      <w:pPr>
        <w:pStyle w:val="BodyText"/>
        <w:spacing w:line="240" w:lineRule="auto" w:before="31"/>
        <w:ind w:right="0"/>
        <w:jc w:val="both"/>
      </w:pPr>
      <w:r>
        <w:rPr/>
        <w:t>（三）</w:t>
      </w:r>
      <w:r>
        <w:rPr>
          <w:rFonts w:ascii="Times New Roman" w:hAnsi="Times New Roman" w:cs="Times New Roman" w:eastAsia="Times New Roman" w:hint="default"/>
        </w:rPr>
        <w:t>2018</w:t>
      </w:r>
      <w:r>
        <w:rPr/>
        <w:t>年工作部署</w:t>
      </w:r>
    </w:p>
    <w:p>
      <w:pPr>
        <w:spacing w:after="0" w:line="240" w:lineRule="auto"/>
        <w:jc w:val="both"/>
        <w:sectPr>
          <w:pgSz w:w="11910" w:h="16840"/>
          <w:pgMar w:header="747" w:footer="979" w:top="1060" w:bottom="1160" w:left="980" w:right="940"/>
        </w:sectPr>
      </w:pPr>
    </w:p>
    <w:p>
      <w:pPr>
        <w:spacing w:line="240" w:lineRule="auto" w:before="12"/>
        <w:rPr>
          <w:rFonts w:ascii="宋体" w:hAnsi="宋体" w:cs="宋体" w:eastAsia="宋体" w:hint="default"/>
          <w:sz w:val="25"/>
          <w:szCs w:val="25"/>
        </w:rPr>
      </w:pPr>
    </w:p>
    <w:p>
      <w:pPr>
        <w:pStyle w:val="BodyText"/>
        <w:spacing w:line="309" w:lineRule="auto"/>
        <w:ind w:right="151" w:firstLine="360"/>
        <w:jc w:val="both"/>
      </w:pPr>
      <w:r>
        <w:rPr>
          <w:rFonts w:ascii="Times New Roman" w:hAnsi="Times New Roman" w:cs="Times New Roman" w:eastAsia="Times New Roman" w:hint="default"/>
        </w:rPr>
        <w:t>1</w:t>
      </w:r>
      <w:r>
        <w:rPr/>
        <w:t>、充分利用资本平台，加强与客户间的资本合作，将买卖关系变为股权合作关系。分析客户需求，持续完善大客户管 </w:t>
      </w:r>
      <w:r>
        <w:rPr>
          <w:spacing w:val="-2"/>
        </w:rPr>
        <w:t>理水平，推进直销模式的精细化管理，提高客户粘性。利用福建南平太阳高新材料有限公司的区域优势，打开华南地区的销</w:t>
      </w:r>
      <w:r>
        <w:rPr>
          <w:spacing w:val="-66"/>
        </w:rPr>
        <w:t> </w:t>
      </w:r>
      <w:r>
        <w:rPr>
          <w:spacing w:val="-66"/>
        </w:rPr>
      </w:r>
      <w:r>
        <w:rPr/>
        <w:t>售市场。增加国网物资采购中标省份，推进超市化采购业务，拓展国网系统之外的市场，树立标杆客户，形成灯塔效应。</w:t>
      </w:r>
    </w:p>
    <w:p>
      <w:pPr>
        <w:pStyle w:val="BodyText"/>
        <w:spacing w:line="309" w:lineRule="auto" w:before="24"/>
        <w:ind w:right="153" w:firstLine="360"/>
        <w:jc w:val="both"/>
      </w:pPr>
      <w:r>
        <w:rPr>
          <w:rFonts w:ascii="Times New Roman" w:hAnsi="Times New Roman" w:cs="Times New Roman" w:eastAsia="Times New Roman" w:hint="default"/>
        </w:rPr>
        <w:t>2</w:t>
      </w:r>
      <w:r>
        <w:rPr/>
        <w:t>、提高公司内生力量，增强公司的研发实力和生产效率。在不放弃领先型开发战略的前提下，专注于市场更为广阔的 </w:t>
      </w:r>
      <w:r>
        <w:rPr>
          <w:spacing w:val="-2"/>
        </w:rPr>
        <w:t>中端和部分低端高分子线缆材料品种，改进公司现有产品配方，以顾客需求为导向，严抓产品质量，优化产品配方；提高智</w:t>
      </w:r>
      <w:r>
        <w:rPr>
          <w:spacing w:val="-66"/>
        </w:rPr>
        <w:t> </w:t>
      </w:r>
      <w:r>
        <w:rPr>
          <w:spacing w:val="-66"/>
        </w:rPr>
      </w:r>
      <w:r>
        <w:rPr/>
        <w:t>能一体化电源系统和充电桩设备的稳定性，实现软硬件系统一手抓，加快新产品的测试节奏，抓住市场机遇。</w:t>
      </w:r>
    </w:p>
    <w:p>
      <w:pPr>
        <w:pStyle w:val="BodyText"/>
        <w:spacing w:line="309" w:lineRule="auto" w:before="24"/>
        <w:ind w:right="151" w:firstLine="360"/>
        <w:jc w:val="both"/>
      </w:pPr>
      <w:r>
        <w:rPr>
          <w:rFonts w:ascii="Times New Roman" w:hAnsi="Times New Roman" w:cs="Times New Roman" w:eastAsia="Times New Roman" w:hint="default"/>
        </w:rPr>
        <w:t>3</w:t>
      </w:r>
      <w:r>
        <w:rPr/>
        <w:t>、</w:t>
      </w:r>
      <w:r>
        <w:rPr>
          <w:rFonts w:ascii="Times New Roman" w:hAnsi="Times New Roman" w:cs="Times New Roman" w:eastAsia="Times New Roman" w:hint="default"/>
        </w:rPr>
        <w:t>2018</w:t>
      </w:r>
      <w:r>
        <w:rPr/>
        <w:t>年募投项目和子公司太阳高新电缆料项目将陆续投产，未来几年是电缆料市场新增产能投放密集期，为了充分 </w:t>
      </w:r>
      <w:r>
        <w:rPr>
          <w:spacing w:val="-2"/>
        </w:rPr>
        <w:t>释放新增产能，公司将根据产销情况逐步完善销售策略，加强销售团队的培训和考核力度，积极收集市场信息，及时掌握国</w:t>
      </w:r>
      <w:r>
        <w:rPr>
          <w:spacing w:val="-66"/>
        </w:rPr>
        <w:t> </w:t>
      </w:r>
      <w:r>
        <w:rPr>
          <w:spacing w:val="-66"/>
        </w:rPr>
      </w:r>
      <w:r>
        <w:rPr/>
        <w:t>内外的市场动态，加大市场推广力度，同时开发海外市场，发掘新的市场增长点。</w:t>
      </w:r>
    </w:p>
    <w:p>
      <w:pPr>
        <w:pStyle w:val="BodyText"/>
        <w:spacing w:line="300" w:lineRule="auto" w:before="24"/>
        <w:ind w:right="161" w:firstLine="360"/>
        <w:jc w:val="both"/>
      </w:pPr>
      <w:r>
        <w:rPr>
          <w:rFonts w:ascii="Times New Roman" w:hAnsi="Times New Roman" w:cs="Times New Roman" w:eastAsia="Times New Roman" w:hint="default"/>
        </w:rPr>
        <w:t>4</w:t>
      </w:r>
      <w:r>
        <w:rPr/>
        <w:t>、通过市场压力的传导来激活公司内部机制，加强内部工作人员培养，淘汰知识短缺人员，建立持续学习型的公司平 台，持续加强内控建设和品质管理，细化工作职责，把生产管理任务切实分配到每一个员工的身上。</w:t>
      </w:r>
    </w:p>
    <w:p>
      <w:pPr>
        <w:pStyle w:val="BodyText"/>
        <w:spacing w:line="312" w:lineRule="auto" w:before="31"/>
        <w:ind w:right="151" w:firstLine="360"/>
        <w:jc w:val="both"/>
      </w:pPr>
      <w:r>
        <w:rPr>
          <w:rFonts w:ascii="Times New Roman" w:hAnsi="Times New Roman" w:cs="Times New Roman" w:eastAsia="Times New Roman" w:hint="default"/>
        </w:rPr>
        <w:t>5</w:t>
      </w:r>
      <w:r>
        <w:rPr/>
        <w:t>、为满足公司多元化发展对人才的需求，公司将进一步加强团队管理建设，通过内部培养和外部引进两种方式建立业 </w:t>
      </w:r>
      <w:r>
        <w:rPr>
          <w:spacing w:val="-2"/>
        </w:rPr>
        <w:t>务队伍，一方面在公司内部挖掘和培养有发展潜力的员工，建立健全人力资源体制；另一方面招聘各类优秀专业人才，在人</w:t>
      </w:r>
      <w:r>
        <w:rPr>
          <w:spacing w:val="-66"/>
        </w:rPr>
        <w:t> </w:t>
      </w:r>
      <w:r>
        <w:rPr>
          <w:spacing w:val="-66"/>
        </w:rPr>
      </w:r>
      <w:r>
        <w:rPr>
          <w:spacing w:val="-2"/>
        </w:rPr>
        <w:t>才结构方面，注重协调研发、营销、服务、技术、生产、管理等方面的人员比例，合理优化人才结构。充分发挥员工的主观</w:t>
      </w:r>
      <w:r>
        <w:rPr>
          <w:spacing w:val="-67"/>
        </w:rPr>
        <w:t> </w:t>
      </w:r>
      <w:r>
        <w:rPr>
          <w:spacing w:val="-67"/>
        </w:rPr>
      </w:r>
      <w:r>
        <w:rPr/>
        <w:t>能动性，建立健全培训体制，为员工提供良好的发展平台，增强员工的企业归属感。</w:t>
      </w:r>
    </w:p>
    <w:p>
      <w:pPr>
        <w:spacing w:line="240" w:lineRule="auto" w:before="0"/>
        <w:rPr>
          <w:rFonts w:ascii="宋体" w:hAnsi="宋体" w:cs="宋体" w:eastAsia="宋体" w:hint="default"/>
          <w:sz w:val="21"/>
          <w:szCs w:val="21"/>
        </w:rPr>
      </w:pPr>
    </w:p>
    <w:p>
      <w:pPr>
        <w:pStyle w:val="Heading2"/>
        <w:spacing w:line="240" w:lineRule="auto"/>
        <w:ind w:right="0"/>
        <w:jc w:val="left"/>
        <w:rPr>
          <w:b w:val="0"/>
          <w:bCs w:val="0"/>
        </w:rPr>
      </w:pPr>
      <w:bookmarkStart w:name="十、接待调研、沟通、采访等活动登记表" w:id="58"/>
      <w:bookmarkEnd w:id="58"/>
      <w:r>
        <w:rPr>
          <w:b w:val="0"/>
          <w:bCs w:val="0"/>
        </w:rPr>
      </w:r>
      <w:r>
        <w:rPr/>
        <w:t>十、接待调研、沟通、采访等活动登记表</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bookmarkStart w:name="1、报告期内接待调研、沟通、采访等活动登记表" w:id="59"/>
      <w:bookmarkEnd w:id="59"/>
      <w:r>
        <w:rPr>
          <w:b w:val="0"/>
          <w:bCs w:val="0"/>
        </w:rPr>
      </w: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8"/>
        <w:rPr>
          <w:rFonts w:ascii="宋体" w:hAnsi="宋体" w:cs="宋体" w:eastAsia="宋体" w:hint="default"/>
          <w:b/>
          <w:bCs/>
          <w:sz w:val="26"/>
          <w:szCs w:val="26"/>
        </w:rPr>
      </w:pPr>
    </w:p>
    <w:p>
      <w:pPr>
        <w:pStyle w:val="BodyText"/>
        <w:spacing w:line="338" w:lineRule="auto" w:before="0"/>
        <w:ind w:right="56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公司报告期内未发生接待调研、沟通、采访等活动。</w:t>
      </w:r>
    </w:p>
    <w:p>
      <w:pPr>
        <w:spacing w:after="0" w:line="338" w:lineRule="auto"/>
        <w:jc w:val="left"/>
        <w:sectPr>
          <w:pgSz w:w="11910" w:h="16840"/>
          <w:pgMar w:header="747" w:footer="979"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150"/>
        <w:jc w:val="center"/>
        <w:rPr>
          <w:b w:val="0"/>
          <w:bCs w:val="0"/>
        </w:rPr>
      </w:pPr>
      <w:bookmarkStart w:name="第五节 重要事项" w:id="60"/>
      <w:bookmarkEnd w:id="60"/>
      <w:r>
        <w:rPr>
          <w:b w:val="0"/>
          <w:bCs w:val="0"/>
        </w:rPr>
      </w:r>
      <w:bookmarkStart w:name="_bookmark3" w:id="61"/>
      <w:bookmarkEnd w:id="61"/>
      <w:r>
        <w:rPr>
          <w:b w:val="0"/>
          <w:bCs w:val="0"/>
        </w:rPr>
      </w:r>
      <w:r>
        <w:rPr/>
        <w:t>第五节</w:t>
      </w:r>
      <w:r>
        <w:rPr>
          <w:spacing w:val="-5"/>
        </w:rPr>
        <w:t> </w:t>
      </w:r>
      <w:r>
        <w:rPr/>
        <w:t>重要事项</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0"/>
        <w:jc w:val="left"/>
        <w:rPr>
          <w:b w:val="0"/>
          <w:bCs w:val="0"/>
        </w:rPr>
      </w:pPr>
      <w:bookmarkStart w:name="一、公司普通股利润分配及资本公积金转增股本情况" w:id="62"/>
      <w:bookmarkEnd w:id="62"/>
      <w:r>
        <w:rPr>
          <w:b w:val="0"/>
          <w:bCs w:val="0"/>
        </w:rPr>
      </w:r>
      <w:r>
        <w:rPr/>
        <w:t>一、公司普通股利润分配及资本公积金转增股本情况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0"/>
        <w:jc w:val="left"/>
      </w:pPr>
      <w:r>
        <w:rPr/>
        <w:t>报告期内普通股利润分配政策，特别是现金分红政策的制定、执行或调整情况</w:t>
      </w:r>
    </w:p>
    <w:p>
      <w:pPr>
        <w:pStyle w:val="BodyText"/>
        <w:spacing w:line="319"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w:t>
      </w:r>
      <w:r>
        <w:rPr>
          <w:rFonts w:ascii="Times New Roman" w:hAnsi="Times New Roman" w:cs="Times New Roman" w:eastAsia="Times New Roman" w:hint="default"/>
        </w:rPr>
        <w:t>2016</w:t>
      </w:r>
      <w:r>
        <w:rPr/>
        <w:t>年度利润分配方案为：以截至</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日公司总股本</w:t>
      </w:r>
      <w:r>
        <w:rPr>
          <w:rFonts w:ascii="Times New Roman" w:hAnsi="Times New Roman" w:cs="Times New Roman" w:eastAsia="Times New Roman" w:hint="default"/>
        </w:rPr>
        <w:t>6667</w:t>
      </w:r>
      <w:r>
        <w:rPr/>
        <w:t>万股为基数，向全体股东每</w:t>
      </w:r>
      <w:r>
        <w:rPr>
          <w:rFonts w:ascii="Times New Roman" w:hAnsi="Times New Roman" w:cs="Times New Roman" w:eastAsia="Times New Roman" w:hint="default"/>
        </w:rPr>
        <w:t>10</w:t>
      </w:r>
      <w:r>
        <w:rPr/>
        <w:t>股派发现金红利</w:t>
      </w:r>
      <w:r>
        <w:rPr>
          <w:rFonts w:ascii="Times New Roman" w:hAnsi="Times New Roman" w:cs="Times New Roman" w:eastAsia="Times New Roman" w:hint="default"/>
        </w:rPr>
        <w:t>1.5</w:t>
      </w:r>
      <w:r>
        <w:rPr/>
        <w:t>元 人民币（含税），共计派发现金红利人民币</w:t>
      </w:r>
      <w:r>
        <w:rPr>
          <w:rFonts w:ascii="Times New Roman" w:hAnsi="Times New Roman" w:cs="Times New Roman" w:eastAsia="Times New Roman" w:hint="default"/>
        </w:rPr>
        <w:t>10,000,500</w:t>
      </w:r>
      <w:r>
        <w:rPr/>
        <w:t>元（含税）；资本公积不转增股本。</w:t>
      </w:r>
    </w:p>
    <w:p>
      <w:pPr>
        <w:pStyle w:val="BodyText"/>
        <w:spacing w:line="300" w:lineRule="auto" w:before="0"/>
        <w:ind w:right="142"/>
        <w:jc w:val="left"/>
      </w:pPr>
      <w:r>
        <w:rPr/>
        <w:t>此利润分配方案已于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16</w:t>
      </w:r>
      <w:r>
        <w:rPr/>
        <w:t>日公司</w:t>
      </w:r>
      <w:r>
        <w:rPr>
          <w:rFonts w:ascii="Times New Roman" w:hAnsi="Times New Roman" w:cs="Times New Roman" w:eastAsia="Times New Roman" w:hint="default"/>
        </w:rPr>
        <w:t>2016</w:t>
      </w:r>
      <w:r>
        <w:rPr/>
        <w:t>年度股东大会审议通过，本议案符合公司章程等相关规定，并于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6</w:t>
      </w:r>
      <w:r>
        <w:rPr/>
        <w:t>日 实施。</w:t>
      </w:r>
    </w:p>
    <w:tbl>
      <w:tblPr>
        <w:tblW w:w="0" w:type="auto"/>
        <w:jc w:val="left"/>
        <w:tblInd w:w="160" w:type="dxa"/>
        <w:tblLayout w:type="fixed"/>
        <w:tblCellMar>
          <w:top w:w="0" w:type="dxa"/>
          <w:left w:w="0" w:type="dxa"/>
          <w:bottom w:w="0" w:type="dxa"/>
          <w:right w:w="0" w:type="dxa"/>
        </w:tblCellMar>
        <w:tblLook w:val="01E0"/>
      </w:tblPr>
      <w:tblGrid>
        <w:gridCol w:w="4762"/>
        <w:gridCol w:w="4796"/>
      </w:tblGrid>
      <w:tr>
        <w:trPr>
          <w:trHeight w:val="397"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0"/>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07"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58"/>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 否得到了充分保护：</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58"/>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 明：</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未进行调整和变更</w:t>
            </w:r>
          </w:p>
        </w:tc>
      </w:tr>
    </w:tbl>
    <w:p>
      <w:pPr>
        <w:pStyle w:val="BodyText"/>
        <w:spacing w:line="240" w:lineRule="auto" w:before="72"/>
        <w:ind w:right="0"/>
        <w:jc w:val="left"/>
      </w:pPr>
      <w:r>
        <w:rPr/>
        <w:t>公司报告期利润分配预案及资本公积金转增股本预案与公司章程和分红管理办法等的相关规定一致</w:t>
      </w:r>
    </w:p>
    <w:p>
      <w:pPr>
        <w:pStyle w:val="BodyText"/>
        <w:spacing w:line="348" w:lineRule="auto" w:before="117"/>
        <w:ind w:right="329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公司报告期利润分配预案及资本公积金转增股本预案符合公司章程等的相关规定。 本年度利润分配及资本公积金转增股本预案</w:t>
      </w:r>
    </w:p>
    <w:tbl>
      <w:tblPr>
        <w:tblW w:w="0" w:type="auto"/>
        <w:jc w:val="left"/>
        <w:tblInd w:w="160" w:type="dxa"/>
        <w:tblLayout w:type="fixed"/>
        <w:tblCellMar>
          <w:top w:w="0" w:type="dxa"/>
          <w:left w:w="0" w:type="dxa"/>
          <w:bottom w:w="0" w:type="dxa"/>
          <w:right w:w="0" w:type="dxa"/>
        </w:tblCellMar>
        <w:tblLook w:val="01E0"/>
      </w:tblPr>
      <w:tblGrid>
        <w:gridCol w:w="3695"/>
        <w:gridCol w:w="5863"/>
      </w:tblGrid>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w:t>
            </w:r>
            <w:r>
              <w:rPr>
                <w:rFonts w:ascii="宋体" w:hAnsi="宋体" w:cs="宋体" w:eastAsia="宋体" w:hint="default"/>
                <w:spacing w:val="1"/>
                <w:sz w:val="18"/>
                <w:szCs w:val="18"/>
              </w:rPr>
              <w:t>数</w:t>
            </w:r>
            <w:r>
              <w:rPr>
                <w:rFonts w:ascii="宋体" w:hAnsi="宋体" w:cs="宋体" w:eastAsia="宋体" w:hint="default"/>
                <w:sz w:val="18"/>
                <w:szCs w:val="18"/>
              </w:rPr>
              <w:t>（元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1.50</w:t>
            </w:r>
          </w:p>
        </w:tc>
      </w:tr>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w:t>
            </w:r>
          </w:p>
        </w:tc>
      </w:tr>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66,670,000</w:t>
            </w:r>
          </w:p>
        </w:tc>
      </w:tr>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现金分红总额（元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10,000,500.00</w:t>
            </w:r>
          </w:p>
        </w:tc>
      </w:tr>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180,968,416.58</w:t>
            </w:r>
          </w:p>
        </w:tc>
      </w:tr>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现金分红占利润分配总额的比例</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0"/>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714" w:hRule="exact"/>
        </w:trPr>
        <w:tc>
          <w:tcPr>
            <w:tcW w:w="95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公司发展阶段不易区分但有重大资金支出安排的，进行利润分配时，现金分红在本次利润分配中所占比例最低应达到</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w:t>
            </w:r>
          </w:p>
        </w:tc>
      </w:tr>
      <w:tr>
        <w:trPr>
          <w:trHeight w:val="402"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77"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bl>
    <w:p>
      <w:pPr>
        <w:pStyle w:val="BodyText"/>
        <w:spacing w:line="338" w:lineRule="auto" w:before="74"/>
        <w:ind w:right="187"/>
        <w:jc w:val="left"/>
      </w:pPr>
      <w:r>
        <w:rPr/>
        <w:t>公司近</w:t>
      </w:r>
      <w:r>
        <w:rPr>
          <w:spacing w:val="-46"/>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spacing w:val="-3"/>
        </w:rPr>
        <w:t>年（包括本报告期）的普通股股利分配方案（预案）、资本公积金转增股本方案（预案）情况</w:t>
      </w:r>
      <w:r>
        <w:rPr>
          <w:spacing w:val="-58"/>
        </w:rPr>
        <w:t> </w:t>
      </w:r>
      <w:r>
        <w:rPr>
          <w:spacing w:val="-58"/>
        </w:rPr>
      </w:r>
      <w:r>
        <w:rPr/>
        <w:t>公司</w:t>
      </w:r>
      <w:r>
        <w:rPr>
          <w:rFonts w:ascii="Times New Roman" w:hAnsi="Times New Roman" w:cs="Times New Roman" w:eastAsia="Times New Roman" w:hint="default"/>
        </w:rPr>
        <w:t>2015</w:t>
      </w:r>
      <w:r>
        <w:rPr/>
        <w:t>年度利润分配方案为：以截至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日公司总股本</w:t>
      </w:r>
      <w:r>
        <w:rPr>
          <w:rFonts w:ascii="Times New Roman" w:hAnsi="Times New Roman" w:cs="Times New Roman" w:eastAsia="Times New Roman" w:hint="default"/>
        </w:rPr>
        <w:t>6667</w:t>
      </w:r>
      <w:r>
        <w:rPr/>
        <w:t>万股为基数，向全体股东每</w:t>
      </w:r>
      <w:r>
        <w:rPr>
          <w:rFonts w:ascii="Times New Roman" w:hAnsi="Times New Roman" w:cs="Times New Roman" w:eastAsia="Times New Roman" w:hint="default"/>
        </w:rPr>
        <w:t>10</w:t>
      </w:r>
      <w:r>
        <w:rPr/>
        <w:t>股派发现金红利</w:t>
      </w:r>
      <w:r>
        <w:rPr>
          <w:rFonts w:ascii="Times New Roman" w:hAnsi="Times New Roman" w:cs="Times New Roman" w:eastAsia="Times New Roman" w:hint="default"/>
        </w:rPr>
        <w:t>1.5</w:t>
      </w:r>
      <w:r>
        <w:rPr/>
        <w:t>元</w:t>
      </w:r>
    </w:p>
    <w:p>
      <w:pPr>
        <w:spacing w:after="0" w:line="338" w:lineRule="auto"/>
        <w:jc w:val="left"/>
        <w:sectPr>
          <w:pgSz w:w="11910" w:h="16840"/>
          <w:pgMar w:header="747" w:footer="979" w:top="1060" w:bottom="1160" w:left="980" w:right="980"/>
        </w:sectPr>
      </w:pPr>
    </w:p>
    <w:p>
      <w:pPr>
        <w:spacing w:line="240" w:lineRule="auto" w:before="12"/>
        <w:rPr>
          <w:rFonts w:ascii="宋体" w:hAnsi="宋体" w:cs="宋体" w:eastAsia="宋体" w:hint="default"/>
          <w:sz w:val="25"/>
          <w:szCs w:val="25"/>
        </w:rPr>
      </w:pPr>
    </w:p>
    <w:p>
      <w:pPr>
        <w:pStyle w:val="BodyText"/>
        <w:spacing w:line="300" w:lineRule="auto"/>
        <w:ind w:right="187"/>
        <w:jc w:val="left"/>
      </w:pPr>
      <w:r>
        <w:rPr/>
        <w:t>（含税），共计派发现金红利</w:t>
      </w:r>
      <w:r>
        <w:rPr>
          <w:rFonts w:ascii="Times New Roman" w:hAnsi="Times New Roman" w:cs="Times New Roman" w:eastAsia="Times New Roman" w:hint="default"/>
        </w:rPr>
        <w:t>10,000,500</w:t>
      </w:r>
      <w:r>
        <w:rPr/>
        <w:t>元（含税）；资本公积不转增股本。此利润分配方案已于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18</w:t>
      </w:r>
      <w:r>
        <w:rPr/>
        <w:t>日公司</w:t>
      </w:r>
      <w:r>
        <w:rPr>
          <w:rFonts w:ascii="Times New Roman" w:hAnsi="Times New Roman" w:cs="Times New Roman" w:eastAsia="Times New Roman" w:hint="default"/>
        </w:rPr>
        <w:t>2015 </w:t>
      </w:r>
      <w:r>
        <w:rPr/>
        <w:t>年度股东大会审议通过，本议案符合公司章程等相关规定，并于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31</w:t>
      </w:r>
      <w:r>
        <w:rPr/>
        <w:t>日实施。 公司</w:t>
      </w:r>
      <w:r>
        <w:rPr>
          <w:rFonts w:ascii="Times New Roman" w:hAnsi="Times New Roman" w:cs="Times New Roman" w:eastAsia="Times New Roman" w:hint="default"/>
        </w:rPr>
        <w:t>2016</w:t>
      </w:r>
      <w:r>
        <w:rPr/>
        <w:t>年度利润分配方案为：以截至</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日公司总股本</w:t>
      </w:r>
      <w:r>
        <w:rPr>
          <w:rFonts w:ascii="Times New Roman" w:hAnsi="Times New Roman" w:cs="Times New Roman" w:eastAsia="Times New Roman" w:hint="default"/>
        </w:rPr>
        <w:t>6667</w:t>
      </w:r>
      <w:r>
        <w:rPr/>
        <w:t>万股为基数，向全体股东每</w:t>
      </w:r>
      <w:r>
        <w:rPr>
          <w:rFonts w:ascii="Times New Roman" w:hAnsi="Times New Roman" w:cs="Times New Roman" w:eastAsia="Times New Roman" w:hint="default"/>
        </w:rPr>
        <w:t>10</w:t>
      </w:r>
      <w:r>
        <w:rPr/>
        <w:t>股派发现金红利</w:t>
      </w:r>
      <w:r>
        <w:rPr>
          <w:rFonts w:ascii="Times New Roman" w:hAnsi="Times New Roman" w:cs="Times New Roman" w:eastAsia="Times New Roman" w:hint="default"/>
        </w:rPr>
        <w:t>1.5</w:t>
      </w:r>
      <w:r>
        <w:rPr/>
        <w:t>元</w:t>
      </w:r>
    </w:p>
    <w:p>
      <w:pPr>
        <w:pStyle w:val="BodyText"/>
        <w:spacing w:line="300" w:lineRule="auto" w:before="13"/>
        <w:ind w:right="187"/>
        <w:jc w:val="left"/>
      </w:pPr>
      <w:r>
        <w:rPr/>
        <w:t>（含税），共计派发现金红利</w:t>
      </w:r>
      <w:r>
        <w:rPr>
          <w:rFonts w:ascii="Times New Roman" w:hAnsi="Times New Roman" w:cs="Times New Roman" w:eastAsia="Times New Roman" w:hint="default"/>
        </w:rPr>
        <w:t>10,000,500</w:t>
      </w:r>
      <w:r>
        <w:rPr/>
        <w:t>元（含税）；资本公积不转增股本。此利润分配方案已于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16</w:t>
      </w:r>
      <w:r>
        <w:rPr/>
        <w:t>日公司</w:t>
      </w:r>
      <w:r>
        <w:rPr>
          <w:rFonts w:ascii="Times New Roman" w:hAnsi="Times New Roman" w:cs="Times New Roman" w:eastAsia="Times New Roman" w:hint="default"/>
        </w:rPr>
        <w:t>2016 </w:t>
      </w:r>
      <w:r>
        <w:rPr/>
        <w:t>年度股东大会审议通过，本议案符合公司章程等相关规定，并于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6</w:t>
      </w:r>
      <w:r>
        <w:rPr/>
        <w:t>日实施。 公司</w:t>
      </w:r>
      <w:r>
        <w:rPr>
          <w:rFonts w:ascii="Times New Roman" w:hAnsi="Times New Roman" w:cs="Times New Roman" w:eastAsia="Times New Roman" w:hint="default"/>
        </w:rPr>
        <w:t>2017</w:t>
      </w:r>
      <w:r>
        <w:rPr/>
        <w:t>年度利润分配预案为：以截至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日公司总股本</w:t>
      </w:r>
      <w:r>
        <w:rPr>
          <w:rFonts w:ascii="Times New Roman" w:hAnsi="Times New Roman" w:cs="Times New Roman" w:eastAsia="Times New Roman" w:hint="default"/>
        </w:rPr>
        <w:t>6667</w:t>
      </w:r>
      <w:r>
        <w:rPr/>
        <w:t>万股为基数，向全体股东每</w:t>
      </w:r>
      <w:r>
        <w:rPr>
          <w:rFonts w:ascii="Times New Roman" w:hAnsi="Times New Roman" w:cs="Times New Roman" w:eastAsia="Times New Roman" w:hint="default"/>
        </w:rPr>
        <w:t>10</w:t>
      </w:r>
      <w:r>
        <w:rPr/>
        <w:t>股派发现金红利</w:t>
      </w:r>
      <w:r>
        <w:rPr>
          <w:rFonts w:ascii="Times New Roman" w:hAnsi="Times New Roman" w:cs="Times New Roman" w:eastAsia="Times New Roman" w:hint="default"/>
        </w:rPr>
        <w:t>1.5</w:t>
      </w:r>
      <w:r>
        <w:rPr/>
        <w:t>元</w:t>
      </w:r>
    </w:p>
    <w:p>
      <w:pPr>
        <w:pStyle w:val="BodyText"/>
        <w:spacing w:line="300" w:lineRule="auto" w:before="13"/>
        <w:ind w:right="142"/>
        <w:jc w:val="left"/>
      </w:pPr>
      <w:r>
        <w:rPr/>
        <w:t>（含税），共计派发现金红利</w:t>
      </w:r>
      <w:r>
        <w:rPr>
          <w:rFonts w:ascii="Times New Roman" w:hAnsi="Times New Roman" w:cs="Times New Roman" w:eastAsia="Times New Roman" w:hint="default"/>
        </w:rPr>
        <w:t>10,000,500</w:t>
      </w:r>
      <w:r>
        <w:rPr/>
        <w:t>元（含税）；同时以资本公积向全体股东每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9</w:t>
      </w:r>
      <w:r>
        <w:rPr/>
        <w:t>股，共计转增</w:t>
      </w:r>
      <w:r>
        <w:rPr>
          <w:rFonts w:ascii="Times New Roman" w:hAnsi="Times New Roman" w:cs="Times New Roman" w:eastAsia="Times New Roman" w:hint="default"/>
        </w:rPr>
        <w:t>60,003,000</w:t>
      </w:r>
      <w:r>
        <w:rPr/>
        <w:t>股， 转增后公司总股本将增加至</w:t>
      </w:r>
      <w:r>
        <w:rPr>
          <w:rFonts w:ascii="Times New Roman" w:hAnsi="Times New Roman" w:cs="Times New Roman" w:eastAsia="Times New Roman" w:hint="default"/>
        </w:rPr>
        <w:t>126,673,000</w:t>
      </w:r>
      <w:r>
        <w:rPr/>
        <w:t>股。本预案尚需提交公司</w:t>
      </w:r>
      <w:r>
        <w:rPr>
          <w:rFonts w:ascii="Times New Roman" w:hAnsi="Times New Roman" w:cs="Times New Roman" w:eastAsia="Times New Roman" w:hint="default"/>
        </w:rPr>
        <w:t>2017</w:t>
      </w:r>
      <w:r>
        <w:rPr/>
        <w:t>年年度股东大会审议。</w:t>
      </w:r>
    </w:p>
    <w:p>
      <w:pPr>
        <w:spacing w:line="240" w:lineRule="auto" w:before="7"/>
        <w:rPr>
          <w:rFonts w:ascii="宋体" w:hAnsi="宋体" w:cs="宋体" w:eastAsia="宋体" w:hint="default"/>
          <w:sz w:val="24"/>
          <w:szCs w:val="24"/>
        </w:rPr>
      </w:pPr>
    </w:p>
    <w:p>
      <w:pPr>
        <w:pStyle w:val="BodyText"/>
        <w:spacing w:line="240" w:lineRule="auto"/>
        <w:ind w:right="0"/>
        <w:jc w:val="left"/>
      </w:pPr>
      <w:r>
        <w:rPr/>
        <w:t>公司近三年（包括本报告期）普通股现金分红情况表</w:t>
      </w:r>
    </w:p>
    <w:p>
      <w:pPr>
        <w:pStyle w:val="BodyText"/>
        <w:spacing w:line="240" w:lineRule="auto" w:before="117"/>
        <w:ind w:left="0" w:right="15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317" w:hRule="exact"/>
        </w:trPr>
        <w:tc>
          <w:tcPr>
            <w:tcW w:w="1596" w:type="dxa"/>
            <w:vMerge w:val="restart"/>
            <w:tcBorders>
              <w:top w:val="single" w:sz="4" w:space="0" w:color="000000"/>
              <w:left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73" w:right="70"/>
              <w:jc w:val="center"/>
              <w:rPr>
                <w:rFonts w:ascii="宋体" w:hAnsi="宋体" w:cs="宋体" w:eastAsia="宋体" w:hint="default"/>
                <w:sz w:val="18"/>
                <w:szCs w:val="18"/>
              </w:rPr>
            </w:pPr>
            <w:r>
              <w:rPr>
                <w:rFonts w:ascii="宋体" w:hAnsi="宋体" w:cs="宋体" w:eastAsia="宋体" w:hint="default"/>
                <w:sz w:val="18"/>
                <w:szCs w:val="18"/>
              </w:rPr>
              <w:t>分红年度合并报表 中归属于上市公司 普通股股东的净利 润</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72" w:right="71"/>
              <w:jc w:val="center"/>
              <w:rPr>
                <w:rFonts w:ascii="宋体" w:hAnsi="宋体" w:cs="宋体" w:eastAsia="宋体" w:hint="default"/>
                <w:sz w:val="18"/>
                <w:szCs w:val="18"/>
              </w:rPr>
            </w:pPr>
            <w:r>
              <w:rPr>
                <w:rFonts w:ascii="宋体" w:hAnsi="宋体" w:cs="宋体" w:eastAsia="宋体" w:hint="default"/>
                <w:sz w:val="18"/>
                <w:szCs w:val="18"/>
              </w:rPr>
              <w:t>占合并报表中归属 于上市公司普通股 股东的净利润的比 率</w:t>
            </w: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6" w:hRule="exact"/>
        </w:trPr>
        <w:tc>
          <w:tcPr>
            <w:tcW w:w="1596" w:type="dxa"/>
            <w:vMerge/>
            <w:tcBorders>
              <w:left w:val="single" w:sz="4" w:space="0" w:color="000000"/>
              <w:bottom w:val="nil" w:sz="6" w:space="0" w:color="auto"/>
              <w:right w:val="single" w:sz="4" w:space="0" w:color="000000"/>
            </w:tcBorders>
            <w:shd w:val="clear" w:color="auto" w:fill="D2D2D2"/>
          </w:tcPr>
          <w:p>
            <w:pPr/>
          </w:p>
        </w:tc>
        <w:tc>
          <w:tcPr>
            <w:tcW w:w="1594"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612" w:right="71" w:hanging="540"/>
              <w:jc w:val="left"/>
              <w:rPr>
                <w:rFonts w:ascii="宋体" w:hAnsi="宋体" w:cs="宋体" w:eastAsia="宋体" w:hint="default"/>
                <w:sz w:val="18"/>
                <w:szCs w:val="18"/>
              </w:rPr>
            </w:pPr>
            <w:r>
              <w:rPr>
                <w:rFonts w:ascii="宋体" w:hAnsi="宋体" w:cs="宋体" w:eastAsia="宋体" w:hint="default"/>
                <w:sz w:val="18"/>
                <w:szCs w:val="18"/>
              </w:rPr>
              <w:t>现金分红金额（含 税）</w:t>
            </w:r>
          </w:p>
        </w:tc>
        <w:tc>
          <w:tcPr>
            <w:tcW w:w="1595"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431" w:right="70" w:hanging="360"/>
              <w:jc w:val="left"/>
              <w:rPr>
                <w:rFonts w:ascii="宋体" w:hAnsi="宋体" w:cs="宋体" w:eastAsia="宋体" w:hint="default"/>
                <w:sz w:val="18"/>
                <w:szCs w:val="18"/>
              </w:rPr>
            </w:pPr>
            <w:r>
              <w:rPr>
                <w:rFonts w:ascii="宋体" w:hAnsi="宋体" w:cs="宋体" w:eastAsia="宋体" w:hint="default"/>
                <w:sz w:val="18"/>
                <w:szCs w:val="18"/>
              </w:rPr>
              <w:t>以其他方式现金分 红的金额</w:t>
            </w:r>
          </w:p>
        </w:tc>
        <w:tc>
          <w:tcPr>
            <w:tcW w:w="159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433" w:right="71" w:hanging="360"/>
              <w:jc w:val="left"/>
              <w:rPr>
                <w:rFonts w:ascii="宋体" w:hAnsi="宋体" w:cs="宋体" w:eastAsia="宋体" w:hint="default"/>
                <w:sz w:val="18"/>
                <w:szCs w:val="18"/>
              </w:rPr>
            </w:pPr>
            <w:r>
              <w:rPr>
                <w:rFonts w:ascii="宋体" w:hAnsi="宋体" w:cs="宋体" w:eastAsia="宋体" w:hint="default"/>
                <w:sz w:val="18"/>
                <w:szCs w:val="18"/>
              </w:rPr>
              <w:t>以其他方式现金分 红的比例</w:t>
            </w:r>
          </w:p>
        </w:tc>
      </w:tr>
      <w:tr>
        <w:trPr>
          <w:trHeight w:val="392" w:hRule="exact"/>
        </w:trPr>
        <w:tc>
          <w:tcPr>
            <w:tcW w:w="15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594" w:type="dxa"/>
            <w:vMerge/>
            <w:tcBorders>
              <w:left w:val="single" w:sz="4" w:space="0" w:color="000000"/>
              <w:right w:val="single" w:sz="4" w:space="0" w:color="000000"/>
            </w:tcBorders>
            <w:shd w:val="clear" w:color="auto" w:fill="D2D2D2"/>
          </w:tcPr>
          <w:p>
            <w:pPr/>
          </w:p>
        </w:tc>
        <w:tc>
          <w:tcPr>
            <w:tcW w:w="1595"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5" w:type="dxa"/>
            <w:vMerge/>
            <w:tcBorders>
              <w:left w:val="single" w:sz="4" w:space="0" w:color="000000"/>
              <w:right w:val="single" w:sz="4" w:space="0" w:color="000000"/>
            </w:tcBorders>
            <w:shd w:val="clear" w:color="auto" w:fill="D2D2D2"/>
          </w:tcPr>
          <w:p>
            <w:pPr/>
          </w:p>
        </w:tc>
      </w:tr>
      <w:tr>
        <w:trPr>
          <w:trHeight w:val="156" w:hRule="exact"/>
        </w:trPr>
        <w:tc>
          <w:tcPr>
            <w:tcW w:w="1596" w:type="dxa"/>
            <w:vMerge w:val="restart"/>
            <w:tcBorders>
              <w:top w:val="nil" w:sz="6" w:space="0" w:color="auto"/>
              <w:left w:val="single" w:sz="4" w:space="0" w:color="000000"/>
              <w:right w:val="single" w:sz="4" w:space="0" w:color="000000"/>
            </w:tcBorders>
            <w:shd w:val="clear" w:color="auto" w:fill="D2D2D2"/>
          </w:tcPr>
          <w:p>
            <w:pPr/>
          </w:p>
        </w:tc>
        <w:tc>
          <w:tcPr>
            <w:tcW w:w="1594" w:type="dxa"/>
            <w:vMerge/>
            <w:tcBorders>
              <w:left w:val="single" w:sz="4" w:space="0" w:color="000000"/>
              <w:bottom w:val="nil" w:sz="6" w:space="0" w:color="auto"/>
              <w:right w:val="single" w:sz="4" w:space="0" w:color="000000"/>
            </w:tcBorders>
            <w:shd w:val="clear" w:color="auto" w:fill="D2D2D2"/>
          </w:tcPr>
          <w:p>
            <w:pPr/>
          </w:p>
        </w:tc>
        <w:tc>
          <w:tcPr>
            <w:tcW w:w="1595"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bottom w:val="nil" w:sz="6" w:space="0" w:color="auto"/>
              <w:right w:val="single" w:sz="4" w:space="0" w:color="000000"/>
            </w:tcBorders>
            <w:shd w:val="clear" w:color="auto" w:fill="D2D2D2"/>
          </w:tcPr>
          <w:p>
            <w:pPr/>
          </w:p>
        </w:tc>
        <w:tc>
          <w:tcPr>
            <w:tcW w:w="1595" w:type="dxa"/>
            <w:vMerge/>
            <w:tcBorders>
              <w:left w:val="single" w:sz="4" w:space="0" w:color="000000"/>
              <w:bottom w:val="nil" w:sz="6" w:space="0" w:color="auto"/>
              <w:right w:val="single" w:sz="4" w:space="0" w:color="000000"/>
            </w:tcBorders>
            <w:shd w:val="clear" w:color="auto" w:fill="D2D2D2"/>
          </w:tcPr>
          <w:p>
            <w:pPr/>
          </w:p>
        </w:tc>
      </w:tr>
      <w:tr>
        <w:trPr>
          <w:trHeight w:val="317"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10,000,500.00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42,340,004.51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23.62%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10,000,500.00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35,314,916.69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28.32%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10,000,500.00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41,114,297.43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24.32%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right="0"/>
        <w:jc w:val="left"/>
      </w:pPr>
      <w:r>
        <w:rPr/>
        <w:t>公司报告期内盈利且母公司可供普通股股东分配利润为正但未提出普通股现金红利分配预案</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23"/>
          <w:szCs w:val="23"/>
        </w:rPr>
      </w:pPr>
    </w:p>
    <w:p>
      <w:pPr>
        <w:pStyle w:val="Heading2"/>
        <w:spacing w:line="240" w:lineRule="auto"/>
        <w:ind w:right="0"/>
        <w:jc w:val="left"/>
        <w:rPr>
          <w:b w:val="0"/>
          <w:bCs w:val="0"/>
        </w:rPr>
      </w:pPr>
      <w:bookmarkStart w:name="二、承诺事项履行情况" w:id="63"/>
      <w:bookmarkEnd w:id="63"/>
      <w:r>
        <w:rPr>
          <w:b w:val="0"/>
          <w:bCs w:val="0"/>
        </w:rPr>
      </w:r>
      <w:r>
        <w:rPr/>
        <w:t>二、承诺事项履行情况</w:t>
      </w:r>
      <w:r>
        <w:rPr>
          <w:b w:val="0"/>
          <w:bCs w:val="0"/>
        </w:rPr>
      </w:r>
    </w:p>
    <w:p>
      <w:pPr>
        <w:spacing w:line="240" w:lineRule="auto" w:before="9"/>
        <w:rPr>
          <w:rFonts w:ascii="宋体" w:hAnsi="宋体" w:cs="宋体" w:eastAsia="宋体" w:hint="default"/>
          <w:b/>
          <w:bCs/>
          <w:sz w:val="24"/>
          <w:szCs w:val="24"/>
        </w:rPr>
      </w:pPr>
    </w:p>
    <w:p>
      <w:pPr>
        <w:pStyle w:val="Heading5"/>
        <w:spacing w:line="259" w:lineRule="auto"/>
        <w:ind w:right="0"/>
        <w:jc w:val="left"/>
        <w:rPr>
          <w:b w:val="0"/>
          <w:bCs w:val="0"/>
        </w:rPr>
      </w:pPr>
      <w:bookmarkStart w:name="1、公司实际控制人、股东、关联方、收购人以及公司等承诺相关方在报告期内履行完毕及" w:id="64"/>
      <w:bookmarkEnd w:id="64"/>
      <w:r>
        <w:rPr>
          <w:b w:val="0"/>
          <w:bCs w:val="0"/>
        </w:rPr>
      </w:r>
      <w:r>
        <w:rPr>
          <w:rFonts w:ascii="Times New Roman" w:hAnsi="Times New Roman" w:cs="Times New Roman" w:eastAsia="Times New Roman" w:hint="default"/>
        </w:rPr>
        <w:t>1</w:t>
      </w:r>
      <w:r>
        <w:rPr/>
        <w:t>、公司实际控制人、股东、关联方、收购人以及公司等承诺相关方在报告期内履行完毕及截至报告期末</w:t>
      </w:r>
      <w:r>
        <w:rPr>
          <w:spacing w:val="-74"/>
        </w:rPr>
        <w:t> </w:t>
      </w:r>
      <w:r>
        <w:rPr>
          <w:spacing w:val="-74"/>
        </w:rPr>
      </w:r>
      <w:r>
        <w:rPr/>
        <w:t>尚未履行完毕的承诺事项</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承诺来源</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7"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7"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1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7" w:right="0"/>
              <w:jc w:val="left"/>
              <w:rPr>
                <w:rFonts w:ascii="宋体" w:hAnsi="宋体" w:cs="宋体" w:eastAsia="宋体" w:hint="default"/>
                <w:sz w:val="18"/>
                <w:szCs w:val="18"/>
              </w:rPr>
            </w:pPr>
            <w:r>
              <w:rPr>
                <w:rFonts w:ascii="宋体" w:hAnsi="宋体" w:cs="宋体" w:eastAsia="宋体" w:hint="default"/>
                <w:sz w:val="18"/>
                <w:szCs w:val="18"/>
              </w:rPr>
              <w:t>承诺内容</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7"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1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5"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1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88"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714"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收购报告书或权益变动报告书中所 作承诺</w:t>
            </w:r>
          </w:p>
        </w:tc>
        <w:tc>
          <w:tcPr>
            <w:tcW w:w="1126" w:type="dxa"/>
            <w:tcBorders>
              <w:top w:val="single" w:sz="4" w:space="0" w:color="000000"/>
              <w:left w:val="single" w:sz="13" w:space="0" w:color="D2D2D2"/>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1700" w:hRule="exact"/>
        </w:trPr>
        <w:tc>
          <w:tcPr>
            <w:tcW w:w="283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26"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316" w:lineRule="auto"/>
              <w:ind w:left="17" w:right="21"/>
              <w:jc w:val="both"/>
              <w:rPr>
                <w:rFonts w:ascii="宋体" w:hAnsi="宋体" w:cs="宋体" w:eastAsia="宋体" w:hint="default"/>
                <w:sz w:val="18"/>
                <w:szCs w:val="18"/>
              </w:rPr>
            </w:pPr>
            <w:r>
              <w:rPr>
                <w:rFonts w:ascii="宋体" w:hAnsi="宋体" w:cs="宋体" w:eastAsia="宋体" w:hint="default"/>
                <w:sz w:val="18"/>
                <w:szCs w:val="18"/>
              </w:rPr>
              <w:t>公司董事、监 事、高级管理 人员</w:t>
            </w:r>
          </w:p>
        </w:tc>
        <w:tc>
          <w:tcPr>
            <w:tcW w:w="112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127" w:type="dxa"/>
            <w:vMerge w:val="restart"/>
            <w:tcBorders>
              <w:top w:val="single" w:sz="4" w:space="0" w:color="000000"/>
              <w:left w:val="single" w:sz="4" w:space="0" w:color="000000"/>
              <w:right w:val="single" w:sz="4" w:space="0" w:color="000000"/>
            </w:tcBorders>
          </w:tcPr>
          <w:p>
            <w:pPr>
              <w:pStyle w:val="TableParagraph"/>
              <w:spacing w:line="316" w:lineRule="auto" w:before="51"/>
              <w:ind w:left="22" w:right="12"/>
              <w:jc w:val="left"/>
              <w:rPr>
                <w:rFonts w:ascii="宋体" w:hAnsi="宋体" w:cs="宋体" w:eastAsia="宋体" w:hint="default"/>
                <w:sz w:val="18"/>
                <w:szCs w:val="18"/>
              </w:rPr>
            </w:pPr>
            <w:r>
              <w:rPr>
                <w:rFonts w:ascii="宋体" w:hAnsi="宋体" w:cs="宋体" w:eastAsia="宋体" w:hint="default"/>
                <w:sz w:val="18"/>
                <w:szCs w:val="18"/>
              </w:rPr>
              <w:t>如本次交易 因涉嫌所提 供或者披露 的信息存在 虚假记载、误 导性陈述或 者重大遗漏， 被司法机关 立案侦查或 者被中国证 监会立案调 查的，在案件</w:t>
            </w:r>
          </w:p>
        </w:tc>
        <w:tc>
          <w:tcPr>
            <w:tcW w:w="112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0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392" w:hRule="exact"/>
        </w:trPr>
        <w:tc>
          <w:tcPr>
            <w:tcW w:w="283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资产重组时所作承诺</w:t>
            </w:r>
          </w:p>
        </w:tc>
        <w:tc>
          <w:tcPr>
            <w:tcW w:w="1126" w:type="dxa"/>
            <w:vMerge/>
            <w:tcBorders>
              <w:left w:val="single" w:sz="9" w:space="0" w:color="D2D2D2"/>
              <w:right w:val="single" w:sz="4" w:space="0" w:color="000000"/>
            </w:tcBorders>
          </w:tcPr>
          <w:p>
            <w:pP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1701" w:hRule="exact"/>
        </w:trPr>
        <w:tc>
          <w:tcPr>
            <w:tcW w:w="283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26" w:type="dxa"/>
            <w:vMerge/>
            <w:tcBorders>
              <w:left w:val="single" w:sz="9" w:space="0" w:color="D2D2D2"/>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1611"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21"/>
              <w:jc w:val="left"/>
              <w:rPr>
                <w:rFonts w:ascii="宋体" w:hAnsi="宋体" w:cs="宋体" w:eastAsia="宋体" w:hint="default"/>
                <w:sz w:val="18"/>
                <w:szCs w:val="18"/>
              </w:rPr>
            </w:pPr>
            <w:r>
              <w:rPr>
                <w:rFonts w:ascii="宋体" w:hAnsi="宋体" w:cs="宋体" w:eastAsia="宋体" w:hint="default"/>
                <w:sz w:val="18"/>
                <w:szCs w:val="18"/>
              </w:rPr>
              <w:t>调查结论明 </w:t>
            </w:r>
            <w:r>
              <w:rPr>
                <w:rFonts w:ascii="宋体" w:hAnsi="宋体" w:cs="宋体" w:eastAsia="宋体" w:hint="default"/>
                <w:spacing w:val="-2"/>
                <w:sz w:val="18"/>
                <w:szCs w:val="18"/>
              </w:rPr>
              <w:t>确之前，不转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让在本公司 拥有权益的 股份。</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9762"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23"/>
              <w:ind w:left="23" w:right="21"/>
              <w:jc w:val="left"/>
              <w:rPr>
                <w:rFonts w:ascii="宋体" w:hAnsi="宋体" w:cs="宋体" w:eastAsia="宋体" w:hint="default"/>
                <w:sz w:val="18"/>
                <w:szCs w:val="18"/>
              </w:rPr>
            </w:pPr>
            <w:r>
              <w:rPr>
                <w:rFonts w:ascii="宋体" w:hAnsi="宋体" w:cs="宋体" w:eastAsia="宋体" w:hint="default"/>
                <w:sz w:val="18"/>
                <w:szCs w:val="18"/>
              </w:rPr>
              <w:t>公司及全体 </w:t>
            </w:r>
            <w:r>
              <w:rPr>
                <w:rFonts w:ascii="宋体" w:hAnsi="宋体" w:cs="宋体" w:eastAsia="宋体" w:hint="default"/>
                <w:spacing w:val="-2"/>
                <w:sz w:val="18"/>
                <w:szCs w:val="18"/>
              </w:rPr>
              <w:t>董事、监事和</w:t>
            </w:r>
            <w:r>
              <w:rPr>
                <w:rFonts w:ascii="宋体" w:hAnsi="宋体" w:cs="宋体" w:eastAsia="宋体" w:hint="default"/>
                <w:sz w:val="18"/>
                <w:szCs w:val="18"/>
              </w:rPr>
              <w:t> 高级管理人 员</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316" w:lineRule="auto"/>
              <w:ind w:left="22" w:right="191"/>
              <w:jc w:val="left"/>
              <w:rPr>
                <w:rFonts w:ascii="宋体" w:hAnsi="宋体" w:cs="宋体" w:eastAsia="宋体" w:hint="default"/>
                <w:sz w:val="18"/>
                <w:szCs w:val="18"/>
              </w:rPr>
            </w:pPr>
            <w:r>
              <w:rPr>
                <w:rFonts w:ascii="宋体" w:hAnsi="宋体" w:cs="宋体" w:eastAsia="宋体" w:hint="default"/>
                <w:sz w:val="18"/>
                <w:szCs w:val="18"/>
              </w:rPr>
              <w:t>关于内幕信 息的承诺函</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
              <w:jc w:val="left"/>
              <w:rPr>
                <w:rFonts w:ascii="宋体" w:hAnsi="宋体" w:cs="宋体" w:eastAsia="宋体" w:hint="default"/>
                <w:sz w:val="18"/>
                <w:szCs w:val="18"/>
              </w:rPr>
            </w:pPr>
            <w:r>
              <w:rPr>
                <w:rFonts w:ascii="宋体" w:hAnsi="宋体" w:cs="宋体" w:eastAsia="宋体" w:hint="default"/>
                <w:sz w:val="18"/>
                <w:szCs w:val="18"/>
              </w:rPr>
              <w:t>不存在泄露 本次交易内 幕信息以及 利用本次重 大资产重组 信息进行内 幕交易的情 形；也不存在 因涉嫌参与 重大资产重 组相关的内 幕交易被立 案调查或者 立案侦查且 尚未结案的 情况；最近三 十六个月内， 未曾因参与 重大资产重 组相关的内 幕交易被中 国证监会作 出行政处罚 或者司法机 关依法追究 刑事责任。若 违反上述承 诺，将承担因 此给杭州高 新及其股东 造成的损失。</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2547"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首次公开发行或再融资时所作承诺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1"/>
              <w:jc w:val="left"/>
              <w:rPr>
                <w:rFonts w:ascii="宋体" w:hAnsi="宋体" w:cs="宋体" w:eastAsia="宋体" w:hint="default"/>
                <w:sz w:val="18"/>
                <w:szCs w:val="18"/>
              </w:rPr>
            </w:pPr>
            <w:r>
              <w:rPr>
                <w:rFonts w:ascii="宋体" w:hAnsi="宋体" w:cs="宋体" w:eastAsia="宋体" w:hint="default"/>
                <w:sz w:val="18"/>
                <w:szCs w:val="18"/>
              </w:rPr>
              <w:t>公司控股股 东高兴控股 集团有限公 </w:t>
            </w:r>
            <w:r>
              <w:rPr>
                <w:rFonts w:ascii="宋体" w:hAnsi="宋体" w:cs="宋体" w:eastAsia="宋体" w:hint="default"/>
                <w:spacing w:val="-2"/>
                <w:sz w:val="18"/>
                <w:szCs w:val="18"/>
              </w:rPr>
              <w:t>司，股东中国</w:t>
            </w:r>
            <w:r>
              <w:rPr>
                <w:rFonts w:ascii="宋体" w:hAnsi="宋体" w:cs="宋体" w:eastAsia="宋体" w:hint="default"/>
                <w:sz w:val="18"/>
                <w:szCs w:val="18"/>
              </w:rPr>
              <w:t> 双帆投资控 股集团（香 港）有限公 </w:t>
            </w:r>
            <w:r>
              <w:rPr>
                <w:rFonts w:ascii="宋体" w:hAnsi="宋体" w:cs="宋体" w:eastAsia="宋体" w:hint="default"/>
                <w:spacing w:val="-2"/>
                <w:sz w:val="18"/>
                <w:szCs w:val="18"/>
              </w:rPr>
              <w:t>司、杭州天眼</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319" w:lineRule="auto"/>
              <w:ind w:left="22" w:right="191"/>
              <w:jc w:val="both"/>
              <w:rPr>
                <w:rFonts w:ascii="宋体" w:hAnsi="宋体" w:cs="宋体" w:eastAsia="宋体" w:hint="default"/>
                <w:sz w:val="18"/>
                <w:szCs w:val="18"/>
              </w:rPr>
            </w:pPr>
            <w:r>
              <w:rPr>
                <w:rFonts w:ascii="宋体" w:hAnsi="宋体" w:cs="宋体" w:eastAsia="宋体" w:hint="default"/>
                <w:sz w:val="18"/>
                <w:szCs w:val="18"/>
              </w:rPr>
              <w:t>发行前股份 自愿锁定的 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自公司股票 上市之日起 三十六个月 </w:t>
            </w:r>
            <w:r>
              <w:rPr>
                <w:rFonts w:ascii="宋体" w:hAnsi="宋体" w:cs="宋体" w:eastAsia="宋体" w:hint="default"/>
                <w:spacing w:val="-2"/>
                <w:sz w:val="18"/>
                <w:szCs w:val="18"/>
              </w:rPr>
              <w:t>内，不转让直</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接或间接持 有的公司股 </w:t>
            </w:r>
            <w:r>
              <w:rPr>
                <w:rFonts w:ascii="宋体" w:hAnsi="宋体" w:cs="宋体" w:eastAsia="宋体" w:hint="default"/>
                <w:spacing w:val="-2"/>
                <w:sz w:val="18"/>
                <w:szCs w:val="18"/>
              </w:rPr>
              <w:t>份，也不由公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司回购其持</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10"/>
      </w:tblGrid>
      <w:tr>
        <w:trPr>
          <w:trHeight w:val="722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3" w:right="190"/>
              <w:jc w:val="left"/>
              <w:rPr>
                <w:rFonts w:ascii="宋体" w:hAnsi="宋体" w:cs="宋体" w:eastAsia="宋体" w:hint="default"/>
                <w:sz w:val="18"/>
                <w:szCs w:val="18"/>
              </w:rPr>
            </w:pPr>
            <w:r>
              <w:rPr>
                <w:rFonts w:ascii="宋体" w:hAnsi="宋体" w:cs="宋体" w:eastAsia="宋体" w:hint="default"/>
                <w:sz w:val="18"/>
                <w:szCs w:val="18"/>
              </w:rPr>
              <w:t>投资有限公 司</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21"/>
              <w:jc w:val="left"/>
              <w:rPr>
                <w:rFonts w:ascii="宋体" w:hAnsi="宋体" w:cs="宋体" w:eastAsia="宋体" w:hint="default"/>
                <w:sz w:val="18"/>
                <w:szCs w:val="18"/>
              </w:rPr>
            </w:pPr>
            <w:r>
              <w:rPr>
                <w:rFonts w:ascii="宋体" w:hAnsi="宋体" w:cs="宋体" w:eastAsia="宋体" w:hint="default"/>
                <w:spacing w:val="-2"/>
                <w:sz w:val="18"/>
                <w:szCs w:val="18"/>
              </w:rPr>
              <w:t>有的股份；所</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持公司股份 在锁定期满 后两年内减 </w:t>
            </w:r>
            <w:r>
              <w:rPr>
                <w:rFonts w:ascii="宋体" w:hAnsi="宋体" w:cs="宋体" w:eastAsia="宋体" w:hint="default"/>
                <w:spacing w:val="-2"/>
                <w:sz w:val="18"/>
                <w:szCs w:val="18"/>
              </w:rPr>
              <w:t>持的，减持价</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格不低于首 次公开发行 股票的发行 </w:t>
            </w:r>
            <w:r>
              <w:rPr>
                <w:rFonts w:ascii="宋体" w:hAnsi="宋体" w:cs="宋体" w:eastAsia="宋体" w:hint="default"/>
                <w:spacing w:val="-2"/>
                <w:sz w:val="18"/>
                <w:szCs w:val="18"/>
              </w:rPr>
              <w:t>价；公司股份</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上市交易后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个月内如连 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 日的收盘价 均低于发行 </w:t>
            </w:r>
            <w:r>
              <w:rPr>
                <w:rFonts w:ascii="宋体" w:hAnsi="宋体" w:cs="宋体" w:eastAsia="宋体" w:hint="default"/>
                <w:spacing w:val="-2"/>
                <w:sz w:val="18"/>
                <w:szCs w:val="18"/>
              </w:rPr>
              <w:t>价，或者上市</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后</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个月期末</w:t>
            </w:r>
          </w:p>
          <w:p>
            <w:pPr>
              <w:pStyle w:val="TableParagraph"/>
              <w:spacing w:line="248"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p>
          <w:p>
            <w:pPr>
              <w:pStyle w:val="TableParagraph"/>
              <w:spacing w:line="312" w:lineRule="auto" w:before="63"/>
              <w:ind w:left="22" w:right="12"/>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w:t>
            </w:r>
            <w:r>
              <w:rPr>
                <w:rFonts w:ascii="宋体" w:hAnsi="宋体" w:cs="宋体" w:eastAsia="宋体" w:hint="default"/>
                <w:sz w:val="18"/>
                <w:szCs w:val="18"/>
              </w:rPr>
              <w:t>收盘价 低于发行价， 持有公司股 票的锁定期 限自动延长</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个月。</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r>
      <w:tr>
        <w:trPr>
          <w:trHeight w:val="6603"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319" w:lineRule="auto"/>
              <w:ind w:left="23" w:right="10"/>
              <w:jc w:val="left"/>
              <w:rPr>
                <w:rFonts w:ascii="宋体" w:hAnsi="宋体" w:cs="宋体" w:eastAsia="宋体" w:hint="default"/>
                <w:sz w:val="18"/>
                <w:szCs w:val="18"/>
              </w:rPr>
            </w:pPr>
            <w:r>
              <w:rPr>
                <w:rFonts w:ascii="宋体" w:hAnsi="宋体" w:cs="宋体" w:eastAsia="宋体" w:hint="default"/>
                <w:sz w:val="18"/>
                <w:szCs w:val="18"/>
              </w:rPr>
              <w:t>高长虹、楼永 富、金桂良、 凌勇、沈治 华、胡炳林、 朱忠华、吴 畏、周黎隽、 问泽文、周建 深、缪勇刚</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48"/>
              <w:ind w:left="22" w:right="191"/>
              <w:jc w:val="both"/>
              <w:rPr>
                <w:rFonts w:ascii="宋体" w:hAnsi="宋体" w:cs="宋体" w:eastAsia="宋体" w:hint="default"/>
                <w:sz w:val="18"/>
                <w:szCs w:val="18"/>
              </w:rPr>
            </w:pPr>
            <w:r>
              <w:rPr>
                <w:rFonts w:ascii="宋体" w:hAnsi="宋体" w:cs="宋体" w:eastAsia="宋体" w:hint="default"/>
                <w:sz w:val="18"/>
                <w:szCs w:val="18"/>
              </w:rPr>
              <w:t>发行前股份 自愿锁定的 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
              <w:jc w:val="left"/>
              <w:rPr>
                <w:rFonts w:ascii="宋体" w:hAnsi="宋体" w:cs="宋体" w:eastAsia="宋体" w:hint="default"/>
                <w:sz w:val="18"/>
                <w:szCs w:val="18"/>
              </w:rPr>
            </w:pPr>
            <w:r>
              <w:rPr>
                <w:rFonts w:ascii="宋体" w:hAnsi="宋体" w:cs="宋体" w:eastAsia="宋体" w:hint="default"/>
                <w:sz w:val="18"/>
                <w:szCs w:val="18"/>
              </w:rPr>
              <w:t>在担任公司 董事、监事或 高级管理人 员期间每年 转让的股份 不超过本人 直接和间接 持有公司股 份总数的百 分之二十五； 不再担任上 述职务后半 年内，不转让 本人持有的 公司股份。如 在公司股票 上市之日起 六个月内申 报离职的，自 申报离职之 日起十八个</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319" w:lineRule="auto"/>
              <w:ind w:left="22" w:right="20"/>
              <w:jc w:val="left"/>
              <w:rPr>
                <w:rFonts w:ascii="宋体" w:hAnsi="宋体" w:cs="宋体" w:eastAsia="宋体" w:hint="default"/>
                <w:sz w:val="18"/>
                <w:szCs w:val="18"/>
              </w:rPr>
            </w:pPr>
            <w:r>
              <w:rPr>
                <w:rFonts w:ascii="宋体" w:hAnsi="宋体" w:cs="宋体" w:eastAsia="宋体" w:hint="default"/>
                <w:sz w:val="18"/>
                <w:szCs w:val="18"/>
              </w:rPr>
              <w:t>上述特定期 </w:t>
            </w:r>
            <w:r>
              <w:rPr>
                <w:rFonts w:ascii="宋体" w:hAnsi="宋体" w:cs="宋体" w:eastAsia="宋体" w:hint="default"/>
                <w:spacing w:val="-3"/>
                <w:sz w:val="18"/>
                <w:szCs w:val="18"/>
              </w:rPr>
              <w:t>限、任职期间</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以及离职后 的特定时间</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10"/>
      </w:tblGrid>
      <w:tr>
        <w:trPr>
          <w:trHeight w:val="1190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10"/>
              <w:ind w:left="22" w:right="12"/>
              <w:jc w:val="left"/>
              <w:rPr>
                <w:rFonts w:ascii="宋体" w:hAnsi="宋体" w:cs="宋体" w:eastAsia="宋体" w:hint="default"/>
                <w:sz w:val="18"/>
                <w:szCs w:val="18"/>
              </w:rPr>
            </w:pPr>
            <w:r>
              <w:rPr>
                <w:rFonts w:ascii="宋体" w:hAnsi="宋体" w:cs="宋体" w:eastAsia="宋体" w:hint="default"/>
                <w:sz w:val="18"/>
                <w:szCs w:val="18"/>
              </w:rPr>
              <w:t>月内不转让 本人所持有 的本公司股 份，如在股票 上市之日起 第七个月至 第十二个月 之间申报离 职的，自申报 离职之日起 十二个月内 不转让本人 持有的公司 股份；所持股 份在锁定期 满后两年内 减持的，其减 持价格不低 于发行价；公 司上市后</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个 月内如公司 股票连续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个交易日的 收盘价均低 于发行价，或 者上市后</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个 月期末（</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日）收盘价低 于发行价，持 有公司股票 的锁定期限 自动延长</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个 月，上述承诺 不会因为本 人职务的变 更或离职等 原因而改变。</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r>
      <w:tr>
        <w:trPr>
          <w:trHeight w:val="1923"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1"/>
              <w:jc w:val="left"/>
              <w:rPr>
                <w:rFonts w:ascii="宋体" w:hAnsi="宋体" w:cs="宋体" w:eastAsia="宋体" w:hint="default"/>
                <w:sz w:val="18"/>
                <w:szCs w:val="18"/>
              </w:rPr>
            </w:pPr>
            <w:r>
              <w:rPr>
                <w:rFonts w:ascii="宋体" w:hAnsi="宋体" w:cs="宋体" w:eastAsia="宋体" w:hint="default"/>
                <w:sz w:val="18"/>
                <w:szCs w:val="18"/>
              </w:rPr>
              <w:t>公司控股股 东高兴控股 集团有限公 </w:t>
            </w:r>
            <w:r>
              <w:rPr>
                <w:rFonts w:ascii="宋体" w:hAnsi="宋体" w:cs="宋体" w:eastAsia="宋体" w:hint="default"/>
                <w:spacing w:val="-2"/>
                <w:sz w:val="18"/>
                <w:szCs w:val="18"/>
              </w:rPr>
              <w:t>司、实际控制</w:t>
            </w:r>
            <w:r>
              <w:rPr>
                <w:rFonts w:ascii="宋体" w:hAnsi="宋体" w:cs="宋体" w:eastAsia="宋体" w:hint="default"/>
                <w:sz w:val="18"/>
                <w:szCs w:val="18"/>
              </w:rPr>
              <w:t> </w:t>
            </w:r>
            <w:r>
              <w:rPr>
                <w:rFonts w:ascii="宋体" w:hAnsi="宋体" w:cs="宋体" w:eastAsia="宋体" w:hint="default"/>
                <w:spacing w:val="-2"/>
                <w:sz w:val="18"/>
                <w:szCs w:val="18"/>
              </w:rPr>
              <w:t>人高长虹、法</w:t>
            </w:r>
            <w:r>
              <w:rPr>
                <w:rFonts w:ascii="宋体" w:hAnsi="宋体" w:cs="宋体" w:eastAsia="宋体" w:hint="default"/>
                <w:sz w:val="18"/>
                <w:szCs w:val="18"/>
              </w:rPr>
              <w:t> 人股东中国</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319" w:lineRule="auto"/>
              <w:ind w:left="22" w:right="191"/>
              <w:jc w:val="left"/>
              <w:rPr>
                <w:rFonts w:ascii="宋体" w:hAnsi="宋体" w:cs="宋体" w:eastAsia="宋体" w:hint="default"/>
                <w:sz w:val="18"/>
                <w:szCs w:val="18"/>
              </w:rPr>
            </w:pPr>
            <w:r>
              <w:rPr>
                <w:rFonts w:ascii="宋体" w:hAnsi="宋体" w:cs="宋体" w:eastAsia="宋体" w:hint="default"/>
                <w:sz w:val="18"/>
                <w:szCs w:val="18"/>
              </w:rPr>
              <w:t>股份减持承 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2"/>
              <w:jc w:val="both"/>
              <w:rPr>
                <w:rFonts w:ascii="宋体" w:hAnsi="宋体" w:cs="宋体" w:eastAsia="宋体" w:hint="default"/>
                <w:sz w:val="18"/>
                <w:szCs w:val="18"/>
              </w:rPr>
            </w:pPr>
            <w:r>
              <w:rPr>
                <w:rFonts w:ascii="宋体" w:hAnsi="宋体" w:cs="宋体" w:eastAsia="宋体" w:hint="default"/>
                <w:sz w:val="18"/>
                <w:szCs w:val="18"/>
              </w:rPr>
              <w:t>所持公司股 票在锁定期 满后两年内 减持不超过 其直接和间 接所持股份</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319" w:lineRule="auto"/>
              <w:ind w:left="22" w:right="186"/>
              <w:jc w:val="left"/>
              <w:rPr>
                <w:rFonts w:ascii="宋体" w:hAnsi="宋体" w:cs="宋体" w:eastAsia="宋体" w:hint="default"/>
                <w:sz w:val="18"/>
                <w:szCs w:val="18"/>
              </w:rPr>
            </w:pPr>
            <w:r>
              <w:rPr>
                <w:rFonts w:ascii="宋体" w:hAnsi="宋体" w:cs="宋体" w:eastAsia="宋体" w:hint="default"/>
                <w:sz w:val="18"/>
                <w:szCs w:val="18"/>
              </w:rPr>
              <w:t>上述特定期 限</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10"/>
      </w:tblGrid>
      <w:tr>
        <w:trPr>
          <w:trHeight w:val="7851"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3" w:right="21"/>
              <w:jc w:val="left"/>
              <w:rPr>
                <w:rFonts w:ascii="宋体" w:hAnsi="宋体" w:cs="宋体" w:eastAsia="宋体" w:hint="default"/>
                <w:sz w:val="18"/>
                <w:szCs w:val="18"/>
              </w:rPr>
            </w:pPr>
            <w:r>
              <w:rPr>
                <w:rFonts w:ascii="宋体" w:hAnsi="宋体" w:cs="宋体" w:eastAsia="宋体" w:hint="default"/>
                <w:sz w:val="18"/>
                <w:szCs w:val="18"/>
              </w:rPr>
              <w:t>双帆投资控 股集团（香 </w:t>
            </w:r>
            <w:r>
              <w:rPr>
                <w:rFonts w:ascii="宋体" w:hAnsi="宋体" w:cs="宋体" w:eastAsia="宋体" w:hint="default"/>
                <w:spacing w:val="-2"/>
                <w:sz w:val="18"/>
                <w:szCs w:val="18"/>
              </w:rPr>
              <w:t>港）有限公司</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21"/>
              <w:jc w:val="left"/>
              <w:rPr>
                <w:rFonts w:ascii="宋体" w:hAnsi="宋体" w:cs="宋体" w:eastAsia="宋体" w:hint="default"/>
                <w:sz w:val="18"/>
                <w:szCs w:val="18"/>
              </w:rPr>
            </w:pPr>
            <w:r>
              <w:rPr>
                <w:rFonts w:ascii="宋体" w:hAnsi="宋体" w:cs="宋体" w:eastAsia="宋体" w:hint="default"/>
                <w:sz w:val="18"/>
                <w:szCs w:val="18"/>
              </w:rPr>
              <w:t>的</w:t>
            </w:r>
            <w:r>
              <w:rPr>
                <w:rFonts w:ascii="宋体" w:hAnsi="宋体" w:cs="宋体" w:eastAsia="宋体" w:hint="default"/>
                <w:spacing w:val="-44"/>
                <w:sz w:val="18"/>
                <w:szCs w:val="18"/>
              </w:rPr>
              <w:t> </w:t>
            </w:r>
            <w:r>
              <w:rPr>
                <w:rFonts w:ascii="Times New Roman" w:hAnsi="Times New Roman" w:cs="Times New Roman" w:eastAsia="Times New Roman" w:hint="default"/>
                <w:spacing w:val="-5"/>
                <w:sz w:val="18"/>
                <w:szCs w:val="18"/>
              </w:rPr>
              <w:t>20%</w:t>
            </w:r>
            <w:r>
              <w:rPr>
                <w:rFonts w:ascii="宋体" w:hAnsi="宋体" w:cs="宋体" w:eastAsia="宋体" w:hint="default"/>
                <w:spacing w:val="-5"/>
                <w:sz w:val="18"/>
                <w:szCs w:val="18"/>
              </w:rPr>
              <w:t>；在锁</w:t>
            </w:r>
            <w:r>
              <w:rPr>
                <w:rFonts w:ascii="宋体" w:hAnsi="宋体" w:cs="宋体" w:eastAsia="宋体" w:hint="default"/>
                <w:sz w:val="18"/>
                <w:szCs w:val="18"/>
              </w:rPr>
              <w:t> 定期满后两 年内减持公 </w:t>
            </w:r>
            <w:r>
              <w:rPr>
                <w:rFonts w:ascii="宋体" w:hAnsi="宋体" w:cs="宋体" w:eastAsia="宋体" w:hint="default"/>
                <w:spacing w:val="-2"/>
                <w:sz w:val="18"/>
                <w:szCs w:val="18"/>
              </w:rPr>
              <w:t>司股份的，将</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提前三个交 易日通知公 司并予以公 </w:t>
            </w:r>
            <w:r>
              <w:rPr>
                <w:rFonts w:ascii="宋体" w:hAnsi="宋体" w:cs="宋体" w:eastAsia="宋体" w:hint="default"/>
                <w:spacing w:val="-2"/>
                <w:sz w:val="18"/>
                <w:szCs w:val="18"/>
              </w:rPr>
              <w:t>告，并承诺将</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按照《公司 </w:t>
            </w:r>
            <w:r>
              <w:rPr>
                <w:rFonts w:ascii="宋体" w:hAnsi="宋体" w:cs="宋体" w:eastAsia="宋体" w:hint="default"/>
                <w:spacing w:val="-30"/>
                <w:sz w:val="18"/>
                <w:szCs w:val="18"/>
              </w:rPr>
              <w:t>法》、《证券</w:t>
            </w:r>
            <w:r>
              <w:rPr>
                <w:rFonts w:ascii="宋体" w:hAnsi="宋体" w:cs="宋体" w:eastAsia="宋体" w:hint="default"/>
                <w:sz w:val="18"/>
                <w:szCs w:val="18"/>
              </w:rPr>
              <w:t> </w:t>
            </w:r>
            <w:r>
              <w:rPr>
                <w:rFonts w:ascii="宋体" w:hAnsi="宋体" w:cs="宋体" w:eastAsia="宋体" w:hint="default"/>
                <w:spacing w:val="-15"/>
                <w:sz w:val="18"/>
                <w:szCs w:val="18"/>
              </w:rPr>
              <w:t>法》、中国证</w:t>
            </w:r>
            <w:r>
              <w:rPr>
                <w:rFonts w:ascii="宋体" w:hAnsi="宋体" w:cs="宋体" w:eastAsia="宋体" w:hint="default"/>
                <w:sz w:val="18"/>
                <w:szCs w:val="18"/>
              </w:rPr>
              <w:t> 监会及深圳 证券交易所 相关规定办 </w:t>
            </w:r>
            <w:r>
              <w:rPr>
                <w:rFonts w:ascii="宋体" w:hAnsi="宋体" w:cs="宋体" w:eastAsia="宋体" w:hint="default"/>
                <w:spacing w:val="-2"/>
                <w:sz w:val="18"/>
                <w:szCs w:val="18"/>
              </w:rPr>
              <w:t>理；锁定期满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后两年内减 持公司股票 </w:t>
            </w:r>
            <w:r>
              <w:rPr>
                <w:rFonts w:ascii="宋体" w:hAnsi="宋体" w:cs="宋体" w:eastAsia="宋体" w:hint="default"/>
                <w:spacing w:val="-2"/>
                <w:sz w:val="18"/>
                <w:szCs w:val="18"/>
              </w:rPr>
              <w:t>的，减持价格</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不低于本次 </w:t>
            </w:r>
            <w:r>
              <w:rPr>
                <w:rFonts w:ascii="宋体" w:hAnsi="宋体" w:cs="宋体" w:eastAsia="宋体" w:hint="default"/>
                <w:spacing w:val="-2"/>
                <w:sz w:val="18"/>
                <w:szCs w:val="18"/>
              </w:rPr>
              <w:t>发行价格，公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司上市后发 生除权除息 </w:t>
            </w:r>
            <w:r>
              <w:rPr>
                <w:rFonts w:ascii="宋体" w:hAnsi="宋体" w:cs="宋体" w:eastAsia="宋体" w:hint="default"/>
                <w:spacing w:val="-2"/>
                <w:sz w:val="18"/>
                <w:szCs w:val="18"/>
              </w:rPr>
              <w:t>事项的，上述</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发行价格做 相应调整。</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r>
      <w:tr>
        <w:trPr>
          <w:trHeight w:val="5979"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319" w:lineRule="auto"/>
              <w:ind w:left="23" w:right="190"/>
              <w:jc w:val="left"/>
              <w:rPr>
                <w:rFonts w:ascii="宋体" w:hAnsi="宋体" w:cs="宋体" w:eastAsia="宋体" w:hint="default"/>
                <w:sz w:val="18"/>
                <w:szCs w:val="18"/>
              </w:rPr>
            </w:pPr>
            <w:r>
              <w:rPr>
                <w:rFonts w:ascii="宋体" w:hAnsi="宋体" w:cs="宋体" w:eastAsia="宋体" w:hint="default"/>
                <w:sz w:val="18"/>
                <w:szCs w:val="18"/>
              </w:rPr>
              <w:t>杭州天眼投 资有限公司</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319" w:lineRule="auto"/>
              <w:ind w:left="22" w:right="191"/>
              <w:jc w:val="left"/>
              <w:rPr>
                <w:rFonts w:ascii="宋体" w:hAnsi="宋体" w:cs="宋体" w:eastAsia="宋体" w:hint="default"/>
                <w:sz w:val="18"/>
                <w:szCs w:val="18"/>
              </w:rPr>
            </w:pPr>
            <w:r>
              <w:rPr>
                <w:rFonts w:ascii="宋体" w:hAnsi="宋体" w:cs="宋体" w:eastAsia="宋体" w:hint="default"/>
                <w:sz w:val="18"/>
                <w:szCs w:val="18"/>
              </w:rPr>
              <w:t>股份减持承 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
              <w:jc w:val="left"/>
              <w:rPr>
                <w:rFonts w:ascii="宋体" w:hAnsi="宋体" w:cs="宋体" w:eastAsia="宋体" w:hint="default"/>
                <w:sz w:val="18"/>
                <w:szCs w:val="18"/>
              </w:rPr>
            </w:pPr>
            <w:r>
              <w:rPr>
                <w:rFonts w:ascii="宋体" w:hAnsi="宋体" w:cs="宋体" w:eastAsia="宋体" w:hint="default"/>
                <w:sz w:val="18"/>
                <w:szCs w:val="18"/>
              </w:rPr>
              <w:t>公司董事、监 事、高级管理 人员通过本 公司所持发 行人股票在 锁定期满后 两年内每年 减持不超过 上一年末所 持股份的 </w:t>
            </w:r>
            <w:r>
              <w:rPr>
                <w:rFonts w:ascii="Times New Roman" w:hAnsi="Times New Roman" w:cs="Times New Roman" w:eastAsia="Times New Roman" w:hint="default"/>
                <w:sz w:val="18"/>
                <w:szCs w:val="18"/>
              </w:rPr>
              <w:t>25%</w:t>
            </w:r>
            <w:r>
              <w:rPr>
                <w:rFonts w:ascii="宋体" w:hAnsi="宋体" w:cs="宋体" w:eastAsia="宋体" w:hint="default"/>
                <w:sz w:val="18"/>
                <w:szCs w:val="18"/>
              </w:rPr>
              <w:t>；其余股 东通过本公 司所持公司 股票在锁定 期满后两年 内减持完毕； 在锁定期满 后两年内减 持公司股份</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319" w:lineRule="auto"/>
              <w:ind w:left="22" w:right="186"/>
              <w:jc w:val="left"/>
              <w:rPr>
                <w:rFonts w:ascii="宋体" w:hAnsi="宋体" w:cs="宋体" w:eastAsia="宋体" w:hint="default"/>
                <w:sz w:val="18"/>
                <w:szCs w:val="18"/>
              </w:rPr>
            </w:pPr>
            <w:r>
              <w:rPr>
                <w:rFonts w:ascii="宋体" w:hAnsi="宋体" w:cs="宋体" w:eastAsia="宋体" w:hint="default"/>
                <w:sz w:val="18"/>
                <w:szCs w:val="18"/>
              </w:rPr>
              <w:t>上述特定期 限</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22"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10"/>
      </w:tblGrid>
      <w:tr>
        <w:trPr>
          <w:trHeight w:val="6603"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21"/>
              <w:jc w:val="left"/>
              <w:rPr>
                <w:rFonts w:ascii="宋体" w:hAnsi="宋体" w:cs="宋体" w:eastAsia="宋体" w:hint="default"/>
                <w:sz w:val="18"/>
                <w:szCs w:val="18"/>
              </w:rPr>
            </w:pPr>
            <w:r>
              <w:rPr>
                <w:rFonts w:ascii="宋体" w:hAnsi="宋体" w:cs="宋体" w:eastAsia="宋体" w:hint="default"/>
                <w:spacing w:val="-2"/>
                <w:sz w:val="18"/>
                <w:szCs w:val="18"/>
              </w:rPr>
              <w:t>的，将提前三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个交易日通 知公司并予 </w:t>
            </w:r>
            <w:r>
              <w:rPr>
                <w:rFonts w:ascii="宋体" w:hAnsi="宋体" w:cs="宋体" w:eastAsia="宋体" w:hint="default"/>
                <w:spacing w:val="-2"/>
                <w:sz w:val="18"/>
                <w:szCs w:val="18"/>
              </w:rPr>
              <w:t>以公告，并承</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诺将按照《公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8"/>
                <w:sz w:val="18"/>
                <w:szCs w:val="18"/>
              </w:rPr>
              <w:t>司法》、《证券</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15"/>
                <w:sz w:val="18"/>
                <w:szCs w:val="18"/>
              </w:rPr>
              <w:t>法》、中国证</w:t>
            </w:r>
            <w:r>
              <w:rPr>
                <w:rFonts w:ascii="宋体" w:hAnsi="宋体" w:cs="宋体" w:eastAsia="宋体" w:hint="default"/>
                <w:sz w:val="18"/>
                <w:szCs w:val="18"/>
              </w:rPr>
              <w:t> 监会及深圳 证券交易所 相关规定办 </w:t>
            </w:r>
            <w:r>
              <w:rPr>
                <w:rFonts w:ascii="宋体" w:hAnsi="宋体" w:cs="宋体" w:eastAsia="宋体" w:hint="default"/>
                <w:spacing w:val="-2"/>
                <w:sz w:val="18"/>
                <w:szCs w:val="18"/>
              </w:rPr>
              <w:t>理；锁定期满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后两年内减 持公司股票 </w:t>
            </w:r>
            <w:r>
              <w:rPr>
                <w:rFonts w:ascii="宋体" w:hAnsi="宋体" w:cs="宋体" w:eastAsia="宋体" w:hint="default"/>
                <w:spacing w:val="-2"/>
                <w:sz w:val="18"/>
                <w:szCs w:val="18"/>
              </w:rPr>
              <w:t>的，减持价格</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不低于本次 </w:t>
            </w:r>
            <w:r>
              <w:rPr>
                <w:rFonts w:ascii="宋体" w:hAnsi="宋体" w:cs="宋体" w:eastAsia="宋体" w:hint="default"/>
                <w:spacing w:val="-2"/>
                <w:sz w:val="18"/>
                <w:szCs w:val="18"/>
              </w:rPr>
              <w:t>发行价格，公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司上市后发 生除权除息 </w:t>
            </w:r>
            <w:r>
              <w:rPr>
                <w:rFonts w:ascii="宋体" w:hAnsi="宋体" w:cs="宋体" w:eastAsia="宋体" w:hint="default"/>
                <w:spacing w:val="-2"/>
                <w:sz w:val="18"/>
                <w:szCs w:val="18"/>
              </w:rPr>
              <w:t>事项的，上述</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发行价格做 相应调整。</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r>
      <w:tr>
        <w:trPr>
          <w:trHeight w:val="7227"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left="2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2"/>
                <w:sz w:val="18"/>
                <w:szCs w:val="18"/>
              </w:rPr>
              <w:t>如《招股说明</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书》有虚假记</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载、误导性陈</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述或者重大 </w:t>
            </w:r>
            <w:r>
              <w:rPr>
                <w:rFonts w:ascii="宋体" w:hAnsi="宋体" w:cs="宋体" w:eastAsia="宋体" w:hint="default"/>
                <w:spacing w:val="-2"/>
                <w:sz w:val="18"/>
                <w:szCs w:val="18"/>
              </w:rPr>
              <w:t>遗漏，对判断</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公司是否符 合法律规定 的发行条件 </w:t>
            </w:r>
            <w:r>
              <w:rPr>
                <w:rFonts w:ascii="宋体" w:hAnsi="宋体" w:cs="宋体" w:eastAsia="宋体" w:hint="default"/>
                <w:spacing w:val="-2"/>
                <w:sz w:val="18"/>
                <w:szCs w:val="18"/>
              </w:rPr>
              <w:t>构成重大、实</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质影响的，公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司将依法回 购首次公开 发行的全部 </w:t>
            </w:r>
            <w:r>
              <w:rPr>
                <w:rFonts w:ascii="宋体" w:hAnsi="宋体" w:cs="宋体" w:eastAsia="宋体" w:hint="default"/>
                <w:spacing w:val="-2"/>
                <w:sz w:val="18"/>
                <w:szCs w:val="18"/>
              </w:rPr>
              <w:t>新股，回购价</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格为以发行 价和市场价 </w:t>
            </w:r>
            <w:r>
              <w:rPr>
                <w:rFonts w:ascii="宋体" w:hAnsi="宋体" w:cs="宋体" w:eastAsia="宋体" w:hint="default"/>
                <w:spacing w:val="-2"/>
                <w:sz w:val="18"/>
                <w:szCs w:val="18"/>
              </w:rPr>
              <w:t>孰高为准。公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司将在有关 事项经有权 机关认定后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日内启动 </w:t>
            </w:r>
            <w:r>
              <w:rPr>
                <w:rFonts w:ascii="宋体" w:hAnsi="宋体" w:cs="宋体" w:eastAsia="宋体" w:hint="default"/>
                <w:spacing w:val="-2"/>
                <w:sz w:val="18"/>
                <w:szCs w:val="18"/>
              </w:rPr>
              <w:t>回购，并依法</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履行相关审</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left="22"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10"/>
      </w:tblGrid>
      <w:tr>
        <w:trPr>
          <w:trHeight w:val="8163"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12"/>
              <w:jc w:val="left"/>
              <w:rPr>
                <w:rFonts w:ascii="宋体" w:hAnsi="宋体" w:cs="宋体" w:eastAsia="宋体" w:hint="default"/>
                <w:sz w:val="18"/>
                <w:szCs w:val="18"/>
              </w:rPr>
            </w:pPr>
            <w:r>
              <w:rPr>
                <w:rFonts w:ascii="宋体" w:hAnsi="宋体" w:cs="宋体" w:eastAsia="宋体" w:hint="default"/>
                <w:sz w:val="18"/>
                <w:szCs w:val="18"/>
              </w:rPr>
              <w:t>批程序，控股 股东、实际控 制人将督促 公司实施回 购方案。公司 上市后发生 除权除息事 项的，上述发 行价格及回 购股份数量 做相应调整。 公司招股说 明书和有关 申报文件有 虚假记载、误 导性陈述或 者重大遗漏， 致使投资者 在证券交易 中遭受损失 的，公司将在 有关事项经 有权机关认 定后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日内 依法赔偿投 资者损失。</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r>
      <w:tr>
        <w:trPr>
          <w:trHeight w:val="5667"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319" w:lineRule="auto"/>
              <w:ind w:left="23" w:right="21"/>
              <w:jc w:val="left"/>
              <w:rPr>
                <w:rFonts w:ascii="宋体" w:hAnsi="宋体" w:cs="宋体" w:eastAsia="宋体" w:hint="default"/>
                <w:sz w:val="18"/>
                <w:szCs w:val="18"/>
              </w:rPr>
            </w:pPr>
            <w:r>
              <w:rPr>
                <w:rFonts w:ascii="宋体" w:hAnsi="宋体" w:cs="宋体" w:eastAsia="宋体" w:hint="default"/>
                <w:sz w:val="18"/>
                <w:szCs w:val="18"/>
              </w:rPr>
              <w:t>公司控股股 东高兴控股 集团有限公 </w:t>
            </w:r>
            <w:r>
              <w:rPr>
                <w:rFonts w:ascii="宋体" w:hAnsi="宋体" w:cs="宋体" w:eastAsia="宋体" w:hint="default"/>
                <w:spacing w:val="-2"/>
                <w:sz w:val="18"/>
                <w:szCs w:val="18"/>
              </w:rPr>
              <w:t>司、实际控制</w:t>
            </w:r>
            <w:r>
              <w:rPr>
                <w:rFonts w:ascii="宋体" w:hAnsi="宋体" w:cs="宋体" w:eastAsia="宋体" w:hint="default"/>
                <w:sz w:val="18"/>
                <w:szCs w:val="18"/>
              </w:rPr>
              <w:t> 人高长虹</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
              <w:jc w:val="left"/>
              <w:rPr>
                <w:rFonts w:ascii="宋体" w:hAnsi="宋体" w:cs="宋体" w:eastAsia="宋体" w:hint="default"/>
                <w:sz w:val="18"/>
                <w:szCs w:val="18"/>
              </w:rPr>
            </w:pPr>
            <w:r>
              <w:rPr>
                <w:rFonts w:ascii="宋体" w:hAnsi="宋体" w:cs="宋体" w:eastAsia="宋体" w:hint="default"/>
                <w:sz w:val="18"/>
                <w:szCs w:val="18"/>
              </w:rPr>
              <w:t>公司首次公 开发行股票 招股说明书 和有关申报 文件不存在 虚假记载、误 导性陈述或 者重大遗漏。 若公司招股 说明书和有 关申报文件 有虚假记载、 误导性陈述 或者重大遗 漏，对判断公 司是否符合 法律规定的 发行条件构</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10"/>
      </w:tblGrid>
      <w:tr>
        <w:trPr>
          <w:trHeight w:val="12844"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12"/>
              <w:jc w:val="left"/>
              <w:rPr>
                <w:rFonts w:ascii="宋体" w:hAnsi="宋体" w:cs="宋体" w:eastAsia="宋体" w:hint="default"/>
                <w:sz w:val="18"/>
                <w:szCs w:val="18"/>
              </w:rPr>
            </w:pPr>
            <w:r>
              <w:rPr>
                <w:rFonts w:ascii="宋体" w:hAnsi="宋体" w:cs="宋体" w:eastAsia="宋体" w:hint="default"/>
                <w:sz w:val="18"/>
                <w:szCs w:val="18"/>
              </w:rPr>
              <w:t>成重大、实质 影响的，将依 法回购首次 公开发行时 已转让的限 售股份，回购 价格为以发 行价和市场 价孰高为准。 公司控股股 东、实际控制 人将在有关 事项经有权 机关认定后</w:t>
            </w:r>
          </w:p>
          <w:p>
            <w:pPr>
              <w:pStyle w:val="TableParagraph"/>
              <w:spacing w:line="316" w:lineRule="auto" w:before="19"/>
              <w:ind w:left="22" w:right="12"/>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日内启动 回购，并依法 履行相关审 批程序。公司 上市后发生 除权除息事 项的，上述发 行价格及回 购股份数量 做相应调整。 公司招股说 明书和有关 申报文件有 虚假记载、误 导性陈述或 者重大遗漏， 致使投资者 在证券交易 中遭受损失 的，公司控股 股东、实际控 制人将在有 关事项经有 权机关认定</w:t>
            </w:r>
          </w:p>
          <w:p>
            <w:pPr>
              <w:pStyle w:val="TableParagraph"/>
              <w:spacing w:line="309" w:lineRule="auto" w:before="19"/>
              <w:ind w:left="22" w:right="103"/>
              <w:jc w:val="left"/>
              <w:rPr>
                <w:rFonts w:ascii="宋体" w:hAnsi="宋体" w:cs="宋体" w:eastAsia="宋体" w:hint="default"/>
                <w:sz w:val="18"/>
                <w:szCs w:val="18"/>
              </w:rPr>
            </w:pPr>
            <w:r>
              <w:rPr>
                <w:rFonts w:ascii="宋体" w:hAnsi="宋体" w:cs="宋体" w:eastAsia="宋体" w:hint="default"/>
                <w:sz w:val="18"/>
                <w:szCs w:val="18"/>
              </w:rPr>
              <w:t>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日内依 法赔偿投资 者损失。</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r>
      <w:tr>
        <w:trPr>
          <w:trHeight w:val="986"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1"/>
              <w:jc w:val="left"/>
              <w:rPr>
                <w:rFonts w:ascii="宋体" w:hAnsi="宋体" w:cs="宋体" w:eastAsia="宋体" w:hint="default"/>
                <w:sz w:val="18"/>
                <w:szCs w:val="18"/>
              </w:rPr>
            </w:pPr>
            <w:r>
              <w:rPr>
                <w:rFonts w:ascii="宋体" w:hAnsi="宋体" w:cs="宋体" w:eastAsia="宋体" w:hint="default"/>
                <w:spacing w:val="-2"/>
                <w:sz w:val="18"/>
                <w:szCs w:val="18"/>
              </w:rPr>
              <w:t>公司、控股股</w:t>
            </w:r>
            <w:r>
              <w:rPr>
                <w:rFonts w:ascii="宋体" w:hAnsi="宋体" w:cs="宋体" w:eastAsia="宋体" w:hint="default"/>
                <w:sz w:val="18"/>
                <w:szCs w:val="18"/>
              </w:rPr>
              <w:t> 东高兴控股 集团有限公</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6"/>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both"/>
              <w:rPr>
                <w:rFonts w:ascii="宋体" w:hAnsi="宋体" w:cs="宋体" w:eastAsia="宋体" w:hint="default"/>
                <w:sz w:val="18"/>
                <w:szCs w:val="18"/>
              </w:rPr>
            </w:pPr>
            <w:r>
              <w:rPr>
                <w:rFonts w:ascii="宋体" w:hAnsi="宋体" w:cs="宋体" w:eastAsia="宋体" w:hint="default"/>
                <w:spacing w:val="-2"/>
                <w:sz w:val="18"/>
                <w:szCs w:val="18"/>
              </w:rPr>
              <w:t>如《招股说明</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书》有虚假记</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载、误导性陈</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6"/>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6"/>
              <w:ind w:left="22"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r>
        <w:rPr/>
        <w:pict>
          <v:shape style="position:absolute;margin-left:361.480011pt;margin-top:514.839966pt;width:62pt;height:248.6pt;mso-position-horizontal-relative:page;mso-position-vertical-relative:page;z-index:-903520"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9"/>
                      <w:szCs w:val="19"/>
                    </w:rPr>
                  </w:pPr>
                </w:p>
                <w:p>
                  <w:pPr>
                    <w:pStyle w:val="BodyText"/>
                    <w:spacing w:line="240" w:lineRule="auto" w:before="0"/>
                    <w:ind w:left="0" w:right="0"/>
                    <w:jc w:val="left"/>
                  </w:pPr>
                  <w:r>
                    <w:rPr/>
                    <w:t>、</w:t>
                  </w:r>
                </w:p>
              </w:txbxContent>
            </v:textbox>
            <w10:wrap type="none"/>
          </v:shape>
        </w:pict>
      </w:r>
      <w:r>
        <w:rPr/>
        <w:pict>
          <v:group style="position:absolute;margin-left:367.660004pt;margin-top:514.839966pt;width:55.85pt;height:248.6pt;mso-position-horizontal-relative:page;mso-position-vertical-relative:page;z-index:-903496" coordorigin="7353,10297" coordsize="1117,4972">
            <v:shape style="position:absolute;left:7353;top:10297;width:1117;height:4972" coordorigin="7353,10297" coordsize="1117,4972" path="m7353,15269l8470,15269,8470,10297,7353,10297,7353,15269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司、实际控制</w:t>
            </w: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述或者重大</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人高长虹、董</w:t>
            </w: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遗漏，致使投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事、监事、高</w:t>
            </w: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资者在证券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3"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级管理人员</w:t>
            </w: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交易中遭受</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损失的，将在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有关事项经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有权机关认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定后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8"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依法赔偿投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57"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资者损失。</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r>
        <w:trPr>
          <w:trHeight w:val="362" w:hRule="exact"/>
        </w:trPr>
        <w:tc>
          <w:tcPr>
            <w:tcW w:w="2836" w:type="dxa"/>
            <w:vMerge/>
            <w:tcBorders>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nil" w:sz="6" w:space="0" w:color="auto"/>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A</w:t>
            </w:r>
            <w:r>
              <w:rPr>
                <w:rFonts w:ascii="宋体" w:hAnsi="宋体" w:cs="宋体" w:eastAsia="宋体" w:hint="default"/>
                <w:sz w:val="18"/>
                <w:szCs w:val="18"/>
              </w:rPr>
              <w:t>、本人目前</w:t>
            </w:r>
          </w:p>
        </w:tc>
        <w:tc>
          <w:tcPr>
            <w:tcW w:w="1126" w:type="dxa"/>
            <w:tcBorders>
              <w:top w:val="single" w:sz="4" w:space="0" w:color="000000"/>
              <w:left w:val="single" w:sz="4" w:space="0" w:color="000000"/>
              <w:bottom w:val="nil" w:sz="6" w:space="0" w:color="auto"/>
              <w:right w:val="single" w:sz="4" w:space="0" w:color="000000"/>
            </w:tcBorders>
          </w:tcPr>
          <w:p>
            <w:pPr/>
          </w:p>
        </w:tc>
        <w:tc>
          <w:tcPr>
            <w:tcW w:w="1121" w:type="dxa"/>
            <w:tcBorders>
              <w:top w:val="single" w:sz="4" w:space="0" w:color="000000"/>
              <w:left w:val="single" w:sz="4" w:space="0" w:color="000000"/>
              <w:bottom w:val="nil" w:sz="6" w:space="0" w:color="auto"/>
              <w:right w:val="single" w:sz="4" w:space="0" w:color="000000"/>
            </w:tcBorders>
          </w:tcPr>
          <w:p>
            <w:pPr/>
          </w:p>
        </w:tc>
        <w:tc>
          <w:tcPr>
            <w:tcW w:w="1108" w:type="dxa"/>
            <w:tcBorders>
              <w:top w:val="single" w:sz="4" w:space="0" w:color="000000"/>
              <w:left w:val="single" w:sz="4" w:space="0" w:color="000000"/>
              <w:bottom w:val="nil" w:sz="6" w:space="0" w:color="auto"/>
              <w:right w:val="single" w:sz="4" w:space="0" w:color="000000"/>
            </w:tcBorders>
          </w:tcPr>
          <w:p>
            <w:pPr/>
          </w:p>
        </w:tc>
      </w:tr>
      <w:tr>
        <w:trPr>
          <w:trHeight w:val="306"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未直接或间</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接从事与股</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份公司存在</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同业竞争的</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业务及活动；</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本人的配偶、</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父母及配偶</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的父母、兄弟</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姐妹及其配</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偶、年满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周岁的子女</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5"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9" w:lineRule="auto"/>
              <w:ind w:left="23" w:right="190"/>
              <w:jc w:val="left"/>
              <w:rPr>
                <w:rFonts w:ascii="宋体" w:hAnsi="宋体" w:cs="宋体" w:eastAsia="宋体" w:hint="default"/>
                <w:sz w:val="18"/>
                <w:szCs w:val="18"/>
              </w:rPr>
            </w:pPr>
            <w:r>
              <w:rPr>
                <w:rFonts w:ascii="宋体" w:hAnsi="宋体" w:cs="宋体" w:eastAsia="宋体" w:hint="default"/>
                <w:sz w:val="18"/>
                <w:szCs w:val="18"/>
              </w:rPr>
              <w:t>实际控制人 高长虹</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319" w:lineRule="auto"/>
              <w:ind w:left="22" w:right="20"/>
              <w:jc w:val="left"/>
              <w:rPr>
                <w:rFonts w:ascii="宋体" w:hAnsi="宋体" w:cs="宋体" w:eastAsia="宋体" w:hint="default"/>
                <w:sz w:val="18"/>
                <w:szCs w:val="18"/>
              </w:rPr>
            </w:pPr>
            <w:r>
              <w:rPr>
                <w:rFonts w:ascii="宋体" w:hAnsi="宋体" w:cs="宋体" w:eastAsia="宋体" w:hint="default"/>
                <w:sz w:val="18"/>
                <w:szCs w:val="18"/>
              </w:rPr>
              <w:t>关于同业竞 争、关联交 </w:t>
            </w:r>
            <w:r>
              <w:rPr>
                <w:rFonts w:ascii="宋体" w:hAnsi="宋体" w:cs="宋体" w:eastAsia="宋体" w:hint="default"/>
                <w:spacing w:val="-2"/>
                <w:sz w:val="18"/>
                <w:szCs w:val="18"/>
              </w:rPr>
              <w:t>易、资金占用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方面的承诺</w:t>
            </w: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21"/>
              <w:jc w:val="left"/>
              <w:rPr>
                <w:rFonts w:ascii="宋体" w:hAnsi="宋体" w:cs="宋体" w:eastAsia="宋体" w:hint="default"/>
                <w:sz w:val="18"/>
                <w:szCs w:val="18"/>
              </w:rPr>
            </w:pPr>
            <w:r>
              <w:rPr>
                <w:rFonts w:ascii="宋体" w:hAnsi="宋体" w:cs="宋体" w:eastAsia="宋体" w:hint="default"/>
                <w:spacing w:val="-2"/>
                <w:sz w:val="18"/>
                <w:szCs w:val="18"/>
              </w:rPr>
              <w:t>及其配偶、配</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偶的兄弟姐 妹和子女配 </w:t>
            </w:r>
            <w:r>
              <w:rPr>
                <w:rFonts w:ascii="宋体" w:hAnsi="宋体" w:cs="宋体" w:eastAsia="宋体" w:hint="default"/>
                <w:spacing w:val="-2"/>
                <w:sz w:val="18"/>
                <w:szCs w:val="18"/>
              </w:rPr>
              <w:t>偶的父母，目</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前均未直接 或间接从事 与股份公司 存在同业竞 争的业务及 活动；</w:t>
            </w:r>
            <w:r>
              <w:rPr>
                <w:rFonts w:ascii="Times New Roman" w:hAnsi="Times New Roman" w:cs="Times New Roman" w:eastAsia="Times New Roman" w:hint="default"/>
                <w:sz w:val="18"/>
                <w:szCs w:val="18"/>
              </w:rPr>
              <w:t>B</w:t>
            </w:r>
            <w:r>
              <w:rPr>
                <w:rFonts w:ascii="宋体" w:hAnsi="宋体" w:cs="宋体" w:eastAsia="宋体" w:hint="default"/>
                <w:sz w:val="18"/>
                <w:szCs w:val="18"/>
              </w:rPr>
              <w:t>、本</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316" w:lineRule="auto" w:before="147"/>
              <w:ind w:left="22" w:right="186"/>
              <w:jc w:val="left"/>
              <w:rPr>
                <w:rFonts w:ascii="宋体" w:hAnsi="宋体" w:cs="宋体" w:eastAsia="宋体" w:hint="default"/>
                <w:sz w:val="18"/>
                <w:szCs w:val="18"/>
              </w:rPr>
            </w:pPr>
            <w:r>
              <w:rPr>
                <w:rFonts w:ascii="宋体" w:hAnsi="宋体" w:cs="宋体" w:eastAsia="宋体" w:hint="default"/>
                <w:sz w:val="18"/>
                <w:szCs w:val="18"/>
              </w:rPr>
              <w:t>作为股份公 司股东期间</w:t>
            </w:r>
          </w:p>
          <w:p>
            <w:pPr>
              <w:pStyle w:val="TableParagraph"/>
              <w:spacing w:line="319" w:lineRule="auto" w:before="19"/>
              <w:ind w:left="22" w:right="96"/>
              <w:jc w:val="left"/>
              <w:rPr>
                <w:rFonts w:ascii="宋体" w:hAnsi="宋体" w:cs="宋体" w:eastAsia="宋体" w:hint="default"/>
                <w:sz w:val="18"/>
                <w:szCs w:val="18"/>
              </w:rPr>
            </w:pPr>
            <w:r>
              <w:rPr>
                <w:rFonts w:ascii="宋体" w:hAnsi="宋体" w:cs="宋体" w:eastAsia="宋体" w:hint="default"/>
                <w:sz w:val="18"/>
                <w:szCs w:val="18"/>
              </w:rPr>
              <w:t>（直接或间 </w:t>
            </w:r>
            <w:r>
              <w:rPr>
                <w:rFonts w:ascii="宋体" w:hAnsi="宋体" w:cs="宋体" w:eastAsia="宋体" w:hint="default"/>
                <w:spacing w:val="-15"/>
                <w:sz w:val="18"/>
                <w:szCs w:val="18"/>
              </w:rPr>
              <w:t>接）、担任股</w:t>
            </w:r>
            <w:r>
              <w:rPr>
                <w:rFonts w:ascii="宋体" w:hAnsi="宋体" w:cs="宋体" w:eastAsia="宋体" w:hint="default"/>
                <w:sz w:val="18"/>
                <w:szCs w:val="18"/>
              </w:rPr>
              <w:t> 份公司董事 长期间及辞 去在股份公 司职务后六 个月内</w:t>
            </w:r>
          </w:p>
        </w:tc>
        <w:tc>
          <w:tcPr>
            <w:tcW w:w="110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left="22"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人愿意促使</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本人直接或</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间接控制的</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企业将来不</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直接或通过</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其他任何方</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式间接从事</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构成与股份</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公司业务有</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同业竞争的</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pacing w:val="-7"/>
                <w:sz w:val="18"/>
                <w:szCs w:val="18"/>
              </w:rPr>
              <w:t>经营活动；</w:t>
            </w:r>
            <w:r>
              <w:rPr>
                <w:rFonts w:ascii="Times New Roman" w:hAnsi="Times New Roman" w:cs="Times New Roman" w:eastAsia="Times New Roman" w:hint="default"/>
                <w:spacing w:val="-7"/>
                <w:sz w:val="18"/>
                <w:szCs w:val="18"/>
              </w:rPr>
              <w:t>C</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本人将不在</w:t>
            </w:r>
          </w:p>
        </w:tc>
        <w:tc>
          <w:tcPr>
            <w:tcW w:w="1126" w:type="dxa"/>
            <w:tcBorders>
              <w:top w:val="nil" w:sz="6" w:space="0" w:color="auto"/>
              <w:left w:val="single" w:sz="4" w:space="0" w:color="000000"/>
              <w:bottom w:val="single" w:sz="4" w:space="0" w:color="000000"/>
              <w:right w:val="single" w:sz="4" w:space="0" w:color="000000"/>
            </w:tcBorders>
          </w:tcPr>
          <w:p>
            <w:pPr/>
          </w:p>
        </w:tc>
        <w:tc>
          <w:tcPr>
            <w:tcW w:w="1121" w:type="dxa"/>
            <w:tcBorders>
              <w:top w:val="nil" w:sz="6" w:space="0" w:color="auto"/>
              <w:left w:val="single" w:sz="4" w:space="0" w:color="000000"/>
              <w:bottom w:val="single" w:sz="4" w:space="0" w:color="000000"/>
              <w:right w:val="single" w:sz="4" w:space="0" w:color="000000"/>
            </w:tcBorders>
          </w:tcPr>
          <w:p>
            <w:pPr/>
          </w:p>
        </w:tc>
        <w:tc>
          <w:tcPr>
            <w:tcW w:w="1108"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中国境内外</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直接或间接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从事或参与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任何在商业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上对股份公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司构成竞争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的业务及活</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动或拥有与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股份公司存</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在竞争关系</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的任何经济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实体、机构、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经济组织的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权益；或以其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他任何形式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取得该经济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实体、机构、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经济组织的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控制权；或在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该经济实体、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机构、经济组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织中担任高</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级管理人员</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或核心技术</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人员。</w:t>
            </w:r>
            <w:r>
              <w:rPr>
                <w:rFonts w:ascii="Times New Roman" w:hAnsi="Times New Roman" w:cs="Times New Roman" w:eastAsia="Times New Roman" w:hint="default"/>
                <w:sz w:val="18"/>
                <w:szCs w:val="18"/>
              </w:rPr>
              <w:t>D</w:t>
            </w:r>
            <w:r>
              <w:rPr>
                <w:rFonts w:ascii="宋体" w:hAnsi="宋体" w:cs="宋体" w:eastAsia="宋体" w:hint="default"/>
                <w:sz w:val="18"/>
                <w:szCs w:val="18"/>
              </w:rPr>
              <w:t>、未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来如有在股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份公司经营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范围内相关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业务的商业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机会，本人将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介绍给股份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公司；对股份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公司已进行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建设或拟投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资兴建的项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目，本人将在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投资方向与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项目选择上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避免与股份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公司相同或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相似；</w:t>
            </w:r>
            <w:r>
              <w:rPr>
                <w:rFonts w:ascii="Times New Roman" w:hAnsi="Times New Roman" w:cs="Times New Roman" w:eastAsia="Times New Roman" w:hint="default"/>
                <w:sz w:val="18"/>
                <w:szCs w:val="18"/>
              </w:rPr>
              <w:t>E</w:t>
            </w:r>
            <w:r>
              <w:rPr>
                <w:rFonts w:ascii="宋体" w:hAnsi="宋体" w:cs="宋体" w:eastAsia="宋体" w:hint="default"/>
                <w:sz w:val="18"/>
                <w:szCs w:val="18"/>
              </w:rPr>
              <w:t>、如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未来本人所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控制的企业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拟进行与股</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10"/>
      </w:tblGrid>
      <w:tr>
        <w:trPr>
          <w:trHeight w:val="878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12"/>
              <w:jc w:val="left"/>
              <w:rPr>
                <w:rFonts w:ascii="宋体" w:hAnsi="宋体" w:cs="宋体" w:eastAsia="宋体" w:hint="default"/>
                <w:sz w:val="18"/>
                <w:szCs w:val="18"/>
              </w:rPr>
            </w:pPr>
            <w:r>
              <w:rPr>
                <w:rFonts w:ascii="宋体" w:hAnsi="宋体" w:cs="宋体" w:eastAsia="宋体" w:hint="default"/>
                <w:sz w:val="18"/>
                <w:szCs w:val="18"/>
              </w:rPr>
              <w:t>份公司相同 或相似的经 营业务，本人 将行使否决 权，避免与股 份公司相同 或相似，不与 股份公司发 生同业竞争， 以维护股份 公司的利益。 </w:t>
            </w:r>
            <w:r>
              <w:rPr>
                <w:rFonts w:ascii="Times New Roman" w:hAnsi="Times New Roman" w:cs="Times New Roman" w:eastAsia="Times New Roman" w:hint="default"/>
                <w:sz w:val="18"/>
                <w:szCs w:val="18"/>
              </w:rPr>
              <w:t>F</w:t>
            </w:r>
            <w:r>
              <w:rPr>
                <w:rFonts w:ascii="宋体" w:hAnsi="宋体" w:cs="宋体" w:eastAsia="宋体" w:hint="default"/>
                <w:sz w:val="18"/>
                <w:szCs w:val="18"/>
              </w:rPr>
              <w:t>、本人在作 为股份公司 股东期间（直 </w:t>
            </w:r>
            <w:r>
              <w:rPr>
                <w:rFonts w:ascii="宋体" w:hAnsi="宋体" w:cs="宋体" w:eastAsia="宋体" w:hint="default"/>
                <w:spacing w:val="-15"/>
                <w:sz w:val="18"/>
                <w:szCs w:val="18"/>
              </w:rPr>
              <w:t>接或间接）、</w:t>
            </w:r>
            <w:r>
              <w:rPr>
                <w:rFonts w:ascii="宋体" w:hAnsi="宋体" w:cs="宋体" w:eastAsia="宋体" w:hint="default"/>
                <w:sz w:val="18"/>
                <w:szCs w:val="18"/>
              </w:rPr>
              <w:t> 担任股份公 司董事长期 间及辞去在 股份公司职 务后六个月 内，本承诺为 有效之承诺。 </w:t>
            </w:r>
            <w:r>
              <w:rPr>
                <w:rFonts w:ascii="Times New Roman" w:hAnsi="Times New Roman" w:cs="Times New Roman" w:eastAsia="Times New Roman" w:hint="default"/>
                <w:sz w:val="18"/>
                <w:szCs w:val="18"/>
              </w:rPr>
              <w:t>G</w:t>
            </w:r>
            <w:r>
              <w:rPr>
                <w:rFonts w:ascii="宋体" w:hAnsi="宋体" w:cs="宋体" w:eastAsia="宋体" w:hint="default"/>
                <w:sz w:val="18"/>
                <w:szCs w:val="18"/>
              </w:rPr>
              <w:t>、本人愿意 承担因违反 上述承诺而 给股份公司 造成的全部 经济损失。</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r>
      <w:tr>
        <w:trPr>
          <w:trHeight w:val="5043"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39"/>
              <w:ind w:left="23" w:right="21"/>
              <w:jc w:val="left"/>
              <w:rPr>
                <w:rFonts w:ascii="宋体" w:hAnsi="宋体" w:cs="宋体" w:eastAsia="宋体" w:hint="default"/>
                <w:sz w:val="18"/>
                <w:szCs w:val="18"/>
              </w:rPr>
            </w:pPr>
            <w:r>
              <w:rPr>
                <w:rFonts w:ascii="宋体" w:hAnsi="宋体" w:cs="宋体" w:eastAsia="宋体" w:hint="default"/>
                <w:sz w:val="18"/>
                <w:szCs w:val="18"/>
              </w:rPr>
              <w:t>公司控股股 东高兴控股 集团有限公 </w:t>
            </w:r>
            <w:r>
              <w:rPr>
                <w:rFonts w:ascii="宋体" w:hAnsi="宋体" w:cs="宋体" w:eastAsia="宋体" w:hint="default"/>
                <w:spacing w:val="-2"/>
                <w:sz w:val="18"/>
                <w:szCs w:val="18"/>
              </w:rPr>
              <w:t>司，法人股东</w:t>
            </w:r>
            <w:r>
              <w:rPr>
                <w:rFonts w:ascii="宋体" w:hAnsi="宋体" w:cs="宋体" w:eastAsia="宋体" w:hint="default"/>
                <w:sz w:val="18"/>
                <w:szCs w:val="18"/>
              </w:rPr>
              <w:t> 中国双帆投 资控股集团</w:t>
            </w:r>
          </w:p>
          <w:p>
            <w:pPr>
              <w:pStyle w:val="TableParagraph"/>
              <w:spacing w:line="319" w:lineRule="auto" w:before="19"/>
              <w:ind w:left="23" w:right="21"/>
              <w:jc w:val="left"/>
              <w:rPr>
                <w:rFonts w:ascii="宋体" w:hAnsi="宋体" w:cs="宋体" w:eastAsia="宋体" w:hint="default"/>
                <w:sz w:val="18"/>
                <w:szCs w:val="18"/>
              </w:rPr>
            </w:pPr>
            <w:r>
              <w:rPr>
                <w:rFonts w:ascii="宋体" w:hAnsi="宋体" w:cs="宋体" w:eastAsia="宋体" w:hint="default"/>
                <w:spacing w:val="-2"/>
                <w:sz w:val="18"/>
                <w:szCs w:val="18"/>
              </w:rPr>
              <w:t>（香港）有限</w:t>
            </w:r>
            <w:r>
              <w:rPr>
                <w:rFonts w:ascii="宋体" w:hAnsi="宋体" w:cs="宋体" w:eastAsia="宋体" w:hint="default"/>
                <w:sz w:val="18"/>
                <w:szCs w:val="18"/>
              </w:rPr>
              <w:t> </w:t>
            </w:r>
            <w:r>
              <w:rPr>
                <w:rFonts w:ascii="宋体" w:hAnsi="宋体" w:cs="宋体" w:eastAsia="宋体" w:hint="default"/>
                <w:spacing w:val="-2"/>
                <w:sz w:val="18"/>
                <w:szCs w:val="18"/>
              </w:rPr>
              <w:t>公司、杭州天</w:t>
            </w:r>
            <w:r>
              <w:rPr>
                <w:rFonts w:ascii="宋体" w:hAnsi="宋体" w:cs="宋体" w:eastAsia="宋体" w:hint="default"/>
                <w:sz w:val="18"/>
                <w:szCs w:val="18"/>
              </w:rPr>
              <w:t> 眼投资有限 公司</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319" w:lineRule="auto"/>
              <w:ind w:left="22" w:right="20"/>
              <w:jc w:val="left"/>
              <w:rPr>
                <w:rFonts w:ascii="宋体" w:hAnsi="宋体" w:cs="宋体" w:eastAsia="宋体" w:hint="default"/>
                <w:sz w:val="18"/>
                <w:szCs w:val="18"/>
              </w:rPr>
            </w:pPr>
            <w:r>
              <w:rPr>
                <w:rFonts w:ascii="宋体" w:hAnsi="宋体" w:cs="宋体" w:eastAsia="宋体" w:hint="default"/>
                <w:sz w:val="18"/>
                <w:szCs w:val="18"/>
              </w:rPr>
              <w:t>关于同业竞 争、关联交 </w:t>
            </w:r>
            <w:r>
              <w:rPr>
                <w:rFonts w:ascii="宋体" w:hAnsi="宋体" w:cs="宋体" w:eastAsia="宋体" w:hint="default"/>
                <w:spacing w:val="-2"/>
                <w:sz w:val="18"/>
                <w:szCs w:val="18"/>
              </w:rPr>
              <w:t>易、资金占用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方面的承诺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Times New Roman" w:hAnsi="Times New Roman" w:cs="Times New Roman" w:eastAsia="Times New Roman" w:hint="default"/>
                <w:sz w:val="18"/>
                <w:szCs w:val="18"/>
              </w:rPr>
              <w:t>A</w:t>
            </w:r>
            <w:r>
              <w:rPr>
                <w:rFonts w:ascii="宋体" w:hAnsi="宋体" w:cs="宋体" w:eastAsia="宋体" w:hint="default"/>
                <w:sz w:val="18"/>
                <w:szCs w:val="18"/>
              </w:rPr>
              <w:t>、本公司将 不在中国境 内外直接或 间接从事或 参与任何在 商业上对股 份公司构成 竞争的业务 及活动或拥 有与股份公 司存在竞争 关系的任何 </w:t>
            </w:r>
            <w:r>
              <w:rPr>
                <w:rFonts w:ascii="宋体" w:hAnsi="宋体" w:cs="宋体" w:eastAsia="宋体" w:hint="default"/>
                <w:spacing w:val="-2"/>
                <w:sz w:val="18"/>
                <w:szCs w:val="18"/>
              </w:rPr>
              <w:t>经济实体、机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构、经济组织</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的权益；或以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其他任何形</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309" w:lineRule="auto"/>
              <w:ind w:left="22" w:right="83"/>
              <w:jc w:val="left"/>
              <w:rPr>
                <w:rFonts w:ascii="宋体" w:hAnsi="宋体" w:cs="宋体" w:eastAsia="宋体" w:hint="default"/>
                <w:sz w:val="18"/>
                <w:szCs w:val="18"/>
              </w:rPr>
            </w:pPr>
            <w:r>
              <w:rPr>
                <w:rFonts w:ascii="宋体" w:hAnsi="宋体" w:cs="宋体" w:eastAsia="宋体" w:hint="default"/>
                <w:sz w:val="18"/>
                <w:szCs w:val="18"/>
              </w:rPr>
              <w:t>不再持有股 份公司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及 以上股份</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r>
        <w:rPr/>
        <w:pict>
          <v:shape style="position:absolute;margin-left:361.480011pt;margin-top:72.47998pt;width:62pt;height:686.5pt;mso-position-horizontal-relative:page;mso-position-vertical-relative:page;z-index:-903448"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pStyle w:val="BodyText"/>
                    <w:spacing w:line="240" w:lineRule="auto" w:before="118"/>
                    <w:ind w:left="0" w:right="0"/>
                    <w:jc w:val="left"/>
                  </w:pPr>
                  <w:r>
                    <w:rPr/>
                    <w:t>、</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式取得该经</w:t>
            </w:r>
          </w:p>
        </w:tc>
        <w:tc>
          <w:tcPr>
            <w:tcW w:w="1126" w:type="dxa"/>
            <w:vMerge w:val="restart"/>
            <w:tcBorders>
              <w:top w:val="single" w:sz="4" w:space="0" w:color="000000"/>
              <w:left w:val="single" w:sz="4" w:space="0" w:color="000000"/>
              <w:right w:val="single" w:sz="4" w:space="0" w:color="000000"/>
            </w:tcBorders>
          </w:tcPr>
          <w:p>
            <w:pPr>
              <w:pStyle w:val="TableParagraph"/>
              <w:spacing w:line="13729"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74"/>
                <w:sz w:val="20"/>
                <w:szCs w:val="20"/>
              </w:rPr>
              <w:pict>
                <v:group style="width:55.85pt;height:686.5pt;mso-position-horizontal-relative:char;mso-position-vertical-relative:line" coordorigin="0,0" coordsize="1117,13730">
                  <v:group style="position:absolute;left:0;top:0;width:1117;height:13730" coordorigin="0,0" coordsize="1117,13730">
                    <v:shape style="position:absolute;left:0;top:0;width:1117;height:13730" coordorigin="0,0" coordsize="1117,13730" path="m0,13729l1116,13729,1116,0,0,0,0,13729xe" filled="true" fillcolor="#ffffff" stroked="false">
                      <v:path arrowok="t"/>
                      <v:fill type="solid"/>
                    </v:shape>
                  </v:group>
                </v:group>
              </w:pict>
            </w:r>
            <w:r>
              <w:rPr>
                <w:rFonts w:ascii="Times New Roman" w:hAnsi="Times New Roman" w:cs="Times New Roman" w:eastAsia="Times New Roman" w:hint="default"/>
                <w:position w:val="-274"/>
                <w:sz w:val="20"/>
                <w:szCs w:val="20"/>
              </w:rPr>
            </w: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济实体、机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构、经济组织</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pacing w:val="-7"/>
                <w:sz w:val="18"/>
                <w:szCs w:val="18"/>
              </w:rPr>
              <w:t>的控制权。</w:t>
            </w:r>
            <w:r>
              <w:rPr>
                <w:rFonts w:ascii="Times New Roman" w:hAnsi="Times New Roman" w:cs="Times New Roman" w:eastAsia="Times New Roman" w:hint="default"/>
                <w:spacing w:val="-7"/>
                <w:sz w:val="18"/>
                <w:szCs w:val="18"/>
              </w:rPr>
              <w:t>B</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本公司或本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公司控制的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企业如出售</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与股份公司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生产、经营相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关的任何资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产、业务或权</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益，股份公司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均享有优先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购买权；且本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公司保证在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出售或转让</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有关资产或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业务时给予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股份公司的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条件与本公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司或本公司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控制的企业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向任何独立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第三人提供</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的条件相当。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C</w:t>
            </w:r>
            <w:r>
              <w:rPr>
                <w:rFonts w:ascii="宋体" w:hAnsi="宋体" w:cs="宋体" w:eastAsia="宋体" w:hint="default"/>
                <w:sz w:val="18"/>
                <w:szCs w:val="18"/>
              </w:rPr>
              <w:t>、未来如有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在股份公司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经营范围内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相关业务的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商业机会，本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公司将介绍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给股份公司；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对股份公司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已进行建设</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或拟投资兴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建的项目，本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公司将在投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资方向与项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目选择上避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免与股份公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司相同或相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似；</w:t>
            </w:r>
            <w:r>
              <w:rPr>
                <w:rFonts w:ascii="Times New Roman" w:hAnsi="Times New Roman" w:cs="Times New Roman" w:eastAsia="Times New Roman" w:hint="default"/>
                <w:sz w:val="18"/>
                <w:szCs w:val="18"/>
              </w:rPr>
              <w:t>D</w:t>
            </w:r>
            <w:r>
              <w:rPr>
                <w:rFonts w:ascii="宋体" w:hAnsi="宋体" w:cs="宋体" w:eastAsia="宋体" w:hint="default"/>
                <w:sz w:val="18"/>
                <w:szCs w:val="18"/>
              </w:rPr>
              <w:t>、如未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来本公司所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控制的企业</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拟进行与股</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份公司相同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或相似的经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营业务，本公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司将行使否</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决权，避免与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股份公司相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同或相似，不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与股份公司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发生同业竞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争，以维护股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份公司的利</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益。</w:t>
            </w:r>
            <w:r>
              <w:rPr>
                <w:rFonts w:ascii="Times New Roman" w:hAnsi="Times New Roman" w:cs="Times New Roman" w:eastAsia="Times New Roman" w:hint="default"/>
                <w:sz w:val="18"/>
                <w:szCs w:val="18"/>
              </w:rPr>
              <w:t>E</w:t>
            </w:r>
            <w:r>
              <w:rPr>
                <w:rFonts w:ascii="宋体" w:hAnsi="宋体" w:cs="宋体" w:eastAsia="宋体" w:hint="default"/>
                <w:sz w:val="18"/>
                <w:szCs w:val="18"/>
              </w:rPr>
              <w:t>、本公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司签署本承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诺书的行为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已取得本公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司权力机关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的同意，亦已</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取得本公司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控制的企业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的权力机关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同意，因而本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公司签署本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承诺书的行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为代表本公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司和本公司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控制的企业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的真实意思。</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F</w:t>
            </w:r>
            <w:r>
              <w:rPr>
                <w:rFonts w:ascii="宋体" w:hAnsi="宋体" w:cs="宋体" w:eastAsia="宋体" w:hint="default"/>
                <w:sz w:val="18"/>
                <w:szCs w:val="18"/>
              </w:rPr>
              <w:t>、本承诺书</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所载的每一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项承诺均为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可独立执行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之承诺。任何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一项承诺若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被视为无效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或终止将不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影响其他各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项承诺的有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效性；本公司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愿意承担因</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违反上述承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诺而给股份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公司造成的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全部经济损</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10"/>
      </w:tblGrid>
      <w:tr>
        <w:trPr>
          <w:trHeight w:val="1923"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10"/>
              <w:ind w:left="22" w:right="12"/>
              <w:jc w:val="left"/>
              <w:rPr>
                <w:rFonts w:ascii="宋体" w:hAnsi="宋体" w:cs="宋体" w:eastAsia="宋体" w:hint="default"/>
                <w:sz w:val="18"/>
                <w:szCs w:val="18"/>
              </w:rPr>
            </w:pPr>
            <w:r>
              <w:rPr>
                <w:rFonts w:ascii="宋体" w:hAnsi="宋体" w:cs="宋体" w:eastAsia="宋体" w:hint="default"/>
                <w:sz w:val="18"/>
                <w:szCs w:val="18"/>
              </w:rPr>
              <w:t>失。本公司在 不再持有股 份公司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及 以上股份前， 本承诺为有 效之承诺。</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r>
      <w:tr>
        <w:trPr>
          <w:trHeight w:val="11907"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319" w:lineRule="auto"/>
              <w:ind w:left="23" w:right="190"/>
              <w:jc w:val="left"/>
              <w:rPr>
                <w:rFonts w:ascii="宋体" w:hAnsi="宋体" w:cs="宋体" w:eastAsia="宋体" w:hint="default"/>
                <w:sz w:val="18"/>
                <w:szCs w:val="18"/>
              </w:rPr>
            </w:pPr>
            <w:r>
              <w:rPr>
                <w:rFonts w:ascii="宋体" w:hAnsi="宋体" w:cs="宋体" w:eastAsia="宋体" w:hint="default"/>
                <w:sz w:val="18"/>
                <w:szCs w:val="18"/>
              </w:rPr>
              <w:t>实际控制人 高长虹</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61"/>
              <w:ind w:left="22" w:right="20"/>
              <w:jc w:val="left"/>
              <w:rPr>
                <w:rFonts w:ascii="宋体" w:hAnsi="宋体" w:cs="宋体" w:eastAsia="宋体" w:hint="default"/>
                <w:sz w:val="18"/>
                <w:szCs w:val="18"/>
              </w:rPr>
            </w:pPr>
            <w:r>
              <w:rPr>
                <w:rFonts w:ascii="宋体" w:hAnsi="宋体" w:cs="宋体" w:eastAsia="宋体" w:hint="default"/>
                <w:sz w:val="18"/>
                <w:szCs w:val="18"/>
              </w:rPr>
              <w:t>关于同业竞 争、关联交 </w:t>
            </w:r>
            <w:r>
              <w:rPr>
                <w:rFonts w:ascii="宋体" w:hAnsi="宋体" w:cs="宋体" w:eastAsia="宋体" w:hint="default"/>
                <w:spacing w:val="-2"/>
                <w:sz w:val="18"/>
                <w:szCs w:val="18"/>
              </w:rPr>
              <w:t>易、资金占用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方面的承诺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
              <w:jc w:val="left"/>
              <w:rPr>
                <w:rFonts w:ascii="宋体" w:hAnsi="宋体" w:cs="宋体" w:eastAsia="宋体" w:hint="default"/>
                <w:sz w:val="18"/>
                <w:szCs w:val="18"/>
              </w:rPr>
            </w:pPr>
            <w:r>
              <w:rPr>
                <w:rFonts w:ascii="宋体" w:hAnsi="宋体" w:cs="宋体" w:eastAsia="宋体" w:hint="default"/>
                <w:sz w:val="18"/>
                <w:szCs w:val="18"/>
              </w:rPr>
              <w:t>如本人和本 人控制的其 他企业今后 与股份公司 不可避免地 出现关联交 易时，将依照 市场规则，本 着一般商业 原则，通过签 订书面协议， 并严格按照</w:t>
            </w:r>
          </w:p>
          <w:p>
            <w:pPr>
              <w:pStyle w:val="TableParagraph"/>
              <w:spacing w:line="240" w:lineRule="auto" w:before="19"/>
              <w:ind w:left="22" w:right="0"/>
              <w:jc w:val="left"/>
              <w:rPr>
                <w:rFonts w:ascii="宋体" w:hAnsi="宋体" w:cs="宋体" w:eastAsia="宋体" w:hint="default"/>
                <w:sz w:val="18"/>
                <w:szCs w:val="18"/>
              </w:rPr>
            </w:pPr>
            <w:r>
              <w:rPr>
                <w:rFonts w:ascii="宋体" w:hAnsi="宋体" w:cs="宋体" w:eastAsia="宋体" w:hint="default"/>
                <w:sz w:val="18"/>
                <w:szCs w:val="18"/>
              </w:rPr>
              <w:t>《公司法</w:t>
            </w:r>
            <w:r>
              <w:rPr>
                <w:rFonts w:ascii="宋体" w:hAnsi="宋体" w:cs="宋体" w:eastAsia="宋体" w:hint="default"/>
                <w:spacing w:val="-90"/>
                <w:sz w:val="18"/>
                <w:szCs w:val="18"/>
              </w:rPr>
              <w:t>》</w:t>
            </w:r>
            <w:r>
              <w:rPr>
                <w:rFonts w:ascii="宋体" w:hAnsi="宋体" w:cs="宋体" w:eastAsia="宋体" w:hint="default"/>
                <w:sz w:val="18"/>
                <w:szCs w:val="18"/>
              </w:rPr>
              <w:t>、</w:t>
            </w:r>
          </w:p>
          <w:p>
            <w:pPr>
              <w:pStyle w:val="TableParagraph"/>
              <w:spacing w:line="316" w:lineRule="auto" w:before="76"/>
              <w:ind w:left="22" w:right="21"/>
              <w:jc w:val="left"/>
              <w:rPr>
                <w:rFonts w:ascii="宋体" w:hAnsi="宋体" w:cs="宋体" w:eastAsia="宋体" w:hint="default"/>
                <w:sz w:val="18"/>
                <w:szCs w:val="18"/>
              </w:rPr>
            </w:pPr>
            <w:r>
              <w:rPr>
                <w:rFonts w:ascii="宋体" w:hAnsi="宋体" w:cs="宋体" w:eastAsia="宋体" w:hint="default"/>
                <w:sz w:val="18"/>
                <w:szCs w:val="18"/>
              </w:rPr>
              <w:t>《公司章 </w:t>
            </w:r>
            <w:r>
              <w:rPr>
                <w:rFonts w:ascii="宋体" w:hAnsi="宋体" w:cs="宋体" w:eastAsia="宋体" w:hint="default"/>
                <w:spacing w:val="-15"/>
                <w:sz w:val="18"/>
                <w:szCs w:val="18"/>
              </w:rPr>
              <w:t>程》、股份公</w:t>
            </w:r>
            <w:r>
              <w:rPr>
                <w:rFonts w:ascii="宋体" w:hAnsi="宋体" w:cs="宋体" w:eastAsia="宋体" w:hint="default"/>
                <w:sz w:val="18"/>
                <w:szCs w:val="18"/>
              </w:rPr>
              <w:t> </w:t>
            </w:r>
            <w:r>
              <w:rPr>
                <w:rFonts w:ascii="宋体" w:hAnsi="宋体" w:cs="宋体" w:eastAsia="宋体" w:hint="default"/>
                <w:spacing w:val="-2"/>
                <w:sz w:val="18"/>
                <w:szCs w:val="18"/>
              </w:rPr>
              <w:t>司《关联交易</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公允决策制 </w:t>
            </w:r>
            <w:r>
              <w:rPr>
                <w:rFonts w:ascii="宋体" w:hAnsi="宋体" w:cs="宋体" w:eastAsia="宋体" w:hint="default"/>
                <w:spacing w:val="-2"/>
                <w:sz w:val="18"/>
                <w:szCs w:val="18"/>
              </w:rPr>
              <w:t>度》等制度规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定的程序和 方式履行关 联交易审批 </w:t>
            </w:r>
            <w:r>
              <w:rPr>
                <w:rFonts w:ascii="宋体" w:hAnsi="宋体" w:cs="宋体" w:eastAsia="宋体" w:hint="default"/>
                <w:spacing w:val="-2"/>
                <w:sz w:val="18"/>
                <w:szCs w:val="18"/>
              </w:rPr>
              <w:t>程序，公平合</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理交易。涉及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到本人的关 </w:t>
            </w:r>
            <w:r>
              <w:rPr>
                <w:rFonts w:ascii="宋体" w:hAnsi="宋体" w:cs="宋体" w:eastAsia="宋体" w:hint="default"/>
                <w:spacing w:val="-2"/>
                <w:sz w:val="18"/>
                <w:szCs w:val="18"/>
              </w:rPr>
              <w:t>联交易，本人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将在相关股 东大会和董 事会中回避 </w:t>
            </w:r>
            <w:r>
              <w:rPr>
                <w:rFonts w:ascii="宋体" w:hAnsi="宋体" w:cs="宋体" w:eastAsia="宋体" w:hint="default"/>
                <w:spacing w:val="-2"/>
                <w:sz w:val="18"/>
                <w:szCs w:val="18"/>
              </w:rPr>
              <w:t>表决，不利用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本人在股份 公司中的地 </w:t>
            </w:r>
            <w:r>
              <w:rPr>
                <w:rFonts w:ascii="宋体" w:hAnsi="宋体" w:cs="宋体" w:eastAsia="宋体" w:hint="default"/>
                <w:spacing w:val="-2"/>
                <w:sz w:val="18"/>
                <w:szCs w:val="18"/>
              </w:rPr>
              <w:t>位，为本人在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与股份公司 的关联交易 中谋取不正 </w:t>
            </w:r>
            <w:r>
              <w:rPr>
                <w:rFonts w:ascii="宋体" w:hAnsi="宋体" w:cs="宋体" w:eastAsia="宋体" w:hint="default"/>
                <w:spacing w:val="-2"/>
                <w:sz w:val="18"/>
                <w:szCs w:val="18"/>
              </w:rPr>
              <w:t>当的利益。本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人及本人控 制的企业将</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9411"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21"/>
              <w:jc w:val="left"/>
              <w:rPr>
                <w:rFonts w:ascii="宋体" w:hAnsi="宋体" w:cs="宋体" w:eastAsia="宋体" w:hint="default"/>
                <w:sz w:val="18"/>
                <w:szCs w:val="18"/>
              </w:rPr>
            </w:pPr>
            <w:r>
              <w:rPr>
                <w:rFonts w:ascii="宋体" w:hAnsi="宋体" w:cs="宋体" w:eastAsia="宋体" w:hint="default"/>
                <w:sz w:val="18"/>
                <w:szCs w:val="18"/>
              </w:rPr>
              <w:t>严格遵守股 </w:t>
            </w:r>
            <w:r>
              <w:rPr>
                <w:rFonts w:ascii="宋体" w:hAnsi="宋体" w:cs="宋体" w:eastAsia="宋体" w:hint="default"/>
                <w:spacing w:val="-2"/>
                <w:sz w:val="18"/>
                <w:szCs w:val="18"/>
              </w:rPr>
              <w:t>份公司《防范</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控股股东及 关联方占用 公司资金专 </w:t>
            </w:r>
            <w:r>
              <w:rPr>
                <w:rFonts w:ascii="宋体" w:hAnsi="宋体" w:cs="宋体" w:eastAsia="宋体" w:hint="default"/>
                <w:spacing w:val="-2"/>
                <w:sz w:val="18"/>
                <w:szCs w:val="18"/>
              </w:rPr>
              <w:t>项制度》的相</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关规定，不以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任何直接或 间接的形式 占用股份公 </w:t>
            </w:r>
            <w:r>
              <w:rPr>
                <w:rFonts w:ascii="宋体" w:hAnsi="宋体" w:cs="宋体" w:eastAsia="宋体" w:hint="default"/>
                <w:spacing w:val="-2"/>
                <w:sz w:val="18"/>
                <w:szCs w:val="18"/>
              </w:rPr>
              <w:t>司资金，不与</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股份公司发 生非经营性 </w:t>
            </w:r>
            <w:r>
              <w:rPr>
                <w:rFonts w:ascii="宋体" w:hAnsi="宋体" w:cs="宋体" w:eastAsia="宋体" w:hint="default"/>
                <w:spacing w:val="-2"/>
                <w:sz w:val="18"/>
                <w:szCs w:val="18"/>
              </w:rPr>
              <w:t>资金往来。如</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果本人及本 人控制的企 业违反上述 </w:t>
            </w:r>
            <w:r>
              <w:rPr>
                <w:rFonts w:ascii="宋体" w:hAnsi="宋体" w:cs="宋体" w:eastAsia="宋体" w:hint="default"/>
                <w:spacing w:val="-2"/>
                <w:sz w:val="18"/>
                <w:szCs w:val="18"/>
              </w:rPr>
              <w:t>承诺，与股份</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公司发生非 经营性资金 </w:t>
            </w:r>
            <w:r>
              <w:rPr>
                <w:rFonts w:ascii="宋体" w:hAnsi="宋体" w:cs="宋体" w:eastAsia="宋体" w:hint="default"/>
                <w:spacing w:val="-2"/>
                <w:sz w:val="18"/>
                <w:szCs w:val="18"/>
              </w:rPr>
              <w:t>往来，需在任</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意股东、监事</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或董事会要 求时立即返 </w:t>
            </w:r>
            <w:r>
              <w:rPr>
                <w:rFonts w:ascii="宋体" w:hAnsi="宋体" w:cs="宋体" w:eastAsia="宋体" w:hint="default"/>
                <w:spacing w:val="-2"/>
                <w:sz w:val="18"/>
                <w:szCs w:val="18"/>
              </w:rPr>
              <w:t>还资金，并赔</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偿公司相当 于银行同期 贷款利率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倍的资金占 用费。</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2586"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2" w:right="0"/>
              <w:jc w:val="left"/>
              <w:rPr>
                <w:rFonts w:ascii="宋体" w:hAnsi="宋体" w:cs="宋体" w:eastAsia="宋体" w:hint="default"/>
                <w:sz w:val="18"/>
                <w:szCs w:val="18"/>
              </w:rPr>
            </w:pPr>
            <w:r>
              <w:rPr>
                <w:rFonts w:ascii="宋体" w:hAnsi="宋体" w:cs="宋体" w:eastAsia="宋体" w:hint="default"/>
                <w:sz w:val="18"/>
                <w:szCs w:val="18"/>
              </w:rPr>
              <w:t>其他对公司中小股东所作承诺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9"/>
              <w:ind w:left="23" w:right="190"/>
              <w:jc w:val="left"/>
              <w:rPr>
                <w:rFonts w:ascii="宋体" w:hAnsi="宋体" w:cs="宋体" w:eastAsia="宋体" w:hint="default"/>
                <w:sz w:val="18"/>
                <w:szCs w:val="18"/>
              </w:rPr>
            </w:pPr>
            <w:r>
              <w:rPr>
                <w:rFonts w:ascii="宋体" w:hAnsi="宋体" w:cs="宋体" w:eastAsia="宋体" w:hint="default"/>
                <w:sz w:val="18"/>
                <w:szCs w:val="18"/>
              </w:rPr>
              <w:t>实际控制人 高长虹</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9"/>
              <w:ind w:left="22" w:right="191"/>
              <w:jc w:val="left"/>
              <w:rPr>
                <w:rFonts w:ascii="宋体" w:hAnsi="宋体" w:cs="宋体" w:eastAsia="宋体" w:hint="default"/>
                <w:sz w:val="18"/>
                <w:szCs w:val="18"/>
              </w:rPr>
            </w:pPr>
            <w:r>
              <w:rPr>
                <w:rFonts w:ascii="宋体" w:hAnsi="宋体" w:cs="宋体" w:eastAsia="宋体" w:hint="default"/>
                <w:sz w:val="18"/>
                <w:szCs w:val="18"/>
              </w:rPr>
              <w:t>股份减持承 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日至</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2018</w:t>
            </w:r>
          </w:p>
          <w:p>
            <w:pPr>
              <w:pStyle w:val="TableParagraph"/>
              <w:spacing w:line="314" w:lineRule="auto" w:before="63"/>
              <w:ind w:left="22" w:right="23"/>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日增 持期间及增 持完成后六 个月内不减 持所持有的 公司股份。</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9</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日</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2"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承诺是否按时履行</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2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0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1026"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01"/>
              <w:jc w:val="both"/>
              <w:rPr>
                <w:rFonts w:ascii="宋体" w:hAnsi="宋体" w:cs="宋体" w:eastAsia="宋体" w:hint="default"/>
                <w:sz w:val="18"/>
                <w:szCs w:val="18"/>
              </w:rPr>
            </w:pPr>
            <w:r>
              <w:rPr>
                <w:rFonts w:ascii="宋体" w:hAnsi="宋体" w:cs="宋体" w:eastAsia="宋体" w:hint="default"/>
                <w:sz w:val="18"/>
                <w:szCs w:val="18"/>
              </w:rPr>
              <w:t>如承诺超期未履行完毕的，应当详 细说明未完成履行的具体原因及下 一步的工作计划</w:t>
            </w:r>
          </w:p>
        </w:tc>
        <w:tc>
          <w:tcPr>
            <w:tcW w:w="6733"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12"/>
          <w:szCs w:val="12"/>
        </w:rPr>
      </w:pPr>
    </w:p>
    <w:p>
      <w:pPr>
        <w:spacing w:line="421" w:lineRule="exact"/>
        <w:ind w:left="149"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7"/>
          <w:sz w:val="20"/>
          <w:szCs w:val="20"/>
        </w:rPr>
        <w:pict>
          <v:group style="width:478.95pt;height:21.1pt;mso-position-horizontal-relative:char;mso-position-vertical-relative:line" coordorigin="0,0" coordsize="9579,422">
            <v:group style="position:absolute;left:21;top:14;width:2;height:393" coordorigin="21,14" coordsize="2,393">
              <v:shape style="position:absolute;left:21;top:14;width:2;height:393" coordorigin="21,14" coordsize="0,393" path="m21,14l21,407e" filled="false" stroked="true" strokeweight="1.140pt" strokecolor="#d2d2d2">
                <v:path arrowok="t"/>
              </v:shape>
            </v:group>
            <v:group style="position:absolute;left:2825;top:14;width:2;height:393" coordorigin="2825,14" coordsize="2,393">
              <v:shape style="position:absolute;left:2825;top:14;width:2;height:393" coordorigin="2825,14" coordsize="0,393" path="m2825,14l2825,407e" filled="false" stroked="true" strokeweight="1.140pt" strokecolor="#d2d2d2">
                <v:path arrowok="t"/>
              </v:shape>
            </v:group>
            <v:group style="position:absolute;left:32;top:14;width:2781;height:393" coordorigin="32,14" coordsize="2781,393">
              <v:shape style="position:absolute;left:32;top:14;width:2781;height:393" coordorigin="32,14" coordsize="2781,393" path="m32,407l2813,407,2813,14,32,14,32,407xe" filled="true" fillcolor="#d2d2d2" stroked="false">
                <v:path arrowok="t"/>
                <v:fill type="solid"/>
              </v:shape>
            </v:group>
            <v:group style="position:absolute;left:2858;top:14;width:2;height:393" coordorigin="2858,14" coordsize="2,393">
              <v:shape style="position:absolute;left:2858;top:14;width:2;height:393" coordorigin="2858,14" coordsize="0,393" path="m2858,14l2858,407e" filled="false" stroked="true" strokeweight="1.140pt" strokecolor="#d2d2d2">
                <v:path arrowok="t"/>
              </v:shape>
            </v:group>
            <v:group style="position:absolute;left:9556;top:14;width:2;height:393" coordorigin="9556,14" coordsize="2,393">
              <v:shape style="position:absolute;left:9556;top:14;width:2;height:393" coordorigin="9556,14" coordsize="0,393" path="m9556,14l9556,407e" filled="false" stroked="true" strokeweight="1.140pt" strokecolor="#d2d2d2">
                <v:path arrowok="t"/>
              </v:shape>
            </v:group>
            <v:group style="position:absolute;left:2870;top:14;width:6676;height:393" coordorigin="2870,14" coordsize="6676,393">
              <v:shape style="position:absolute;left:2870;top:14;width:6676;height:393" coordorigin="2870,14" coordsize="6676,393" path="m2870,407l9545,407,9545,14,2870,14,2870,407xe" filled="true" fillcolor="#d2d2d2" stroked="false">
                <v:path arrowok="t"/>
                <v:fill type="solid"/>
              </v:shape>
            </v:group>
            <v:group style="position:absolute;left:10;top:10;width:2827;height:2" coordorigin="10,10" coordsize="2827,2">
              <v:shape style="position:absolute;left:10;top:10;width:2827;height:2" coordorigin="10,10" coordsize="2827,0" path="m10,10l2836,10e" filled="false" stroked="true" strokeweight=".48pt" strokecolor="#000000">
                <v:path arrowok="t"/>
              </v:shape>
            </v:group>
            <v:group style="position:absolute;left:2846;top:10;width:6724;height:2" coordorigin="2846,10" coordsize="6724,2">
              <v:shape style="position:absolute;left:2846;top:10;width:6724;height:2" coordorigin="2846,10" coordsize="6724,0" path="m2846,10l9569,10e" filled="false" stroked="true" strokeweight=".48pt" strokecolor="#000000">
                <v:path arrowok="t"/>
              </v:shape>
            </v:group>
            <v:group style="position:absolute;left:5;top:5;width:2;height:412" coordorigin="5,5" coordsize="2,412">
              <v:shape style="position:absolute;left:5;top:5;width:2;height:412" coordorigin="5,5" coordsize="0,412" path="m5,5l5,416e" filled="false" stroked="true" strokeweight=".48pt" strokecolor="#000000">
                <v:path arrowok="t"/>
              </v:shape>
            </v:group>
            <v:group style="position:absolute;left:10;top:412;width:2827;height:2" coordorigin="10,412" coordsize="2827,2">
              <v:shape style="position:absolute;left:10;top:412;width:2827;height:2" coordorigin="10,412" coordsize="2827,0" path="m10,412l2836,412e" filled="false" stroked="true" strokeweight=".48pt" strokecolor="#000000">
                <v:path arrowok="t"/>
              </v:shape>
            </v:group>
            <v:group style="position:absolute;left:2841;top:5;width:2;height:412" coordorigin="2841,5" coordsize="2,412">
              <v:shape style="position:absolute;left:2841;top:5;width:2;height:412" coordorigin="2841,5" coordsize="0,412" path="m2841,5l2841,416e" filled="false" stroked="true" strokeweight=".48pt" strokecolor="#000000">
                <v:path arrowok="t"/>
              </v:shape>
            </v:group>
            <v:group style="position:absolute;left:2846;top:412;width:6724;height:2" coordorigin="2846,412" coordsize="6724,2">
              <v:shape style="position:absolute;left:2846;top:412;width:6724;height:2" coordorigin="2846,412" coordsize="6724,0" path="m2846,412l9569,412e" filled="false" stroked="true" strokeweight=".48pt" strokecolor="#000000">
                <v:path arrowok="t"/>
              </v:shape>
            </v:group>
            <v:group style="position:absolute;left:9574;top:5;width:2;height:412" coordorigin="9574,5" coordsize="2,412">
              <v:shape style="position:absolute;left:9574;top:5;width:2;height:412" coordorigin="9574,5" coordsize="0,412" path="m9574,5l9574,416e" filled="false" stroked="true" strokeweight=".48004pt" strokecolor="#000000">
                <v:path arrowok="t"/>
              </v:shape>
            </v:group>
          </v:group>
        </w:pict>
      </w:r>
      <w:r>
        <w:rPr>
          <w:rFonts w:ascii="Times New Roman" w:hAnsi="Times New Roman" w:cs="Times New Roman" w:eastAsia="Times New Roman" w:hint="default"/>
          <w:position w:val="-7"/>
          <w:sz w:val="20"/>
          <w:szCs w:val="20"/>
        </w:rPr>
      </w:r>
    </w:p>
    <w:p>
      <w:pPr>
        <w:spacing w:line="240" w:lineRule="auto" w:before="5"/>
        <w:rPr>
          <w:rFonts w:ascii="Times New Roman" w:hAnsi="Times New Roman" w:cs="Times New Roman" w:eastAsia="Times New Roman" w:hint="default"/>
          <w:sz w:val="21"/>
          <w:szCs w:val="21"/>
        </w:rPr>
      </w:pPr>
    </w:p>
    <w:p>
      <w:pPr>
        <w:pStyle w:val="Heading5"/>
        <w:spacing w:line="259" w:lineRule="auto" w:before="35"/>
        <w:ind w:right="0"/>
        <w:jc w:val="left"/>
        <w:rPr>
          <w:b w:val="0"/>
          <w:bCs w:val="0"/>
        </w:rPr>
      </w:pPr>
      <w:bookmarkStart w:name="2、公司资产或项目存在盈利预测，且报告期仍处在盈利预测期间，公司就资产或项目达到" w:id="65"/>
      <w:bookmarkEnd w:id="65"/>
      <w:r>
        <w:rPr>
          <w:b w:val="0"/>
          <w:bCs w:val="0"/>
        </w:rPr>
      </w: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63"/>
        </w:rPr>
        <w:t> </w:t>
      </w:r>
      <w:r>
        <w:rPr>
          <w:spacing w:val="-63"/>
        </w:rPr>
      </w:r>
      <w:r>
        <w:rPr/>
        <w:t>其原因做出说明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194"/>
        <w:gridCol w:w="1196"/>
        <w:gridCol w:w="1195"/>
        <w:gridCol w:w="1197"/>
        <w:gridCol w:w="1196"/>
        <w:gridCol w:w="1196"/>
        <w:gridCol w:w="1199"/>
        <w:gridCol w:w="1195"/>
      </w:tblGrid>
      <w:tr>
        <w:trPr>
          <w:trHeight w:val="714"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41" w:right="51" w:hanging="90"/>
              <w:jc w:val="left"/>
              <w:rPr>
                <w:rFonts w:ascii="宋体" w:hAnsi="宋体" w:cs="宋体" w:eastAsia="宋体" w:hint="default"/>
                <w:sz w:val="18"/>
                <w:szCs w:val="18"/>
              </w:rPr>
            </w:pPr>
            <w:r>
              <w:rPr>
                <w:rFonts w:ascii="宋体" w:hAnsi="宋体" w:cs="宋体" w:eastAsia="宋体" w:hint="default"/>
                <w:sz w:val="18"/>
                <w:szCs w:val="18"/>
              </w:rPr>
              <w:t>盈利预测资产 或项目名称</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预测起始时间</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预测终止时间</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当期预测业绩</w:t>
            </w:r>
          </w:p>
          <w:p>
            <w:pPr>
              <w:pStyle w:val="TableParagraph"/>
              <w:spacing w:line="240" w:lineRule="auto" w:before="76"/>
              <w:ind w:left="1"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当期实际业绩</w:t>
            </w:r>
          </w:p>
          <w:p>
            <w:pPr>
              <w:pStyle w:val="TableParagraph"/>
              <w:spacing w:line="240" w:lineRule="auto" w:before="76"/>
              <w:ind w:right="1"/>
              <w:jc w:val="center"/>
              <w:rPr>
                <w:rFonts w:ascii="宋体" w:hAnsi="宋体" w:cs="宋体" w:eastAsia="宋体" w:hint="default"/>
                <w:sz w:val="18"/>
                <w:szCs w:val="18"/>
              </w:rPr>
            </w:pPr>
            <w:r>
              <w:rPr>
                <w:rFonts w:ascii="宋体" w:hAnsi="宋体" w:cs="宋体" w:eastAsia="宋体" w:hint="default"/>
                <w:sz w:val="18"/>
                <w:szCs w:val="18"/>
              </w:rPr>
              <w:t>（万元）</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2" w:right="51"/>
              <w:jc w:val="left"/>
              <w:rPr>
                <w:rFonts w:ascii="宋体" w:hAnsi="宋体" w:cs="宋体" w:eastAsia="宋体" w:hint="default"/>
                <w:sz w:val="18"/>
                <w:szCs w:val="18"/>
              </w:rPr>
            </w:pPr>
            <w:r>
              <w:rPr>
                <w:rFonts w:ascii="宋体" w:hAnsi="宋体" w:cs="宋体" w:eastAsia="宋体" w:hint="default"/>
                <w:sz w:val="18"/>
                <w:szCs w:val="18"/>
              </w:rPr>
              <w:t>未达预测的原 因（如适用）</w:t>
            </w:r>
          </w:p>
        </w:tc>
        <w:tc>
          <w:tcPr>
            <w:tcW w:w="11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05" w:right="53" w:hanging="450"/>
              <w:jc w:val="left"/>
              <w:rPr>
                <w:rFonts w:ascii="宋体" w:hAnsi="宋体" w:cs="宋体" w:eastAsia="宋体" w:hint="default"/>
                <w:sz w:val="18"/>
                <w:szCs w:val="18"/>
              </w:rPr>
            </w:pPr>
            <w:r>
              <w:rPr>
                <w:rFonts w:ascii="宋体" w:hAnsi="宋体" w:cs="宋体" w:eastAsia="宋体" w:hint="default"/>
                <w:sz w:val="18"/>
                <w:szCs w:val="18"/>
              </w:rPr>
              <w:t>原预测披露日 期</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02" w:right="50" w:hanging="450"/>
              <w:jc w:val="left"/>
              <w:rPr>
                <w:rFonts w:ascii="宋体" w:hAnsi="宋体" w:cs="宋体" w:eastAsia="宋体" w:hint="default"/>
                <w:sz w:val="18"/>
                <w:szCs w:val="18"/>
              </w:rPr>
            </w:pPr>
            <w:r>
              <w:rPr>
                <w:rFonts w:ascii="宋体" w:hAnsi="宋体" w:cs="宋体" w:eastAsia="宋体" w:hint="default"/>
                <w:sz w:val="18"/>
                <w:szCs w:val="18"/>
              </w:rPr>
              <w:t>原预测披露索 引</w:t>
            </w:r>
          </w:p>
        </w:tc>
      </w:tr>
      <w:tr>
        <w:trPr>
          <w:trHeight w:val="1338" w:hRule="exact"/>
        </w:trPr>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81"/>
              <w:jc w:val="left"/>
              <w:rPr>
                <w:rFonts w:ascii="宋体" w:hAnsi="宋体" w:cs="宋体" w:eastAsia="宋体" w:hint="default"/>
                <w:sz w:val="18"/>
                <w:szCs w:val="18"/>
              </w:rPr>
            </w:pPr>
            <w:r>
              <w:rPr>
                <w:rFonts w:ascii="宋体" w:hAnsi="宋体" w:cs="宋体" w:eastAsia="宋体" w:hint="default"/>
                <w:sz w:val="18"/>
                <w:szCs w:val="18"/>
              </w:rPr>
              <w:t>杭州奥能电源 设备有限公司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60" w:right="0"/>
              <w:jc w:val="left"/>
              <w:rPr>
                <w:rFonts w:ascii="Times New Roman" w:hAnsi="Times New Roman" w:cs="Times New Roman" w:eastAsia="Times New Roman" w:hint="default"/>
                <w:sz w:val="18"/>
                <w:szCs w:val="18"/>
              </w:rPr>
            </w:pPr>
            <w:r>
              <w:rPr>
                <w:rFonts w:ascii="Times New Roman"/>
                <w:sz w:val="18"/>
              </w:rPr>
              <w:t>3,600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532" w:right="0"/>
              <w:jc w:val="left"/>
              <w:rPr>
                <w:rFonts w:ascii="Times New Roman" w:hAnsi="Times New Roman" w:cs="Times New Roman" w:eastAsia="Times New Roman" w:hint="default"/>
                <w:sz w:val="18"/>
                <w:szCs w:val="18"/>
              </w:rPr>
            </w:pPr>
            <w:r>
              <w:rPr>
                <w:rFonts w:ascii="Times New Roman"/>
                <w:sz w:val="18"/>
              </w:rPr>
              <w:t>3,807.58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80"/>
              <w:jc w:val="both"/>
              <w:rPr>
                <w:rFonts w:ascii="宋体" w:hAnsi="宋体" w:cs="宋体" w:eastAsia="宋体" w:hint="default"/>
                <w:sz w:val="18"/>
                <w:szCs w:val="18"/>
              </w:rPr>
            </w:pPr>
            <w:r>
              <w:rPr>
                <w:rFonts w:ascii="宋体" w:hAnsi="宋体" w:cs="宋体" w:eastAsia="宋体" w:hint="default"/>
                <w:sz w:val="18"/>
                <w:szCs w:val="18"/>
              </w:rPr>
              <w:t>巨潮资讯网公 司《重大资产 购买报告书</w:t>
            </w:r>
          </w:p>
          <w:p>
            <w:pPr>
              <w:pStyle w:val="TableParagraph"/>
              <w:spacing w:line="240" w:lineRule="auto" w:before="20"/>
              <w:ind w:left="22" w:right="0"/>
              <w:jc w:val="both"/>
              <w:rPr>
                <w:rFonts w:ascii="宋体" w:hAnsi="宋体" w:cs="宋体" w:eastAsia="宋体" w:hint="default"/>
                <w:sz w:val="18"/>
                <w:szCs w:val="18"/>
              </w:rPr>
            </w:pPr>
            <w:r>
              <w:rPr>
                <w:rFonts w:ascii="宋体" w:hAnsi="宋体" w:cs="宋体" w:eastAsia="宋体" w:hint="default"/>
                <w:sz w:val="18"/>
                <w:szCs w:val="18"/>
              </w:rPr>
              <w:t>（草案</w:t>
            </w:r>
            <w:r>
              <w:rPr>
                <w:rFonts w:ascii="宋体" w:hAnsi="宋体" w:cs="宋体" w:eastAsia="宋体" w:hint="default"/>
                <w:spacing w:val="-90"/>
                <w:sz w:val="18"/>
                <w:szCs w:val="18"/>
              </w:rPr>
              <w:t>）</w:t>
            </w:r>
            <w:r>
              <w:rPr>
                <w:rFonts w:ascii="宋体" w:hAnsi="宋体" w:cs="宋体" w:eastAsia="宋体" w:hint="default"/>
                <w:sz w:val="18"/>
                <w:szCs w:val="18"/>
              </w:rPr>
              <w:t>》</w:t>
            </w:r>
          </w:p>
        </w:tc>
      </w:tr>
    </w:tbl>
    <w:p>
      <w:pPr>
        <w:pStyle w:val="BodyText"/>
        <w:spacing w:line="240" w:lineRule="auto" w:before="51"/>
        <w:ind w:right="0"/>
        <w:jc w:val="left"/>
      </w:pPr>
      <w:r>
        <w:rPr/>
        <w:t>公司股东、交易对手方对公司或相关资产年度经营业绩作出的承诺情况</w:t>
      </w:r>
    </w:p>
    <w:p>
      <w:pPr>
        <w:pStyle w:val="BodyText"/>
        <w:spacing w:line="314" w:lineRule="auto" w:before="117"/>
        <w:ind w:right="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spacing w:val="-2"/>
        </w:rPr>
        <w:t>公司</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18</w:t>
      </w:r>
      <w:r>
        <w:rPr>
          <w:spacing w:val="-2"/>
        </w:rPr>
        <w:t>日召开的第二届董事会第二十次会议及</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13</w:t>
      </w:r>
      <w:r>
        <w:rPr>
          <w:spacing w:val="-2"/>
        </w:rPr>
        <w:t>日召开的</w:t>
      </w:r>
      <w:r>
        <w:rPr>
          <w:rFonts w:ascii="Times New Roman" w:hAnsi="Times New Roman" w:cs="Times New Roman" w:eastAsia="Times New Roman" w:hint="default"/>
          <w:spacing w:val="-2"/>
        </w:rPr>
        <w:t>2017</w:t>
      </w:r>
      <w:r>
        <w:rPr>
          <w:spacing w:val="-2"/>
        </w:rPr>
        <w:t>年第一次临时股东大会审议通过了《关于</w:t>
      </w:r>
      <w:r>
        <w:rPr>
          <w:spacing w:val="-46"/>
        </w:rPr>
        <w:t> </w:t>
      </w:r>
      <w:r>
        <w:rPr>
          <w:spacing w:val="-46"/>
        </w:rPr>
      </w:r>
      <w:r>
        <w:rPr/>
        <w:t>公司符合重大资产重组条件的议案》。 </w:t>
      </w:r>
      <w:r>
        <w:rPr>
          <w:spacing w:val="-2"/>
        </w:rPr>
        <w:t>根据公司就本次交易与陈虹、任晓忠、孙云友、德清辉创投资管理合伙企业（有限合伙）签署的《盈利补偿协议》，对本次</w:t>
      </w:r>
      <w:r>
        <w:rPr>
          <w:spacing w:val="-68"/>
        </w:rPr>
        <w:t> </w:t>
      </w:r>
      <w:r>
        <w:rPr>
          <w:spacing w:val="-68"/>
        </w:rPr>
      </w:r>
      <w:r>
        <w:rPr>
          <w:spacing w:val="-2"/>
        </w:rPr>
        <w:t>交易的盈利补偿进行了约定。补偿责任人承诺标的公司奥能电源于</w:t>
      </w:r>
      <w:r>
        <w:rPr>
          <w:rFonts w:ascii="Times New Roman" w:hAnsi="Times New Roman" w:cs="Times New Roman" w:eastAsia="Times New Roman" w:hint="default"/>
          <w:spacing w:val="-2"/>
        </w:rPr>
        <w:t>2017</w:t>
      </w:r>
      <w:r>
        <w:rPr>
          <w:spacing w:val="-2"/>
        </w:rPr>
        <w:t>、</w:t>
      </w:r>
      <w:r>
        <w:rPr>
          <w:rFonts w:ascii="Times New Roman" w:hAnsi="Times New Roman" w:cs="Times New Roman" w:eastAsia="Times New Roman" w:hint="default"/>
          <w:spacing w:val="-2"/>
        </w:rPr>
        <w:t>2018</w:t>
      </w:r>
      <w:r>
        <w:rPr>
          <w:spacing w:val="-2"/>
        </w:rPr>
        <w:t>、</w:t>
      </w:r>
      <w:r>
        <w:rPr>
          <w:rFonts w:ascii="Times New Roman" w:hAnsi="Times New Roman" w:cs="Times New Roman" w:eastAsia="Times New Roman" w:hint="default"/>
          <w:spacing w:val="-2"/>
        </w:rPr>
        <w:t>2019</w:t>
      </w:r>
      <w:r>
        <w:rPr>
          <w:spacing w:val="-2"/>
        </w:rPr>
        <w:t>会计年度实现的净利润分别不低于</w:t>
      </w:r>
      <w:r>
        <w:rPr>
          <w:rFonts w:ascii="Times New Roman" w:hAnsi="Times New Roman" w:cs="Times New Roman" w:eastAsia="Times New Roman" w:hint="default"/>
          <w:spacing w:val="-2"/>
        </w:rPr>
        <w:t>3,600</w:t>
      </w:r>
      <w:r>
        <w:rPr>
          <w:rFonts w:ascii="Times New Roman" w:hAnsi="Times New Roman" w:cs="Times New Roman" w:eastAsia="Times New Roman" w:hint="default"/>
        </w:rPr>
        <w:t> </w:t>
      </w:r>
      <w:r>
        <w:rPr/>
        <w:t>万元、</w:t>
      </w:r>
      <w:r>
        <w:rPr>
          <w:rFonts w:ascii="Times New Roman" w:hAnsi="Times New Roman" w:cs="Times New Roman" w:eastAsia="Times New Roman" w:hint="default"/>
        </w:rPr>
        <w:t>5,000</w:t>
      </w:r>
      <w:r>
        <w:rPr/>
        <w:t>万元、</w:t>
      </w:r>
      <w:r>
        <w:rPr>
          <w:rFonts w:ascii="Times New Roman" w:hAnsi="Times New Roman" w:cs="Times New Roman" w:eastAsia="Times New Roman" w:hint="default"/>
        </w:rPr>
        <w:t>6,500</w:t>
      </w:r>
      <w:r>
        <w:rPr/>
        <w:t>万元，且每个年度净利润中的非经常性损益不超过</w:t>
      </w:r>
      <w:r>
        <w:rPr>
          <w:rFonts w:ascii="Times New Roman" w:hAnsi="Times New Roman" w:cs="Times New Roman" w:eastAsia="Times New Roman" w:hint="default"/>
        </w:rPr>
        <w:t>200</w:t>
      </w:r>
      <w:r>
        <w:rPr/>
        <w:t>万元（不包含增值税退税）。</w:t>
      </w:r>
    </w:p>
    <w:p>
      <w:pPr>
        <w:pStyle w:val="BodyText"/>
        <w:spacing w:line="240" w:lineRule="auto" w:before="1"/>
        <w:ind w:right="0"/>
        <w:jc w:val="left"/>
      </w:pPr>
      <w:r>
        <w:rPr>
          <w:rFonts w:ascii="Times New Roman" w:hAnsi="Times New Roman" w:cs="Times New Roman" w:eastAsia="Times New Roman" w:hint="default"/>
        </w:rPr>
        <w:t>2017</w:t>
      </w:r>
      <w:r>
        <w:rPr/>
        <w:t>年度，奥能电源实现营业收入</w:t>
      </w:r>
      <w:r>
        <w:rPr>
          <w:rFonts w:ascii="Times New Roman" w:hAnsi="Times New Roman" w:cs="Times New Roman" w:eastAsia="Times New Roman" w:hint="default"/>
        </w:rPr>
        <w:t>17,855.24</w:t>
      </w:r>
      <w:r>
        <w:rPr/>
        <w:t>万元，净利润</w:t>
      </w:r>
      <w:r>
        <w:rPr>
          <w:rFonts w:ascii="Times New Roman" w:hAnsi="Times New Roman" w:cs="Times New Roman" w:eastAsia="Times New Roman" w:hint="default"/>
        </w:rPr>
        <w:t>3,807.58</w:t>
      </w:r>
      <w:r>
        <w:rPr/>
        <w:t>万元。</w:t>
      </w:r>
    </w:p>
    <w:p>
      <w:pPr>
        <w:spacing w:line="240" w:lineRule="auto" w:before="2"/>
        <w:rPr>
          <w:rFonts w:ascii="宋体" w:hAnsi="宋体" w:cs="宋体" w:eastAsia="宋体" w:hint="default"/>
          <w:sz w:val="24"/>
          <w:szCs w:val="24"/>
        </w:rPr>
      </w:pPr>
    </w:p>
    <w:p>
      <w:pPr>
        <w:pStyle w:val="Heading2"/>
        <w:spacing w:line="240" w:lineRule="auto"/>
        <w:ind w:right="0"/>
        <w:jc w:val="left"/>
        <w:rPr>
          <w:b w:val="0"/>
          <w:bCs w:val="0"/>
        </w:rPr>
      </w:pPr>
      <w:bookmarkStart w:name="三、控股股东及其关联方对上市公司的非经营性占用资金情况" w:id="66"/>
      <w:bookmarkEnd w:id="66"/>
      <w:r>
        <w:rPr>
          <w:b w:val="0"/>
          <w:bCs w:val="0"/>
        </w:rPr>
      </w:r>
      <w:r>
        <w:rPr/>
        <w:t>三、控股股东及其关联方对上市公司的非经营性占用资金情况</w:t>
      </w:r>
      <w:r>
        <w:rPr>
          <w:b w:val="0"/>
          <w:bCs w:val="0"/>
        </w:rPr>
      </w:r>
    </w:p>
    <w:p>
      <w:pPr>
        <w:spacing w:line="240" w:lineRule="auto" w:before="7"/>
        <w:rPr>
          <w:rFonts w:ascii="宋体" w:hAnsi="宋体" w:cs="宋体" w:eastAsia="宋体" w:hint="default"/>
          <w:b/>
          <w:bCs/>
          <w:sz w:val="26"/>
          <w:szCs w:val="26"/>
        </w:rPr>
      </w:pPr>
    </w:p>
    <w:p>
      <w:pPr>
        <w:pStyle w:val="BodyText"/>
        <w:spacing w:line="360" w:lineRule="auto" w:before="0"/>
        <w:ind w:right="4012"/>
        <w:jc w:val="left"/>
      </w:pPr>
      <w:r>
        <w:rPr/>
        <w:t>□ 适用 √ 不适用 公司报告期不存在控股股东及其关联方对上市公司的非经营性占用资金。</w:t>
      </w:r>
    </w:p>
    <w:p>
      <w:pPr>
        <w:spacing w:line="240" w:lineRule="auto" w:before="1"/>
        <w:rPr>
          <w:rFonts w:ascii="宋体" w:hAnsi="宋体" w:cs="宋体" w:eastAsia="宋体" w:hint="default"/>
          <w:sz w:val="18"/>
          <w:szCs w:val="18"/>
        </w:rPr>
      </w:pPr>
    </w:p>
    <w:p>
      <w:pPr>
        <w:pStyle w:val="Heading2"/>
        <w:spacing w:line="240" w:lineRule="auto"/>
        <w:ind w:right="0"/>
        <w:jc w:val="left"/>
        <w:rPr>
          <w:b w:val="0"/>
          <w:bCs w:val="0"/>
        </w:rPr>
      </w:pPr>
      <w:bookmarkStart w:name="四、董事会对最近一期“非标准审计报告”相关情况的说明" w:id="67"/>
      <w:bookmarkEnd w:id="67"/>
      <w:r>
        <w:rPr>
          <w:b w:val="0"/>
          <w:bCs w:val="0"/>
        </w:rPr>
      </w:r>
      <w:r>
        <w:rPr/>
        <w:t>四、董事会对最近一期“非标准审计报告”相关情况的说明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0"/>
        <w:jc w:val="left"/>
      </w:pPr>
      <w:r>
        <w:rPr/>
        <w:t>□ 适用 √ 不适用</w:t>
      </w:r>
    </w:p>
    <w:p>
      <w:pPr>
        <w:spacing w:line="240" w:lineRule="auto" w:before="13"/>
        <w:rPr>
          <w:rFonts w:ascii="宋体" w:hAnsi="宋体" w:cs="宋体" w:eastAsia="宋体" w:hint="default"/>
          <w:sz w:val="24"/>
          <w:szCs w:val="24"/>
        </w:rPr>
      </w:pPr>
    </w:p>
    <w:p>
      <w:pPr>
        <w:pStyle w:val="Heading2"/>
        <w:spacing w:line="240" w:lineRule="auto"/>
        <w:ind w:right="413"/>
        <w:jc w:val="left"/>
        <w:rPr>
          <w:b w:val="0"/>
          <w:bCs w:val="0"/>
        </w:rPr>
      </w:pPr>
      <w:bookmarkStart w:name="五、董事会、监事会、独立董事（如有）对会计师事务所本报告期“非标准审计报告”的说" w:id="68"/>
      <w:bookmarkEnd w:id="68"/>
      <w:r>
        <w:rPr>
          <w:b w:val="0"/>
          <w:bCs w:val="0"/>
        </w:rPr>
      </w:r>
      <w:r>
        <w:rPr>
          <w:w w:val="95"/>
        </w:rPr>
        <w:t>五、董事会、监事会、独立董事（如有）对会计师事务所本报告期“非标准审计报告”的说  </w:t>
      </w:r>
      <w:r>
        <w:rPr>
          <w:spacing w:val="99"/>
          <w:w w:val="95"/>
        </w:rPr>
        <w:t> </w:t>
      </w:r>
      <w:r>
        <w:rPr/>
        <w:t>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0"/>
        <w:jc w:val="left"/>
      </w:pPr>
      <w:r>
        <w:rPr/>
        <w:t>□ 适用 √ 不适用</w:t>
      </w:r>
    </w:p>
    <w:p>
      <w:pPr>
        <w:spacing w:line="240" w:lineRule="auto" w:before="13"/>
        <w:rPr>
          <w:rFonts w:ascii="宋体" w:hAnsi="宋体" w:cs="宋体" w:eastAsia="宋体" w:hint="default"/>
          <w:sz w:val="24"/>
          <w:szCs w:val="24"/>
        </w:rPr>
      </w:pPr>
    </w:p>
    <w:p>
      <w:pPr>
        <w:pStyle w:val="Heading2"/>
        <w:spacing w:line="240" w:lineRule="auto"/>
        <w:ind w:right="0"/>
        <w:jc w:val="left"/>
        <w:rPr>
          <w:b w:val="0"/>
          <w:bCs w:val="0"/>
        </w:rPr>
      </w:pPr>
      <w:bookmarkStart w:name="六、董事会关于报告期会计政策、会计估计变更或重大会计差错更正的说明" w:id="69"/>
      <w:bookmarkEnd w:id="69"/>
      <w:r>
        <w:rPr>
          <w:b w:val="0"/>
          <w:bCs w:val="0"/>
        </w:rPr>
      </w:r>
      <w:r>
        <w:rPr/>
        <w:t>六、董事会关于报告期会计政策、会计估计变更或重大会计差错更正的说明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0"/>
        <w:jc w:val="left"/>
      </w:pPr>
      <w:r>
        <w:rPr/>
        <w:t>□ 适用 √ 不适用</w:t>
      </w:r>
    </w:p>
    <w:p>
      <w:pPr>
        <w:spacing w:line="240" w:lineRule="auto" w:before="0"/>
        <w:rPr>
          <w:rFonts w:ascii="宋体" w:hAnsi="宋体" w:cs="宋体" w:eastAsia="宋体" w:hint="default"/>
          <w:sz w:val="25"/>
          <w:szCs w:val="25"/>
        </w:rPr>
      </w:pPr>
    </w:p>
    <w:p>
      <w:pPr>
        <w:pStyle w:val="Heading2"/>
        <w:spacing w:line="240" w:lineRule="auto"/>
        <w:ind w:right="0"/>
        <w:jc w:val="left"/>
        <w:rPr>
          <w:b w:val="0"/>
          <w:bCs w:val="0"/>
        </w:rPr>
      </w:pPr>
      <w:bookmarkStart w:name="七、与上年度财务报告相比，合并报表范围发生变化的情况说明" w:id="70"/>
      <w:bookmarkEnd w:id="70"/>
      <w:r>
        <w:rPr>
          <w:b w:val="0"/>
          <w:bCs w:val="0"/>
        </w:rPr>
      </w:r>
      <w:r>
        <w:rPr/>
        <w:t>七、与上年度财务报告相比，合并报表范围发生变化的情况说明</w:t>
      </w:r>
      <w:r>
        <w:rPr>
          <w:b w:val="0"/>
          <w:bCs w:val="0"/>
        </w:rPr>
      </w:r>
    </w:p>
    <w:p>
      <w:pPr>
        <w:spacing w:line="240" w:lineRule="auto" w:before="9"/>
        <w:rPr>
          <w:rFonts w:ascii="宋体" w:hAnsi="宋体" w:cs="宋体" w:eastAsia="宋体" w:hint="default"/>
          <w:b/>
          <w:bCs/>
          <w:sz w:val="26"/>
          <w:szCs w:val="26"/>
        </w:rPr>
      </w:pPr>
    </w:p>
    <w:p>
      <w:pPr>
        <w:pStyle w:val="BodyText"/>
        <w:spacing w:line="357" w:lineRule="auto" w:before="0"/>
        <w:ind w:right="143"/>
        <w:jc w:val="left"/>
      </w:pPr>
      <w:r>
        <w:rPr/>
        <w:t>√ 适用 □ 不适用 </w:t>
      </w:r>
      <w:r>
        <w:rPr>
          <w:spacing w:val="-1"/>
        </w:rPr>
        <w:t>公司以</w:t>
      </w:r>
      <w:r>
        <w:rPr>
          <w:rFonts w:ascii="Times New Roman" w:hAnsi="Times New Roman" w:cs="Times New Roman" w:eastAsia="Times New Roman" w:hint="default"/>
          <w:spacing w:val="-1"/>
        </w:rPr>
        <w:t>5.6</w:t>
      </w:r>
      <w:r>
        <w:rPr>
          <w:spacing w:val="-1"/>
        </w:rPr>
        <w:t>亿元现金收购奥能电源</w:t>
      </w:r>
      <w:r>
        <w:rPr>
          <w:rFonts w:ascii="Times New Roman" w:hAnsi="Times New Roman" w:cs="Times New Roman" w:eastAsia="Times New Roman" w:hint="default"/>
          <w:spacing w:val="-1"/>
        </w:rPr>
        <w:t>100%</w:t>
      </w:r>
      <w:r>
        <w:rPr>
          <w:spacing w:val="-1"/>
        </w:rPr>
        <w:t>的股权。</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11</w:t>
      </w:r>
      <w:r>
        <w:rPr>
          <w:spacing w:val="-1"/>
        </w:rPr>
        <w:t>月初</w:t>
      </w:r>
      <w:r>
        <w:rPr>
          <w:rFonts w:ascii="Times New Roman" w:hAnsi="Times New Roman" w:cs="Times New Roman" w:eastAsia="Times New Roman" w:hint="default"/>
          <w:spacing w:val="-1"/>
        </w:rPr>
        <w:t>,</w:t>
      </w:r>
      <w:r>
        <w:rPr>
          <w:spacing w:val="-1"/>
        </w:rPr>
        <w:t>杭州高新技术产业开发区（滨江）市场监督管理局核准了奥能</w:t>
      </w:r>
    </w:p>
    <w:p>
      <w:pPr>
        <w:spacing w:after="0" w:line="357" w:lineRule="auto"/>
        <w:jc w:val="left"/>
        <w:sectPr>
          <w:pgSz w:w="11910" w:h="16840"/>
          <w:pgMar w:header="747" w:footer="979" w:top="1060" w:bottom="1160" w:left="980" w:right="980"/>
        </w:sectPr>
      </w:pPr>
    </w:p>
    <w:p>
      <w:pPr>
        <w:spacing w:line="240" w:lineRule="auto" w:before="12"/>
        <w:rPr>
          <w:rFonts w:ascii="宋体" w:hAnsi="宋体" w:cs="宋体" w:eastAsia="宋体" w:hint="default"/>
          <w:sz w:val="25"/>
          <w:szCs w:val="25"/>
        </w:rPr>
      </w:pPr>
    </w:p>
    <w:p>
      <w:pPr>
        <w:pStyle w:val="BodyText"/>
        <w:spacing w:line="304" w:lineRule="auto"/>
        <w:ind w:right="138"/>
        <w:jc w:val="left"/>
      </w:pPr>
      <w:r>
        <w:rPr>
          <w:spacing w:val="-2"/>
        </w:rPr>
        <w:t>电源的股东变更事宜，奥能电源已收到杭州高新技术产业开发区（滨江）市场监督管理局核发的营业执照，奥能电源股权过</w:t>
      </w:r>
      <w:r>
        <w:rPr>
          <w:spacing w:val="-66"/>
        </w:rPr>
        <w:t> </w:t>
      </w:r>
      <w:r>
        <w:rPr>
          <w:spacing w:val="-66"/>
        </w:rPr>
      </w:r>
      <w:r>
        <w:rPr/>
        <w:t>户手续完成后，公司持有奥能电源</w:t>
      </w:r>
      <w:r>
        <w:rPr>
          <w:rFonts w:ascii="Times New Roman" w:hAnsi="Times New Roman" w:cs="Times New Roman" w:eastAsia="Times New Roman" w:hint="default"/>
        </w:rPr>
        <w:t>100%</w:t>
      </w:r>
      <w:r>
        <w:rPr/>
        <w:t>股权。 </w:t>
      </w:r>
      <w:r>
        <w:rPr>
          <w:spacing w:val="-2"/>
        </w:rPr>
        <w:t>公司与福建南平太阳电缆股份有限公司控股子公司福建上杭太阳铜业有限公司签署投资协议书，共同出资</w:t>
      </w:r>
      <w:r>
        <w:rPr>
          <w:rFonts w:ascii="Times New Roman" w:hAnsi="Times New Roman" w:cs="Times New Roman" w:eastAsia="Times New Roman" w:hint="default"/>
          <w:spacing w:val="-2"/>
        </w:rPr>
        <w:t>3000</w:t>
      </w:r>
      <w:r>
        <w:rPr>
          <w:spacing w:val="-2"/>
        </w:rPr>
        <w:t>万元设立太阳</w:t>
      </w:r>
      <w:r>
        <w:rPr>
          <w:spacing w:val="-59"/>
        </w:rPr>
        <w:t> </w:t>
      </w:r>
      <w:r>
        <w:rPr/>
        <w:t>高新，公司出资比例为</w:t>
      </w:r>
      <w:r>
        <w:rPr>
          <w:rFonts w:ascii="Times New Roman" w:hAnsi="Times New Roman" w:cs="Times New Roman" w:eastAsia="Times New Roman" w:hint="default"/>
        </w:rPr>
        <w:t>51%</w:t>
      </w:r>
      <w:r>
        <w:rPr/>
        <w:t>。</w:t>
      </w:r>
      <w:r>
        <w:rPr>
          <w:rFonts w:ascii="Times New Roman" w:hAnsi="Times New Roman" w:cs="Times New Roman" w:eastAsia="Times New Roman" w:hint="default"/>
        </w:rPr>
        <w:t>2017 </w:t>
      </w:r>
      <w:r>
        <w:rPr/>
        <w:t>年 </w:t>
      </w:r>
      <w:r>
        <w:rPr>
          <w:rFonts w:ascii="Times New Roman" w:hAnsi="Times New Roman" w:cs="Times New Roman" w:eastAsia="Times New Roman" w:hint="default"/>
        </w:rPr>
        <w:t>02 </w:t>
      </w:r>
      <w:r>
        <w:rPr/>
        <w:t>月 </w:t>
      </w:r>
      <w:r>
        <w:rPr>
          <w:rFonts w:ascii="Times New Roman" w:hAnsi="Times New Roman" w:cs="Times New Roman" w:eastAsia="Times New Roman" w:hint="default"/>
        </w:rPr>
        <w:t>17</w:t>
      </w:r>
      <w:r>
        <w:rPr>
          <w:rFonts w:ascii="Times New Roman" w:hAnsi="Times New Roman" w:cs="Times New Roman" w:eastAsia="Times New Roman" w:hint="default"/>
          <w:spacing w:val="-11"/>
        </w:rPr>
        <w:t> </w:t>
      </w:r>
      <w:r>
        <w:rPr/>
        <w:t>日，太阳高新完成了相关工商注册登记手续，并获得了福建省南平市工商行 政管理局颁发的营业执照。</w:t>
      </w:r>
    </w:p>
    <w:p>
      <w:pPr>
        <w:spacing w:line="240" w:lineRule="auto" w:before="6"/>
        <w:rPr>
          <w:rFonts w:ascii="宋体" w:hAnsi="宋体" w:cs="宋体" w:eastAsia="宋体" w:hint="default"/>
          <w:sz w:val="21"/>
          <w:szCs w:val="21"/>
        </w:rPr>
      </w:pPr>
    </w:p>
    <w:p>
      <w:pPr>
        <w:pStyle w:val="Heading2"/>
        <w:spacing w:line="240" w:lineRule="auto"/>
        <w:ind w:right="0"/>
        <w:jc w:val="left"/>
        <w:rPr>
          <w:b w:val="0"/>
          <w:bCs w:val="0"/>
        </w:rPr>
      </w:pPr>
      <w:bookmarkStart w:name="八、聘任、解聘会计师事务所情况" w:id="71"/>
      <w:bookmarkEnd w:id="71"/>
      <w:r>
        <w:rPr>
          <w:b w:val="0"/>
          <w:bCs w:val="0"/>
        </w:rPr>
      </w:r>
      <w:r>
        <w:rPr/>
        <w:t>八、聘任、解聘会计师事务所情况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0"/>
        <w:jc w:val="left"/>
      </w:pPr>
      <w:r>
        <w:rPr/>
        <w:t>现聘任的会计事务所</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792"/>
        <w:gridCol w:w="4777"/>
      </w:tblGrid>
      <w:tr>
        <w:trPr>
          <w:trHeight w:val="403"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天健会计师事务所（特殊普通合伙）</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90</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9</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王强、李唯婕</w:t>
            </w:r>
          </w:p>
        </w:tc>
      </w:tr>
      <w:tr>
        <w:trPr>
          <w:trHeight w:val="403"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境内会计师事务所注册会计师审计服务的连续年限</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王强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年，李唯婕</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bl>
    <w:p>
      <w:pPr>
        <w:pStyle w:val="BodyText"/>
        <w:spacing w:line="240" w:lineRule="auto" w:before="51"/>
        <w:ind w:right="0"/>
        <w:jc w:val="left"/>
      </w:pPr>
      <w:r>
        <w:rPr/>
        <w:t>是否改聘会计师事务所</w:t>
      </w:r>
    </w:p>
    <w:p>
      <w:pPr>
        <w:pStyle w:val="BodyText"/>
        <w:spacing w:line="360" w:lineRule="auto" w:before="116"/>
        <w:ind w:right="5272"/>
        <w:jc w:val="left"/>
      </w:pPr>
      <w:r>
        <w:rPr/>
        <w:t>□ 是 √ 否 聘请内部控制审计会计师事务所、财务顾问或保荐人情况</w:t>
      </w:r>
    </w:p>
    <w:p>
      <w:pPr>
        <w:pStyle w:val="BodyText"/>
        <w:spacing w:line="240" w:lineRule="auto" w:before="26"/>
        <w:ind w:right="0"/>
        <w:jc w:val="left"/>
      </w:pPr>
      <w:r>
        <w:rPr/>
        <w:t>□ 适用 √ 不适用</w:t>
      </w:r>
    </w:p>
    <w:p>
      <w:pPr>
        <w:spacing w:line="240" w:lineRule="auto" w:before="13"/>
        <w:rPr>
          <w:rFonts w:ascii="宋体" w:hAnsi="宋体" w:cs="宋体" w:eastAsia="宋体" w:hint="default"/>
          <w:sz w:val="24"/>
          <w:szCs w:val="24"/>
        </w:rPr>
      </w:pPr>
    </w:p>
    <w:p>
      <w:pPr>
        <w:pStyle w:val="Heading2"/>
        <w:spacing w:line="240" w:lineRule="auto"/>
        <w:ind w:right="0"/>
        <w:jc w:val="left"/>
        <w:rPr>
          <w:b w:val="0"/>
          <w:bCs w:val="0"/>
        </w:rPr>
      </w:pPr>
      <w:bookmarkStart w:name="九、年度报告披露后面临暂停上市和终止上市情况" w:id="72"/>
      <w:bookmarkEnd w:id="72"/>
      <w:r>
        <w:rPr>
          <w:b w:val="0"/>
          <w:bCs w:val="0"/>
        </w:rPr>
      </w:r>
      <w:r>
        <w:rPr/>
        <w:t>九、年度报告披露后面临暂停上市和终止上市情况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0"/>
        <w:jc w:val="left"/>
      </w:pPr>
      <w:r>
        <w:rPr/>
        <w:t>□ 适用 √ 不适用</w:t>
      </w:r>
    </w:p>
    <w:p>
      <w:pPr>
        <w:spacing w:line="240" w:lineRule="auto" w:before="13"/>
        <w:rPr>
          <w:rFonts w:ascii="宋体" w:hAnsi="宋体" w:cs="宋体" w:eastAsia="宋体" w:hint="default"/>
          <w:sz w:val="24"/>
          <w:szCs w:val="24"/>
        </w:rPr>
      </w:pPr>
    </w:p>
    <w:p>
      <w:pPr>
        <w:pStyle w:val="Heading2"/>
        <w:spacing w:line="240" w:lineRule="auto"/>
        <w:ind w:right="0"/>
        <w:jc w:val="left"/>
        <w:rPr>
          <w:b w:val="0"/>
          <w:bCs w:val="0"/>
        </w:rPr>
      </w:pPr>
      <w:bookmarkStart w:name="十、破产重整相关事项" w:id="73"/>
      <w:bookmarkEnd w:id="73"/>
      <w:r>
        <w:rPr>
          <w:b w:val="0"/>
          <w:bCs w:val="0"/>
        </w:rPr>
      </w:r>
      <w:r>
        <w:rPr/>
        <w:t>十、破产重整相关事项</w:t>
      </w:r>
      <w:r>
        <w:rPr>
          <w:b w:val="0"/>
          <w:bCs w:val="0"/>
        </w:rPr>
      </w:r>
    </w:p>
    <w:p>
      <w:pPr>
        <w:spacing w:line="240" w:lineRule="auto" w:before="9"/>
        <w:rPr>
          <w:rFonts w:ascii="宋体" w:hAnsi="宋体" w:cs="宋体" w:eastAsia="宋体" w:hint="default"/>
          <w:b/>
          <w:bCs/>
          <w:sz w:val="26"/>
          <w:szCs w:val="26"/>
        </w:rPr>
      </w:pPr>
    </w:p>
    <w:p>
      <w:pPr>
        <w:pStyle w:val="BodyText"/>
        <w:spacing w:line="360" w:lineRule="auto" w:before="0"/>
        <w:ind w:right="6712"/>
        <w:jc w:val="left"/>
      </w:pPr>
      <w:r>
        <w:rPr/>
        <w:t>□ 适用 √ 不适用 公司报告期未发生破产重整相关事项。</w:t>
      </w:r>
    </w:p>
    <w:p>
      <w:pPr>
        <w:spacing w:line="240" w:lineRule="auto" w:before="1"/>
        <w:rPr>
          <w:rFonts w:ascii="宋体" w:hAnsi="宋体" w:cs="宋体" w:eastAsia="宋体" w:hint="default"/>
          <w:sz w:val="18"/>
          <w:szCs w:val="18"/>
        </w:rPr>
      </w:pPr>
    </w:p>
    <w:p>
      <w:pPr>
        <w:pStyle w:val="Heading2"/>
        <w:spacing w:line="240" w:lineRule="auto"/>
        <w:ind w:right="0"/>
        <w:jc w:val="left"/>
        <w:rPr>
          <w:b w:val="0"/>
          <w:bCs w:val="0"/>
        </w:rPr>
      </w:pPr>
      <w:bookmarkStart w:name="十一、重大诉讼、仲裁事项" w:id="74"/>
      <w:bookmarkEnd w:id="74"/>
      <w:r>
        <w:rPr>
          <w:b w:val="0"/>
          <w:bCs w:val="0"/>
        </w:rPr>
      </w:r>
      <w:r>
        <w:rPr/>
        <w:t>十一、重大诉讼、仲裁事项</w:t>
      </w:r>
      <w:r>
        <w:rPr>
          <w:b w:val="0"/>
          <w:bCs w:val="0"/>
        </w:rPr>
      </w:r>
    </w:p>
    <w:p>
      <w:pPr>
        <w:spacing w:line="240" w:lineRule="auto" w:before="9"/>
        <w:rPr>
          <w:rFonts w:ascii="宋体" w:hAnsi="宋体" w:cs="宋体" w:eastAsia="宋体" w:hint="default"/>
          <w:b/>
          <w:bCs/>
          <w:sz w:val="26"/>
          <w:szCs w:val="26"/>
        </w:rPr>
      </w:pPr>
    </w:p>
    <w:p>
      <w:pPr>
        <w:pStyle w:val="BodyText"/>
        <w:spacing w:line="357" w:lineRule="auto" w:before="0"/>
        <w:ind w:right="6892"/>
        <w:jc w:val="left"/>
      </w:pPr>
      <w:r>
        <w:rPr/>
        <w:t>□ 适用 √ 不适用 本年度公司无重大诉讼、仲裁事项。</w:t>
      </w:r>
    </w:p>
    <w:p>
      <w:pPr>
        <w:spacing w:line="240" w:lineRule="auto" w:before="3"/>
        <w:rPr>
          <w:rFonts w:ascii="宋体" w:hAnsi="宋体" w:cs="宋体" w:eastAsia="宋体" w:hint="default"/>
          <w:sz w:val="18"/>
          <w:szCs w:val="18"/>
        </w:rPr>
      </w:pPr>
    </w:p>
    <w:p>
      <w:pPr>
        <w:pStyle w:val="Heading2"/>
        <w:spacing w:line="240" w:lineRule="auto"/>
        <w:ind w:right="0"/>
        <w:jc w:val="left"/>
        <w:rPr>
          <w:b w:val="0"/>
          <w:bCs w:val="0"/>
        </w:rPr>
      </w:pPr>
      <w:bookmarkStart w:name="十二、处罚及整改情况" w:id="75"/>
      <w:bookmarkEnd w:id="75"/>
      <w:r>
        <w:rPr>
          <w:b w:val="0"/>
          <w:bCs w:val="0"/>
        </w:rPr>
      </w:r>
      <w:r>
        <w:rPr/>
        <w:t>十二、处罚及整改情况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before="0"/>
        <w:ind w:right="6892"/>
        <w:jc w:val="left"/>
      </w:pPr>
      <w:r>
        <w:rPr/>
        <w:t>□ 适用 √ 不适用 公司报告期不存在处罚及整改情况。</w:t>
      </w:r>
    </w:p>
    <w:p>
      <w:pPr>
        <w:spacing w:line="240" w:lineRule="auto" w:before="5"/>
        <w:rPr>
          <w:rFonts w:ascii="宋体" w:hAnsi="宋体" w:cs="宋体" w:eastAsia="宋体" w:hint="default"/>
          <w:sz w:val="18"/>
          <w:szCs w:val="18"/>
        </w:rPr>
      </w:pPr>
    </w:p>
    <w:p>
      <w:pPr>
        <w:pStyle w:val="Heading2"/>
        <w:spacing w:line="240" w:lineRule="auto"/>
        <w:ind w:right="0"/>
        <w:jc w:val="left"/>
        <w:rPr>
          <w:b w:val="0"/>
          <w:bCs w:val="0"/>
        </w:rPr>
      </w:pPr>
      <w:bookmarkStart w:name="十三、公司及其控股股东、实际控制人的诚信状况" w:id="76"/>
      <w:bookmarkEnd w:id="76"/>
      <w:r>
        <w:rPr>
          <w:b w:val="0"/>
          <w:bCs w:val="0"/>
        </w:rPr>
      </w:r>
      <w:r>
        <w:rPr/>
        <w:t>十三、公司及其控股股东、实际控制人的诚信状况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0"/>
        <w:jc w:val="left"/>
      </w:pPr>
      <w:r>
        <w:rPr/>
        <w:t>□ 适用 √ 不适用</w:t>
      </w:r>
    </w:p>
    <w:p>
      <w:pPr>
        <w:spacing w:after="0" w:line="240" w:lineRule="auto"/>
        <w:jc w:val="left"/>
        <w:sectPr>
          <w:pgSz w:w="11910" w:h="16840"/>
          <w:pgMar w:header="747" w:footer="979" w:top="1060" w:bottom="1160" w:left="980" w:right="98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bookmarkStart w:name="十四、公司股权激励计划、员工持股计划或其他员工激励措施的实施情况" w:id="77"/>
      <w:bookmarkEnd w:id="77"/>
      <w:r>
        <w:rPr>
          <w:b w:val="0"/>
          <w:bCs w:val="0"/>
        </w:rPr>
      </w:r>
      <w:r>
        <w:rPr/>
        <w:t>十四、公司股权激励计划、员工持股计划或其他员工激励措施的实施情况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before="0"/>
        <w:ind w:right="3472"/>
        <w:jc w:val="left"/>
      </w:pPr>
      <w:r>
        <w:rPr/>
        <w:t>□ 适用 √ 不适用 公司报告期无股权激励计划、员工持股计划或其他员工激励措施及其实施情况。</w:t>
      </w:r>
    </w:p>
    <w:p>
      <w:pPr>
        <w:spacing w:line="240" w:lineRule="auto" w:before="5"/>
        <w:rPr>
          <w:rFonts w:ascii="宋体" w:hAnsi="宋体" w:cs="宋体" w:eastAsia="宋体" w:hint="default"/>
          <w:sz w:val="18"/>
          <w:szCs w:val="18"/>
        </w:rPr>
      </w:pPr>
    </w:p>
    <w:p>
      <w:pPr>
        <w:pStyle w:val="Heading2"/>
        <w:spacing w:line="240" w:lineRule="auto"/>
        <w:ind w:right="0"/>
        <w:jc w:val="left"/>
        <w:rPr>
          <w:b w:val="0"/>
          <w:bCs w:val="0"/>
        </w:rPr>
      </w:pPr>
      <w:bookmarkStart w:name="十五、重大关联交易" w:id="78"/>
      <w:bookmarkEnd w:id="78"/>
      <w:r>
        <w:rPr>
          <w:b w:val="0"/>
          <w:bCs w:val="0"/>
        </w:rPr>
      </w:r>
      <w:r>
        <w:rPr/>
        <w:t>十五、重大关联交易</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bookmarkStart w:name="1、与日常经营相关的关联交易" w:id="79"/>
      <w:bookmarkEnd w:id="79"/>
      <w:r>
        <w:rPr>
          <w:b w:val="0"/>
          <w:bCs w:val="0"/>
        </w:rPr>
      </w:r>
      <w:r>
        <w:rPr>
          <w:rFonts w:ascii="Times New Roman" w:hAnsi="Times New Roman" w:cs="Times New Roman" w:eastAsia="Times New Roman" w:hint="default"/>
        </w:rPr>
        <w:t>1</w:t>
      </w:r>
      <w:r>
        <w:rPr/>
        <w:t>、与日常经营相关的关联交易</w:t>
      </w:r>
      <w:r>
        <w:rPr>
          <w:b w:val="0"/>
          <w:bCs w:val="0"/>
        </w:rPr>
      </w:r>
    </w:p>
    <w:p>
      <w:pPr>
        <w:spacing w:line="240" w:lineRule="auto" w:before="9"/>
        <w:rPr>
          <w:rFonts w:ascii="宋体" w:hAnsi="宋体" w:cs="宋体" w:eastAsia="宋体" w:hint="default"/>
          <w:b/>
          <w:bCs/>
          <w:sz w:val="26"/>
          <w:szCs w:val="26"/>
        </w:rPr>
      </w:pPr>
    </w:p>
    <w:p>
      <w:pPr>
        <w:pStyle w:val="BodyText"/>
        <w:spacing w:line="357" w:lineRule="auto" w:before="0"/>
        <w:ind w:right="5632"/>
        <w:jc w:val="left"/>
      </w:pPr>
      <w:r>
        <w:rPr/>
        <w:t>□ 适用 √ 不适用 公司报告期未发生与日常经营相关的关联交易。</w:t>
      </w:r>
    </w:p>
    <w:p>
      <w:pPr>
        <w:spacing w:line="240" w:lineRule="auto" w:before="13"/>
        <w:rPr>
          <w:rFonts w:ascii="宋体" w:hAnsi="宋体" w:cs="宋体" w:eastAsia="宋体" w:hint="default"/>
          <w:sz w:val="19"/>
          <w:szCs w:val="19"/>
        </w:rPr>
      </w:pPr>
    </w:p>
    <w:p>
      <w:pPr>
        <w:pStyle w:val="Heading5"/>
        <w:spacing w:line="240" w:lineRule="auto"/>
        <w:ind w:right="0"/>
        <w:jc w:val="left"/>
        <w:rPr>
          <w:b w:val="0"/>
          <w:bCs w:val="0"/>
        </w:rPr>
      </w:pPr>
      <w:bookmarkStart w:name="2、资产或股权收购、出售发生的关联交易" w:id="80"/>
      <w:bookmarkEnd w:id="80"/>
      <w:r>
        <w:rPr>
          <w:b w:val="0"/>
          <w:bCs w:val="0"/>
        </w:rPr>
      </w: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9"/>
        <w:rPr>
          <w:rFonts w:ascii="宋体" w:hAnsi="宋体" w:cs="宋体" w:eastAsia="宋体" w:hint="default"/>
          <w:b/>
          <w:bCs/>
          <w:sz w:val="26"/>
          <w:szCs w:val="26"/>
        </w:rPr>
      </w:pPr>
    </w:p>
    <w:p>
      <w:pPr>
        <w:pStyle w:val="BodyText"/>
        <w:spacing w:line="357" w:lineRule="auto" w:before="0"/>
        <w:ind w:right="5452"/>
        <w:jc w:val="left"/>
      </w:pPr>
      <w:r>
        <w:rPr/>
        <w:t>□ 适用 √ 不适用 公司报告期未发生资产或股权收购、出售的关联交易。</w:t>
      </w:r>
    </w:p>
    <w:p>
      <w:pPr>
        <w:spacing w:line="240" w:lineRule="auto" w:before="1"/>
        <w:rPr>
          <w:rFonts w:ascii="宋体" w:hAnsi="宋体" w:cs="宋体" w:eastAsia="宋体" w:hint="default"/>
          <w:sz w:val="20"/>
          <w:szCs w:val="20"/>
        </w:rPr>
      </w:pPr>
    </w:p>
    <w:p>
      <w:pPr>
        <w:pStyle w:val="Heading5"/>
        <w:spacing w:line="240" w:lineRule="auto"/>
        <w:ind w:right="0"/>
        <w:jc w:val="left"/>
        <w:rPr>
          <w:b w:val="0"/>
          <w:bCs w:val="0"/>
        </w:rPr>
      </w:pPr>
      <w:bookmarkStart w:name="3、共同对外投资的关联交易" w:id="81"/>
      <w:bookmarkEnd w:id="81"/>
      <w:r>
        <w:rPr>
          <w:b w:val="0"/>
          <w:bCs w:val="0"/>
        </w:rPr>
      </w:r>
      <w:r>
        <w:rPr>
          <w:rFonts w:ascii="Times New Roman" w:hAnsi="Times New Roman" w:cs="Times New Roman" w:eastAsia="Times New Roman" w:hint="default"/>
        </w:rPr>
        <w:t>3</w:t>
      </w:r>
      <w:r>
        <w:rPr/>
        <w:t>、共同对外投资的关联交易</w:t>
      </w:r>
      <w:r>
        <w:rPr>
          <w:b w:val="0"/>
          <w:bCs w:val="0"/>
        </w:rPr>
      </w:r>
    </w:p>
    <w:p>
      <w:pPr>
        <w:spacing w:line="240" w:lineRule="auto" w:before="8"/>
        <w:rPr>
          <w:rFonts w:ascii="宋体" w:hAnsi="宋体" w:cs="宋体" w:eastAsia="宋体" w:hint="default"/>
          <w:b/>
          <w:bCs/>
          <w:sz w:val="26"/>
          <w:szCs w:val="26"/>
        </w:rPr>
      </w:pPr>
    </w:p>
    <w:p>
      <w:pPr>
        <w:pStyle w:val="BodyText"/>
        <w:spacing w:line="360" w:lineRule="auto" w:before="0"/>
        <w:ind w:right="6172"/>
        <w:jc w:val="left"/>
      </w:pPr>
      <w:r>
        <w:rPr/>
        <w:t>□ 适用 √ 不适用 公司报告期未发生共同对外投资的关联交易。</w:t>
      </w:r>
    </w:p>
    <w:p>
      <w:pPr>
        <w:spacing w:line="240" w:lineRule="auto" w:before="12"/>
        <w:rPr>
          <w:rFonts w:ascii="宋体" w:hAnsi="宋体" w:cs="宋体" w:eastAsia="宋体" w:hint="default"/>
          <w:sz w:val="19"/>
          <w:szCs w:val="19"/>
        </w:rPr>
      </w:pPr>
    </w:p>
    <w:p>
      <w:pPr>
        <w:pStyle w:val="Heading5"/>
        <w:spacing w:line="240" w:lineRule="auto"/>
        <w:ind w:right="0"/>
        <w:jc w:val="left"/>
        <w:rPr>
          <w:b w:val="0"/>
          <w:bCs w:val="0"/>
        </w:rPr>
      </w:pPr>
      <w:bookmarkStart w:name="4、关联债权债务往来" w:id="82"/>
      <w:bookmarkEnd w:id="82"/>
      <w:r>
        <w:rPr>
          <w:b w:val="0"/>
          <w:bCs w:val="0"/>
        </w:rPr>
      </w:r>
      <w:r>
        <w:rPr>
          <w:rFonts w:ascii="Times New Roman" w:hAnsi="Times New Roman" w:cs="Times New Roman" w:eastAsia="Times New Roman" w:hint="default"/>
        </w:rPr>
        <w:t>4</w:t>
      </w:r>
      <w:r>
        <w:rPr/>
        <w:t>、关联债权债务往来</w:t>
      </w:r>
      <w:r>
        <w:rPr>
          <w:b w:val="0"/>
          <w:bCs w:val="0"/>
        </w:rPr>
      </w:r>
    </w:p>
    <w:p>
      <w:pPr>
        <w:spacing w:line="240" w:lineRule="auto" w:before="9"/>
        <w:rPr>
          <w:rFonts w:ascii="宋体" w:hAnsi="宋体" w:cs="宋体" w:eastAsia="宋体" w:hint="default"/>
          <w:b/>
          <w:bCs/>
          <w:sz w:val="26"/>
          <w:szCs w:val="26"/>
        </w:rPr>
      </w:pPr>
    </w:p>
    <w:p>
      <w:pPr>
        <w:pStyle w:val="BodyText"/>
        <w:spacing w:line="357" w:lineRule="auto" w:before="0"/>
        <w:ind w:right="6712"/>
        <w:jc w:val="left"/>
      </w:pPr>
      <w:r>
        <w:rPr/>
        <w:t>□ 适用 √ 不适用 公司报告期不存在关联债权债务往来。</w:t>
      </w:r>
    </w:p>
    <w:p>
      <w:pPr>
        <w:spacing w:line="240" w:lineRule="auto" w:before="13"/>
        <w:rPr>
          <w:rFonts w:ascii="宋体" w:hAnsi="宋体" w:cs="宋体" w:eastAsia="宋体" w:hint="default"/>
          <w:sz w:val="19"/>
          <w:szCs w:val="19"/>
        </w:rPr>
      </w:pPr>
    </w:p>
    <w:p>
      <w:pPr>
        <w:pStyle w:val="Heading5"/>
        <w:spacing w:line="240" w:lineRule="auto"/>
        <w:ind w:right="0"/>
        <w:jc w:val="left"/>
        <w:rPr>
          <w:b w:val="0"/>
          <w:bCs w:val="0"/>
        </w:rPr>
      </w:pPr>
      <w:bookmarkStart w:name="5、其他重大关联交易" w:id="83"/>
      <w:bookmarkEnd w:id="83"/>
      <w:r>
        <w:rPr>
          <w:b w:val="0"/>
          <w:bCs w:val="0"/>
        </w:rPr>
      </w:r>
      <w:r>
        <w:rPr>
          <w:rFonts w:ascii="Times New Roman" w:hAnsi="Times New Roman" w:cs="Times New Roman" w:eastAsia="Times New Roman" w:hint="default"/>
        </w:rPr>
        <w:t>5</w:t>
      </w:r>
      <w:r>
        <w:rPr/>
        <w:t>、其他重大关联交易</w:t>
      </w:r>
      <w:r>
        <w:rPr>
          <w:b w:val="0"/>
          <w:bCs w:val="0"/>
        </w:rPr>
      </w:r>
    </w:p>
    <w:p>
      <w:pPr>
        <w:spacing w:line="240" w:lineRule="auto" w:before="9"/>
        <w:rPr>
          <w:rFonts w:ascii="宋体" w:hAnsi="宋体" w:cs="宋体" w:eastAsia="宋体" w:hint="default"/>
          <w:b/>
          <w:bCs/>
          <w:sz w:val="26"/>
          <w:szCs w:val="26"/>
        </w:rPr>
      </w:pPr>
    </w:p>
    <w:p>
      <w:pPr>
        <w:pStyle w:val="BodyText"/>
        <w:spacing w:line="360" w:lineRule="auto" w:before="0"/>
        <w:ind w:right="7072"/>
        <w:jc w:val="left"/>
      </w:pPr>
      <w:r>
        <w:rPr/>
        <w:t>□ 适用 √ 不适用 公司报告期无其他重大关联交易。</w:t>
      </w:r>
    </w:p>
    <w:p>
      <w:pPr>
        <w:spacing w:line="240" w:lineRule="auto" w:before="1"/>
        <w:rPr>
          <w:rFonts w:ascii="宋体" w:hAnsi="宋体" w:cs="宋体" w:eastAsia="宋体" w:hint="default"/>
          <w:sz w:val="18"/>
          <w:szCs w:val="18"/>
        </w:rPr>
      </w:pPr>
    </w:p>
    <w:p>
      <w:pPr>
        <w:pStyle w:val="Heading2"/>
        <w:spacing w:line="240" w:lineRule="auto"/>
        <w:ind w:right="0"/>
        <w:jc w:val="left"/>
        <w:rPr>
          <w:b w:val="0"/>
          <w:bCs w:val="0"/>
        </w:rPr>
      </w:pPr>
      <w:bookmarkStart w:name="十六、重大合同及其履行情况" w:id="84"/>
      <w:bookmarkEnd w:id="84"/>
      <w:r>
        <w:rPr>
          <w:b w:val="0"/>
          <w:bCs w:val="0"/>
        </w:rPr>
      </w:r>
      <w:r>
        <w:rPr/>
        <w:t>十六、重大合同及其履行情况</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right="0"/>
        <w:jc w:val="left"/>
        <w:rPr>
          <w:b w:val="0"/>
          <w:bCs w:val="0"/>
        </w:rPr>
      </w:pPr>
      <w:bookmarkStart w:name="1、托管、承包、租赁事项情况" w:id="85"/>
      <w:bookmarkEnd w:id="85"/>
      <w:r>
        <w:rPr>
          <w:b w:val="0"/>
          <w:bCs w:val="0"/>
        </w:rPr>
      </w:r>
      <w:r>
        <w:rPr>
          <w:rFonts w:ascii="Times New Roman" w:hAnsi="Times New Roman" w:cs="Times New Roman" w:eastAsia="Times New Roman" w:hint="default"/>
        </w:rPr>
        <w:t>1</w:t>
      </w:r>
      <w:r>
        <w:rPr/>
        <w:t>、托管、承包、租赁事项情况</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bookmarkStart w:name="（1）托管情况" w:id="86"/>
      <w:bookmarkEnd w:id="86"/>
      <w:r>
        <w:rPr>
          <w:b w:val="0"/>
          <w:bCs w:val="0"/>
        </w:rPr>
      </w:r>
      <w:r>
        <w:rPr/>
        <w:t>（</w:t>
      </w:r>
      <w:r>
        <w:rPr>
          <w:rFonts w:ascii="Times New Roman" w:hAnsi="Times New Roman" w:cs="Times New Roman" w:eastAsia="Times New Roman" w:hint="default"/>
        </w:rPr>
        <w:t>1</w:t>
      </w:r>
      <w:r>
        <w:rPr/>
        <w:t>）托管情况</w:t>
      </w:r>
      <w:r>
        <w:rPr>
          <w:b w:val="0"/>
          <w:bCs w:val="0"/>
        </w:rPr>
      </w:r>
    </w:p>
    <w:p>
      <w:pPr>
        <w:spacing w:line="240" w:lineRule="auto" w:before="8"/>
        <w:rPr>
          <w:rFonts w:ascii="宋体" w:hAnsi="宋体" w:cs="宋体" w:eastAsia="宋体" w:hint="default"/>
          <w:b/>
          <w:bCs/>
          <w:sz w:val="26"/>
          <w:szCs w:val="26"/>
        </w:rPr>
      </w:pPr>
    </w:p>
    <w:p>
      <w:pPr>
        <w:pStyle w:val="BodyText"/>
        <w:spacing w:line="357" w:lineRule="auto" w:before="0"/>
        <w:ind w:right="7432"/>
        <w:jc w:val="left"/>
      </w:pPr>
      <w:r>
        <w:rPr/>
        <w:t>□ 适用 √ 不适用 公司报告期不存在托管情况。</w:t>
      </w:r>
    </w:p>
    <w:p>
      <w:pPr>
        <w:spacing w:line="240" w:lineRule="auto" w:before="0"/>
        <w:rPr>
          <w:rFonts w:ascii="宋体" w:hAnsi="宋体" w:cs="宋体" w:eastAsia="宋体" w:hint="default"/>
          <w:sz w:val="20"/>
          <w:szCs w:val="20"/>
        </w:rPr>
      </w:pPr>
    </w:p>
    <w:p>
      <w:pPr>
        <w:pStyle w:val="Heading5"/>
        <w:spacing w:line="240" w:lineRule="auto"/>
        <w:ind w:right="0"/>
        <w:jc w:val="left"/>
        <w:rPr>
          <w:b w:val="0"/>
          <w:bCs w:val="0"/>
        </w:rPr>
      </w:pPr>
      <w:bookmarkStart w:name="（2）承包情况" w:id="87"/>
      <w:bookmarkEnd w:id="87"/>
      <w:r>
        <w:rPr>
          <w:b w:val="0"/>
          <w:bCs w:val="0"/>
        </w:rPr>
      </w:r>
      <w:r>
        <w:rPr/>
        <w:t>（</w:t>
      </w:r>
      <w:r>
        <w:rPr>
          <w:rFonts w:ascii="Times New Roman" w:hAnsi="Times New Roman" w:cs="Times New Roman" w:eastAsia="Times New Roman" w:hint="default"/>
        </w:rPr>
        <w:t>2</w:t>
      </w:r>
      <w:r>
        <w:rPr/>
        <w:t>）承包情况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0"/>
        <w:jc w:val="left"/>
      </w:pPr>
      <w:r>
        <w:rPr/>
        <w:t>□ 适用 √ 不适用</w:t>
      </w:r>
    </w:p>
    <w:p>
      <w:pPr>
        <w:spacing w:after="0" w:line="240" w:lineRule="auto"/>
        <w:jc w:val="left"/>
        <w:sectPr>
          <w:pgSz w:w="11910" w:h="16840"/>
          <w:pgMar w:header="747" w:footer="979" w:top="1060" w:bottom="1160" w:left="980" w:right="980"/>
        </w:sectPr>
      </w:pPr>
    </w:p>
    <w:p>
      <w:pPr>
        <w:spacing w:line="240" w:lineRule="auto" w:before="13"/>
        <w:rPr>
          <w:rFonts w:ascii="宋体" w:hAnsi="宋体" w:cs="宋体" w:eastAsia="宋体" w:hint="default"/>
          <w:sz w:val="25"/>
          <w:szCs w:val="25"/>
        </w:rPr>
      </w:pPr>
    </w:p>
    <w:p>
      <w:pPr>
        <w:pStyle w:val="BodyText"/>
        <w:spacing w:line="240" w:lineRule="auto"/>
        <w:ind w:right="0"/>
        <w:jc w:val="left"/>
      </w:pPr>
      <w:r>
        <w:rPr/>
        <w:t>公司报告期不存在承包情况。</w:t>
      </w:r>
    </w:p>
    <w:p>
      <w:pPr>
        <w:spacing w:line="240" w:lineRule="auto" w:before="10"/>
        <w:rPr>
          <w:rFonts w:ascii="宋体" w:hAnsi="宋体" w:cs="宋体" w:eastAsia="宋体" w:hint="default"/>
          <w:sz w:val="26"/>
          <w:szCs w:val="26"/>
        </w:rPr>
      </w:pPr>
    </w:p>
    <w:p>
      <w:pPr>
        <w:pStyle w:val="Heading5"/>
        <w:spacing w:line="240" w:lineRule="auto"/>
        <w:ind w:right="0"/>
        <w:jc w:val="left"/>
        <w:rPr>
          <w:b w:val="0"/>
          <w:bCs w:val="0"/>
        </w:rPr>
      </w:pPr>
      <w:bookmarkStart w:name="（3）租赁情况" w:id="88"/>
      <w:bookmarkEnd w:id="88"/>
      <w:r>
        <w:rPr>
          <w:b w:val="0"/>
          <w:bCs w:val="0"/>
        </w:rPr>
      </w:r>
      <w:r>
        <w:rPr/>
        <w:t>（</w:t>
      </w:r>
      <w:r>
        <w:rPr>
          <w:rFonts w:ascii="Times New Roman" w:hAnsi="Times New Roman" w:cs="Times New Roman" w:eastAsia="Times New Roman" w:hint="default"/>
        </w:rPr>
        <w:t>3</w:t>
      </w:r>
      <w:r>
        <w:rPr/>
        <w:t>）租赁情况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before="0"/>
        <w:ind w:right="8242"/>
        <w:jc w:val="left"/>
      </w:pPr>
      <w:r>
        <w:rPr/>
        <w:t>√ 适用 □ 不适用 租赁情况说明</w:t>
      </w:r>
    </w:p>
    <w:p>
      <w:pPr>
        <w:pStyle w:val="BodyText"/>
        <w:spacing w:line="302" w:lineRule="auto" w:before="28"/>
        <w:ind w:right="142"/>
        <w:jc w:val="left"/>
      </w:pPr>
      <w:r>
        <w:rPr>
          <w:rFonts w:ascii="Times New Roman" w:hAnsi="Times New Roman" w:cs="Times New Roman" w:eastAsia="Times New Roman" w:hint="default"/>
          <w:spacing w:val="-2"/>
        </w:rPr>
        <w:t>1</w:t>
      </w:r>
      <w:r>
        <w:rPr>
          <w:spacing w:val="-2"/>
        </w:rPr>
        <w:t>、</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w:t>
      </w:r>
      <w:r>
        <w:rPr>
          <w:spacing w:val="-2"/>
        </w:rPr>
        <w:t>日，公司和高兴控股集团有限公司签订《房屋租赁协议》，高兴控股集团有限公司向公司租赁面积为</w:t>
      </w:r>
      <w:r>
        <w:rPr>
          <w:rFonts w:ascii="Times New Roman" w:hAnsi="Times New Roman" w:cs="Times New Roman" w:eastAsia="Times New Roman" w:hint="default"/>
          <w:spacing w:val="-2"/>
        </w:rPr>
        <w:t>1,434.80</w:t>
      </w:r>
      <w:r>
        <w:rPr>
          <w:rFonts w:ascii="Times New Roman" w:hAnsi="Times New Roman" w:cs="Times New Roman" w:eastAsia="Times New Roman" w:hint="default"/>
          <w:spacing w:val="-5"/>
        </w:rPr>
        <w:t> </w:t>
      </w:r>
      <w:r>
        <w:rPr>
          <w:spacing w:val="-1"/>
        </w:rPr>
        <w:t>平方米的办公楼，协议规定租赁期限自</w:t>
      </w:r>
      <w:r>
        <w:rPr>
          <w:rFonts w:ascii="Times New Roman" w:hAnsi="Times New Roman" w:cs="Times New Roman" w:eastAsia="Times New Roman" w:hint="default"/>
          <w:spacing w:val="-1"/>
        </w:rPr>
        <w:t>2012</w:t>
      </w:r>
      <w:r>
        <w:rPr>
          <w:spacing w:val="-1"/>
        </w:rPr>
        <w:t>年</w:t>
      </w:r>
      <w:r>
        <w:rPr>
          <w:rFonts w:ascii="Times New Roman" w:hAnsi="Times New Roman" w:cs="Times New Roman" w:eastAsia="Times New Roman" w:hint="default"/>
          <w:spacing w:val="-1"/>
        </w:rPr>
        <w:t>1</w:t>
      </w:r>
      <w:r>
        <w:rPr>
          <w:spacing w:val="-1"/>
        </w:rPr>
        <w:t>月</w:t>
      </w:r>
      <w:r>
        <w:rPr>
          <w:rFonts w:ascii="Times New Roman" w:hAnsi="Times New Roman" w:cs="Times New Roman" w:eastAsia="Times New Roman" w:hint="default"/>
          <w:spacing w:val="-1"/>
        </w:rPr>
        <w:t>1</w:t>
      </w:r>
      <w:r>
        <w:rPr>
          <w:spacing w:val="-1"/>
        </w:rPr>
        <w:t>日至</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日，租金为每平方米每月</w:t>
      </w:r>
      <w:r>
        <w:rPr>
          <w:rFonts w:ascii="Times New Roman" w:hAnsi="Times New Roman" w:cs="Times New Roman" w:eastAsia="Times New Roman" w:hint="default"/>
          <w:spacing w:val="-1"/>
        </w:rPr>
        <w:t>5</w:t>
      </w:r>
      <w:r>
        <w:rPr>
          <w:spacing w:val="-1"/>
        </w:rPr>
        <w:t>元</w:t>
      </w:r>
      <w:r>
        <w:rPr>
          <w:rFonts w:ascii="Times New Roman" w:hAnsi="Times New Roman" w:cs="Times New Roman" w:eastAsia="Times New Roman" w:hint="default"/>
          <w:spacing w:val="-1"/>
        </w:rPr>
        <w:t>,</w:t>
      </w:r>
      <w:r>
        <w:rPr>
          <w:spacing w:val="-1"/>
        </w:rPr>
        <w:t>以后每年度增加</w:t>
      </w:r>
      <w:r>
        <w:rPr>
          <w:rFonts w:ascii="Times New Roman" w:hAnsi="Times New Roman" w:cs="Times New Roman" w:eastAsia="Times New Roman" w:hint="default"/>
          <w:spacing w:val="-1"/>
        </w:rPr>
        <w:t>10%</w:t>
      </w:r>
      <w:r>
        <w:rPr>
          <w:spacing w:val="-1"/>
        </w:rPr>
        <w:t>，即</w:t>
      </w:r>
      <w:r>
        <w:rPr>
          <w:spacing w:val="-41"/>
        </w:rPr>
        <w:t> </w:t>
      </w:r>
      <w:r>
        <w:rPr/>
        <w:t>当年度租金为上年度的</w:t>
      </w:r>
      <w:r>
        <w:rPr>
          <w:rFonts w:ascii="Times New Roman" w:hAnsi="Times New Roman" w:cs="Times New Roman" w:eastAsia="Times New Roman" w:hint="default"/>
        </w:rPr>
        <w:t>1.1</w:t>
      </w:r>
      <w:r>
        <w:rPr/>
        <w:t>倍。截至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日，根据上述租金标准及实际租赁时间，公司</w:t>
      </w:r>
      <w:r>
        <w:rPr>
          <w:rFonts w:ascii="Times New Roman" w:hAnsi="Times New Roman" w:cs="Times New Roman" w:eastAsia="Times New Roman" w:hint="default"/>
        </w:rPr>
        <w:t>2012</w:t>
      </w:r>
      <w:r>
        <w:rPr/>
        <w:t>年至</w:t>
      </w:r>
      <w:r>
        <w:rPr>
          <w:rFonts w:ascii="Times New Roman" w:hAnsi="Times New Roman" w:cs="Times New Roman" w:eastAsia="Times New Roman" w:hint="default"/>
        </w:rPr>
        <w:t>2017</w:t>
      </w:r>
      <w:r>
        <w:rPr/>
        <w:t>年租金已全部 收到。 </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2013</w:t>
      </w:r>
      <w:r>
        <w:rPr/>
        <w:t>年公司购入的杭州余杭华英羊业有限公司土地及厂房，其中一幢原已出租给第三方杭州东昌机械制造有限公司，经 </w:t>
      </w:r>
      <w:r>
        <w:rPr>
          <w:spacing w:val="-2"/>
        </w:rPr>
        <w:t>三方协商一致，公司购入后继续执行原租赁协议。根据租赁协议，公司出租房屋面积约</w:t>
      </w:r>
      <w:r>
        <w:rPr>
          <w:rFonts w:ascii="Times New Roman" w:hAnsi="Times New Roman" w:cs="Times New Roman" w:eastAsia="Times New Roman" w:hint="default"/>
          <w:spacing w:val="-2"/>
        </w:rPr>
        <w:t>1,333.60</w:t>
      </w:r>
      <w:r>
        <w:rPr>
          <w:spacing w:val="-2"/>
        </w:rPr>
        <w:t>平方米，租赁期限为</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5</w:t>
      </w:r>
      <w:r>
        <w:rPr>
          <w:rFonts w:ascii="Times New Roman" w:hAnsi="Times New Roman" w:cs="Times New Roman" w:eastAsia="Times New Roman" w:hint="default"/>
          <w:spacing w:val="-9"/>
        </w:rPr>
        <w:t> </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2029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30</w:t>
      </w:r>
      <w:r>
        <w:rPr/>
        <w:t>日，租金为前三年</w:t>
      </w:r>
      <w:r>
        <w:rPr>
          <w:rFonts w:ascii="Times New Roman" w:hAnsi="Times New Roman" w:cs="Times New Roman" w:eastAsia="Times New Roman" w:hint="default"/>
        </w:rPr>
        <w:t>18</w:t>
      </w:r>
      <w:r>
        <w:rPr/>
        <w:t>万元</w:t>
      </w:r>
      <w:r>
        <w:rPr>
          <w:rFonts w:ascii="Times New Roman" w:hAnsi="Times New Roman" w:cs="Times New Roman" w:eastAsia="Times New Roman" w:hint="default"/>
        </w:rPr>
        <w:t>/</w:t>
      </w:r>
      <w:r>
        <w:rPr/>
        <w:t>年，每三年在上一年基础上递增</w:t>
      </w:r>
      <w:r>
        <w:rPr>
          <w:rFonts w:ascii="Times New Roman" w:hAnsi="Times New Roman" w:cs="Times New Roman" w:eastAsia="Times New Roman" w:hint="default"/>
        </w:rPr>
        <w:t>1</w:t>
      </w:r>
      <w:r>
        <w:rPr/>
        <w:t>万元</w:t>
      </w:r>
      <w:r>
        <w:rPr>
          <w:rFonts w:ascii="Times New Roman" w:hAnsi="Times New Roman" w:cs="Times New Roman" w:eastAsia="Times New Roman" w:hint="default"/>
        </w:rPr>
        <w:t>/</w:t>
      </w:r>
      <w:r>
        <w:rPr/>
        <w:t>年。截至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5 </w:t>
      </w:r>
      <w:r>
        <w:rPr/>
        <w:t>月至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月租金已全部收到。</w:t>
      </w:r>
    </w:p>
    <w:p>
      <w:pPr>
        <w:pStyle w:val="BodyText"/>
        <w:spacing w:line="240" w:lineRule="auto" w:before="52"/>
        <w:ind w:right="0"/>
        <w:jc w:val="left"/>
      </w:pPr>
      <w:r>
        <w:rPr/>
        <w:t>为公司带来的损益达到公司报告期利润总额</w:t>
      </w:r>
      <w:r>
        <w:rPr>
          <w:spacing w:val="-46"/>
        </w:rPr>
        <w:t> </w:t>
      </w:r>
      <w:r>
        <w:rPr>
          <w:rFonts w:ascii="Times New Roman" w:hAnsi="Times New Roman" w:cs="Times New Roman" w:eastAsia="Times New Roman" w:hint="default"/>
        </w:rPr>
        <w:t>10%</w:t>
      </w:r>
      <w:r>
        <w:rPr/>
        <w:t>以上的项目</w:t>
      </w:r>
    </w:p>
    <w:p>
      <w:pPr>
        <w:pStyle w:val="BodyText"/>
        <w:spacing w:line="240" w:lineRule="auto" w:before="102"/>
        <w:ind w:right="0"/>
        <w:jc w:val="left"/>
      </w:pPr>
      <w:r>
        <w:rPr/>
        <w:t>□ 适用 √ 不适用</w:t>
      </w:r>
    </w:p>
    <w:p>
      <w:pPr>
        <w:pStyle w:val="BodyText"/>
        <w:spacing w:line="240" w:lineRule="auto" w:before="117"/>
        <w:ind w:right="0"/>
        <w:jc w:val="left"/>
      </w:pPr>
      <w:r>
        <w:rPr/>
        <w:t>公司报告期不存在为公司带来的损益达到公司报告期利润总额</w:t>
      </w:r>
      <w:r>
        <w:rPr>
          <w:spacing w:val="-45"/>
        </w:rPr>
        <w:t> </w:t>
      </w:r>
      <w:r>
        <w:rPr>
          <w:rFonts w:ascii="Times New Roman" w:hAnsi="Times New Roman" w:cs="Times New Roman" w:eastAsia="Times New Roman" w:hint="default"/>
        </w:rPr>
        <w:t>10%</w:t>
      </w:r>
      <w:r>
        <w:rPr/>
        <w:t>以上的租赁项目。</w:t>
      </w:r>
    </w:p>
    <w:p>
      <w:pPr>
        <w:spacing w:line="240" w:lineRule="auto" w:before="9"/>
        <w:rPr>
          <w:rFonts w:ascii="宋体" w:hAnsi="宋体" w:cs="宋体" w:eastAsia="宋体" w:hint="default"/>
          <w:sz w:val="25"/>
          <w:szCs w:val="25"/>
        </w:rPr>
      </w:pPr>
    </w:p>
    <w:p>
      <w:pPr>
        <w:pStyle w:val="Heading5"/>
        <w:spacing w:line="240" w:lineRule="auto"/>
        <w:ind w:right="0"/>
        <w:jc w:val="left"/>
        <w:rPr>
          <w:b w:val="0"/>
          <w:bCs w:val="0"/>
        </w:rPr>
      </w:pPr>
      <w:bookmarkStart w:name="2、重大担保" w:id="89"/>
      <w:bookmarkEnd w:id="89"/>
      <w:r>
        <w:rPr>
          <w:b w:val="0"/>
          <w:bCs w:val="0"/>
        </w:rPr>
      </w:r>
      <w:r>
        <w:rPr>
          <w:rFonts w:ascii="Times New Roman" w:hAnsi="Times New Roman" w:cs="Times New Roman" w:eastAsia="Times New Roman" w:hint="default"/>
        </w:rPr>
        <w:t>2</w:t>
      </w:r>
      <w:r>
        <w:rPr/>
        <w:t>、重大担保</w:t>
      </w:r>
      <w:r>
        <w:rPr>
          <w:b w:val="0"/>
          <w:bCs w:val="0"/>
        </w:rPr>
      </w:r>
    </w:p>
    <w:p>
      <w:pPr>
        <w:spacing w:line="240" w:lineRule="auto" w:before="9"/>
        <w:rPr>
          <w:rFonts w:ascii="宋体" w:hAnsi="宋体" w:cs="宋体" w:eastAsia="宋体" w:hint="default"/>
          <w:b/>
          <w:bCs/>
          <w:sz w:val="26"/>
          <w:szCs w:val="26"/>
        </w:rPr>
      </w:pPr>
    </w:p>
    <w:p>
      <w:pPr>
        <w:pStyle w:val="BodyText"/>
        <w:spacing w:line="357" w:lineRule="auto" w:before="0"/>
        <w:ind w:right="5992"/>
        <w:jc w:val="left"/>
      </w:pPr>
      <w:r>
        <w:rPr/>
        <w:t>□ 适用 √ 不适用 公司报告期不存在担保情况。</w:t>
      </w:r>
    </w:p>
    <w:p>
      <w:pPr>
        <w:spacing w:line="240" w:lineRule="auto" w:before="0"/>
        <w:rPr>
          <w:rFonts w:ascii="宋体" w:hAnsi="宋体" w:cs="宋体" w:eastAsia="宋体" w:hint="default"/>
          <w:sz w:val="20"/>
          <w:szCs w:val="20"/>
        </w:rPr>
      </w:pPr>
    </w:p>
    <w:p>
      <w:pPr>
        <w:pStyle w:val="Heading5"/>
        <w:spacing w:line="240" w:lineRule="auto"/>
        <w:ind w:right="0"/>
        <w:jc w:val="left"/>
        <w:rPr>
          <w:b w:val="0"/>
          <w:bCs w:val="0"/>
        </w:rPr>
      </w:pPr>
      <w:bookmarkStart w:name="3、委托他人进行现金资产管理情况" w:id="90"/>
      <w:bookmarkEnd w:id="90"/>
      <w:r>
        <w:rPr>
          <w:b w:val="0"/>
          <w:bCs w:val="0"/>
        </w:rPr>
      </w:r>
      <w:r>
        <w:rPr>
          <w:rFonts w:ascii="Times New Roman" w:hAnsi="Times New Roman" w:cs="Times New Roman" w:eastAsia="Times New Roman" w:hint="default"/>
        </w:rPr>
        <w:t>3</w:t>
      </w:r>
      <w:r>
        <w:rPr/>
        <w:t>、委托他人进行现金资产管理情况</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bookmarkStart w:name="（1）委托理财情况" w:id="91"/>
      <w:bookmarkEnd w:id="91"/>
      <w:r>
        <w:rPr>
          <w:b w:val="0"/>
          <w:bCs w:val="0"/>
        </w:rPr>
      </w:r>
      <w:r>
        <w:rPr/>
        <w:t>（</w:t>
      </w:r>
      <w:r>
        <w:rPr>
          <w:rFonts w:ascii="Times New Roman" w:hAnsi="Times New Roman" w:cs="Times New Roman" w:eastAsia="Times New Roman" w:hint="default"/>
        </w:rPr>
        <w:t>1</w:t>
      </w:r>
      <w:r>
        <w:rPr/>
        <w:t>）委托理财情况</w:t>
      </w:r>
      <w:r>
        <w:rPr>
          <w:b w:val="0"/>
          <w:bCs w:val="0"/>
        </w:rPr>
      </w:r>
    </w:p>
    <w:p>
      <w:pPr>
        <w:spacing w:line="240" w:lineRule="auto" w:before="8"/>
        <w:rPr>
          <w:rFonts w:ascii="宋体" w:hAnsi="宋体" w:cs="宋体" w:eastAsia="宋体" w:hint="default"/>
          <w:b/>
          <w:bCs/>
          <w:sz w:val="26"/>
          <w:szCs w:val="26"/>
        </w:rPr>
      </w:pPr>
    </w:p>
    <w:p>
      <w:pPr>
        <w:pStyle w:val="BodyText"/>
        <w:spacing w:line="360" w:lineRule="auto" w:before="0"/>
        <w:ind w:right="7432"/>
        <w:jc w:val="left"/>
      </w:pPr>
      <w:r>
        <w:rPr/>
        <w:t>□ 适用 √ 不适用 公司报告期不存在委托理财。</w:t>
      </w:r>
    </w:p>
    <w:p>
      <w:pPr>
        <w:spacing w:line="240" w:lineRule="auto" w:before="11"/>
        <w:rPr>
          <w:rFonts w:ascii="宋体" w:hAnsi="宋体" w:cs="宋体" w:eastAsia="宋体" w:hint="default"/>
          <w:sz w:val="19"/>
          <w:szCs w:val="19"/>
        </w:rPr>
      </w:pPr>
    </w:p>
    <w:p>
      <w:pPr>
        <w:pStyle w:val="Heading5"/>
        <w:spacing w:line="240" w:lineRule="auto"/>
        <w:ind w:right="0"/>
        <w:jc w:val="left"/>
        <w:rPr>
          <w:b w:val="0"/>
          <w:bCs w:val="0"/>
        </w:rPr>
      </w:pPr>
      <w:bookmarkStart w:name="（2）委托贷款情况" w:id="92"/>
      <w:bookmarkEnd w:id="92"/>
      <w:r>
        <w:rPr>
          <w:b w:val="0"/>
          <w:bCs w:val="0"/>
        </w:rPr>
      </w:r>
      <w:r>
        <w:rPr/>
        <w:t>（</w:t>
      </w:r>
      <w:r>
        <w:rPr>
          <w:rFonts w:ascii="Times New Roman" w:hAnsi="Times New Roman" w:cs="Times New Roman" w:eastAsia="Times New Roman" w:hint="default"/>
        </w:rPr>
        <w:t>2</w:t>
      </w:r>
      <w:r>
        <w:rPr/>
        <w:t>）委托贷款情况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before="0"/>
        <w:ind w:right="7432"/>
        <w:jc w:val="left"/>
      </w:pPr>
      <w:r>
        <w:rPr/>
        <w:t>□ 适用 √ 不适用 公司报告期不存在委托贷款。</w:t>
      </w:r>
    </w:p>
    <w:p>
      <w:pPr>
        <w:spacing w:line="240" w:lineRule="auto" w:before="13"/>
        <w:rPr>
          <w:rFonts w:ascii="宋体" w:hAnsi="宋体" w:cs="宋体" w:eastAsia="宋体" w:hint="default"/>
          <w:sz w:val="19"/>
          <w:szCs w:val="19"/>
        </w:rPr>
      </w:pPr>
    </w:p>
    <w:p>
      <w:pPr>
        <w:pStyle w:val="Heading5"/>
        <w:spacing w:line="240" w:lineRule="auto"/>
        <w:ind w:right="0"/>
        <w:jc w:val="left"/>
        <w:rPr>
          <w:b w:val="0"/>
          <w:bCs w:val="0"/>
        </w:rPr>
      </w:pPr>
      <w:bookmarkStart w:name="4、其他重大合同" w:id="93"/>
      <w:bookmarkEnd w:id="93"/>
      <w:r>
        <w:rPr>
          <w:b w:val="0"/>
          <w:bCs w:val="0"/>
        </w:rPr>
      </w:r>
      <w:r>
        <w:rPr>
          <w:rFonts w:ascii="Times New Roman" w:hAnsi="Times New Roman" w:cs="Times New Roman" w:eastAsia="Times New Roman" w:hint="default"/>
        </w:rPr>
        <w:t>4</w:t>
      </w:r>
      <w:r>
        <w:rPr/>
        <w:t>、其他重大合同</w:t>
      </w:r>
      <w:r>
        <w:rPr>
          <w:b w:val="0"/>
          <w:bCs w:val="0"/>
        </w:rPr>
      </w:r>
    </w:p>
    <w:p>
      <w:pPr>
        <w:spacing w:line="240" w:lineRule="auto" w:before="9"/>
        <w:rPr>
          <w:rFonts w:ascii="宋体" w:hAnsi="宋体" w:cs="宋体" w:eastAsia="宋体" w:hint="default"/>
          <w:b/>
          <w:bCs/>
          <w:sz w:val="26"/>
          <w:szCs w:val="26"/>
        </w:rPr>
      </w:pPr>
    </w:p>
    <w:p>
      <w:pPr>
        <w:pStyle w:val="BodyText"/>
        <w:spacing w:line="357" w:lineRule="auto" w:before="0"/>
        <w:ind w:right="7072"/>
        <w:jc w:val="left"/>
      </w:pPr>
      <w:r>
        <w:rPr/>
        <w:t>□ 适用 √ 不适用 公司报告期不存在其他重大合同。</w:t>
      </w:r>
    </w:p>
    <w:p>
      <w:pPr>
        <w:spacing w:after="0" w:line="357" w:lineRule="auto"/>
        <w:jc w:val="left"/>
        <w:sectPr>
          <w:pgSz w:w="11910" w:h="16840"/>
          <w:pgMar w:header="747" w:footer="979" w:top="1060" w:bottom="1160" w:left="980" w:right="98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bookmarkStart w:name="十七、社会责任情况" w:id="94"/>
      <w:bookmarkEnd w:id="94"/>
      <w:r>
        <w:rPr>
          <w:b w:val="0"/>
          <w:bCs w:val="0"/>
        </w:rPr>
      </w:r>
      <w:r>
        <w:rPr/>
        <w:t>十七、社会责任情况</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right="0"/>
        <w:jc w:val="left"/>
        <w:rPr>
          <w:b w:val="0"/>
          <w:bCs w:val="0"/>
        </w:rPr>
      </w:pPr>
      <w:bookmarkStart w:name="1、履行社会责任情况" w:id="95"/>
      <w:bookmarkEnd w:id="95"/>
      <w:r>
        <w:rPr>
          <w:b w:val="0"/>
          <w:bCs w:val="0"/>
        </w:rPr>
      </w:r>
      <w:r>
        <w:rPr>
          <w:rFonts w:ascii="Times New Roman" w:hAnsi="Times New Roman" w:cs="Times New Roman" w:eastAsia="Times New Roman" w:hint="default"/>
        </w:rPr>
        <w:t>1</w:t>
      </w:r>
      <w:r>
        <w:rPr/>
        <w:t>、履行社会责任情况</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right="0"/>
        <w:jc w:val="left"/>
        <w:rPr>
          <w:b w:val="0"/>
          <w:bCs w:val="0"/>
        </w:rPr>
      </w:pPr>
      <w:bookmarkStart w:name="2、履行精准扶贫社会责任情况" w:id="96"/>
      <w:bookmarkEnd w:id="96"/>
      <w:r>
        <w:rPr>
          <w:b w:val="0"/>
          <w:bCs w:val="0"/>
        </w:rPr>
      </w:r>
      <w:r>
        <w:rPr>
          <w:rFonts w:ascii="Times New Roman" w:hAnsi="Times New Roman" w:cs="Times New Roman" w:eastAsia="Times New Roman" w:hint="default"/>
        </w:rPr>
        <w:t>2</w:t>
      </w:r>
      <w:r>
        <w:rPr/>
        <w:t>、履行精准扶贫社会责任情况</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bookmarkStart w:name="（1）精准扶贫规划" w:id="97"/>
      <w:bookmarkEnd w:id="97"/>
      <w:r>
        <w:rPr>
          <w:b w:val="0"/>
          <w:bCs w:val="0"/>
        </w:rPr>
      </w:r>
      <w:r>
        <w:rPr/>
        <w:t>（</w:t>
      </w:r>
      <w:r>
        <w:rPr>
          <w:rFonts w:ascii="Times New Roman" w:hAnsi="Times New Roman" w:cs="Times New Roman" w:eastAsia="Times New Roman" w:hint="default"/>
        </w:rPr>
        <w:t>1</w:t>
      </w:r>
      <w:r>
        <w:rPr/>
        <w:t>）精准扶贫规划</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0"/>
        <w:jc w:val="left"/>
      </w:pPr>
      <w:r>
        <w:rPr/>
        <w:t>本报告期，公司暂未开展精准扶贫工作，也暂无后续精准扶贫计划。</w:t>
      </w:r>
    </w:p>
    <w:p>
      <w:pPr>
        <w:spacing w:line="240" w:lineRule="auto" w:before="12"/>
        <w:rPr>
          <w:rFonts w:ascii="宋体" w:hAnsi="宋体" w:cs="宋体" w:eastAsia="宋体" w:hint="default"/>
          <w:sz w:val="26"/>
          <w:szCs w:val="26"/>
        </w:rPr>
      </w:pPr>
    </w:p>
    <w:p>
      <w:pPr>
        <w:pStyle w:val="Heading5"/>
        <w:spacing w:line="240" w:lineRule="auto"/>
        <w:ind w:right="0"/>
        <w:jc w:val="left"/>
        <w:rPr>
          <w:b w:val="0"/>
          <w:bCs w:val="0"/>
        </w:rPr>
      </w:pPr>
      <w:bookmarkStart w:name="3、环境保护相关的情况" w:id="98"/>
      <w:bookmarkEnd w:id="98"/>
      <w:r>
        <w:rPr>
          <w:b w:val="0"/>
          <w:bCs w:val="0"/>
        </w:rPr>
      </w:r>
      <w:r>
        <w:rPr>
          <w:rFonts w:ascii="Times New Roman" w:hAnsi="Times New Roman" w:cs="Times New Roman" w:eastAsia="Times New Roman" w:hint="default"/>
        </w:rPr>
        <w:t>3</w:t>
      </w:r>
      <w:r>
        <w:rPr/>
        <w:t>、环境保护相关的情况</w:t>
      </w:r>
      <w:r>
        <w:rPr>
          <w:b w:val="0"/>
          <w:bCs w:val="0"/>
        </w:rPr>
      </w:r>
    </w:p>
    <w:p>
      <w:pPr>
        <w:spacing w:line="240" w:lineRule="auto" w:before="8"/>
        <w:rPr>
          <w:rFonts w:ascii="宋体" w:hAnsi="宋体" w:cs="宋体" w:eastAsia="宋体" w:hint="default"/>
          <w:b/>
          <w:bCs/>
          <w:sz w:val="26"/>
          <w:szCs w:val="26"/>
        </w:rPr>
      </w:pPr>
    </w:p>
    <w:p>
      <w:pPr>
        <w:pStyle w:val="BodyText"/>
        <w:spacing w:line="360" w:lineRule="auto" w:before="0"/>
        <w:ind w:right="4732"/>
        <w:jc w:val="left"/>
      </w:pPr>
      <w:r>
        <w:rPr/>
        <w:t>上市公司及其子公司是否属于环境保护部门公布的重点排污单位 否</w:t>
      </w:r>
    </w:p>
    <w:p>
      <w:pPr>
        <w:pStyle w:val="BodyText"/>
        <w:spacing w:line="240" w:lineRule="auto" w:before="25"/>
        <w:ind w:right="0"/>
        <w:jc w:val="left"/>
      </w:pPr>
      <w:r>
        <w:rPr/>
        <w:t>不适用。</w:t>
      </w:r>
    </w:p>
    <w:p>
      <w:pPr>
        <w:spacing w:line="240" w:lineRule="auto" w:before="2"/>
        <w:rPr>
          <w:rFonts w:ascii="宋体" w:hAnsi="宋体" w:cs="宋体" w:eastAsia="宋体" w:hint="default"/>
          <w:sz w:val="25"/>
          <w:szCs w:val="25"/>
        </w:rPr>
      </w:pPr>
    </w:p>
    <w:p>
      <w:pPr>
        <w:pStyle w:val="Heading2"/>
        <w:spacing w:line="240" w:lineRule="auto"/>
        <w:ind w:right="0"/>
        <w:jc w:val="left"/>
        <w:rPr>
          <w:b w:val="0"/>
          <w:bCs w:val="0"/>
        </w:rPr>
      </w:pPr>
      <w:bookmarkStart w:name="十八、其他重大事项的说明" w:id="99"/>
      <w:bookmarkEnd w:id="99"/>
      <w:r>
        <w:rPr>
          <w:b w:val="0"/>
          <w:bCs w:val="0"/>
        </w:rPr>
      </w:r>
      <w:r>
        <w:rPr/>
        <w:t>十八、其他重大事项的说明</w:t>
      </w:r>
      <w:r>
        <w:rPr>
          <w:b w:val="0"/>
          <w:bCs w:val="0"/>
        </w:rPr>
      </w:r>
    </w:p>
    <w:p>
      <w:pPr>
        <w:spacing w:line="240" w:lineRule="auto" w:before="7"/>
        <w:rPr>
          <w:rFonts w:ascii="宋体" w:hAnsi="宋体" w:cs="宋体" w:eastAsia="宋体" w:hint="default"/>
          <w:b/>
          <w:bCs/>
          <w:sz w:val="26"/>
          <w:szCs w:val="26"/>
        </w:rPr>
      </w:pPr>
    </w:p>
    <w:p>
      <w:pPr>
        <w:pStyle w:val="BodyText"/>
        <w:spacing w:line="357" w:lineRule="auto" w:before="0"/>
        <w:ind w:right="6172"/>
        <w:jc w:val="left"/>
      </w:pPr>
      <w:r>
        <w:rPr/>
        <w:t>□ 适用 √ 不适用 公司报告期不存在需要说明的其他重大事项。</w:t>
      </w:r>
    </w:p>
    <w:p>
      <w:pPr>
        <w:spacing w:line="240" w:lineRule="auto" w:before="4"/>
        <w:rPr>
          <w:rFonts w:ascii="宋体" w:hAnsi="宋体" w:cs="宋体" w:eastAsia="宋体" w:hint="default"/>
          <w:sz w:val="18"/>
          <w:szCs w:val="18"/>
        </w:rPr>
      </w:pPr>
    </w:p>
    <w:p>
      <w:pPr>
        <w:pStyle w:val="Heading2"/>
        <w:spacing w:line="240" w:lineRule="auto"/>
        <w:ind w:right="0"/>
        <w:jc w:val="left"/>
        <w:rPr>
          <w:b w:val="0"/>
          <w:bCs w:val="0"/>
        </w:rPr>
      </w:pPr>
      <w:bookmarkStart w:name="十九、公司子公司重大事项" w:id="100"/>
      <w:bookmarkEnd w:id="100"/>
      <w:r>
        <w:rPr>
          <w:b w:val="0"/>
          <w:bCs w:val="0"/>
        </w:rPr>
      </w:r>
      <w:r>
        <w:rPr/>
        <w:t>十九、公司子公司重大事项</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0"/>
        <w:jc w:val="left"/>
      </w:pPr>
      <w:r>
        <w:rPr/>
        <w:t>□ 适用 √ 不适用</w:t>
      </w:r>
    </w:p>
    <w:p>
      <w:pPr>
        <w:spacing w:after="0" w:line="240" w:lineRule="auto"/>
        <w:jc w:val="left"/>
        <w:sectPr>
          <w:pgSz w:w="11910" w:h="16840"/>
          <w:pgMar w:header="747" w:footer="979"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2966" w:right="0"/>
        <w:jc w:val="left"/>
        <w:rPr>
          <w:b w:val="0"/>
          <w:bCs w:val="0"/>
        </w:rPr>
      </w:pPr>
      <w:bookmarkStart w:name="第六节 股份变动及股东情况" w:id="101"/>
      <w:bookmarkEnd w:id="101"/>
      <w:r>
        <w:rPr>
          <w:b w:val="0"/>
          <w:bCs w:val="0"/>
        </w:rPr>
      </w:r>
      <w:bookmarkStart w:name="_bookmark4" w:id="102"/>
      <w:bookmarkEnd w:id="102"/>
      <w:r>
        <w:rPr>
          <w:b w:val="0"/>
          <w:bCs w:val="0"/>
        </w:rPr>
      </w:r>
      <w:r>
        <w:rPr/>
        <w:t>第六节</w:t>
      </w:r>
      <w:r>
        <w:rPr>
          <w:spacing w:val="-10"/>
        </w:rPr>
        <w:t> </w:t>
      </w:r>
      <w:r>
        <w:rPr/>
        <w:t>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股份变动情况" w:id="103"/>
      <w:bookmarkEnd w:id="103"/>
      <w:r>
        <w:rPr>
          <w:b w:val="0"/>
          <w:bCs w:val="0"/>
        </w:rPr>
      </w:r>
      <w:r>
        <w:rPr/>
        <w:t>一、股份变动情况</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bookmarkStart w:name="1、股份变动情况" w:id="104"/>
      <w:bookmarkEnd w:id="104"/>
      <w:r>
        <w:rPr>
          <w:b w:val="0"/>
          <w:bCs w:val="0"/>
        </w:rPr>
      </w:r>
      <w:r>
        <w:rPr>
          <w:rFonts w:ascii="Times New Roman" w:hAnsi="Times New Roman" w:cs="Times New Roman" w:eastAsia="Times New Roman" w:hint="default"/>
        </w:rPr>
        <w:t>1</w:t>
      </w:r>
      <w:r>
        <w:rPr/>
        <w:t>、股份变动情况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单位：股</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216"/>
        <w:gridCol w:w="823"/>
        <w:gridCol w:w="824"/>
        <w:gridCol w:w="822"/>
        <w:gridCol w:w="822"/>
        <w:gridCol w:w="822"/>
        <w:gridCol w:w="822"/>
        <w:gridCol w:w="822"/>
        <w:gridCol w:w="794"/>
        <w:gridCol w:w="794"/>
      </w:tblGrid>
      <w:tr>
        <w:trPr>
          <w:trHeight w:val="402"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164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7"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11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9"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5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39"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61" w:hRule="exact"/>
        </w:trPr>
        <w:tc>
          <w:tcPr>
            <w:tcW w:w="2216" w:type="dxa"/>
            <w:vMerge w:val="restart"/>
            <w:tcBorders>
              <w:top w:val="nil" w:sz="6" w:space="0" w:color="auto"/>
              <w:left w:val="single" w:sz="4" w:space="0" w:color="000000"/>
              <w:right w:val="single" w:sz="4" w:space="0" w:color="000000"/>
            </w:tcBorders>
            <w:shd w:val="clear" w:color="auto" w:fill="D2D2D2"/>
          </w:tcPr>
          <w:p>
            <w:pPr/>
          </w:p>
        </w:tc>
        <w:tc>
          <w:tcPr>
            <w:tcW w:w="823"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316" w:right="43" w:hanging="270"/>
              <w:jc w:val="left"/>
              <w:rPr>
                <w:rFonts w:ascii="宋体" w:hAnsi="宋体" w:cs="宋体" w:eastAsia="宋体" w:hint="default"/>
                <w:sz w:val="18"/>
                <w:szCs w:val="18"/>
              </w:rPr>
            </w:pPr>
            <w:r>
              <w:rPr>
                <w:rFonts w:ascii="宋体" w:hAnsi="宋体" w:cs="宋体" w:eastAsia="宋体" w:hint="default"/>
                <w:sz w:val="18"/>
                <w:szCs w:val="18"/>
              </w:rPr>
              <w:t>公积金转 股</w:t>
            </w: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794" w:type="dxa"/>
            <w:tcBorders>
              <w:top w:val="single" w:sz="4" w:space="0" w:color="000000"/>
              <w:left w:val="single" w:sz="4" w:space="0" w:color="000000"/>
              <w:bottom w:val="nil" w:sz="6" w:space="0" w:color="auto"/>
              <w:right w:val="single" w:sz="4" w:space="0" w:color="000000"/>
            </w:tcBorders>
            <w:shd w:val="clear" w:color="auto" w:fill="D2D2D2"/>
          </w:tcPr>
          <w:p>
            <w:pPr/>
          </w:p>
        </w:tc>
        <w:tc>
          <w:tcPr>
            <w:tcW w:w="79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1" w:hRule="exact"/>
        </w:trPr>
        <w:tc>
          <w:tcPr>
            <w:tcW w:w="2216" w:type="dxa"/>
            <w:vMerge/>
            <w:tcBorders>
              <w:left w:val="single" w:sz="4" w:space="0" w:color="000000"/>
              <w:bottom w:val="nil" w:sz="6" w:space="0" w:color="auto"/>
              <w:right w:val="single" w:sz="4" w:space="0" w:color="000000"/>
            </w:tcBorders>
            <w:shd w:val="clear" w:color="auto" w:fill="D2D2D2"/>
          </w:tcPr>
          <w:p>
            <w:pPr/>
          </w:p>
        </w:tc>
        <w:tc>
          <w:tcPr>
            <w:tcW w:w="8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2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45"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6"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822" w:type="dxa"/>
            <w:vMerge/>
            <w:tcBorders>
              <w:left w:val="single" w:sz="4" w:space="0" w:color="000000"/>
              <w:right w:val="single" w:sz="4" w:space="0" w:color="000000"/>
            </w:tcBorders>
            <w:shd w:val="clear" w:color="auto" w:fill="D2D2D2"/>
          </w:tcPr>
          <w:p>
            <w:pP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6"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12"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11"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202" w:hRule="exact"/>
        </w:trPr>
        <w:tc>
          <w:tcPr>
            <w:tcW w:w="2216" w:type="dxa"/>
            <w:vMerge w:val="restart"/>
            <w:tcBorders>
              <w:top w:val="nil" w:sz="6" w:space="0" w:color="auto"/>
              <w:left w:val="single" w:sz="4" w:space="0" w:color="000000"/>
              <w:right w:val="single" w:sz="4" w:space="0" w:color="000000"/>
            </w:tcBorders>
            <w:shd w:val="clear" w:color="auto" w:fill="D2D2D2"/>
          </w:tcPr>
          <w:p>
            <w:pPr/>
          </w:p>
        </w:tc>
        <w:tc>
          <w:tcPr>
            <w:tcW w:w="823" w:type="dxa"/>
            <w:vMerge/>
            <w:tcBorders>
              <w:left w:val="single" w:sz="4" w:space="0" w:color="000000"/>
              <w:bottom w:val="nil" w:sz="6" w:space="0" w:color="auto"/>
              <w:right w:val="single" w:sz="4" w:space="0" w:color="000000"/>
            </w:tcBorders>
            <w:shd w:val="clear" w:color="auto" w:fill="D2D2D2"/>
          </w:tcPr>
          <w:p>
            <w:pPr/>
          </w:p>
        </w:tc>
        <w:tc>
          <w:tcPr>
            <w:tcW w:w="824"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794" w:type="dxa"/>
            <w:vMerge/>
            <w:tcBorders>
              <w:left w:val="single" w:sz="4" w:space="0" w:color="000000"/>
              <w:bottom w:val="nil" w:sz="6" w:space="0" w:color="auto"/>
              <w:right w:val="single" w:sz="4" w:space="0" w:color="000000"/>
            </w:tcBorders>
            <w:shd w:val="clear" w:color="auto" w:fill="D2D2D2"/>
          </w:tcPr>
          <w:p>
            <w:pPr/>
          </w:p>
        </w:tc>
        <w:tc>
          <w:tcPr>
            <w:tcW w:w="794"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2216" w:type="dxa"/>
            <w:vMerge/>
            <w:tcBorders>
              <w:left w:val="single" w:sz="4" w:space="0" w:color="000000"/>
              <w:bottom w:val="single" w:sz="4" w:space="0" w:color="000000"/>
              <w:right w:val="single" w:sz="4" w:space="0" w:color="000000"/>
            </w:tcBorders>
            <w:shd w:val="clear" w:color="auto" w:fill="D2D2D2"/>
          </w:tcPr>
          <w:p>
            <w:pPr/>
          </w:p>
        </w:tc>
        <w:tc>
          <w:tcPr>
            <w:tcW w:w="823"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vMerge/>
            <w:tcBorders>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794" w:type="dxa"/>
            <w:tcBorders>
              <w:top w:val="nil" w:sz="6" w:space="0" w:color="auto"/>
              <w:left w:val="single" w:sz="4" w:space="0" w:color="000000"/>
              <w:bottom w:val="single" w:sz="4" w:space="0" w:color="000000"/>
              <w:right w:val="single" w:sz="4" w:space="0" w:color="000000"/>
            </w:tcBorders>
            <w:shd w:val="clear" w:color="auto" w:fill="D2D2D2"/>
          </w:tcPr>
          <w:p>
            <w:pPr/>
          </w:p>
        </w:tc>
        <w:tc>
          <w:tcPr>
            <w:tcW w:w="79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42,500,00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63.75%</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42,500,00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63.75%</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402"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、国家持股</w:t>
            </w:r>
          </w:p>
        </w:tc>
        <w:tc>
          <w:tcPr>
            <w:tcW w:w="8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8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45.00%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45.00%</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45.00%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45.00%</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402"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92"/>
              <w:jc w:val="right"/>
              <w:rPr>
                <w:rFonts w:ascii="宋体" w:hAnsi="宋体" w:cs="宋体" w:eastAsia="宋体" w:hint="default"/>
                <w:sz w:val="18"/>
                <w:szCs w:val="18"/>
              </w:rPr>
            </w:pPr>
            <w:r>
              <w:rPr>
                <w:rFonts w:ascii="宋体" w:hAnsi="宋体" w:cs="宋体" w:eastAsia="宋体" w:hint="default"/>
                <w:sz w:val="18"/>
                <w:szCs w:val="18"/>
              </w:rPr>
              <w:t>境内自然人持股</w:t>
            </w:r>
          </w:p>
        </w:tc>
        <w:tc>
          <w:tcPr>
            <w:tcW w:w="8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12,500,00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18.75%</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12,500,00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18.75%</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、外资持股</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12,500,00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18.75%</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12,500,00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18.75%</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其中：境外法人持股</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402"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92"/>
              <w:jc w:val="right"/>
              <w:rPr>
                <w:rFonts w:ascii="宋体" w:hAnsi="宋体" w:cs="宋体" w:eastAsia="宋体" w:hint="default"/>
                <w:sz w:val="18"/>
                <w:szCs w:val="18"/>
              </w:rPr>
            </w:pPr>
            <w:r>
              <w:rPr>
                <w:rFonts w:ascii="宋体" w:hAnsi="宋体" w:cs="宋体" w:eastAsia="宋体" w:hint="default"/>
                <w:sz w:val="18"/>
                <w:szCs w:val="18"/>
              </w:rPr>
              <w:t>境外自然人持股</w:t>
            </w:r>
          </w:p>
        </w:tc>
        <w:tc>
          <w:tcPr>
            <w:tcW w:w="8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24,170,00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36.25%</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24,170,00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36.25%</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24,170,00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36.25%</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24,170,00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36.25%</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402"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、境内上市的外资股</w:t>
            </w:r>
          </w:p>
        </w:tc>
        <w:tc>
          <w:tcPr>
            <w:tcW w:w="8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、境外上市的外资股</w:t>
            </w:r>
          </w:p>
        </w:tc>
        <w:tc>
          <w:tcPr>
            <w:tcW w:w="8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66,670,00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100.00%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66,670,00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6" w:right="0"/>
              <w:jc w:val="left"/>
              <w:rPr>
                <w:rFonts w:ascii="Times New Roman" w:hAnsi="Times New Roman" w:cs="Times New Roman" w:eastAsia="Times New Roman" w:hint="default"/>
                <w:sz w:val="18"/>
                <w:szCs w:val="18"/>
              </w:rPr>
            </w:pPr>
            <w:r>
              <w:rPr>
                <w:rFonts w:ascii="Times New Roman"/>
                <w:sz w:val="18"/>
              </w:rPr>
              <w:t>100.00%</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bl>
    <w:p>
      <w:pPr>
        <w:pStyle w:val="BodyText"/>
        <w:spacing w:line="240" w:lineRule="auto" w:before="51"/>
        <w:ind w:right="0"/>
        <w:jc w:val="left"/>
      </w:pPr>
      <w:r>
        <w:rPr/>
        <w:t>股份变动的原因</w:t>
      </w:r>
    </w:p>
    <w:p>
      <w:pPr>
        <w:pStyle w:val="BodyText"/>
        <w:spacing w:line="357" w:lineRule="auto" w:before="117"/>
        <w:ind w:right="8152"/>
        <w:jc w:val="left"/>
      </w:pPr>
      <w:r>
        <w:rPr/>
        <w:t>□ 适用 √ 不适用 股份变动的批准情况</w:t>
      </w:r>
    </w:p>
    <w:p>
      <w:pPr>
        <w:spacing w:after="0" w:line="357" w:lineRule="auto"/>
        <w:jc w:val="left"/>
        <w:sectPr>
          <w:pgSz w:w="11910" w:h="16840"/>
          <w:pgMar w:header="747" w:footer="979" w:top="1060" w:bottom="1160" w:left="980" w:right="980"/>
        </w:sectPr>
      </w:pPr>
    </w:p>
    <w:p>
      <w:pPr>
        <w:spacing w:line="240" w:lineRule="auto" w:before="13"/>
        <w:rPr>
          <w:rFonts w:ascii="宋体" w:hAnsi="宋体" w:cs="宋体" w:eastAsia="宋体" w:hint="default"/>
          <w:sz w:val="25"/>
          <w:szCs w:val="25"/>
        </w:rPr>
      </w:pPr>
    </w:p>
    <w:p>
      <w:pPr>
        <w:pStyle w:val="BodyText"/>
        <w:spacing w:line="357" w:lineRule="auto"/>
        <w:ind w:right="8152"/>
        <w:jc w:val="left"/>
      </w:pPr>
      <w:r>
        <w:rPr/>
        <w:t>□ 适用 √ 不适用 股份变动的过户情况</w:t>
      </w:r>
    </w:p>
    <w:p>
      <w:pPr>
        <w:pStyle w:val="BodyText"/>
        <w:spacing w:line="357" w:lineRule="auto" w:before="29"/>
        <w:ind w:right="412"/>
        <w:jc w:val="left"/>
      </w:pPr>
      <w:r>
        <w:rPr/>
        <w:t>□ 适用 √ 不适用 股份变动对最近一年和最近一期基本每股收益和稀释每股收益、归属于公司普通股股东的每股净资产等财务指标的影响</w:t>
      </w:r>
    </w:p>
    <w:p>
      <w:pPr>
        <w:pStyle w:val="BodyText"/>
        <w:spacing w:line="360" w:lineRule="auto" w:before="28"/>
        <w:ind w:right="5812"/>
        <w:jc w:val="left"/>
      </w:pPr>
      <w:r>
        <w:rPr/>
        <w:t>□ 适用 √ 不适用 公司认为必要或证券监管机构要求披露的其他内容</w:t>
      </w:r>
    </w:p>
    <w:p>
      <w:pPr>
        <w:pStyle w:val="BodyText"/>
        <w:spacing w:line="240" w:lineRule="auto" w:before="26"/>
        <w:ind w:right="0"/>
        <w:jc w:val="left"/>
      </w:pPr>
      <w:r>
        <w:rPr/>
        <w:t>□ 适用 √ 不适用</w:t>
      </w:r>
    </w:p>
    <w:p>
      <w:pPr>
        <w:spacing w:line="240" w:lineRule="auto" w:before="10"/>
        <w:rPr>
          <w:rFonts w:ascii="宋体" w:hAnsi="宋体" w:cs="宋体" w:eastAsia="宋体" w:hint="default"/>
          <w:sz w:val="26"/>
          <w:szCs w:val="26"/>
        </w:rPr>
      </w:pPr>
    </w:p>
    <w:p>
      <w:pPr>
        <w:pStyle w:val="Heading5"/>
        <w:spacing w:line="240" w:lineRule="auto"/>
        <w:ind w:right="0"/>
        <w:jc w:val="left"/>
        <w:rPr>
          <w:b w:val="0"/>
          <w:bCs w:val="0"/>
        </w:rPr>
      </w:pPr>
      <w:bookmarkStart w:name="2、限售股份变动情况" w:id="105"/>
      <w:bookmarkEnd w:id="105"/>
      <w:r>
        <w:rPr>
          <w:b w:val="0"/>
          <w:bCs w:val="0"/>
        </w:rPr>
      </w:r>
      <w:r>
        <w:rPr>
          <w:rFonts w:ascii="Times New Roman" w:hAnsi="Times New Roman" w:cs="Times New Roman" w:eastAsia="Times New Roman" w:hint="default"/>
        </w:rPr>
        <w:t>2</w:t>
      </w:r>
      <w:r>
        <w:rPr/>
        <w:t>、限售股份变动情况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0"/>
        <w:jc w:val="left"/>
      </w:pPr>
      <w:r>
        <w:rPr/>
        <w:t>□ 适用 √ 不适用</w:t>
      </w:r>
    </w:p>
    <w:p>
      <w:pPr>
        <w:spacing w:line="240" w:lineRule="auto" w:before="13"/>
        <w:rPr>
          <w:rFonts w:ascii="宋体" w:hAnsi="宋体" w:cs="宋体" w:eastAsia="宋体" w:hint="default"/>
          <w:sz w:val="24"/>
          <w:szCs w:val="24"/>
        </w:rPr>
      </w:pPr>
    </w:p>
    <w:p>
      <w:pPr>
        <w:pStyle w:val="Heading2"/>
        <w:spacing w:line="240" w:lineRule="auto"/>
        <w:ind w:right="0"/>
        <w:jc w:val="left"/>
        <w:rPr>
          <w:b w:val="0"/>
          <w:bCs w:val="0"/>
        </w:rPr>
      </w:pPr>
      <w:bookmarkStart w:name="二、证券发行与上市情况" w:id="106"/>
      <w:bookmarkEnd w:id="106"/>
      <w:r>
        <w:rPr>
          <w:b w:val="0"/>
          <w:bCs w:val="0"/>
        </w:rPr>
      </w:r>
      <w:r>
        <w:rPr/>
        <w:t>二、证券发行与上市情况</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right="0"/>
        <w:jc w:val="left"/>
        <w:rPr>
          <w:b w:val="0"/>
          <w:bCs w:val="0"/>
        </w:rPr>
      </w:pPr>
      <w:bookmarkStart w:name="1、报告期内证券发行（不含优先股）情况" w:id="107"/>
      <w:bookmarkEnd w:id="107"/>
      <w:r>
        <w:rPr>
          <w:b w:val="0"/>
          <w:bCs w:val="0"/>
        </w:rPr>
      </w: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0"/>
        <w:jc w:val="left"/>
      </w:pPr>
      <w:r>
        <w:rPr/>
        <w:t>□ 适用 √ 不适用</w:t>
      </w: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bookmarkStart w:name="2、公司股份总数及股东结构的变动、公司资产和负债结构的变动情况说明" w:id="108"/>
      <w:bookmarkEnd w:id="108"/>
      <w:r>
        <w:rPr>
          <w:b w:val="0"/>
          <w:bCs w:val="0"/>
        </w:rPr>
      </w: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0"/>
        <w:jc w:val="left"/>
      </w:pPr>
      <w:r>
        <w:rPr/>
        <w:t>□ 适用 √ 不适用</w:t>
      </w: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bookmarkStart w:name="3、现存的内部职工股情况" w:id="109"/>
      <w:bookmarkEnd w:id="109"/>
      <w:r>
        <w:rPr>
          <w:b w:val="0"/>
          <w:bCs w:val="0"/>
        </w:rPr>
      </w:r>
      <w:r>
        <w:rPr>
          <w:rFonts w:ascii="Times New Roman" w:hAnsi="Times New Roman" w:cs="Times New Roman" w:eastAsia="Times New Roman" w:hint="default"/>
        </w:rPr>
        <w:t>3</w:t>
      </w:r>
      <w:r>
        <w:rPr/>
        <w:t>、现存的内部职工股情况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0"/>
        <w:jc w:val="left"/>
      </w:pPr>
      <w:r>
        <w:rPr/>
        <w:t>□ 适用 √ 不适用</w:t>
      </w:r>
    </w:p>
    <w:p>
      <w:pPr>
        <w:spacing w:line="240" w:lineRule="auto" w:before="1"/>
        <w:rPr>
          <w:rFonts w:ascii="宋体" w:hAnsi="宋体" w:cs="宋体" w:eastAsia="宋体" w:hint="default"/>
          <w:sz w:val="25"/>
          <w:szCs w:val="25"/>
        </w:rPr>
      </w:pPr>
    </w:p>
    <w:p>
      <w:pPr>
        <w:pStyle w:val="Heading2"/>
        <w:spacing w:line="240" w:lineRule="auto"/>
        <w:ind w:right="0"/>
        <w:jc w:val="left"/>
        <w:rPr>
          <w:b w:val="0"/>
          <w:bCs w:val="0"/>
        </w:rPr>
      </w:pPr>
      <w:bookmarkStart w:name="三、股东和实际控制人情况" w:id="110"/>
      <w:bookmarkEnd w:id="110"/>
      <w:r>
        <w:rPr>
          <w:b w:val="0"/>
          <w:bCs w:val="0"/>
        </w:rPr>
      </w:r>
      <w:r>
        <w:rPr/>
        <w:t>三、股东和实际控制人情况</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bookmarkStart w:name="1、公司股东数量及持股情况" w:id="111"/>
      <w:bookmarkEnd w:id="111"/>
      <w:r>
        <w:rPr>
          <w:b w:val="0"/>
          <w:bCs w:val="0"/>
        </w:rPr>
      </w:r>
      <w:r>
        <w:rPr>
          <w:rFonts w:ascii="Times New Roman" w:hAnsi="Times New Roman" w:cs="Times New Roman" w:eastAsia="Times New Roman" w:hint="default"/>
        </w:rPr>
        <w:t>1</w:t>
      </w:r>
      <w:r>
        <w:rPr/>
        <w:t>、公司股东数量及持股情况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left="0" w:right="150"/>
        <w:jc w:val="right"/>
      </w:pPr>
      <w:r>
        <w:rPr/>
        <w:pict>
          <v:shape style="position:absolute;margin-left:449.277008pt;margin-top:68.291718pt;width:85.6pt;height:31.2pt;mso-position-horizontal-relative:page;mso-position-vertical-relative:paragraph;z-index:-903400" type="#_x0000_t202" filled="false" stroked="false">
            <v:textbox inset="0,0,0,0">
              <w:txbxContent>
                <w:p>
                  <w:pPr>
                    <w:pStyle w:val="BodyText"/>
                    <w:spacing w:line="207" w:lineRule="exact" w:before="0"/>
                    <w:ind w:left="0" w:right="0"/>
                    <w:jc w:val="left"/>
                  </w:pPr>
                  <w:r>
                    <w:rPr/>
                    <w:t>（如有）</w:t>
                  </w:r>
                </w:p>
              </w:txbxContent>
            </v:textbox>
            <w10:wrap type="none"/>
          </v:shape>
        </w:pict>
      </w:r>
      <w:r>
        <w:rPr/>
        <w:pict>
          <v:group style="position:absolute;margin-left:482.399994pt;margin-top:68.291718pt;width:52.45pt;height:31.2pt;mso-position-horizontal-relative:page;mso-position-vertical-relative:paragraph;z-index:-903376" coordorigin="9648,1366" coordsize="1049,624">
            <v:shape style="position:absolute;left:9648;top:1366;width:1049;height:624" coordorigin="9648,1366" coordsize="1049,624" path="m9648,1990l10697,1990,10697,1366,9648,1366,9648,1990xe" filled="true" fillcolor="#ffffff" stroked="false">
              <v:path arrowok="t"/>
              <v:fill type="solid"/>
            </v:shape>
            <w10:wrap type="none"/>
          </v:group>
        </w:pict>
      </w:r>
      <w:r>
        <w:rPr/>
        <w:t>单位：股</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323"/>
        <w:gridCol w:w="134"/>
        <w:gridCol w:w="673"/>
        <w:gridCol w:w="739"/>
        <w:gridCol w:w="744"/>
        <w:gridCol w:w="830"/>
        <w:gridCol w:w="344"/>
        <w:gridCol w:w="445"/>
        <w:gridCol w:w="824"/>
        <w:gridCol w:w="802"/>
        <w:gridCol w:w="323"/>
        <w:gridCol w:w="1027"/>
        <w:gridCol w:w="279"/>
        <w:gridCol w:w="513"/>
        <w:gridCol w:w="558"/>
      </w:tblGrid>
      <w:tr>
        <w:trPr>
          <w:trHeight w:val="161" w:hRule="exact"/>
        </w:trPr>
        <w:tc>
          <w:tcPr>
            <w:tcW w:w="1323" w:type="dxa"/>
            <w:vMerge w:val="restart"/>
            <w:tcBorders>
              <w:top w:val="single" w:sz="4" w:space="0" w:color="000000"/>
              <w:left w:val="single" w:sz="4" w:space="0" w:color="000000"/>
              <w:right w:val="single" w:sz="4" w:space="0" w:color="000000"/>
            </w:tcBorders>
            <w:shd w:val="clear" w:color="auto" w:fill="D2D2D2"/>
          </w:tcPr>
          <w:p>
            <w:pPr/>
          </w:p>
        </w:tc>
        <w:tc>
          <w:tcPr>
            <w:tcW w:w="807" w:type="dxa"/>
            <w:gridSpan w:val="2"/>
            <w:vMerge w:val="restart"/>
            <w:tcBorders>
              <w:top w:val="single" w:sz="4" w:space="0" w:color="000000"/>
              <w:left w:val="single" w:sz="9"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352" w:right="0"/>
              <w:jc w:val="left"/>
              <w:rPr>
                <w:rFonts w:ascii="Times New Roman" w:hAnsi="Times New Roman" w:cs="Times New Roman" w:eastAsia="Times New Roman" w:hint="default"/>
                <w:sz w:val="18"/>
                <w:szCs w:val="18"/>
              </w:rPr>
            </w:pPr>
            <w:r>
              <w:rPr>
                <w:rFonts w:ascii="Times New Roman"/>
                <w:sz w:val="18"/>
              </w:rPr>
              <w:t>7,716</w:t>
            </w:r>
          </w:p>
        </w:tc>
        <w:tc>
          <w:tcPr>
            <w:tcW w:w="1483" w:type="dxa"/>
            <w:gridSpan w:val="2"/>
            <w:vMerge w:val="restart"/>
            <w:tcBorders>
              <w:top w:val="single" w:sz="4" w:space="0" w:color="000000"/>
              <w:left w:val="single" w:sz="4" w:space="0" w:color="000000"/>
              <w:right w:val="single" w:sz="4" w:space="0" w:color="000000"/>
            </w:tcBorders>
            <w:shd w:val="clear" w:color="auto" w:fill="D2D2D2"/>
          </w:tcPr>
          <w:p>
            <w:pPr/>
          </w:p>
        </w:tc>
        <w:tc>
          <w:tcPr>
            <w:tcW w:w="1174" w:type="dxa"/>
            <w:gridSpan w:val="2"/>
            <w:vMerge w:val="restart"/>
            <w:tcBorders>
              <w:top w:val="single" w:sz="4" w:space="0" w:color="000000"/>
              <w:left w:val="single" w:sz="9"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719" w:right="0"/>
              <w:jc w:val="left"/>
              <w:rPr>
                <w:rFonts w:ascii="Times New Roman" w:hAnsi="Times New Roman" w:cs="Times New Roman" w:eastAsia="Times New Roman" w:hint="default"/>
                <w:sz w:val="18"/>
                <w:szCs w:val="18"/>
              </w:rPr>
            </w:pPr>
            <w:r>
              <w:rPr>
                <w:rFonts w:ascii="Times New Roman"/>
                <w:sz w:val="18"/>
              </w:rPr>
              <w:t>8,053</w:t>
            </w:r>
          </w:p>
        </w:tc>
        <w:tc>
          <w:tcPr>
            <w:tcW w:w="1268"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125" w:type="dxa"/>
            <w:gridSpan w:val="2"/>
            <w:vMerge w:val="restart"/>
            <w:tcBorders>
              <w:top w:val="single" w:sz="4" w:space="0" w:color="000000"/>
              <w:left w:val="single" w:sz="10" w:space="0" w:color="D2D2D2"/>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0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11" w:right="22"/>
              <w:jc w:val="both"/>
              <w:rPr>
                <w:rFonts w:ascii="宋体" w:hAnsi="宋体" w:cs="宋体" w:eastAsia="宋体" w:hint="default"/>
                <w:sz w:val="18"/>
                <w:szCs w:val="18"/>
              </w:rPr>
            </w:pPr>
            <w:r>
              <w:rPr>
                <w:rFonts w:ascii="宋体" w:hAnsi="宋体" w:cs="宋体" w:eastAsia="宋体" w:hint="default"/>
                <w:sz w:val="18"/>
                <w:szCs w:val="18"/>
              </w:rPr>
              <w:t>年度报告披露日 前上一月末表决 权恢复的优先股 股东总数</w:t>
            </w:r>
          </w:p>
          <w:p>
            <w:pPr>
              <w:pStyle w:val="TableParagraph"/>
              <w:spacing w:line="240" w:lineRule="auto" w:before="20"/>
              <w:ind w:left="11" w:right="0"/>
              <w:jc w:val="both"/>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513" w:type="dxa"/>
            <w:tcBorders>
              <w:top w:val="single" w:sz="4" w:space="0" w:color="000000"/>
              <w:left w:val="single" w:sz="13" w:space="0" w:color="D2D2D2"/>
              <w:bottom w:val="nil" w:sz="6" w:space="0" w:color="auto"/>
              <w:right w:val="nil" w:sz="6" w:space="0" w:color="auto"/>
            </w:tcBorders>
          </w:tcPr>
          <w:p>
            <w:pPr/>
          </w:p>
        </w:tc>
        <w:tc>
          <w:tcPr>
            <w:tcW w:w="558" w:type="dxa"/>
            <w:tcBorders>
              <w:top w:val="single" w:sz="4" w:space="0" w:color="000000"/>
              <w:left w:val="nil" w:sz="6" w:space="0" w:color="auto"/>
              <w:bottom w:val="nil" w:sz="6" w:space="0" w:color="auto"/>
              <w:right w:val="single" w:sz="4" w:space="0" w:color="000000"/>
            </w:tcBorders>
          </w:tcPr>
          <w:p>
            <w:pPr/>
          </w:p>
        </w:tc>
      </w:tr>
      <w:tr>
        <w:trPr>
          <w:trHeight w:val="156" w:hRule="exact"/>
        </w:trPr>
        <w:tc>
          <w:tcPr>
            <w:tcW w:w="1323" w:type="dxa"/>
            <w:vMerge/>
            <w:tcBorders>
              <w:left w:val="single" w:sz="4" w:space="0" w:color="000000"/>
              <w:right w:val="single" w:sz="4" w:space="0" w:color="000000"/>
            </w:tcBorders>
            <w:shd w:val="clear" w:color="auto" w:fill="D2D2D2"/>
          </w:tcPr>
          <w:p>
            <w:pPr/>
          </w:p>
        </w:tc>
        <w:tc>
          <w:tcPr>
            <w:tcW w:w="807" w:type="dxa"/>
            <w:gridSpan w:val="2"/>
            <w:vMerge/>
            <w:tcBorders>
              <w:left w:val="single" w:sz="9" w:space="0" w:color="D2D2D2"/>
              <w:right w:val="single" w:sz="9" w:space="0" w:color="D2D2D2"/>
            </w:tcBorders>
          </w:tcPr>
          <w:p>
            <w:pPr/>
          </w:p>
        </w:tc>
        <w:tc>
          <w:tcPr>
            <w:tcW w:w="1483" w:type="dxa"/>
            <w:gridSpan w:val="2"/>
            <w:vMerge/>
            <w:tcBorders>
              <w:left w:val="single" w:sz="4" w:space="0" w:color="000000"/>
              <w:bottom w:val="nil" w:sz="6" w:space="0" w:color="auto"/>
              <w:right w:val="single" w:sz="4" w:space="0" w:color="000000"/>
            </w:tcBorders>
            <w:shd w:val="clear" w:color="auto" w:fill="D2D2D2"/>
          </w:tcPr>
          <w:p>
            <w:pPr/>
          </w:p>
        </w:tc>
        <w:tc>
          <w:tcPr>
            <w:tcW w:w="1174" w:type="dxa"/>
            <w:gridSpan w:val="2"/>
            <w:vMerge/>
            <w:tcBorders>
              <w:left w:val="single" w:sz="9" w:space="0" w:color="D2D2D2"/>
              <w:right w:val="single" w:sz="9" w:space="0" w:color="D2D2D2"/>
            </w:tcBorders>
          </w:tcPr>
          <w:p>
            <w:pPr/>
          </w:p>
        </w:tc>
        <w:tc>
          <w:tcPr>
            <w:tcW w:w="1268"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1" w:right="-13"/>
              <w:jc w:val="both"/>
              <w:rPr>
                <w:rFonts w:ascii="宋体" w:hAnsi="宋体" w:cs="宋体" w:eastAsia="宋体" w:hint="default"/>
                <w:sz w:val="18"/>
                <w:szCs w:val="18"/>
              </w:rPr>
            </w:pPr>
            <w:r>
              <w:rPr>
                <w:rFonts w:ascii="宋体" w:hAnsi="宋体" w:cs="宋体" w:eastAsia="宋体" w:hint="default"/>
                <w:sz w:val="18"/>
                <w:szCs w:val="18"/>
              </w:rPr>
              <w:t>报告期末表决权 恢复的优先股股 东总数（如有）</w:t>
            </w:r>
          </w:p>
          <w:p>
            <w:pPr>
              <w:pStyle w:val="TableParagraph"/>
              <w:spacing w:line="240" w:lineRule="auto" w:before="20"/>
              <w:ind w:left="11" w:right="0"/>
              <w:jc w:val="both"/>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1125" w:type="dxa"/>
            <w:gridSpan w:val="2"/>
            <w:vMerge/>
            <w:tcBorders>
              <w:left w:val="single" w:sz="10" w:space="0" w:color="D2D2D2"/>
              <w:right w:val="single" w:sz="13" w:space="0" w:color="D2D2D2"/>
            </w:tcBorders>
          </w:tcPr>
          <w:p>
            <w:pPr/>
          </w:p>
        </w:tc>
        <w:tc>
          <w:tcPr>
            <w:tcW w:w="1306" w:type="dxa"/>
            <w:gridSpan w:val="2"/>
            <w:vMerge/>
            <w:tcBorders>
              <w:left w:val="single" w:sz="4" w:space="0" w:color="000000"/>
              <w:right w:val="single" w:sz="4" w:space="0" w:color="000000"/>
            </w:tcBorders>
            <w:shd w:val="clear" w:color="auto" w:fill="D2D2D2"/>
          </w:tcPr>
          <w:p>
            <w:pPr/>
          </w:p>
        </w:tc>
        <w:tc>
          <w:tcPr>
            <w:tcW w:w="513" w:type="dxa"/>
            <w:vMerge w:val="restart"/>
            <w:tcBorders>
              <w:top w:val="nil" w:sz="6" w:space="0" w:color="auto"/>
              <w:left w:val="single" w:sz="13" w:space="0" w:color="D2D2D2"/>
              <w:right w:val="nil" w:sz="6" w:space="0" w:color="auto"/>
            </w:tcBorders>
          </w:tcPr>
          <w:p>
            <w:pPr/>
          </w:p>
        </w:tc>
        <w:tc>
          <w:tcPr>
            <w:tcW w:w="558" w:type="dxa"/>
            <w:tcBorders>
              <w:top w:val="nil" w:sz="6" w:space="0" w:color="auto"/>
              <w:left w:val="nil" w:sz="6" w:space="0" w:color="auto"/>
              <w:bottom w:val="nil" w:sz="6" w:space="0" w:color="auto"/>
              <w:right w:val="single" w:sz="4" w:space="0" w:color="000000"/>
            </w:tcBorders>
          </w:tcPr>
          <w:p>
            <w:pPr/>
          </w:p>
        </w:tc>
      </w:tr>
      <w:tr>
        <w:trPr>
          <w:trHeight w:val="156" w:hRule="exact"/>
        </w:trPr>
        <w:tc>
          <w:tcPr>
            <w:tcW w:w="1323" w:type="dxa"/>
            <w:vMerge/>
            <w:tcBorders>
              <w:left w:val="single" w:sz="4" w:space="0" w:color="000000"/>
              <w:bottom w:val="nil" w:sz="6" w:space="0" w:color="auto"/>
              <w:right w:val="single" w:sz="4" w:space="0" w:color="000000"/>
            </w:tcBorders>
            <w:shd w:val="clear" w:color="auto" w:fill="D2D2D2"/>
          </w:tcPr>
          <w:p>
            <w:pPr/>
          </w:p>
        </w:tc>
        <w:tc>
          <w:tcPr>
            <w:tcW w:w="807" w:type="dxa"/>
            <w:gridSpan w:val="2"/>
            <w:vMerge/>
            <w:tcBorders>
              <w:left w:val="single" w:sz="9" w:space="0" w:color="D2D2D2"/>
              <w:right w:val="single" w:sz="9" w:space="0" w:color="D2D2D2"/>
            </w:tcBorders>
          </w:tcPr>
          <w:p>
            <w:pPr/>
          </w:p>
        </w:tc>
        <w:tc>
          <w:tcPr>
            <w:tcW w:w="1483"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11" w:right="199"/>
              <w:jc w:val="both"/>
              <w:rPr>
                <w:rFonts w:ascii="宋体" w:hAnsi="宋体" w:cs="宋体" w:eastAsia="宋体" w:hint="default"/>
                <w:sz w:val="18"/>
                <w:szCs w:val="18"/>
              </w:rPr>
            </w:pPr>
            <w:r>
              <w:rPr>
                <w:rFonts w:ascii="宋体" w:hAnsi="宋体" w:cs="宋体" w:eastAsia="宋体" w:hint="default"/>
                <w:sz w:val="18"/>
                <w:szCs w:val="18"/>
              </w:rPr>
              <w:t>年度报告披露日 前上一月末普通 股股东总数</w:t>
            </w:r>
          </w:p>
        </w:tc>
        <w:tc>
          <w:tcPr>
            <w:tcW w:w="1174" w:type="dxa"/>
            <w:gridSpan w:val="2"/>
            <w:vMerge/>
            <w:tcBorders>
              <w:left w:val="single" w:sz="9" w:space="0" w:color="D2D2D2"/>
              <w:right w:val="single" w:sz="9" w:space="0" w:color="D2D2D2"/>
            </w:tcBorders>
          </w:tcPr>
          <w:p>
            <w:pPr/>
          </w:p>
        </w:tc>
        <w:tc>
          <w:tcPr>
            <w:tcW w:w="1268" w:type="dxa"/>
            <w:gridSpan w:val="2"/>
            <w:vMerge/>
            <w:tcBorders>
              <w:left w:val="single" w:sz="4" w:space="0" w:color="000000"/>
              <w:right w:val="single" w:sz="4" w:space="0" w:color="000000"/>
            </w:tcBorders>
            <w:shd w:val="clear" w:color="auto" w:fill="D2D2D2"/>
          </w:tcPr>
          <w:p>
            <w:pPr/>
          </w:p>
        </w:tc>
        <w:tc>
          <w:tcPr>
            <w:tcW w:w="1125" w:type="dxa"/>
            <w:gridSpan w:val="2"/>
            <w:vMerge/>
            <w:tcBorders>
              <w:left w:val="single" w:sz="10" w:space="0" w:color="D2D2D2"/>
              <w:right w:val="single" w:sz="13" w:space="0" w:color="D2D2D2"/>
            </w:tcBorders>
          </w:tcPr>
          <w:p>
            <w:pPr/>
          </w:p>
        </w:tc>
        <w:tc>
          <w:tcPr>
            <w:tcW w:w="1306" w:type="dxa"/>
            <w:gridSpan w:val="2"/>
            <w:vMerge/>
            <w:tcBorders>
              <w:left w:val="single" w:sz="4" w:space="0" w:color="000000"/>
              <w:right w:val="single" w:sz="4" w:space="0" w:color="000000"/>
            </w:tcBorders>
            <w:shd w:val="clear" w:color="auto" w:fill="D2D2D2"/>
          </w:tcPr>
          <w:p>
            <w:pPr/>
          </w:p>
        </w:tc>
        <w:tc>
          <w:tcPr>
            <w:tcW w:w="513" w:type="dxa"/>
            <w:vMerge/>
            <w:tcBorders>
              <w:left w:val="single" w:sz="13" w:space="0" w:color="D2D2D2"/>
              <w:right w:val="nil" w:sz="6" w:space="0" w:color="auto"/>
            </w:tcBorders>
          </w:tcPr>
          <w:p>
            <w:pPr/>
          </w:p>
        </w:tc>
        <w:tc>
          <w:tcPr>
            <w:tcW w:w="558" w:type="dxa"/>
            <w:tcBorders>
              <w:top w:val="nil" w:sz="6" w:space="0" w:color="auto"/>
              <w:left w:val="nil" w:sz="6" w:space="0" w:color="auto"/>
              <w:bottom w:val="nil" w:sz="6" w:space="0" w:color="auto"/>
              <w:right w:val="single" w:sz="4" w:space="0" w:color="000000"/>
            </w:tcBorders>
          </w:tcPr>
          <w:p>
            <w:pPr/>
          </w:p>
        </w:tc>
      </w:tr>
      <w:tr>
        <w:trPr>
          <w:trHeight w:val="704" w:hRule="exact"/>
        </w:trPr>
        <w:tc>
          <w:tcPr>
            <w:tcW w:w="13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51"/>
              <w:ind w:left="11" w:right="40"/>
              <w:jc w:val="left"/>
              <w:rPr>
                <w:rFonts w:ascii="宋体" w:hAnsi="宋体" w:cs="宋体" w:eastAsia="宋体" w:hint="default"/>
                <w:sz w:val="18"/>
                <w:szCs w:val="18"/>
              </w:rPr>
            </w:pPr>
            <w:r>
              <w:rPr>
                <w:rFonts w:ascii="宋体" w:hAnsi="宋体" w:cs="宋体" w:eastAsia="宋体" w:hint="default"/>
                <w:sz w:val="18"/>
                <w:szCs w:val="18"/>
              </w:rPr>
              <w:t>报告期末普通股 股东总数</w:t>
            </w:r>
          </w:p>
        </w:tc>
        <w:tc>
          <w:tcPr>
            <w:tcW w:w="807" w:type="dxa"/>
            <w:gridSpan w:val="2"/>
            <w:vMerge/>
            <w:tcBorders>
              <w:left w:val="single" w:sz="9" w:space="0" w:color="D2D2D2"/>
              <w:right w:val="single" w:sz="9" w:space="0" w:color="D2D2D2"/>
            </w:tcBorders>
          </w:tcPr>
          <w:p>
            <w:pPr/>
          </w:p>
        </w:tc>
        <w:tc>
          <w:tcPr>
            <w:tcW w:w="1483" w:type="dxa"/>
            <w:gridSpan w:val="2"/>
            <w:vMerge/>
            <w:tcBorders>
              <w:left w:val="single" w:sz="4" w:space="0" w:color="000000"/>
              <w:right w:val="single" w:sz="4" w:space="0" w:color="000000"/>
            </w:tcBorders>
            <w:shd w:val="clear" w:color="auto" w:fill="D2D2D2"/>
          </w:tcPr>
          <w:p>
            <w:pPr/>
          </w:p>
        </w:tc>
        <w:tc>
          <w:tcPr>
            <w:tcW w:w="1174" w:type="dxa"/>
            <w:gridSpan w:val="2"/>
            <w:vMerge/>
            <w:tcBorders>
              <w:left w:val="single" w:sz="9" w:space="0" w:color="D2D2D2"/>
              <w:right w:val="single" w:sz="9" w:space="0" w:color="D2D2D2"/>
            </w:tcBorders>
          </w:tcPr>
          <w:p>
            <w:pPr/>
          </w:p>
        </w:tc>
        <w:tc>
          <w:tcPr>
            <w:tcW w:w="1268" w:type="dxa"/>
            <w:gridSpan w:val="2"/>
            <w:vMerge/>
            <w:tcBorders>
              <w:left w:val="single" w:sz="4" w:space="0" w:color="000000"/>
              <w:right w:val="single" w:sz="4" w:space="0" w:color="000000"/>
            </w:tcBorders>
            <w:shd w:val="clear" w:color="auto" w:fill="D2D2D2"/>
          </w:tcPr>
          <w:p>
            <w:pPr/>
          </w:p>
        </w:tc>
        <w:tc>
          <w:tcPr>
            <w:tcW w:w="1125" w:type="dxa"/>
            <w:gridSpan w:val="2"/>
            <w:vMerge/>
            <w:tcBorders>
              <w:left w:val="single" w:sz="10" w:space="0" w:color="D2D2D2"/>
              <w:right w:val="single" w:sz="13" w:space="0" w:color="D2D2D2"/>
            </w:tcBorders>
          </w:tcPr>
          <w:p>
            <w:pPr/>
          </w:p>
        </w:tc>
        <w:tc>
          <w:tcPr>
            <w:tcW w:w="1306" w:type="dxa"/>
            <w:gridSpan w:val="2"/>
            <w:vMerge/>
            <w:tcBorders>
              <w:left w:val="single" w:sz="4" w:space="0" w:color="000000"/>
              <w:right w:val="single" w:sz="4" w:space="0" w:color="000000"/>
            </w:tcBorders>
            <w:shd w:val="clear" w:color="auto" w:fill="D2D2D2"/>
          </w:tcPr>
          <w:p>
            <w:pPr/>
          </w:p>
        </w:tc>
        <w:tc>
          <w:tcPr>
            <w:tcW w:w="513" w:type="dxa"/>
            <w:vMerge/>
            <w:tcBorders>
              <w:left w:val="single" w:sz="13" w:space="0" w:color="D2D2D2"/>
              <w:right w:val="nil" w:sz="6" w:space="0" w:color="auto"/>
            </w:tcBorders>
          </w:tcPr>
          <w:p>
            <w:pPr/>
          </w:p>
        </w:tc>
        <w:tc>
          <w:tcPr>
            <w:tcW w:w="558" w:type="dxa"/>
            <w:tcBorders>
              <w:top w:val="nil" w:sz="6" w:space="0" w:color="auto"/>
              <w:left w:val="nil" w:sz="6" w:space="0" w:color="auto"/>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56" w:hRule="exact"/>
        </w:trPr>
        <w:tc>
          <w:tcPr>
            <w:tcW w:w="1323" w:type="dxa"/>
            <w:vMerge w:val="restart"/>
            <w:tcBorders>
              <w:top w:val="nil" w:sz="6" w:space="0" w:color="auto"/>
              <w:left w:val="single" w:sz="4" w:space="0" w:color="000000"/>
              <w:right w:val="single" w:sz="4" w:space="0" w:color="000000"/>
            </w:tcBorders>
            <w:shd w:val="clear" w:color="auto" w:fill="D2D2D2"/>
          </w:tcPr>
          <w:p>
            <w:pPr/>
          </w:p>
        </w:tc>
        <w:tc>
          <w:tcPr>
            <w:tcW w:w="807" w:type="dxa"/>
            <w:gridSpan w:val="2"/>
            <w:vMerge/>
            <w:tcBorders>
              <w:left w:val="single" w:sz="9" w:space="0" w:color="D2D2D2"/>
              <w:right w:val="single" w:sz="9" w:space="0" w:color="D2D2D2"/>
            </w:tcBorders>
          </w:tcPr>
          <w:p>
            <w:pPr/>
          </w:p>
        </w:tc>
        <w:tc>
          <w:tcPr>
            <w:tcW w:w="1483" w:type="dxa"/>
            <w:gridSpan w:val="2"/>
            <w:vMerge/>
            <w:tcBorders>
              <w:left w:val="single" w:sz="4" w:space="0" w:color="000000"/>
              <w:bottom w:val="nil" w:sz="6" w:space="0" w:color="auto"/>
              <w:right w:val="single" w:sz="4" w:space="0" w:color="000000"/>
            </w:tcBorders>
            <w:shd w:val="clear" w:color="auto" w:fill="D2D2D2"/>
          </w:tcPr>
          <w:p>
            <w:pPr/>
          </w:p>
        </w:tc>
        <w:tc>
          <w:tcPr>
            <w:tcW w:w="1174" w:type="dxa"/>
            <w:gridSpan w:val="2"/>
            <w:vMerge/>
            <w:tcBorders>
              <w:left w:val="single" w:sz="9" w:space="0" w:color="D2D2D2"/>
              <w:right w:val="single" w:sz="9" w:space="0" w:color="D2D2D2"/>
            </w:tcBorders>
          </w:tcPr>
          <w:p>
            <w:pPr/>
          </w:p>
        </w:tc>
        <w:tc>
          <w:tcPr>
            <w:tcW w:w="1268" w:type="dxa"/>
            <w:gridSpan w:val="2"/>
            <w:vMerge/>
            <w:tcBorders>
              <w:left w:val="single" w:sz="4" w:space="0" w:color="000000"/>
              <w:right w:val="single" w:sz="4" w:space="0" w:color="000000"/>
            </w:tcBorders>
            <w:shd w:val="clear" w:color="auto" w:fill="D2D2D2"/>
          </w:tcPr>
          <w:p>
            <w:pPr/>
          </w:p>
        </w:tc>
        <w:tc>
          <w:tcPr>
            <w:tcW w:w="1125" w:type="dxa"/>
            <w:gridSpan w:val="2"/>
            <w:vMerge/>
            <w:tcBorders>
              <w:left w:val="single" w:sz="10" w:space="0" w:color="D2D2D2"/>
              <w:right w:val="single" w:sz="13" w:space="0" w:color="D2D2D2"/>
            </w:tcBorders>
          </w:tcPr>
          <w:p>
            <w:pPr/>
          </w:p>
        </w:tc>
        <w:tc>
          <w:tcPr>
            <w:tcW w:w="1306" w:type="dxa"/>
            <w:gridSpan w:val="2"/>
            <w:vMerge/>
            <w:tcBorders>
              <w:left w:val="single" w:sz="4" w:space="0" w:color="000000"/>
              <w:right w:val="single" w:sz="4" w:space="0" w:color="000000"/>
            </w:tcBorders>
            <w:shd w:val="clear" w:color="auto" w:fill="D2D2D2"/>
          </w:tcPr>
          <w:p>
            <w:pPr/>
          </w:p>
        </w:tc>
        <w:tc>
          <w:tcPr>
            <w:tcW w:w="513" w:type="dxa"/>
            <w:vMerge/>
            <w:tcBorders>
              <w:left w:val="single" w:sz="13" w:space="0" w:color="D2D2D2"/>
              <w:right w:val="nil" w:sz="6" w:space="0" w:color="auto"/>
            </w:tcBorders>
          </w:tcPr>
          <w:p>
            <w:pPr/>
          </w:p>
        </w:tc>
        <w:tc>
          <w:tcPr>
            <w:tcW w:w="558" w:type="dxa"/>
            <w:tcBorders>
              <w:top w:val="nil" w:sz="6" w:space="0" w:color="auto"/>
              <w:left w:val="nil" w:sz="6" w:space="0" w:color="auto"/>
              <w:bottom w:val="nil" w:sz="6" w:space="0" w:color="auto"/>
              <w:right w:val="single" w:sz="4" w:space="0" w:color="000000"/>
            </w:tcBorders>
          </w:tcPr>
          <w:p>
            <w:pPr/>
          </w:p>
        </w:tc>
      </w:tr>
      <w:tr>
        <w:trPr>
          <w:trHeight w:val="156" w:hRule="exact"/>
        </w:trPr>
        <w:tc>
          <w:tcPr>
            <w:tcW w:w="1323" w:type="dxa"/>
            <w:vMerge/>
            <w:tcBorders>
              <w:left w:val="single" w:sz="4" w:space="0" w:color="000000"/>
              <w:right w:val="single" w:sz="4" w:space="0" w:color="000000"/>
            </w:tcBorders>
            <w:shd w:val="clear" w:color="auto" w:fill="D2D2D2"/>
          </w:tcPr>
          <w:p>
            <w:pPr/>
          </w:p>
        </w:tc>
        <w:tc>
          <w:tcPr>
            <w:tcW w:w="807" w:type="dxa"/>
            <w:gridSpan w:val="2"/>
            <w:vMerge/>
            <w:tcBorders>
              <w:left w:val="single" w:sz="9" w:space="0" w:color="D2D2D2"/>
              <w:right w:val="single" w:sz="9" w:space="0" w:color="D2D2D2"/>
            </w:tcBorders>
          </w:tcPr>
          <w:p>
            <w:pPr/>
          </w:p>
        </w:tc>
        <w:tc>
          <w:tcPr>
            <w:tcW w:w="1483" w:type="dxa"/>
            <w:gridSpan w:val="2"/>
            <w:vMerge w:val="restart"/>
            <w:tcBorders>
              <w:top w:val="nil" w:sz="6" w:space="0" w:color="auto"/>
              <w:left w:val="single" w:sz="4" w:space="0" w:color="000000"/>
              <w:right w:val="single" w:sz="4" w:space="0" w:color="000000"/>
            </w:tcBorders>
            <w:shd w:val="clear" w:color="auto" w:fill="D2D2D2"/>
          </w:tcPr>
          <w:p>
            <w:pPr/>
          </w:p>
        </w:tc>
        <w:tc>
          <w:tcPr>
            <w:tcW w:w="1174" w:type="dxa"/>
            <w:gridSpan w:val="2"/>
            <w:vMerge/>
            <w:tcBorders>
              <w:left w:val="single" w:sz="9" w:space="0" w:color="D2D2D2"/>
              <w:right w:val="single" w:sz="9" w:space="0" w:color="D2D2D2"/>
            </w:tcBorders>
          </w:tcPr>
          <w:p>
            <w:pPr/>
          </w:p>
        </w:tc>
        <w:tc>
          <w:tcPr>
            <w:tcW w:w="1268" w:type="dxa"/>
            <w:gridSpan w:val="2"/>
            <w:vMerge/>
            <w:tcBorders>
              <w:left w:val="single" w:sz="4" w:space="0" w:color="000000"/>
              <w:bottom w:val="nil" w:sz="6" w:space="0" w:color="auto"/>
              <w:right w:val="single" w:sz="4" w:space="0" w:color="000000"/>
            </w:tcBorders>
            <w:shd w:val="clear" w:color="auto" w:fill="D2D2D2"/>
          </w:tcPr>
          <w:p>
            <w:pPr/>
          </w:p>
        </w:tc>
        <w:tc>
          <w:tcPr>
            <w:tcW w:w="1125" w:type="dxa"/>
            <w:gridSpan w:val="2"/>
            <w:vMerge/>
            <w:tcBorders>
              <w:left w:val="single" w:sz="10" w:space="0" w:color="D2D2D2"/>
              <w:right w:val="single" w:sz="13" w:space="0" w:color="D2D2D2"/>
            </w:tcBorders>
          </w:tcPr>
          <w:p>
            <w:pPr/>
          </w:p>
        </w:tc>
        <w:tc>
          <w:tcPr>
            <w:tcW w:w="1306" w:type="dxa"/>
            <w:gridSpan w:val="2"/>
            <w:vMerge/>
            <w:tcBorders>
              <w:left w:val="single" w:sz="4" w:space="0" w:color="000000"/>
              <w:right w:val="single" w:sz="4" w:space="0" w:color="000000"/>
            </w:tcBorders>
            <w:shd w:val="clear" w:color="auto" w:fill="D2D2D2"/>
          </w:tcPr>
          <w:p>
            <w:pPr/>
          </w:p>
        </w:tc>
        <w:tc>
          <w:tcPr>
            <w:tcW w:w="513" w:type="dxa"/>
            <w:vMerge/>
            <w:tcBorders>
              <w:left w:val="single" w:sz="13" w:space="0" w:color="D2D2D2"/>
              <w:right w:val="nil" w:sz="6" w:space="0" w:color="auto"/>
            </w:tcBorders>
          </w:tcPr>
          <w:p>
            <w:pPr/>
          </w:p>
        </w:tc>
        <w:tc>
          <w:tcPr>
            <w:tcW w:w="558" w:type="dxa"/>
            <w:tcBorders>
              <w:top w:val="nil" w:sz="6" w:space="0" w:color="auto"/>
              <w:left w:val="nil" w:sz="6" w:space="0" w:color="auto"/>
              <w:bottom w:val="nil" w:sz="6" w:space="0" w:color="auto"/>
              <w:right w:val="single" w:sz="4" w:space="0" w:color="000000"/>
            </w:tcBorders>
          </w:tcPr>
          <w:p>
            <w:pPr/>
          </w:p>
        </w:tc>
      </w:tr>
      <w:tr>
        <w:trPr>
          <w:trHeight w:val="166" w:hRule="exact"/>
        </w:trPr>
        <w:tc>
          <w:tcPr>
            <w:tcW w:w="1323" w:type="dxa"/>
            <w:vMerge/>
            <w:tcBorders>
              <w:left w:val="single" w:sz="4" w:space="0" w:color="000000"/>
              <w:bottom w:val="single" w:sz="4" w:space="0" w:color="000000"/>
              <w:right w:val="single" w:sz="4" w:space="0" w:color="000000"/>
            </w:tcBorders>
            <w:shd w:val="clear" w:color="auto" w:fill="D2D2D2"/>
          </w:tcPr>
          <w:p>
            <w:pPr/>
          </w:p>
        </w:tc>
        <w:tc>
          <w:tcPr>
            <w:tcW w:w="807" w:type="dxa"/>
            <w:gridSpan w:val="2"/>
            <w:vMerge/>
            <w:tcBorders>
              <w:left w:val="single" w:sz="9" w:space="0" w:color="D2D2D2"/>
              <w:bottom w:val="single" w:sz="4" w:space="0" w:color="000000"/>
              <w:right w:val="single" w:sz="9" w:space="0" w:color="D2D2D2"/>
            </w:tcBorders>
          </w:tcPr>
          <w:p>
            <w:pPr/>
          </w:p>
        </w:tc>
        <w:tc>
          <w:tcPr>
            <w:tcW w:w="1483" w:type="dxa"/>
            <w:gridSpan w:val="2"/>
            <w:vMerge/>
            <w:tcBorders>
              <w:left w:val="single" w:sz="4" w:space="0" w:color="000000"/>
              <w:bottom w:val="single" w:sz="4" w:space="0" w:color="000000"/>
              <w:right w:val="single" w:sz="4" w:space="0" w:color="000000"/>
            </w:tcBorders>
            <w:shd w:val="clear" w:color="auto" w:fill="D2D2D2"/>
          </w:tcPr>
          <w:p>
            <w:pPr/>
          </w:p>
        </w:tc>
        <w:tc>
          <w:tcPr>
            <w:tcW w:w="1174" w:type="dxa"/>
            <w:gridSpan w:val="2"/>
            <w:vMerge/>
            <w:tcBorders>
              <w:left w:val="single" w:sz="9" w:space="0" w:color="D2D2D2"/>
              <w:bottom w:val="single" w:sz="4" w:space="0" w:color="000000"/>
              <w:right w:val="single" w:sz="9" w:space="0" w:color="D2D2D2"/>
            </w:tcBorders>
          </w:tcPr>
          <w:p>
            <w:pPr/>
          </w:p>
        </w:tc>
        <w:tc>
          <w:tcPr>
            <w:tcW w:w="1268"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125" w:type="dxa"/>
            <w:gridSpan w:val="2"/>
            <w:vMerge/>
            <w:tcBorders>
              <w:left w:val="single" w:sz="10" w:space="0" w:color="D2D2D2"/>
              <w:bottom w:val="single" w:sz="4" w:space="0" w:color="000000"/>
              <w:right w:val="single" w:sz="13" w:space="0" w:color="D2D2D2"/>
            </w:tcBorders>
          </w:tcPr>
          <w:p>
            <w:pPr/>
          </w:p>
        </w:tc>
        <w:tc>
          <w:tcPr>
            <w:tcW w:w="1306" w:type="dxa"/>
            <w:gridSpan w:val="2"/>
            <w:vMerge/>
            <w:tcBorders>
              <w:left w:val="single" w:sz="4" w:space="0" w:color="000000"/>
              <w:bottom w:val="single" w:sz="4" w:space="0" w:color="000000"/>
              <w:right w:val="single" w:sz="4" w:space="0" w:color="000000"/>
            </w:tcBorders>
            <w:shd w:val="clear" w:color="auto" w:fill="D2D2D2"/>
          </w:tcPr>
          <w:p>
            <w:pPr/>
          </w:p>
        </w:tc>
        <w:tc>
          <w:tcPr>
            <w:tcW w:w="513" w:type="dxa"/>
            <w:vMerge/>
            <w:tcBorders>
              <w:left w:val="single" w:sz="13" w:space="0" w:color="D2D2D2"/>
              <w:bottom w:val="single" w:sz="4" w:space="0" w:color="000000"/>
              <w:right w:val="nil" w:sz="6" w:space="0" w:color="auto"/>
            </w:tcBorders>
          </w:tcPr>
          <w:p>
            <w:pPr/>
          </w:p>
        </w:tc>
        <w:tc>
          <w:tcPr>
            <w:tcW w:w="558" w:type="dxa"/>
            <w:tcBorders>
              <w:top w:val="nil" w:sz="6" w:space="0" w:color="auto"/>
              <w:left w:val="nil" w:sz="6" w:space="0" w:color="auto"/>
              <w:bottom w:val="single" w:sz="4" w:space="0" w:color="000000"/>
              <w:right w:val="single" w:sz="4" w:space="0" w:color="000000"/>
            </w:tcBorders>
          </w:tcPr>
          <w:p>
            <w:pPr/>
          </w:p>
        </w:tc>
      </w:tr>
      <w:tr>
        <w:trPr>
          <w:trHeight w:val="392" w:hRule="exact"/>
        </w:trPr>
        <w:tc>
          <w:tcPr>
            <w:tcW w:w="9557" w:type="dxa"/>
            <w:gridSpan w:val="1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3050"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166" w:hRule="exact"/>
        </w:trPr>
        <w:tc>
          <w:tcPr>
            <w:tcW w:w="1458" w:type="dxa"/>
            <w:gridSpan w:val="2"/>
            <w:vMerge w:val="restart"/>
            <w:tcBorders>
              <w:top w:val="single" w:sz="4" w:space="0" w:color="000000"/>
              <w:left w:val="single" w:sz="4" w:space="0" w:color="000000"/>
              <w:right w:val="single" w:sz="4" w:space="0" w:color="000000"/>
            </w:tcBorders>
            <w:shd w:val="clear" w:color="auto" w:fill="D2D2D2"/>
          </w:tcPr>
          <w:p>
            <w:pPr/>
          </w:p>
        </w:tc>
        <w:tc>
          <w:tcPr>
            <w:tcW w:w="1411" w:type="dxa"/>
            <w:gridSpan w:val="2"/>
            <w:vMerge w:val="restart"/>
            <w:tcBorders>
              <w:top w:val="single" w:sz="4" w:space="0" w:color="000000"/>
              <w:left w:val="single" w:sz="4" w:space="0" w:color="000000"/>
              <w:right w:val="single" w:sz="4" w:space="0" w:color="000000"/>
            </w:tcBorders>
            <w:shd w:val="clear" w:color="auto" w:fill="D2D2D2"/>
          </w:tcPr>
          <w:p>
            <w:pPr/>
          </w:p>
        </w:tc>
        <w:tc>
          <w:tcPr>
            <w:tcW w:w="744" w:type="dxa"/>
            <w:vMerge w:val="restart"/>
            <w:tcBorders>
              <w:top w:val="single" w:sz="4" w:space="0" w:color="000000"/>
              <w:left w:val="single" w:sz="4" w:space="0" w:color="000000"/>
              <w:right w:val="single" w:sz="4" w:space="0" w:color="000000"/>
            </w:tcBorders>
            <w:shd w:val="clear" w:color="auto" w:fill="D2D2D2"/>
          </w:tcPr>
          <w:p>
            <w:pPr/>
          </w:p>
        </w:tc>
        <w:tc>
          <w:tcPr>
            <w:tcW w:w="830" w:type="dxa"/>
            <w:tcBorders>
              <w:top w:val="single" w:sz="4" w:space="0" w:color="000000"/>
              <w:left w:val="single" w:sz="4" w:space="0" w:color="000000"/>
              <w:bottom w:val="nil" w:sz="6" w:space="0" w:color="auto"/>
              <w:right w:val="single" w:sz="4" w:space="0" w:color="000000"/>
            </w:tcBorders>
            <w:shd w:val="clear" w:color="auto" w:fill="D2D2D2"/>
          </w:tcPr>
          <w:p>
            <w:pPr/>
          </w:p>
        </w:tc>
        <w:tc>
          <w:tcPr>
            <w:tcW w:w="78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6"/>
              <w:ind w:left="28" w:right="29"/>
              <w:jc w:val="center"/>
              <w:rPr>
                <w:rFonts w:ascii="宋体" w:hAnsi="宋体" w:cs="宋体" w:eastAsia="宋体" w:hint="default"/>
                <w:sz w:val="18"/>
                <w:szCs w:val="18"/>
              </w:rPr>
            </w:pPr>
            <w:r>
              <w:rPr>
                <w:rFonts w:ascii="宋体" w:hAnsi="宋体" w:cs="宋体" w:eastAsia="宋体" w:hint="default"/>
                <w:sz w:val="18"/>
                <w:szCs w:val="18"/>
              </w:rPr>
              <w:t>报告期内 增减变动 情况</w:t>
            </w:r>
          </w:p>
        </w:tc>
        <w:tc>
          <w:tcPr>
            <w:tcW w:w="82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6"/>
              <w:ind w:left="27" w:right="64"/>
              <w:jc w:val="both"/>
              <w:rPr>
                <w:rFonts w:ascii="宋体" w:hAnsi="宋体" w:cs="宋体" w:eastAsia="宋体" w:hint="default"/>
                <w:sz w:val="18"/>
                <w:szCs w:val="18"/>
              </w:rPr>
            </w:pPr>
            <w:r>
              <w:rPr>
                <w:rFonts w:ascii="宋体" w:hAnsi="宋体" w:cs="宋体" w:eastAsia="宋体" w:hint="default"/>
                <w:sz w:val="18"/>
                <w:szCs w:val="18"/>
              </w:rPr>
              <w:t>持有有限 售条件的 股份数量</w:t>
            </w:r>
          </w:p>
        </w:tc>
        <w:tc>
          <w:tcPr>
            <w:tcW w:w="80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6"/>
              <w:ind w:left="16" w:right="54"/>
              <w:jc w:val="both"/>
              <w:rPr>
                <w:rFonts w:ascii="宋体" w:hAnsi="宋体" w:cs="宋体" w:eastAsia="宋体" w:hint="default"/>
                <w:sz w:val="18"/>
                <w:szCs w:val="18"/>
              </w:rPr>
            </w:pPr>
            <w:r>
              <w:rPr>
                <w:rFonts w:ascii="宋体" w:hAnsi="宋体" w:cs="宋体" w:eastAsia="宋体" w:hint="default"/>
                <w:sz w:val="18"/>
                <w:szCs w:val="18"/>
              </w:rPr>
              <w:t>持有无限 售条件的 股份数量</w:t>
            </w:r>
          </w:p>
        </w:tc>
        <w:tc>
          <w:tcPr>
            <w:tcW w:w="2699"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714"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56" w:hRule="exact"/>
        </w:trPr>
        <w:tc>
          <w:tcPr>
            <w:tcW w:w="1458" w:type="dxa"/>
            <w:gridSpan w:val="2"/>
            <w:vMerge/>
            <w:tcBorders>
              <w:left w:val="single" w:sz="4" w:space="0" w:color="000000"/>
              <w:bottom w:val="nil" w:sz="6" w:space="0" w:color="auto"/>
              <w:right w:val="single" w:sz="4" w:space="0" w:color="000000"/>
            </w:tcBorders>
            <w:shd w:val="clear" w:color="auto" w:fill="D2D2D2"/>
          </w:tcPr>
          <w:p>
            <w:pPr/>
          </w:p>
        </w:tc>
        <w:tc>
          <w:tcPr>
            <w:tcW w:w="1411" w:type="dxa"/>
            <w:gridSpan w:val="2"/>
            <w:vMerge/>
            <w:tcBorders>
              <w:left w:val="single" w:sz="4" w:space="0" w:color="000000"/>
              <w:bottom w:val="nil" w:sz="6" w:space="0" w:color="auto"/>
              <w:right w:val="single" w:sz="4" w:space="0" w:color="000000"/>
            </w:tcBorders>
            <w:shd w:val="clear" w:color="auto" w:fill="D2D2D2"/>
          </w:tcPr>
          <w:p>
            <w:pPr/>
          </w:p>
        </w:tc>
        <w:tc>
          <w:tcPr>
            <w:tcW w:w="744" w:type="dxa"/>
            <w:vMerge/>
            <w:tcBorders>
              <w:left w:val="single" w:sz="4" w:space="0" w:color="000000"/>
              <w:bottom w:val="nil" w:sz="6" w:space="0" w:color="auto"/>
              <w:right w:val="single" w:sz="4" w:space="0" w:color="000000"/>
            </w:tcBorders>
            <w:shd w:val="clear" w:color="auto" w:fill="D2D2D2"/>
          </w:tcPr>
          <w:p>
            <w:pPr/>
          </w:p>
        </w:tc>
        <w:tc>
          <w:tcPr>
            <w:tcW w:w="830"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71" w:right="27"/>
              <w:jc w:val="left"/>
              <w:rPr>
                <w:rFonts w:ascii="宋体" w:hAnsi="宋体" w:cs="宋体" w:eastAsia="宋体" w:hint="default"/>
                <w:sz w:val="18"/>
                <w:szCs w:val="18"/>
              </w:rPr>
            </w:pPr>
            <w:r>
              <w:rPr>
                <w:rFonts w:ascii="宋体" w:hAnsi="宋体" w:cs="宋体" w:eastAsia="宋体" w:hint="default"/>
                <w:sz w:val="18"/>
                <w:szCs w:val="18"/>
              </w:rPr>
              <w:t>报告期末 持股数量</w:t>
            </w:r>
          </w:p>
        </w:tc>
        <w:tc>
          <w:tcPr>
            <w:tcW w:w="788" w:type="dxa"/>
            <w:gridSpan w:val="2"/>
            <w:vMerge/>
            <w:tcBorders>
              <w:left w:val="single" w:sz="4" w:space="0" w:color="000000"/>
              <w:right w:val="single" w:sz="4" w:space="0" w:color="000000"/>
            </w:tcBorders>
            <w:shd w:val="clear" w:color="auto" w:fill="D2D2D2"/>
          </w:tcPr>
          <w:p>
            <w:pPr/>
          </w:p>
        </w:tc>
        <w:tc>
          <w:tcPr>
            <w:tcW w:w="824" w:type="dxa"/>
            <w:vMerge/>
            <w:tcBorders>
              <w:left w:val="single" w:sz="4" w:space="0" w:color="000000"/>
              <w:right w:val="single" w:sz="4" w:space="0" w:color="000000"/>
            </w:tcBorders>
            <w:shd w:val="clear" w:color="auto" w:fill="D2D2D2"/>
          </w:tcPr>
          <w:p>
            <w:pPr/>
          </w:p>
        </w:tc>
        <w:tc>
          <w:tcPr>
            <w:tcW w:w="802" w:type="dxa"/>
            <w:vMerge/>
            <w:tcBorders>
              <w:left w:val="single" w:sz="4" w:space="0" w:color="000000"/>
              <w:right w:val="single" w:sz="4" w:space="0" w:color="000000"/>
            </w:tcBorders>
            <w:shd w:val="clear" w:color="auto" w:fill="D2D2D2"/>
          </w:tcPr>
          <w:p>
            <w:pPr/>
          </w:p>
        </w:tc>
        <w:tc>
          <w:tcPr>
            <w:tcW w:w="2699" w:type="dxa"/>
            <w:gridSpan w:val="5"/>
            <w:vMerge/>
            <w:tcBorders>
              <w:left w:val="single" w:sz="4" w:space="0" w:color="000000"/>
              <w:right w:val="single" w:sz="4" w:space="0" w:color="000000"/>
            </w:tcBorders>
            <w:shd w:val="clear" w:color="auto" w:fill="D2D2D2"/>
          </w:tcPr>
          <w:p>
            <w:pPr/>
          </w:p>
        </w:tc>
      </w:tr>
      <w:tr>
        <w:trPr>
          <w:trHeight w:val="141" w:hRule="exact"/>
        </w:trPr>
        <w:tc>
          <w:tcPr>
            <w:tcW w:w="1458"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57"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411"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9"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74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8" w:right="-15"/>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830" w:type="dxa"/>
            <w:vMerge/>
            <w:tcBorders>
              <w:left w:val="single" w:sz="4" w:space="0" w:color="000000"/>
              <w:right w:val="single" w:sz="4" w:space="0" w:color="000000"/>
            </w:tcBorders>
            <w:shd w:val="clear" w:color="auto" w:fill="D2D2D2"/>
          </w:tcPr>
          <w:p>
            <w:pPr/>
          </w:p>
        </w:tc>
        <w:tc>
          <w:tcPr>
            <w:tcW w:w="788" w:type="dxa"/>
            <w:gridSpan w:val="2"/>
            <w:vMerge/>
            <w:tcBorders>
              <w:left w:val="single" w:sz="4" w:space="0" w:color="000000"/>
              <w:right w:val="single" w:sz="4" w:space="0" w:color="000000"/>
            </w:tcBorders>
            <w:shd w:val="clear" w:color="auto" w:fill="D2D2D2"/>
          </w:tcPr>
          <w:p>
            <w:pPr/>
          </w:p>
        </w:tc>
        <w:tc>
          <w:tcPr>
            <w:tcW w:w="824" w:type="dxa"/>
            <w:vMerge/>
            <w:tcBorders>
              <w:left w:val="single" w:sz="4" w:space="0" w:color="000000"/>
              <w:right w:val="single" w:sz="4" w:space="0" w:color="000000"/>
            </w:tcBorders>
            <w:shd w:val="clear" w:color="auto" w:fill="D2D2D2"/>
          </w:tcPr>
          <w:p>
            <w:pPr/>
          </w:p>
        </w:tc>
        <w:tc>
          <w:tcPr>
            <w:tcW w:w="802" w:type="dxa"/>
            <w:vMerge/>
            <w:tcBorders>
              <w:left w:val="single" w:sz="4" w:space="0" w:color="000000"/>
              <w:right w:val="single" w:sz="4" w:space="0" w:color="000000"/>
            </w:tcBorders>
            <w:shd w:val="clear" w:color="auto" w:fill="D2D2D2"/>
          </w:tcPr>
          <w:p>
            <w:pPr/>
          </w:p>
        </w:tc>
        <w:tc>
          <w:tcPr>
            <w:tcW w:w="2699" w:type="dxa"/>
            <w:gridSpan w:val="5"/>
            <w:vMerge/>
            <w:tcBorders>
              <w:left w:val="single" w:sz="4" w:space="0" w:color="000000"/>
              <w:bottom w:val="single" w:sz="4" w:space="0" w:color="000000"/>
              <w:right w:val="single" w:sz="4" w:space="0" w:color="000000"/>
            </w:tcBorders>
            <w:shd w:val="clear" w:color="auto" w:fill="D2D2D2"/>
          </w:tcPr>
          <w:p>
            <w:pPr/>
          </w:p>
        </w:tc>
      </w:tr>
      <w:tr>
        <w:trPr>
          <w:trHeight w:val="252" w:hRule="exact"/>
        </w:trPr>
        <w:tc>
          <w:tcPr>
            <w:tcW w:w="1458" w:type="dxa"/>
            <w:gridSpan w:val="2"/>
            <w:vMerge/>
            <w:tcBorders>
              <w:left w:val="single" w:sz="4" w:space="0" w:color="000000"/>
              <w:bottom w:val="nil" w:sz="6" w:space="0" w:color="auto"/>
              <w:right w:val="single" w:sz="4" w:space="0" w:color="000000"/>
            </w:tcBorders>
            <w:shd w:val="clear" w:color="auto" w:fill="D2D2D2"/>
          </w:tcPr>
          <w:p>
            <w:pPr/>
          </w:p>
        </w:tc>
        <w:tc>
          <w:tcPr>
            <w:tcW w:w="1411" w:type="dxa"/>
            <w:gridSpan w:val="2"/>
            <w:vMerge/>
            <w:tcBorders>
              <w:left w:val="single" w:sz="4" w:space="0" w:color="000000"/>
              <w:bottom w:val="nil" w:sz="6" w:space="0" w:color="auto"/>
              <w:right w:val="single" w:sz="4" w:space="0" w:color="000000"/>
            </w:tcBorders>
            <w:shd w:val="clear" w:color="auto" w:fill="D2D2D2"/>
          </w:tcPr>
          <w:p>
            <w:pPr/>
          </w:p>
        </w:tc>
        <w:tc>
          <w:tcPr>
            <w:tcW w:w="744" w:type="dxa"/>
            <w:vMerge/>
            <w:tcBorders>
              <w:left w:val="single" w:sz="4" w:space="0" w:color="000000"/>
              <w:bottom w:val="nil" w:sz="6" w:space="0" w:color="auto"/>
              <w:right w:val="single" w:sz="4" w:space="0" w:color="000000"/>
            </w:tcBorders>
            <w:shd w:val="clear" w:color="auto" w:fill="D2D2D2"/>
          </w:tcPr>
          <w:p>
            <w:pPr/>
          </w:p>
        </w:tc>
        <w:tc>
          <w:tcPr>
            <w:tcW w:w="830" w:type="dxa"/>
            <w:vMerge/>
            <w:tcBorders>
              <w:left w:val="single" w:sz="4" w:space="0" w:color="000000"/>
              <w:right w:val="single" w:sz="4" w:space="0" w:color="000000"/>
            </w:tcBorders>
            <w:shd w:val="clear" w:color="auto" w:fill="D2D2D2"/>
          </w:tcPr>
          <w:p>
            <w:pPr/>
          </w:p>
        </w:tc>
        <w:tc>
          <w:tcPr>
            <w:tcW w:w="788" w:type="dxa"/>
            <w:gridSpan w:val="2"/>
            <w:vMerge/>
            <w:tcBorders>
              <w:left w:val="single" w:sz="4" w:space="0" w:color="000000"/>
              <w:right w:val="single" w:sz="4" w:space="0" w:color="000000"/>
            </w:tcBorders>
            <w:shd w:val="clear" w:color="auto" w:fill="D2D2D2"/>
          </w:tcPr>
          <w:p>
            <w:pPr/>
          </w:p>
        </w:tc>
        <w:tc>
          <w:tcPr>
            <w:tcW w:w="824" w:type="dxa"/>
            <w:vMerge/>
            <w:tcBorders>
              <w:left w:val="single" w:sz="4" w:space="0" w:color="000000"/>
              <w:right w:val="single" w:sz="4" w:space="0" w:color="000000"/>
            </w:tcBorders>
            <w:shd w:val="clear" w:color="auto" w:fill="D2D2D2"/>
          </w:tcPr>
          <w:p>
            <w:pPr/>
          </w:p>
        </w:tc>
        <w:tc>
          <w:tcPr>
            <w:tcW w:w="802" w:type="dxa"/>
            <w:vMerge/>
            <w:tcBorders>
              <w:left w:val="single" w:sz="4" w:space="0" w:color="000000"/>
              <w:right w:val="single" w:sz="4" w:space="0" w:color="000000"/>
            </w:tcBorders>
            <w:shd w:val="clear" w:color="auto" w:fill="D2D2D2"/>
          </w:tcPr>
          <w:p>
            <w:pPr/>
          </w:p>
        </w:tc>
        <w:tc>
          <w:tcPr>
            <w:tcW w:w="134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7"/>
              <w:ind w:left="308"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350"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7"/>
              <w:ind w:right="1"/>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156" w:hRule="exact"/>
        </w:trPr>
        <w:tc>
          <w:tcPr>
            <w:tcW w:w="1458" w:type="dxa"/>
            <w:gridSpan w:val="2"/>
            <w:vMerge w:val="restart"/>
            <w:tcBorders>
              <w:top w:val="nil" w:sz="6" w:space="0" w:color="auto"/>
              <w:left w:val="single" w:sz="4" w:space="0" w:color="000000"/>
              <w:right w:val="single" w:sz="4" w:space="0" w:color="000000"/>
            </w:tcBorders>
            <w:shd w:val="clear" w:color="auto" w:fill="D2D2D2"/>
          </w:tcPr>
          <w:p>
            <w:pPr/>
          </w:p>
        </w:tc>
        <w:tc>
          <w:tcPr>
            <w:tcW w:w="1411" w:type="dxa"/>
            <w:gridSpan w:val="2"/>
            <w:vMerge w:val="restart"/>
            <w:tcBorders>
              <w:top w:val="nil" w:sz="6" w:space="0" w:color="auto"/>
              <w:left w:val="single" w:sz="4" w:space="0" w:color="000000"/>
              <w:right w:val="single" w:sz="4" w:space="0" w:color="000000"/>
            </w:tcBorders>
            <w:shd w:val="clear" w:color="auto" w:fill="D2D2D2"/>
          </w:tcPr>
          <w:p>
            <w:pPr/>
          </w:p>
        </w:tc>
        <w:tc>
          <w:tcPr>
            <w:tcW w:w="744" w:type="dxa"/>
            <w:vMerge w:val="restart"/>
            <w:tcBorders>
              <w:top w:val="nil" w:sz="6" w:space="0" w:color="auto"/>
              <w:left w:val="single" w:sz="4" w:space="0" w:color="000000"/>
              <w:right w:val="single" w:sz="4" w:space="0" w:color="000000"/>
            </w:tcBorders>
            <w:shd w:val="clear" w:color="auto" w:fill="D2D2D2"/>
          </w:tcPr>
          <w:p>
            <w:pPr/>
          </w:p>
        </w:tc>
        <w:tc>
          <w:tcPr>
            <w:tcW w:w="830" w:type="dxa"/>
            <w:vMerge/>
            <w:tcBorders>
              <w:left w:val="single" w:sz="4" w:space="0" w:color="000000"/>
              <w:bottom w:val="nil" w:sz="6" w:space="0" w:color="auto"/>
              <w:right w:val="single" w:sz="4" w:space="0" w:color="000000"/>
            </w:tcBorders>
            <w:shd w:val="clear" w:color="auto" w:fill="D2D2D2"/>
          </w:tcPr>
          <w:p>
            <w:pPr/>
          </w:p>
        </w:tc>
        <w:tc>
          <w:tcPr>
            <w:tcW w:w="788" w:type="dxa"/>
            <w:gridSpan w:val="2"/>
            <w:vMerge/>
            <w:tcBorders>
              <w:left w:val="single" w:sz="4" w:space="0" w:color="000000"/>
              <w:right w:val="single" w:sz="4" w:space="0" w:color="000000"/>
            </w:tcBorders>
            <w:shd w:val="clear" w:color="auto" w:fill="D2D2D2"/>
          </w:tcPr>
          <w:p>
            <w:pPr/>
          </w:p>
        </w:tc>
        <w:tc>
          <w:tcPr>
            <w:tcW w:w="824" w:type="dxa"/>
            <w:vMerge/>
            <w:tcBorders>
              <w:left w:val="single" w:sz="4" w:space="0" w:color="000000"/>
              <w:right w:val="single" w:sz="4" w:space="0" w:color="000000"/>
            </w:tcBorders>
            <w:shd w:val="clear" w:color="auto" w:fill="D2D2D2"/>
          </w:tcPr>
          <w:p>
            <w:pPr/>
          </w:p>
        </w:tc>
        <w:tc>
          <w:tcPr>
            <w:tcW w:w="802" w:type="dxa"/>
            <w:vMerge/>
            <w:tcBorders>
              <w:left w:val="single" w:sz="4" w:space="0" w:color="000000"/>
              <w:right w:val="single" w:sz="4" w:space="0" w:color="000000"/>
            </w:tcBorders>
            <w:shd w:val="clear" w:color="auto" w:fill="D2D2D2"/>
          </w:tcPr>
          <w:p>
            <w:pPr/>
          </w:p>
        </w:tc>
        <w:tc>
          <w:tcPr>
            <w:tcW w:w="1349" w:type="dxa"/>
            <w:gridSpan w:val="2"/>
            <w:vMerge/>
            <w:tcBorders>
              <w:left w:val="single" w:sz="4" w:space="0" w:color="000000"/>
              <w:right w:val="single" w:sz="4" w:space="0" w:color="000000"/>
            </w:tcBorders>
            <w:shd w:val="clear" w:color="auto" w:fill="D2D2D2"/>
          </w:tcPr>
          <w:p>
            <w:pPr/>
          </w:p>
        </w:tc>
        <w:tc>
          <w:tcPr>
            <w:tcW w:w="1350" w:type="dxa"/>
            <w:gridSpan w:val="3"/>
            <w:vMerge/>
            <w:tcBorders>
              <w:left w:val="single" w:sz="4" w:space="0" w:color="000000"/>
              <w:right w:val="single" w:sz="4" w:space="0" w:color="000000"/>
            </w:tcBorders>
            <w:shd w:val="clear" w:color="auto" w:fill="D2D2D2"/>
          </w:tcPr>
          <w:p>
            <w:pPr/>
          </w:p>
        </w:tc>
      </w:tr>
      <w:tr>
        <w:trPr>
          <w:trHeight w:val="161" w:hRule="exact"/>
        </w:trPr>
        <w:tc>
          <w:tcPr>
            <w:tcW w:w="1458" w:type="dxa"/>
            <w:gridSpan w:val="2"/>
            <w:vMerge/>
            <w:tcBorders>
              <w:left w:val="single" w:sz="4" w:space="0" w:color="000000"/>
              <w:bottom w:val="single" w:sz="4" w:space="0" w:color="000000"/>
              <w:right w:val="single" w:sz="4" w:space="0" w:color="000000"/>
            </w:tcBorders>
            <w:shd w:val="clear" w:color="auto" w:fill="D2D2D2"/>
          </w:tcPr>
          <w:p>
            <w:pPr/>
          </w:p>
        </w:tc>
        <w:tc>
          <w:tcPr>
            <w:tcW w:w="1411" w:type="dxa"/>
            <w:gridSpan w:val="2"/>
            <w:vMerge/>
            <w:tcBorders>
              <w:left w:val="single" w:sz="4" w:space="0" w:color="000000"/>
              <w:bottom w:val="single" w:sz="4" w:space="0" w:color="000000"/>
              <w:right w:val="single" w:sz="4" w:space="0" w:color="000000"/>
            </w:tcBorders>
            <w:shd w:val="clear" w:color="auto" w:fill="D2D2D2"/>
          </w:tcPr>
          <w:p>
            <w:pPr/>
          </w:p>
        </w:tc>
        <w:tc>
          <w:tcPr>
            <w:tcW w:w="744" w:type="dxa"/>
            <w:vMerge/>
            <w:tcBorders>
              <w:left w:val="single" w:sz="4" w:space="0" w:color="000000"/>
              <w:bottom w:val="single" w:sz="4" w:space="0" w:color="000000"/>
              <w:right w:val="single" w:sz="4" w:space="0" w:color="000000"/>
            </w:tcBorders>
            <w:shd w:val="clear" w:color="auto" w:fill="D2D2D2"/>
          </w:tcPr>
          <w:p>
            <w:pPr/>
          </w:p>
        </w:tc>
        <w:tc>
          <w:tcPr>
            <w:tcW w:w="830" w:type="dxa"/>
            <w:tcBorders>
              <w:top w:val="nil" w:sz="6" w:space="0" w:color="auto"/>
              <w:left w:val="single" w:sz="4" w:space="0" w:color="000000"/>
              <w:bottom w:val="single" w:sz="4" w:space="0" w:color="000000"/>
              <w:right w:val="single" w:sz="4" w:space="0" w:color="000000"/>
            </w:tcBorders>
            <w:shd w:val="clear" w:color="auto" w:fill="D2D2D2"/>
          </w:tcPr>
          <w:p>
            <w:pPr/>
          </w:p>
        </w:tc>
        <w:tc>
          <w:tcPr>
            <w:tcW w:w="788" w:type="dxa"/>
            <w:gridSpan w:val="2"/>
            <w:vMerge/>
            <w:tcBorders>
              <w:left w:val="single" w:sz="4" w:space="0" w:color="000000"/>
              <w:bottom w:val="single" w:sz="4" w:space="0" w:color="000000"/>
              <w:right w:val="single" w:sz="4" w:space="0" w:color="000000"/>
            </w:tcBorders>
            <w:shd w:val="clear" w:color="auto" w:fill="D2D2D2"/>
          </w:tcPr>
          <w:p>
            <w:pPr/>
          </w:p>
        </w:tc>
        <w:tc>
          <w:tcPr>
            <w:tcW w:w="824" w:type="dxa"/>
            <w:vMerge/>
            <w:tcBorders>
              <w:left w:val="single" w:sz="4" w:space="0" w:color="000000"/>
              <w:bottom w:val="single" w:sz="4" w:space="0" w:color="000000"/>
              <w:right w:val="single" w:sz="4" w:space="0" w:color="000000"/>
            </w:tcBorders>
            <w:shd w:val="clear" w:color="auto" w:fill="D2D2D2"/>
          </w:tcPr>
          <w:p>
            <w:pPr/>
          </w:p>
        </w:tc>
        <w:tc>
          <w:tcPr>
            <w:tcW w:w="802" w:type="dxa"/>
            <w:vMerge/>
            <w:tcBorders>
              <w:left w:val="single" w:sz="4" w:space="0" w:color="000000"/>
              <w:bottom w:val="single" w:sz="4" w:space="0" w:color="000000"/>
              <w:right w:val="single" w:sz="4" w:space="0" w:color="000000"/>
            </w:tcBorders>
            <w:shd w:val="clear" w:color="auto" w:fill="D2D2D2"/>
          </w:tcPr>
          <w:p>
            <w:pPr/>
          </w:p>
        </w:tc>
        <w:tc>
          <w:tcPr>
            <w:tcW w:w="1349" w:type="dxa"/>
            <w:gridSpan w:val="2"/>
            <w:vMerge/>
            <w:tcBorders>
              <w:left w:val="single" w:sz="4" w:space="0" w:color="000000"/>
              <w:bottom w:val="single" w:sz="4" w:space="0" w:color="000000"/>
              <w:right w:val="single" w:sz="4" w:space="0" w:color="000000"/>
            </w:tcBorders>
            <w:shd w:val="clear" w:color="auto" w:fill="D2D2D2"/>
          </w:tcPr>
          <w:p>
            <w:pPr/>
          </w:p>
        </w:tc>
        <w:tc>
          <w:tcPr>
            <w:tcW w:w="1350" w:type="dxa"/>
            <w:gridSpan w:val="3"/>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458"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1" w:right="174"/>
              <w:jc w:val="left"/>
              <w:rPr>
                <w:rFonts w:ascii="宋体" w:hAnsi="宋体" w:cs="宋体" w:eastAsia="宋体" w:hint="default"/>
                <w:sz w:val="18"/>
                <w:szCs w:val="18"/>
              </w:rPr>
            </w:pPr>
            <w:r>
              <w:rPr>
                <w:rFonts w:ascii="宋体" w:hAnsi="宋体" w:cs="宋体" w:eastAsia="宋体" w:hint="default"/>
                <w:sz w:val="18"/>
                <w:szCs w:val="18"/>
              </w:rPr>
              <w:t>高兴控股集团有 限公司</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0" w:right="-22"/>
              <w:jc w:val="left"/>
              <w:rPr>
                <w:rFonts w:ascii="Times New Roman" w:hAnsi="Times New Roman" w:cs="Times New Roman" w:eastAsia="Times New Roman" w:hint="default"/>
                <w:sz w:val="18"/>
                <w:szCs w:val="18"/>
              </w:rPr>
            </w:pPr>
            <w:r>
              <w:rPr>
                <w:rFonts w:ascii="Times New Roman"/>
                <w:sz w:val="18"/>
              </w:rPr>
              <w:t>38.25%</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25,500,00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59"/>
              <w:jc w:val="right"/>
              <w:rPr>
                <w:rFonts w:ascii="Times New Roman" w:hAnsi="Times New Roman" w:cs="Times New Roman" w:eastAsia="Times New Roman" w:hint="default"/>
                <w:sz w:val="18"/>
                <w:szCs w:val="18"/>
              </w:rPr>
            </w:pPr>
            <w:r>
              <w:rPr>
                <w:rFonts w:ascii="Times New Roman"/>
                <w:sz w:val="18"/>
              </w:rPr>
              <w:t>25,500,00</w:t>
            </w:r>
          </w:p>
          <w:p>
            <w:pPr>
              <w:pStyle w:val="TableParagraph"/>
              <w:spacing w:line="240" w:lineRule="auto" w:before="106"/>
              <w:ind w:right="59"/>
              <w:jc w:val="right"/>
              <w:rPr>
                <w:rFonts w:ascii="Times New Roman" w:hAnsi="Times New Roman" w:cs="Times New Roman" w:eastAsia="Times New Roman" w:hint="default"/>
                <w:sz w:val="18"/>
                <w:szCs w:val="18"/>
              </w:rPr>
            </w:pPr>
            <w:r>
              <w:rPr>
                <w:rFonts w:ascii="Times New Roman"/>
                <w:sz w:val="18"/>
              </w:rPr>
              <w:t>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49" w:type="dxa"/>
            <w:gridSpan w:val="2"/>
            <w:tcBorders>
              <w:top w:val="single" w:sz="48" w:space="0" w:color="D2D2D2"/>
              <w:left w:val="single" w:sz="4" w:space="0" w:color="000000"/>
              <w:bottom w:val="single" w:sz="4" w:space="0" w:color="000000"/>
              <w:right w:val="single" w:sz="4" w:space="0" w:color="000000"/>
            </w:tcBorders>
          </w:tcPr>
          <w:p>
            <w:pPr>
              <w:pStyle w:val="TableParagraph"/>
              <w:spacing w:line="240" w:lineRule="auto" w:before="151"/>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50" w:type="dxa"/>
            <w:gridSpan w:val="3"/>
            <w:tcBorders>
              <w:top w:val="single" w:sz="48" w:space="0" w:color="D2D2D2"/>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506" w:right="0"/>
              <w:jc w:val="left"/>
              <w:rPr>
                <w:rFonts w:ascii="Times New Roman" w:hAnsi="Times New Roman" w:cs="Times New Roman" w:eastAsia="Times New Roman" w:hint="default"/>
                <w:sz w:val="18"/>
                <w:szCs w:val="18"/>
              </w:rPr>
            </w:pPr>
            <w:r>
              <w:rPr>
                <w:rFonts w:ascii="Times New Roman"/>
                <w:sz w:val="18"/>
              </w:rPr>
              <w:t>24,690,000</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69"/>
        <w:gridCol w:w="1411"/>
        <w:gridCol w:w="788"/>
        <w:gridCol w:w="786"/>
        <w:gridCol w:w="788"/>
        <w:gridCol w:w="786"/>
        <w:gridCol w:w="840"/>
        <w:gridCol w:w="1349"/>
        <w:gridCol w:w="1350"/>
      </w:tblGrid>
      <w:tr>
        <w:trPr>
          <w:trHeight w:val="1026"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中国双帆投资控 </w:t>
            </w:r>
            <w:r>
              <w:rPr>
                <w:rFonts w:ascii="宋体" w:hAnsi="宋体" w:cs="宋体" w:eastAsia="宋体" w:hint="default"/>
                <w:spacing w:val="-4"/>
                <w:sz w:val="18"/>
                <w:szCs w:val="18"/>
              </w:rPr>
              <w:t>股集团（香港）有</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限公司</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境外法人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18.75%</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12,500,00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12,500,00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12,500,000</w:t>
            </w:r>
          </w:p>
        </w:tc>
      </w:tr>
      <w:tr>
        <w:trPr>
          <w:trHeight w:val="714"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4"/>
              <w:jc w:val="left"/>
              <w:rPr>
                <w:rFonts w:ascii="宋体" w:hAnsi="宋体" w:cs="宋体" w:eastAsia="宋体" w:hint="default"/>
                <w:sz w:val="18"/>
                <w:szCs w:val="18"/>
              </w:rPr>
            </w:pPr>
            <w:r>
              <w:rPr>
                <w:rFonts w:ascii="宋体" w:hAnsi="宋体" w:cs="宋体" w:eastAsia="宋体" w:hint="default"/>
                <w:sz w:val="18"/>
                <w:szCs w:val="18"/>
              </w:rPr>
              <w:t>杭州天眼投资有 限公司</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6.75%</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4,500,000</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4,500,000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4,500,000</w:t>
            </w:r>
          </w:p>
        </w:tc>
      </w:tr>
      <w:tr>
        <w:trPr>
          <w:trHeight w:val="402"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陈海华</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2.45%</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1,636,628</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1,636,628</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1,636,628</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王梅香</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1.57%</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1,044,478</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1,044,478</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1,044,478</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李水珍</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1.21%</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804,600</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804,600</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804,600</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云南国际信托有 限公司一合顺</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号 集合资金信托计 划</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0.88%</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583,600</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2" w:right="0"/>
              <w:jc w:val="left"/>
              <w:rPr>
                <w:rFonts w:ascii="Times New Roman" w:hAnsi="Times New Roman" w:cs="Times New Roman" w:eastAsia="Times New Roman" w:hint="default"/>
                <w:sz w:val="18"/>
                <w:szCs w:val="18"/>
              </w:rPr>
            </w:pPr>
            <w:r>
              <w:rPr>
                <w:rFonts w:ascii="Times New Roman"/>
                <w:sz w:val="18"/>
              </w:rPr>
              <w:t>583,600</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3"/>
              <w:jc w:val="right"/>
              <w:rPr>
                <w:rFonts w:ascii="Times New Roman" w:hAnsi="Times New Roman" w:cs="Times New Roman" w:eastAsia="Times New Roman" w:hint="default"/>
                <w:sz w:val="18"/>
                <w:szCs w:val="18"/>
              </w:rPr>
            </w:pPr>
            <w:r>
              <w:rPr>
                <w:rFonts w:ascii="Times New Roman"/>
                <w:sz w:val="18"/>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583,600</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翁耀琦</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0.68%</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454,600</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454,600</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454,600</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4"/>
              <w:jc w:val="left"/>
              <w:rPr>
                <w:rFonts w:ascii="宋体" w:hAnsi="宋体" w:cs="宋体" w:eastAsia="宋体" w:hint="default"/>
                <w:sz w:val="18"/>
                <w:szCs w:val="18"/>
              </w:rPr>
            </w:pPr>
            <w:r>
              <w:rPr>
                <w:rFonts w:ascii="宋体" w:hAnsi="宋体" w:cs="宋体" w:eastAsia="宋体" w:hint="default"/>
                <w:sz w:val="18"/>
                <w:szCs w:val="18"/>
              </w:rPr>
              <w:t>中央汇金资产管 理有限责任公司</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0.64%</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428,100</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428,100</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浙江润禾创业投 </w:t>
            </w:r>
            <w:r>
              <w:rPr>
                <w:rFonts w:ascii="宋体" w:hAnsi="宋体" w:cs="宋体" w:eastAsia="宋体" w:hint="default"/>
                <w:spacing w:val="-4"/>
                <w:sz w:val="18"/>
                <w:szCs w:val="18"/>
              </w:rPr>
              <w:t>资合伙企业（有限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合伙）</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0.56%</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375,000</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-875,000</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375,000</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88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战略投资者或一般法人因配售新股 成为前</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pacing w:val="-13"/>
                <w:sz w:val="18"/>
                <w:szCs w:val="18"/>
              </w:rPr>
              <w:t>名股东的情况（如有）（参</w:t>
            </w:r>
            <w:r>
              <w:rPr>
                <w:rFonts w:ascii="宋体" w:hAnsi="宋体" w:cs="宋体" w:eastAsia="宋体" w:hint="default"/>
                <w:sz w:val="18"/>
                <w:szCs w:val="18"/>
              </w:rPr>
              <w:t> 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6688" w:type="dxa"/>
            <w:gridSpan w:val="7"/>
            <w:tcBorders>
              <w:top w:val="single" w:sz="4" w:space="0" w:color="000000"/>
              <w:left w:val="single" w:sz="9"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73" w:hRule="exact"/>
        </w:trPr>
        <w:tc>
          <w:tcPr>
            <w:tcW w:w="2880"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6688" w:type="dxa"/>
            <w:gridSpan w:val="7"/>
            <w:vMerge w:val="restart"/>
            <w:tcBorders>
              <w:top w:val="single" w:sz="4" w:space="0" w:color="000000"/>
              <w:left w:val="single" w:sz="9" w:space="0" w:color="D2D2D2"/>
              <w:right w:val="single" w:sz="4" w:space="0" w:color="000000"/>
            </w:tcBorders>
          </w:tcPr>
          <w:p>
            <w:pPr>
              <w:pStyle w:val="TableParagraph"/>
              <w:spacing w:line="316" w:lineRule="auto" w:before="51"/>
              <w:ind w:left="16" w:right="22"/>
              <w:jc w:val="both"/>
              <w:rPr>
                <w:rFonts w:ascii="宋体" w:hAnsi="宋体" w:cs="宋体" w:eastAsia="宋体" w:hint="default"/>
                <w:sz w:val="18"/>
                <w:szCs w:val="18"/>
              </w:rPr>
            </w:pPr>
            <w:r>
              <w:rPr>
                <w:rFonts w:ascii="宋体" w:hAnsi="宋体" w:cs="宋体" w:eastAsia="宋体" w:hint="default"/>
                <w:spacing w:val="-1"/>
                <w:sz w:val="18"/>
                <w:szCs w:val="18"/>
              </w:rPr>
              <w:t>高兴控股集团有限公司和中国双帆投资控股集团（香港）有限公司都受公司实际控制</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1"/>
                <w:sz w:val="18"/>
                <w:szCs w:val="18"/>
              </w:rPr>
              <w:t>人高长虹先生控制；杭州天眼投资有限公司为公司股权激励平台，持股人员主要是公</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1"/>
                <w:sz w:val="18"/>
                <w:szCs w:val="18"/>
              </w:rPr>
              <w:t>司董事、监事、高管、中层管理人员和业务骨干，公司实际控制人高长虹担任杭州天</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眼投资有限公司的法定代表人。公司未曾知悉其他股东间是否存在关联关系或属于</w:t>
            </w:r>
          </w:p>
          <w:p>
            <w:pPr>
              <w:pStyle w:val="TableParagraph"/>
              <w:spacing w:line="240" w:lineRule="auto" w:before="20"/>
              <w:ind w:left="16" w:right="0"/>
              <w:jc w:val="both"/>
              <w:rPr>
                <w:rFonts w:ascii="宋体" w:hAnsi="宋体" w:cs="宋体" w:eastAsia="宋体" w:hint="default"/>
                <w:sz w:val="18"/>
                <w:szCs w:val="18"/>
              </w:rPr>
            </w:pPr>
            <w:r>
              <w:rPr>
                <w:rFonts w:ascii="宋体" w:hAnsi="宋体" w:cs="宋体" w:eastAsia="宋体" w:hint="default"/>
                <w:sz w:val="18"/>
                <w:szCs w:val="18"/>
              </w:rPr>
              <w:t>《上市公司股东持股变动信息披露管理办法》规定的一致行动人。</w:t>
            </w:r>
          </w:p>
        </w:tc>
      </w:tr>
      <w:tr>
        <w:trPr>
          <w:trHeight w:val="704" w:hRule="exact"/>
        </w:trPr>
        <w:tc>
          <w:tcPr>
            <w:tcW w:w="2880"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51"/>
              <w:ind w:left="22" w:right="147"/>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上述股东关联关系或一致行动的说 明</w:t>
            </w:r>
          </w:p>
        </w:tc>
        <w:tc>
          <w:tcPr>
            <w:tcW w:w="6688" w:type="dxa"/>
            <w:gridSpan w:val="7"/>
            <w:vMerge/>
            <w:tcBorders>
              <w:left w:val="single" w:sz="9" w:space="0" w:color="D2D2D2"/>
              <w:right w:val="single" w:sz="4" w:space="0" w:color="000000"/>
            </w:tcBorders>
          </w:tcPr>
          <w:p>
            <w:pPr/>
          </w:p>
        </w:tc>
      </w:tr>
      <w:tr>
        <w:trPr>
          <w:trHeight w:val="473" w:hRule="exact"/>
        </w:trPr>
        <w:tc>
          <w:tcPr>
            <w:tcW w:w="2880"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6688" w:type="dxa"/>
            <w:gridSpan w:val="7"/>
            <w:vMerge/>
            <w:tcBorders>
              <w:left w:val="single" w:sz="9" w:space="0" w:color="D2D2D2"/>
              <w:bottom w:val="single" w:sz="4" w:space="0" w:color="000000"/>
              <w:right w:val="single" w:sz="4" w:space="0" w:color="000000"/>
            </w:tcBorders>
          </w:tcPr>
          <w:p>
            <w:pPr/>
          </w:p>
        </w:tc>
      </w:tr>
      <w:tr>
        <w:trPr>
          <w:trHeight w:val="402" w:hRule="exact"/>
        </w:trPr>
        <w:tc>
          <w:tcPr>
            <w:tcW w:w="9569"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名无限售条件股东持股情况</w:t>
            </w:r>
          </w:p>
        </w:tc>
      </w:tr>
      <w:tr>
        <w:trPr>
          <w:trHeight w:val="206" w:hRule="exact"/>
        </w:trPr>
        <w:tc>
          <w:tcPr>
            <w:tcW w:w="2880"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3989" w:type="dxa"/>
            <w:gridSpan w:val="5"/>
            <w:tcBorders>
              <w:top w:val="single" w:sz="4" w:space="0" w:color="000000"/>
              <w:left w:val="single" w:sz="4" w:space="0" w:color="000000"/>
              <w:bottom w:val="nil" w:sz="6" w:space="0" w:color="auto"/>
              <w:right w:val="single" w:sz="4" w:space="0" w:color="000000"/>
            </w:tcBorders>
            <w:shd w:val="clear" w:color="auto" w:fill="D2D2D2"/>
          </w:tcPr>
          <w:p>
            <w:pPr/>
          </w:p>
        </w:tc>
        <w:tc>
          <w:tcPr>
            <w:tcW w:w="269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1" w:hRule="exact"/>
        </w:trPr>
        <w:tc>
          <w:tcPr>
            <w:tcW w:w="2880"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3989" w:type="dxa"/>
            <w:gridSpan w:val="5"/>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38"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699"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880" w:type="dxa"/>
            <w:gridSpan w:val="2"/>
            <w:vMerge/>
            <w:tcBorders>
              <w:left w:val="single" w:sz="4" w:space="0" w:color="000000"/>
              <w:bottom w:val="nil" w:sz="6" w:space="0" w:color="auto"/>
              <w:right w:val="single" w:sz="4" w:space="0" w:color="000000"/>
            </w:tcBorders>
            <w:shd w:val="clear" w:color="auto" w:fill="D2D2D2"/>
          </w:tcPr>
          <w:p>
            <w:pPr/>
          </w:p>
        </w:tc>
        <w:tc>
          <w:tcPr>
            <w:tcW w:w="3989" w:type="dxa"/>
            <w:gridSpan w:val="5"/>
            <w:vMerge/>
            <w:tcBorders>
              <w:left w:val="single" w:sz="4" w:space="0" w:color="000000"/>
              <w:bottom w:val="nil" w:sz="6" w:space="0" w:color="auto"/>
              <w:right w:val="single" w:sz="4" w:space="0" w:color="000000"/>
            </w:tcBorders>
            <w:shd w:val="clear" w:color="auto" w:fill="D2D2D2"/>
          </w:tcPr>
          <w:p>
            <w:pPr/>
          </w:p>
        </w:tc>
        <w:tc>
          <w:tcPr>
            <w:tcW w:w="134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08"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06" w:hRule="exact"/>
        </w:trPr>
        <w:tc>
          <w:tcPr>
            <w:tcW w:w="2880"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3989" w:type="dxa"/>
            <w:gridSpan w:val="5"/>
            <w:tcBorders>
              <w:top w:val="nil" w:sz="6" w:space="0" w:color="auto"/>
              <w:left w:val="single" w:sz="4" w:space="0" w:color="000000"/>
              <w:bottom w:val="single" w:sz="4" w:space="0" w:color="000000"/>
              <w:right w:val="single" w:sz="4" w:space="0" w:color="000000"/>
            </w:tcBorders>
            <w:shd w:val="clear" w:color="auto" w:fill="D2D2D2"/>
          </w:tcPr>
          <w:p>
            <w:pPr/>
          </w:p>
        </w:tc>
        <w:tc>
          <w:tcPr>
            <w:tcW w:w="1349" w:type="dxa"/>
            <w:vMerge/>
            <w:tcBorders>
              <w:left w:val="single" w:sz="4" w:space="0" w:color="000000"/>
              <w:bottom w:val="single" w:sz="4" w:space="0" w:color="000000"/>
              <w:right w:val="single" w:sz="4" w:space="0" w:color="000000"/>
            </w:tcBorders>
            <w:shd w:val="clear" w:color="auto" w:fill="D2D2D2"/>
          </w:tcPr>
          <w:p>
            <w:pPr/>
          </w:p>
        </w:tc>
        <w:tc>
          <w:tcPr>
            <w:tcW w:w="1350"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陈海华</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1,636,628</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1,636,628</w:t>
            </w:r>
          </w:p>
        </w:tc>
      </w:tr>
      <w:tr>
        <w:trPr>
          <w:trHeight w:val="402"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王梅香</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1,044,478</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1,044,478</w:t>
            </w:r>
          </w:p>
        </w:tc>
      </w:tr>
      <w:tr>
        <w:trPr>
          <w:trHeight w:val="402"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李水珍</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804,600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804,600</w:t>
            </w:r>
          </w:p>
        </w:tc>
      </w:tr>
      <w:tr>
        <w:trPr>
          <w:trHeight w:val="714"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146"/>
              <w:jc w:val="left"/>
              <w:rPr>
                <w:rFonts w:ascii="宋体" w:hAnsi="宋体" w:cs="宋体" w:eastAsia="宋体" w:hint="default"/>
                <w:sz w:val="18"/>
                <w:szCs w:val="18"/>
              </w:rPr>
            </w:pPr>
            <w:r>
              <w:rPr>
                <w:rFonts w:ascii="宋体" w:hAnsi="宋体" w:cs="宋体" w:eastAsia="宋体" w:hint="default"/>
                <w:sz w:val="18"/>
                <w:szCs w:val="18"/>
              </w:rPr>
              <w:t>云南国际信托有限公司一合顺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 集合资金信托计划</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583,600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583,600</w:t>
            </w:r>
          </w:p>
        </w:tc>
      </w:tr>
      <w:tr>
        <w:trPr>
          <w:trHeight w:val="402"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翁耀琦</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454,600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454,600</w:t>
            </w:r>
          </w:p>
        </w:tc>
      </w:tr>
      <w:tr>
        <w:trPr>
          <w:trHeight w:val="402"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中央汇金资产管理有限责任公司</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428,100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428,100</w:t>
            </w:r>
          </w:p>
        </w:tc>
      </w:tr>
      <w:tr>
        <w:trPr>
          <w:trHeight w:val="714"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4"/>
                <w:sz w:val="18"/>
                <w:szCs w:val="18"/>
              </w:rPr>
              <w:t>浙江润禾创业投资合伙企业（有限合</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伙）</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375,000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375,000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80"/>
        <w:gridCol w:w="3989"/>
        <w:gridCol w:w="1349"/>
        <w:gridCol w:w="1350"/>
      </w:tblGrid>
      <w:tr>
        <w:trPr>
          <w:trHeight w:val="402"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陈传兴</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322,900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322,900</w:t>
            </w:r>
          </w:p>
        </w:tc>
      </w:tr>
      <w:tr>
        <w:trPr>
          <w:trHeight w:val="402"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朱建英</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312,500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312,500</w:t>
            </w:r>
          </w:p>
        </w:tc>
      </w:tr>
      <w:tr>
        <w:trPr>
          <w:trHeight w:val="402"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阮炳炎</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265,200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265,200</w:t>
            </w:r>
          </w:p>
        </w:tc>
      </w:tr>
      <w:tr>
        <w:trPr>
          <w:trHeight w:val="1338" w:hRule="exact"/>
        </w:trPr>
        <w:tc>
          <w:tcPr>
            <w:tcW w:w="28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名无限售流通股股东之间，以</w:t>
            </w:r>
          </w:p>
          <w:p>
            <w:pPr>
              <w:pStyle w:val="TableParagraph"/>
              <w:spacing w:line="309" w:lineRule="auto" w:before="63"/>
              <w:ind w:left="22" w:right="23"/>
              <w:jc w:val="left"/>
              <w:rPr>
                <w:rFonts w:ascii="宋体" w:hAnsi="宋体" w:cs="宋体" w:eastAsia="宋体" w:hint="default"/>
                <w:sz w:val="18"/>
                <w:szCs w:val="18"/>
              </w:rPr>
            </w:pPr>
            <w:r>
              <w:rPr>
                <w:rFonts w:ascii="宋体" w:hAnsi="宋体" w:cs="宋体" w:eastAsia="宋体" w:hint="default"/>
                <w:sz w:val="18"/>
                <w:szCs w:val="18"/>
              </w:rPr>
              <w:t>及前</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名无限售流通股股东和前</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名股东之间关联关系或一致行动的 说明</w:t>
            </w:r>
          </w:p>
        </w:tc>
        <w:tc>
          <w:tcPr>
            <w:tcW w:w="668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09" w:lineRule="auto"/>
              <w:ind w:left="22" w:right="22"/>
              <w:jc w:val="left"/>
              <w:rPr>
                <w:rFonts w:ascii="宋体" w:hAnsi="宋体" w:cs="宋体" w:eastAsia="宋体" w:hint="default"/>
                <w:sz w:val="18"/>
                <w:szCs w:val="18"/>
              </w:rPr>
            </w:pPr>
            <w:r>
              <w:rPr>
                <w:rFonts w:ascii="宋体" w:hAnsi="宋体" w:cs="宋体" w:eastAsia="宋体" w:hint="default"/>
                <w:sz w:val="18"/>
                <w:szCs w:val="18"/>
              </w:rPr>
              <w:t>公司未曾知悉前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名无限售流通股东之间，以及前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名无限售流通股东和前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 </w:t>
            </w:r>
            <w:r>
              <w:rPr>
                <w:rFonts w:ascii="宋体" w:hAnsi="宋体" w:cs="宋体" w:eastAsia="宋体" w:hint="default"/>
                <w:spacing w:val="-1"/>
                <w:sz w:val="18"/>
                <w:szCs w:val="18"/>
              </w:rPr>
              <w:t>股东之间是否存在关联关系或属于《上市公司股东持股变动信息披露管理办法》规定</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的一致行动人。</w:t>
            </w:r>
          </w:p>
        </w:tc>
      </w:tr>
      <w:tr>
        <w:trPr>
          <w:trHeight w:val="1338" w:hRule="exact"/>
        </w:trPr>
        <w:tc>
          <w:tcPr>
            <w:tcW w:w="28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21"/>
              <w:jc w:val="left"/>
              <w:rPr>
                <w:rFonts w:ascii="宋体" w:hAnsi="宋体" w:cs="宋体" w:eastAsia="宋体" w:hint="default"/>
                <w:sz w:val="18"/>
                <w:szCs w:val="18"/>
              </w:rPr>
            </w:pPr>
            <w:r>
              <w:rPr>
                <w:rFonts w:ascii="宋体" w:hAnsi="宋体" w:cs="宋体" w:eastAsia="宋体" w:hint="default"/>
                <w:spacing w:val="-4"/>
                <w:sz w:val="18"/>
                <w:szCs w:val="18"/>
              </w:rPr>
              <w:t>参与融资融券业务股东情况说明（如</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15"/>
                <w:sz w:val="18"/>
                <w:szCs w:val="18"/>
              </w:rPr>
              <w:t>有）（参见注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tc>
        <w:tc>
          <w:tcPr>
            <w:tcW w:w="668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公司股东李水珍除通过普通证券账户持有</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股外，还通过广发证券股份有限公司客户</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信用交易担保证券账户持有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804,600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股，实际合计持有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804,600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股；公司股东翁耀琦</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除通过普通证券账户持有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166,600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股外，还通过中银国际证券有限责任公司客户信用</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交易担保证券账户持有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288,000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股，实际合计持有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454,600 </w:t>
            </w:r>
            <w:r>
              <w:rPr>
                <w:rFonts w:ascii="宋体" w:hAnsi="宋体" w:cs="宋体" w:eastAsia="宋体" w:hint="default"/>
                <w:sz w:val="18"/>
                <w:szCs w:val="18"/>
              </w:rPr>
              <w:t>股。</w:t>
            </w:r>
          </w:p>
        </w:tc>
      </w:tr>
    </w:tbl>
    <w:p>
      <w:pPr>
        <w:pStyle w:val="BodyText"/>
        <w:spacing w:line="240" w:lineRule="auto" w:before="51"/>
        <w:ind w:right="0"/>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名无限售条件普通股股东在报告期内是否进行约定购回交易</w:t>
      </w:r>
    </w:p>
    <w:p>
      <w:pPr>
        <w:pStyle w:val="BodyText"/>
        <w:spacing w:line="240" w:lineRule="auto" w:before="103"/>
        <w:ind w:right="0"/>
        <w:jc w:val="left"/>
      </w:pPr>
      <w:r>
        <w:rPr/>
        <w:t>□ 是 √ 否</w:t>
      </w:r>
    </w:p>
    <w:p>
      <w:pPr>
        <w:pStyle w:val="BodyText"/>
        <w:spacing w:line="240" w:lineRule="auto" w:before="116"/>
        <w:ind w:right="0"/>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名无限售条件普通股股东在报告期内未进行约定购回交易。</w:t>
      </w:r>
    </w:p>
    <w:p>
      <w:pPr>
        <w:spacing w:line="240" w:lineRule="auto" w:before="10"/>
        <w:rPr>
          <w:rFonts w:ascii="宋体" w:hAnsi="宋体" w:cs="宋体" w:eastAsia="宋体" w:hint="default"/>
          <w:sz w:val="25"/>
          <w:szCs w:val="25"/>
        </w:rPr>
      </w:pPr>
    </w:p>
    <w:p>
      <w:pPr>
        <w:pStyle w:val="Heading5"/>
        <w:spacing w:line="240" w:lineRule="auto"/>
        <w:ind w:right="0"/>
        <w:jc w:val="left"/>
        <w:rPr>
          <w:b w:val="0"/>
          <w:bCs w:val="0"/>
        </w:rPr>
      </w:pPr>
      <w:bookmarkStart w:name="2、公司控股股东情况" w:id="112"/>
      <w:bookmarkEnd w:id="112"/>
      <w:r>
        <w:rPr>
          <w:b w:val="0"/>
          <w:bCs w:val="0"/>
        </w:rPr>
      </w:r>
      <w:r>
        <w:rPr>
          <w:rFonts w:ascii="Times New Roman" w:hAnsi="Times New Roman" w:cs="Times New Roman" w:eastAsia="Times New Roman" w:hint="default"/>
        </w:rPr>
        <w:t>2</w:t>
      </w:r>
      <w:r>
        <w:rPr/>
        <w:t>、公司控股股东情况</w:t>
      </w:r>
      <w:r>
        <w:rPr>
          <w:b w:val="0"/>
          <w:bCs w:val="0"/>
        </w:rPr>
      </w:r>
    </w:p>
    <w:p>
      <w:pPr>
        <w:spacing w:line="240" w:lineRule="auto" w:before="8"/>
        <w:rPr>
          <w:rFonts w:ascii="宋体" w:hAnsi="宋体" w:cs="宋体" w:eastAsia="宋体" w:hint="default"/>
          <w:b/>
          <w:bCs/>
          <w:sz w:val="26"/>
          <w:szCs w:val="26"/>
        </w:rPr>
      </w:pPr>
    </w:p>
    <w:p>
      <w:pPr>
        <w:pStyle w:val="BodyText"/>
        <w:spacing w:line="360" w:lineRule="auto" w:before="0"/>
        <w:ind w:right="7612"/>
        <w:jc w:val="left"/>
      </w:pPr>
      <w:r>
        <w:rPr/>
        <w:t>控股股东性质：自然人控股 控股股东类型：法人</w:t>
      </w:r>
    </w:p>
    <w:tbl>
      <w:tblPr>
        <w:tblW w:w="0" w:type="auto"/>
        <w:jc w:val="left"/>
        <w:tblInd w:w="149" w:type="dxa"/>
        <w:tblLayout w:type="fixed"/>
        <w:tblCellMar>
          <w:top w:w="0" w:type="dxa"/>
          <w:left w:w="0" w:type="dxa"/>
          <w:bottom w:w="0" w:type="dxa"/>
          <w:right w:w="0" w:type="dxa"/>
        </w:tblCellMar>
        <w:tblLook w:val="01E0"/>
      </w:tblPr>
      <w:tblGrid>
        <w:gridCol w:w="2200"/>
        <w:gridCol w:w="1792"/>
        <w:gridCol w:w="1592"/>
        <w:gridCol w:w="1754"/>
        <w:gridCol w:w="2231"/>
      </w:tblGrid>
      <w:tr>
        <w:trPr>
          <w:trHeight w:val="714" w:hRule="exact"/>
        </w:trPr>
        <w:tc>
          <w:tcPr>
            <w:tcW w:w="2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54" w:right="0"/>
              <w:jc w:val="left"/>
              <w:rPr>
                <w:rFonts w:ascii="宋体" w:hAnsi="宋体" w:cs="宋体" w:eastAsia="宋体" w:hint="default"/>
                <w:sz w:val="18"/>
                <w:szCs w:val="18"/>
              </w:rPr>
            </w:pPr>
            <w:r>
              <w:rPr>
                <w:rFonts w:ascii="宋体" w:hAnsi="宋体" w:cs="宋体" w:eastAsia="宋体" w:hint="default"/>
                <w:sz w:val="18"/>
                <w:szCs w:val="18"/>
              </w:rPr>
              <w:t>控股股东名称</w:t>
            </w:r>
          </w:p>
        </w:tc>
        <w:tc>
          <w:tcPr>
            <w:tcW w:w="1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800" w:right="54" w:hanging="746"/>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w:t>
            </w:r>
            <w:r>
              <w:rPr>
                <w:rFonts w:ascii="宋体" w:hAnsi="宋体" w:cs="宋体" w:eastAsia="宋体" w:hint="default"/>
                <w:sz w:val="18"/>
                <w:szCs w:val="18"/>
              </w:rPr>
              <w:t>单位负责 人</w:t>
            </w:r>
          </w:p>
        </w:tc>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成立日期</w:t>
            </w:r>
          </w:p>
        </w:tc>
        <w:tc>
          <w:tcPr>
            <w:tcW w:w="17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组织机构代码</w:t>
            </w:r>
          </w:p>
        </w:tc>
        <w:tc>
          <w:tcPr>
            <w:tcW w:w="2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69" w:right="0"/>
              <w:jc w:val="left"/>
              <w:rPr>
                <w:rFonts w:ascii="宋体" w:hAnsi="宋体" w:cs="宋体" w:eastAsia="宋体" w:hint="default"/>
                <w:sz w:val="18"/>
                <w:szCs w:val="18"/>
              </w:rPr>
            </w:pPr>
            <w:r>
              <w:rPr>
                <w:rFonts w:ascii="宋体" w:hAnsi="宋体" w:cs="宋体" w:eastAsia="宋体" w:hint="default"/>
                <w:sz w:val="18"/>
                <w:szCs w:val="18"/>
              </w:rPr>
              <w:t>主要经营业务</w:t>
            </w:r>
          </w:p>
        </w:tc>
      </w:tr>
      <w:tr>
        <w:trPr>
          <w:trHeight w:val="402" w:hRule="exact"/>
        </w:trPr>
        <w:tc>
          <w:tcPr>
            <w:tcW w:w="2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高兴控股集团有限公司</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高长虹</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1"/>
              <w:jc w:val="center"/>
              <w:rPr>
                <w:rFonts w:ascii="Times New Roman" w:hAnsi="Times New Roman" w:cs="Times New Roman" w:eastAsia="Times New Roman" w:hint="default"/>
                <w:sz w:val="18"/>
                <w:szCs w:val="18"/>
              </w:rPr>
            </w:pPr>
            <w:r>
              <w:rPr>
                <w:rFonts w:ascii="Times New Roman"/>
                <w:sz w:val="18"/>
              </w:rPr>
              <w:t>913301107996754972</w:t>
            </w:r>
          </w:p>
        </w:tc>
        <w:tc>
          <w:tcPr>
            <w:tcW w:w="2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企业投资、管理。</w:t>
            </w:r>
          </w:p>
        </w:tc>
      </w:tr>
      <w:tr>
        <w:trPr>
          <w:trHeight w:val="1026" w:hRule="exact"/>
        </w:trPr>
        <w:tc>
          <w:tcPr>
            <w:tcW w:w="2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85"/>
              <w:jc w:val="both"/>
              <w:rPr>
                <w:rFonts w:ascii="宋体" w:hAnsi="宋体" w:cs="宋体" w:eastAsia="宋体" w:hint="default"/>
                <w:sz w:val="18"/>
                <w:szCs w:val="18"/>
              </w:rPr>
            </w:pPr>
            <w:r>
              <w:rPr>
                <w:rFonts w:ascii="宋体" w:hAnsi="宋体" w:cs="宋体" w:eastAsia="宋体" w:hint="default"/>
                <w:sz w:val="18"/>
                <w:szCs w:val="18"/>
              </w:rPr>
              <w:t>控股股东报告期内控股和 参股的其他境内外上市公 司的股权情况</w:t>
            </w:r>
          </w:p>
        </w:tc>
        <w:tc>
          <w:tcPr>
            <w:tcW w:w="7369"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除杭州高新外，未控股其他境内外上市公司。</w:t>
            </w:r>
          </w:p>
        </w:tc>
      </w:tr>
    </w:tbl>
    <w:p>
      <w:pPr>
        <w:pStyle w:val="BodyText"/>
        <w:spacing w:line="240" w:lineRule="auto" w:before="65"/>
        <w:ind w:right="0"/>
        <w:jc w:val="left"/>
      </w:pPr>
      <w:r>
        <w:rPr/>
        <w:t>控股股东报告期内变更</w:t>
      </w:r>
    </w:p>
    <w:p>
      <w:pPr>
        <w:pStyle w:val="BodyText"/>
        <w:spacing w:line="357" w:lineRule="auto" w:before="117"/>
        <w:ind w:right="7072"/>
        <w:jc w:val="left"/>
      </w:pPr>
      <w:r>
        <w:rPr/>
        <w:t>□ 适用 √ 不适用 公司报告期控股股东未发生变更。</w:t>
      </w:r>
    </w:p>
    <w:p>
      <w:pPr>
        <w:spacing w:line="240" w:lineRule="auto" w:before="1"/>
        <w:rPr>
          <w:rFonts w:ascii="宋体" w:hAnsi="宋体" w:cs="宋体" w:eastAsia="宋体" w:hint="default"/>
          <w:sz w:val="20"/>
          <w:szCs w:val="20"/>
        </w:rPr>
      </w:pPr>
    </w:p>
    <w:p>
      <w:pPr>
        <w:pStyle w:val="Heading5"/>
        <w:spacing w:line="240" w:lineRule="auto"/>
        <w:ind w:right="0"/>
        <w:jc w:val="left"/>
        <w:rPr>
          <w:b w:val="0"/>
          <w:bCs w:val="0"/>
        </w:rPr>
      </w:pPr>
      <w:bookmarkStart w:name="3、公司实际控制人情况" w:id="113"/>
      <w:bookmarkEnd w:id="113"/>
      <w:r>
        <w:rPr>
          <w:b w:val="0"/>
          <w:bCs w:val="0"/>
        </w:rPr>
      </w:r>
      <w:r>
        <w:rPr>
          <w:rFonts w:ascii="Times New Roman" w:hAnsi="Times New Roman" w:cs="Times New Roman" w:eastAsia="Times New Roman" w:hint="default"/>
        </w:rPr>
        <w:t>3</w:t>
      </w:r>
      <w:r>
        <w:rPr/>
        <w:t>、公司实际控制人情况</w:t>
      </w:r>
      <w:r>
        <w:rPr>
          <w:b w:val="0"/>
          <w:bCs w:val="0"/>
        </w:rPr>
      </w:r>
    </w:p>
    <w:p>
      <w:pPr>
        <w:spacing w:line="240" w:lineRule="auto" w:before="8"/>
        <w:rPr>
          <w:rFonts w:ascii="宋体" w:hAnsi="宋体" w:cs="宋体" w:eastAsia="宋体" w:hint="default"/>
          <w:b/>
          <w:bCs/>
          <w:sz w:val="26"/>
          <w:szCs w:val="26"/>
        </w:rPr>
      </w:pPr>
    </w:p>
    <w:p>
      <w:pPr>
        <w:pStyle w:val="BodyText"/>
        <w:spacing w:line="360" w:lineRule="auto" w:before="0"/>
        <w:ind w:right="7432"/>
        <w:jc w:val="left"/>
      </w:pPr>
      <w:r>
        <w:rPr/>
        <w:t>实际控制人性质：境内自然人 实际控制人类型：自然人</w:t>
      </w:r>
    </w:p>
    <w:tbl>
      <w:tblPr>
        <w:tblW w:w="0" w:type="auto"/>
        <w:jc w:val="left"/>
        <w:tblInd w:w="149" w:type="dxa"/>
        <w:tblLayout w:type="fixed"/>
        <w:tblCellMar>
          <w:top w:w="0" w:type="dxa"/>
          <w:left w:w="0" w:type="dxa"/>
          <w:bottom w:w="0" w:type="dxa"/>
          <w:right w:w="0" w:type="dxa"/>
        </w:tblCellMar>
        <w:tblLook w:val="01E0"/>
      </w:tblPr>
      <w:tblGrid>
        <w:gridCol w:w="3335"/>
        <w:gridCol w:w="2057"/>
        <w:gridCol w:w="4176"/>
      </w:tblGrid>
      <w:tr>
        <w:trPr>
          <w:trHeight w:val="402" w:hRule="exact"/>
        </w:trPr>
        <w:tc>
          <w:tcPr>
            <w:tcW w:w="3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2"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2" w:hRule="exact"/>
        </w:trPr>
        <w:tc>
          <w:tcPr>
            <w:tcW w:w="3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高长虹</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234"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任公司和高兴集团董事长。</w:t>
            </w:r>
          </w:p>
        </w:tc>
      </w:tr>
      <w:tr>
        <w:trPr>
          <w:trHeight w:val="402" w:hRule="exact"/>
        </w:trPr>
        <w:tc>
          <w:tcPr>
            <w:tcW w:w="3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年曾控股的境内外上市公司情况</w:t>
            </w:r>
          </w:p>
        </w:tc>
        <w:tc>
          <w:tcPr>
            <w:tcW w:w="6234"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除杭州高新外，未控股其他境内外上市公司。</w:t>
            </w:r>
          </w:p>
        </w:tc>
      </w:tr>
    </w:tbl>
    <w:p>
      <w:pPr>
        <w:pStyle w:val="BodyText"/>
        <w:spacing w:line="240" w:lineRule="auto" w:before="65"/>
        <w:ind w:right="0"/>
        <w:jc w:val="left"/>
      </w:pPr>
      <w:r>
        <w:rPr/>
        <w:t>实际控制人报告期内变更</w:t>
      </w:r>
    </w:p>
    <w:p>
      <w:pPr>
        <w:pStyle w:val="BodyText"/>
        <w:spacing w:line="240" w:lineRule="auto" w:before="117"/>
        <w:ind w:right="0"/>
        <w:jc w:val="left"/>
      </w:pPr>
      <w:r>
        <w:rPr/>
        <w:t>□ 适用 √ 不适用</w:t>
      </w:r>
    </w:p>
    <w:p>
      <w:pPr>
        <w:spacing w:after="0" w:line="240" w:lineRule="auto"/>
        <w:jc w:val="left"/>
        <w:sectPr>
          <w:pgSz w:w="11910" w:h="16840"/>
          <w:pgMar w:header="747" w:footer="979" w:top="1060" w:bottom="1160" w:left="980" w:right="980"/>
        </w:sectPr>
      </w:pPr>
    </w:p>
    <w:p>
      <w:pPr>
        <w:spacing w:line="240" w:lineRule="auto" w:before="13"/>
        <w:rPr>
          <w:rFonts w:ascii="宋体" w:hAnsi="宋体" w:cs="宋体" w:eastAsia="宋体" w:hint="default"/>
          <w:sz w:val="25"/>
          <w:szCs w:val="25"/>
        </w:rPr>
      </w:pPr>
    </w:p>
    <w:p>
      <w:pPr>
        <w:pStyle w:val="BodyText"/>
        <w:spacing w:line="357" w:lineRule="auto"/>
        <w:ind w:right="5812"/>
        <w:jc w:val="left"/>
      </w:pPr>
      <w:r>
        <w:rPr/>
        <w:t>公司报告期实际控制人未发生变更。 公司与实际控制人之间的产权及控制关系的方框图</w:t>
      </w:r>
    </w:p>
    <w:p>
      <w:pPr>
        <w:spacing w:line="240" w:lineRule="auto" w:before="2"/>
        <w:rPr>
          <w:rFonts w:ascii="宋体" w:hAnsi="宋体" w:cs="宋体" w:eastAsia="宋体" w:hint="default"/>
          <w:sz w:val="24"/>
          <w:szCs w:val="24"/>
        </w:rPr>
      </w:pPr>
    </w:p>
    <w:p>
      <w:pPr>
        <w:spacing w:line="5025" w:lineRule="exact"/>
        <w:ind w:left="1359" w:right="0" w:firstLine="0"/>
        <w:rPr>
          <w:rFonts w:ascii="宋体" w:hAnsi="宋体" w:cs="宋体" w:eastAsia="宋体" w:hint="default"/>
          <w:sz w:val="20"/>
          <w:szCs w:val="20"/>
        </w:rPr>
      </w:pPr>
      <w:r>
        <w:rPr>
          <w:rFonts w:ascii="宋体" w:hAnsi="宋体" w:cs="宋体" w:eastAsia="宋体" w:hint="default"/>
          <w:position w:val="-100"/>
          <w:sz w:val="20"/>
          <w:szCs w:val="20"/>
        </w:rPr>
        <w:drawing>
          <wp:inline distT="0" distB="0" distL="0" distR="0">
            <wp:extent cx="4590415" cy="3190875"/>
            <wp:effectExtent l="0" t="0" r="0" b="0"/>
            <wp:docPr id="3" name="image2.jpeg" descr=""/>
            <wp:cNvGraphicFramePr>
              <a:graphicFrameLocks noChangeAspect="1"/>
            </wp:cNvGraphicFramePr>
            <a:graphic>
              <a:graphicData uri="http://schemas.openxmlformats.org/drawingml/2006/picture">
                <pic:pic>
                  <pic:nvPicPr>
                    <pic:cNvPr id="4" name="image2.jpeg"/>
                    <pic:cNvPicPr/>
                  </pic:nvPicPr>
                  <pic:blipFill>
                    <a:blip r:embed="rId12" cstate="print"/>
                    <a:stretch>
                      <a:fillRect/>
                    </a:stretch>
                  </pic:blipFill>
                  <pic:spPr>
                    <a:xfrm>
                      <a:off x="0" y="0"/>
                      <a:ext cx="4590415" cy="3190875"/>
                    </a:xfrm>
                    <a:prstGeom prst="rect">
                      <a:avLst/>
                    </a:prstGeom>
                  </pic:spPr>
                </pic:pic>
              </a:graphicData>
            </a:graphic>
          </wp:inline>
        </w:drawing>
      </w:r>
      <w:r>
        <w:rPr>
          <w:rFonts w:ascii="宋体" w:hAnsi="宋体" w:cs="宋体" w:eastAsia="宋体" w:hint="default"/>
          <w:position w:val="-100"/>
          <w:sz w:val="20"/>
          <w:szCs w:val="20"/>
        </w:rPr>
      </w:r>
    </w:p>
    <w:p>
      <w:pPr>
        <w:spacing w:line="240" w:lineRule="auto" w:before="1"/>
        <w:rPr>
          <w:rFonts w:ascii="宋体" w:hAnsi="宋体" w:cs="宋体" w:eastAsia="宋体" w:hint="default"/>
          <w:sz w:val="21"/>
          <w:szCs w:val="21"/>
        </w:rPr>
      </w:pPr>
    </w:p>
    <w:p>
      <w:pPr>
        <w:pStyle w:val="Heading3"/>
        <w:spacing w:line="240" w:lineRule="auto" w:before="26"/>
        <w:ind w:right="0"/>
        <w:jc w:val="left"/>
      </w:pPr>
      <w:r>
        <w:rPr/>
        <w:t>实际控制人通过信托或其他资产管理方式控制公司</w:t>
      </w:r>
    </w:p>
    <w:p>
      <w:pPr>
        <w:spacing w:line="240" w:lineRule="auto" w:before="13"/>
        <w:rPr>
          <w:rFonts w:ascii="宋体" w:hAnsi="宋体" w:cs="宋体" w:eastAsia="宋体" w:hint="default"/>
          <w:sz w:val="18"/>
          <w:szCs w:val="18"/>
        </w:rPr>
      </w:pPr>
    </w:p>
    <w:p>
      <w:pPr>
        <w:pStyle w:val="BodyText"/>
        <w:spacing w:line="240" w:lineRule="auto" w:before="0"/>
        <w:ind w:right="0"/>
        <w:jc w:val="left"/>
      </w:pPr>
      <w:r>
        <w:rPr/>
        <w:t>□ 适用 √ 不适用</w:t>
      </w: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bookmarkStart w:name="4、其他持股在10%以上的法人股东" w:id="114"/>
      <w:bookmarkEnd w:id="114"/>
      <w:r>
        <w:rPr>
          <w:b w:val="0"/>
          <w:bCs w:val="0"/>
        </w:rPr>
      </w:r>
      <w:r>
        <w:rPr>
          <w:rFonts w:ascii="Times New Roman" w:hAnsi="Times New Roman" w:cs="Times New Roman" w:eastAsia="Times New Roman" w:hint="default"/>
        </w:rPr>
        <w:t>4</w:t>
      </w:r>
      <w:r>
        <w:rPr/>
        <w:t>、其他持股在</w:t>
      </w:r>
      <w:r>
        <w:rPr>
          <w:spacing w:val="-57"/>
        </w:rPr>
        <w:t> </w:t>
      </w:r>
      <w:r>
        <w:rPr>
          <w:rFonts w:ascii="Times New Roman" w:hAnsi="Times New Roman" w:cs="Times New Roman" w:eastAsia="Times New Roman" w:hint="default"/>
        </w:rPr>
        <w:t>10%</w:t>
      </w:r>
      <w:r>
        <w:rPr/>
        <w:t>以上的法人股东</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0"/>
        <w:jc w:val="left"/>
      </w:pPr>
      <w:r>
        <w:rPr/>
        <w:t>√ 适用 □ 不适用</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579"/>
        <w:gridCol w:w="1817"/>
        <w:gridCol w:w="1411"/>
        <w:gridCol w:w="1637"/>
        <w:gridCol w:w="2124"/>
      </w:tblGrid>
      <w:tr>
        <w:trPr>
          <w:trHeight w:val="714" w:hRule="exact"/>
        </w:trPr>
        <w:tc>
          <w:tcPr>
            <w:tcW w:w="25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44" w:right="0"/>
              <w:jc w:val="left"/>
              <w:rPr>
                <w:rFonts w:ascii="宋体" w:hAnsi="宋体" w:cs="宋体" w:eastAsia="宋体" w:hint="default"/>
                <w:sz w:val="18"/>
                <w:szCs w:val="18"/>
              </w:rPr>
            </w:pPr>
            <w:r>
              <w:rPr>
                <w:rFonts w:ascii="宋体" w:hAnsi="宋体" w:cs="宋体" w:eastAsia="宋体" w:hint="default"/>
                <w:sz w:val="18"/>
                <w:szCs w:val="18"/>
              </w:rPr>
              <w:t>法人股东名称</w:t>
            </w:r>
          </w:p>
        </w:tc>
        <w:tc>
          <w:tcPr>
            <w:tcW w:w="18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812" w:right="69" w:hanging="746"/>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w:t>
            </w:r>
            <w:r>
              <w:rPr>
                <w:rFonts w:ascii="宋体" w:hAnsi="宋体" w:cs="宋体" w:eastAsia="宋体" w:hint="default"/>
                <w:sz w:val="18"/>
                <w:szCs w:val="18"/>
              </w:rPr>
              <w:t>单位负责 人</w:t>
            </w:r>
          </w:p>
        </w:tc>
        <w:tc>
          <w:tcPr>
            <w:tcW w:w="14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40" w:right="0"/>
              <w:jc w:val="left"/>
              <w:rPr>
                <w:rFonts w:ascii="宋体" w:hAnsi="宋体" w:cs="宋体" w:eastAsia="宋体" w:hint="default"/>
                <w:sz w:val="18"/>
                <w:szCs w:val="18"/>
              </w:rPr>
            </w:pPr>
            <w:r>
              <w:rPr>
                <w:rFonts w:ascii="宋体" w:hAnsi="宋体" w:cs="宋体" w:eastAsia="宋体" w:hint="default"/>
                <w:sz w:val="18"/>
                <w:szCs w:val="18"/>
              </w:rPr>
              <w:t>成立日期</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52"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21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主要经营业务或管理活动</w:t>
            </w:r>
          </w:p>
        </w:tc>
      </w:tr>
      <w:tr>
        <w:trPr>
          <w:trHeight w:val="714" w:hRule="exact"/>
        </w:trPr>
        <w:tc>
          <w:tcPr>
            <w:tcW w:w="257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4"/>
              <w:jc w:val="left"/>
              <w:rPr>
                <w:rFonts w:ascii="宋体" w:hAnsi="宋体" w:cs="宋体" w:eastAsia="宋体" w:hint="default"/>
                <w:sz w:val="18"/>
                <w:szCs w:val="18"/>
              </w:rPr>
            </w:pPr>
            <w:r>
              <w:rPr>
                <w:rFonts w:ascii="宋体" w:hAnsi="宋体" w:cs="宋体" w:eastAsia="宋体" w:hint="default"/>
                <w:sz w:val="18"/>
                <w:szCs w:val="18"/>
              </w:rPr>
              <w:t>中国双帆投资控股集团（香港） 有限公司</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楼永富</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万港币</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企业投资</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bookmarkStart w:name="5、控股股东、实际控制人、重组方及其他承诺主体股份限制减持情况" w:id="115"/>
      <w:bookmarkEnd w:id="115"/>
      <w:r>
        <w:rPr>
          <w:b w:val="0"/>
          <w:bCs w:val="0"/>
        </w:rPr>
      </w: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0"/>
        <w:jc w:val="left"/>
      </w:pPr>
      <w:r>
        <w:rPr/>
        <w:t>□ 适用 √ 不适用</w:t>
      </w:r>
    </w:p>
    <w:p>
      <w:pPr>
        <w:spacing w:after="0" w:line="240" w:lineRule="auto"/>
        <w:jc w:val="left"/>
        <w:sectPr>
          <w:pgSz w:w="11910" w:h="16840"/>
          <w:pgMar w:header="747" w:footer="979"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286" w:right="0"/>
        <w:jc w:val="left"/>
        <w:rPr>
          <w:b w:val="0"/>
          <w:bCs w:val="0"/>
        </w:rPr>
      </w:pPr>
      <w:bookmarkStart w:name="第七节 优先股相关情况" w:id="116"/>
      <w:bookmarkEnd w:id="116"/>
      <w:r>
        <w:rPr>
          <w:b w:val="0"/>
          <w:bCs w:val="0"/>
        </w:rPr>
      </w:r>
      <w:bookmarkStart w:name="_bookmark5" w:id="117"/>
      <w:bookmarkEnd w:id="117"/>
      <w:r>
        <w:rPr>
          <w:b w:val="0"/>
          <w:bCs w:val="0"/>
        </w:rPr>
      </w:r>
      <w:r>
        <w:rPr/>
        <w:t>第七节</w:t>
      </w:r>
      <w:r>
        <w:rPr>
          <w:spacing w:val="-8"/>
        </w:rPr>
        <w:t> </w:t>
      </w:r>
      <w:r>
        <w:rPr/>
        <w:t>优先股相关情况</w:t>
      </w:r>
      <w:r>
        <w:rPr>
          <w:b w:val="0"/>
          <w:bCs w:val="0"/>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9"/>
          <w:szCs w:val="19"/>
        </w:rPr>
      </w:pPr>
    </w:p>
    <w:p>
      <w:pPr>
        <w:pStyle w:val="BodyText"/>
        <w:spacing w:line="357" w:lineRule="auto"/>
        <w:ind w:right="7612"/>
        <w:jc w:val="left"/>
      </w:pPr>
      <w:r>
        <w:rPr/>
        <w:t>□ 适用 √ 不适用 报告期公司不存在优先股。</w:t>
      </w:r>
    </w:p>
    <w:p>
      <w:pPr>
        <w:spacing w:after="0" w:line="357" w:lineRule="auto"/>
        <w:jc w:val="left"/>
        <w:sectPr>
          <w:pgSz w:w="11910" w:h="16840"/>
          <w:pgMar w:header="747" w:footer="979"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1680" w:right="0"/>
        <w:jc w:val="left"/>
        <w:rPr>
          <w:b w:val="0"/>
          <w:bCs w:val="0"/>
        </w:rPr>
      </w:pPr>
      <w:bookmarkStart w:name="第八节 董事、监事、高级管理人员和员工情况" w:id="118"/>
      <w:bookmarkEnd w:id="118"/>
      <w:r>
        <w:rPr>
          <w:b w:val="0"/>
          <w:bCs w:val="0"/>
        </w:rPr>
      </w:r>
      <w:bookmarkStart w:name="_bookmark6" w:id="119"/>
      <w:bookmarkEnd w:id="119"/>
      <w:r>
        <w:rPr>
          <w:b w:val="0"/>
          <w:bCs w:val="0"/>
        </w:rPr>
      </w:r>
      <w:r>
        <w:rPr/>
        <w:t>第八节</w:t>
      </w:r>
      <w:r>
        <w:rPr>
          <w:spacing w:val="-16"/>
        </w:rPr>
        <w:t> </w:t>
      </w:r>
      <w:r>
        <w:rPr/>
        <w:t>董事、监事、高级管理人员和员工情况</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0"/>
        <w:jc w:val="left"/>
        <w:rPr>
          <w:b w:val="0"/>
          <w:bCs w:val="0"/>
        </w:rPr>
      </w:pPr>
      <w:bookmarkStart w:name="一、董事、监事和高级管理人员持股变动" w:id="120"/>
      <w:bookmarkEnd w:id="120"/>
      <w:r>
        <w:rPr>
          <w:b w:val="0"/>
          <w:bCs w:val="0"/>
        </w:rPr>
      </w: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798"/>
        <w:gridCol w:w="797"/>
        <w:gridCol w:w="797"/>
        <w:gridCol w:w="798"/>
        <w:gridCol w:w="798"/>
        <w:gridCol w:w="797"/>
        <w:gridCol w:w="798"/>
        <w:gridCol w:w="798"/>
        <w:gridCol w:w="798"/>
        <w:gridCol w:w="798"/>
        <w:gridCol w:w="798"/>
        <w:gridCol w:w="798"/>
      </w:tblGrid>
      <w:tr>
        <w:trPr>
          <w:trHeight w:val="1025"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4"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13" w:right="31"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期初持股 数（股）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3"/>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20"/>
              <w:ind w:left="12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2"/>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20"/>
              <w:ind w:left="12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44" w:firstLine="10"/>
              <w:jc w:val="left"/>
              <w:rPr>
                <w:rFonts w:ascii="宋体" w:hAnsi="宋体" w:cs="宋体" w:eastAsia="宋体" w:hint="default"/>
                <w:sz w:val="18"/>
                <w:szCs w:val="18"/>
              </w:rPr>
            </w:pPr>
            <w:r>
              <w:rPr>
                <w:rFonts w:ascii="宋体" w:hAnsi="宋体" w:cs="宋体" w:eastAsia="宋体" w:hint="default"/>
                <w:sz w:val="18"/>
                <w:szCs w:val="18"/>
              </w:rPr>
              <w:t>其他增减 </w:t>
            </w:r>
            <w:r>
              <w:rPr>
                <w:rFonts w:ascii="宋体" w:hAnsi="宋体" w:cs="宋体" w:eastAsia="宋体" w:hint="default"/>
                <w:spacing w:val="-19"/>
                <w:sz w:val="18"/>
                <w:szCs w:val="18"/>
              </w:rPr>
              <w:t>变动（股）</w:t>
            </w:r>
            <w:r>
              <w:rPr>
                <w:rFonts w:ascii="宋体" w:hAnsi="宋体" w:cs="宋体" w:eastAsia="宋体" w:hint="default"/>
                <w:sz w:val="18"/>
                <w:szCs w:val="18"/>
              </w:rPr>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期末持股 数（股）</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高长虹</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楼永富</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42"/>
              <w:jc w:val="left"/>
              <w:rPr>
                <w:rFonts w:ascii="宋体" w:hAnsi="宋体" w:cs="宋体" w:eastAsia="宋体" w:hint="default"/>
                <w:sz w:val="18"/>
                <w:szCs w:val="18"/>
              </w:rPr>
            </w:pPr>
            <w:r>
              <w:rPr>
                <w:rFonts w:ascii="宋体" w:hAnsi="宋体" w:cs="宋体" w:eastAsia="宋体" w:hint="default"/>
                <w:sz w:val="18"/>
                <w:szCs w:val="18"/>
              </w:rPr>
              <w:t>董事、总 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楼永娣</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金桂良</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吴畏</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42"/>
              <w:jc w:val="left"/>
              <w:rPr>
                <w:rFonts w:ascii="宋体" w:hAnsi="宋体" w:cs="宋体" w:eastAsia="宋体" w:hint="default"/>
                <w:sz w:val="18"/>
                <w:szCs w:val="18"/>
              </w:rPr>
            </w:pPr>
            <w:r>
              <w:rPr>
                <w:rFonts w:ascii="宋体" w:hAnsi="宋体" w:cs="宋体" w:eastAsia="宋体" w:hint="default"/>
                <w:sz w:val="18"/>
                <w:szCs w:val="18"/>
              </w:rPr>
              <w:t>董事、总 工程师</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凌勇</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42"/>
              <w:jc w:val="left"/>
              <w:rPr>
                <w:rFonts w:ascii="宋体" w:hAnsi="宋体" w:cs="宋体" w:eastAsia="宋体" w:hint="default"/>
                <w:sz w:val="18"/>
                <w:szCs w:val="18"/>
              </w:rPr>
            </w:pPr>
            <w:r>
              <w:rPr>
                <w:rFonts w:ascii="宋体" w:hAnsi="宋体" w:cs="宋体" w:eastAsia="宋体" w:hint="default"/>
                <w:sz w:val="18"/>
                <w:szCs w:val="18"/>
              </w:rPr>
              <w:t>董事、副 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吴长顺</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涂必胜</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唐有根</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沈治华</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胡炳林</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98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798"/>
        <w:gridCol w:w="797"/>
        <w:gridCol w:w="797"/>
        <w:gridCol w:w="798"/>
        <w:gridCol w:w="798"/>
        <w:gridCol w:w="797"/>
        <w:gridCol w:w="798"/>
        <w:gridCol w:w="798"/>
        <w:gridCol w:w="798"/>
        <w:gridCol w:w="798"/>
        <w:gridCol w:w="798"/>
        <w:gridCol w:w="798"/>
      </w:tblGrid>
      <w:tr>
        <w:trPr>
          <w:trHeight w:val="674" w:hRule="exact"/>
        </w:trPr>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朱忠华</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蒋鹏</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2" w:right="42"/>
              <w:jc w:val="left"/>
              <w:rPr>
                <w:rFonts w:ascii="宋体" w:hAnsi="宋体" w:cs="宋体" w:eastAsia="宋体" w:hint="default"/>
                <w:sz w:val="18"/>
                <w:szCs w:val="18"/>
              </w:rPr>
            </w:pPr>
            <w:r>
              <w:rPr>
                <w:rFonts w:ascii="宋体" w:hAnsi="宋体" w:cs="宋体" w:eastAsia="宋体" w:hint="default"/>
                <w:sz w:val="18"/>
                <w:szCs w:val="18"/>
              </w:rPr>
              <w:t>董秘、副 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缪勇刚</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周建深</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张国琴</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王永高</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邵少敏</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傅黎瑛</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李勇进</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周黎隽</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2" w:right="42"/>
              <w:jc w:val="left"/>
              <w:rPr>
                <w:rFonts w:ascii="宋体" w:hAnsi="宋体" w:cs="宋体" w:eastAsia="宋体" w:hint="default"/>
                <w:sz w:val="18"/>
                <w:szCs w:val="18"/>
              </w:rPr>
            </w:pPr>
            <w:r>
              <w:rPr>
                <w:rFonts w:ascii="宋体" w:hAnsi="宋体" w:cs="宋体" w:eastAsia="宋体" w:hint="default"/>
                <w:sz w:val="18"/>
                <w:szCs w:val="18"/>
              </w:rPr>
              <w:t>董秘、副 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问泽文</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2" w:right="42"/>
              <w:jc w:val="left"/>
              <w:rPr>
                <w:rFonts w:ascii="宋体" w:hAnsi="宋体" w:cs="宋体" w:eastAsia="宋体" w:hint="default"/>
                <w:sz w:val="18"/>
                <w:szCs w:val="18"/>
              </w:rPr>
            </w:pPr>
            <w:r>
              <w:rPr>
                <w:rFonts w:ascii="宋体" w:hAnsi="宋体" w:cs="宋体" w:eastAsia="宋体" w:hint="default"/>
                <w:sz w:val="18"/>
                <w:szCs w:val="18"/>
              </w:rPr>
              <w:t>监事会主 席</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bookmarkStart w:name="二、公司董事、监事、高级管理人员变动情况" w:id="121"/>
      <w:bookmarkEnd w:id="121"/>
      <w:r>
        <w:rPr>
          <w:b w:val="0"/>
          <w:bCs w:val="0"/>
        </w:rPr>
      </w:r>
      <w:r>
        <w:rPr/>
        <w:t>二、公司董事、监事、高级管理人员变动情况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0"/>
        <w:jc w:val="left"/>
      </w:pPr>
      <w:r>
        <w:rPr/>
        <w:t>√ 适用 □ 不适用</w:t>
      </w:r>
    </w:p>
    <w:p>
      <w:pPr>
        <w:spacing w:after="0" w:line="240" w:lineRule="auto"/>
        <w:jc w:val="left"/>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30"/>
        <w:gridCol w:w="1330"/>
        <w:gridCol w:w="1330"/>
        <w:gridCol w:w="1591"/>
        <w:gridCol w:w="3988"/>
      </w:tblGrid>
      <w:tr>
        <w:trPr>
          <w:trHeight w:val="402" w:hRule="exact"/>
        </w:trPr>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0"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5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3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40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邵少敏</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换届离任</w:t>
            </w:r>
          </w:p>
        </w:tc>
      </w:tr>
      <w:tr>
        <w:trPr>
          <w:trHeight w:val="40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傅黎瑛</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换届离任</w:t>
            </w:r>
          </w:p>
        </w:tc>
      </w:tr>
      <w:tr>
        <w:trPr>
          <w:trHeight w:val="40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李勇进</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换届离任</w:t>
            </w:r>
          </w:p>
        </w:tc>
      </w:tr>
      <w:tr>
        <w:trPr>
          <w:trHeight w:val="40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吴长顺</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30" w:type="dxa"/>
            <w:tcBorders>
              <w:top w:val="single" w:sz="4" w:space="0" w:color="000000"/>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换届选举</w:t>
            </w:r>
          </w:p>
        </w:tc>
      </w:tr>
      <w:tr>
        <w:trPr>
          <w:trHeight w:val="40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涂必胜</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30" w:type="dxa"/>
            <w:tcBorders>
              <w:top w:val="single" w:sz="4" w:space="0" w:color="000000"/>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换届选举</w:t>
            </w:r>
          </w:p>
        </w:tc>
      </w:tr>
      <w:tr>
        <w:trPr>
          <w:trHeight w:val="40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唐有根</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30" w:type="dxa"/>
            <w:tcBorders>
              <w:top w:val="single" w:sz="4" w:space="0" w:color="000000"/>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换届选举</w:t>
            </w:r>
          </w:p>
        </w:tc>
      </w:tr>
      <w:tr>
        <w:trPr>
          <w:trHeight w:val="40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问泽文</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换届离任</w:t>
            </w:r>
          </w:p>
        </w:tc>
      </w:tr>
      <w:tr>
        <w:trPr>
          <w:trHeight w:val="40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王永高</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30" w:type="dxa"/>
            <w:tcBorders>
              <w:top w:val="single" w:sz="4" w:space="0" w:color="000000"/>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被选举</w:t>
            </w:r>
          </w:p>
        </w:tc>
      </w:tr>
      <w:tr>
        <w:trPr>
          <w:trHeight w:val="40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周黎隽</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董秘、副总经理</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个人原因辞职公司董秘、副总经理职务</w:t>
            </w:r>
          </w:p>
        </w:tc>
      </w:tr>
      <w:tr>
        <w:trPr>
          <w:trHeight w:val="40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蒋鹏</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董秘、副总经理</w:t>
            </w:r>
          </w:p>
        </w:tc>
        <w:tc>
          <w:tcPr>
            <w:tcW w:w="1330" w:type="dxa"/>
            <w:tcBorders>
              <w:top w:val="single" w:sz="4" w:space="0" w:color="000000"/>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被聘任</w:t>
            </w:r>
          </w:p>
        </w:tc>
      </w:tr>
    </w:tbl>
    <w:p>
      <w:pPr>
        <w:spacing w:line="240" w:lineRule="auto" w:before="2"/>
        <w:rPr>
          <w:rFonts w:ascii="宋体" w:hAnsi="宋体" w:cs="宋体" w:eastAsia="宋体" w:hint="default"/>
          <w:sz w:val="18"/>
          <w:szCs w:val="18"/>
        </w:rPr>
      </w:pPr>
    </w:p>
    <w:p>
      <w:pPr>
        <w:pStyle w:val="Heading2"/>
        <w:spacing w:line="240" w:lineRule="auto" w:before="26"/>
        <w:ind w:right="92"/>
        <w:jc w:val="left"/>
        <w:rPr>
          <w:b w:val="0"/>
          <w:bCs w:val="0"/>
        </w:rPr>
      </w:pPr>
      <w:bookmarkStart w:name="三、任职情况" w:id="122"/>
      <w:bookmarkEnd w:id="122"/>
      <w:r>
        <w:rPr>
          <w:b w:val="0"/>
          <w:bCs w:val="0"/>
        </w:rPr>
      </w:r>
      <w:r>
        <w:rPr/>
        <w:t>三、任职情况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92"/>
        <w:jc w:val="left"/>
      </w:pPr>
      <w:r>
        <w:rPr/>
        <w:t>公司现任董事、监事、高级管理人员专业背景、主要工作经历以及目前在公司的主要职责</w:t>
      </w:r>
    </w:p>
    <w:p>
      <w:pPr>
        <w:pStyle w:val="BodyText"/>
        <w:spacing w:line="309" w:lineRule="auto" w:before="116"/>
        <w:ind w:right="92"/>
        <w:jc w:val="left"/>
      </w:pPr>
      <w:r>
        <w:rPr/>
        <w:t>（一）董事会成员 </w:t>
      </w:r>
      <w:r>
        <w:rPr>
          <w:rFonts w:ascii="Times New Roman" w:hAnsi="Times New Roman" w:cs="Times New Roman" w:eastAsia="Times New Roman" w:hint="default"/>
        </w:rPr>
        <w:t>1</w:t>
      </w:r>
      <w:r>
        <w:rPr/>
        <w:t>、高长虹先生：董事长，</w:t>
      </w:r>
      <w:r>
        <w:rPr>
          <w:rFonts w:ascii="Times New Roman" w:hAnsi="Times New Roman" w:cs="Times New Roman" w:eastAsia="Times New Roman" w:hint="default"/>
        </w:rPr>
        <w:t>1966</w:t>
      </w:r>
      <w:r>
        <w:rPr/>
        <w:t>年生，中国国籍，工商管理硕士，高级经济师，无永久境外居留权。高长虹先生</w:t>
      </w:r>
      <w:r>
        <w:rPr>
          <w:rFonts w:ascii="Times New Roman" w:hAnsi="Times New Roman" w:cs="Times New Roman" w:eastAsia="Times New Roman" w:hint="default"/>
        </w:rPr>
        <w:t>2000</w:t>
      </w:r>
      <w:r>
        <w:rPr/>
        <w:t>年度被 </w:t>
      </w:r>
      <w:r>
        <w:rPr>
          <w:spacing w:val="-2"/>
        </w:rPr>
        <w:t>评为</w:t>
      </w:r>
      <w:r>
        <w:rPr>
          <w:rFonts w:ascii="Times New Roman" w:hAnsi="Times New Roman" w:cs="Times New Roman" w:eastAsia="Times New Roman" w:hint="default"/>
          <w:spacing w:val="-2"/>
        </w:rPr>
        <w:t>“</w:t>
      </w:r>
      <w:r>
        <w:rPr>
          <w:spacing w:val="-2"/>
        </w:rPr>
        <w:t>杭州市劳动模范</w:t>
      </w:r>
      <w:r>
        <w:rPr>
          <w:rFonts w:ascii="Times New Roman" w:hAnsi="Times New Roman" w:cs="Times New Roman" w:eastAsia="Times New Roman" w:hint="default"/>
          <w:spacing w:val="-2"/>
        </w:rPr>
        <w:t>”</w:t>
      </w:r>
      <w:r>
        <w:rPr>
          <w:spacing w:val="-2"/>
        </w:rPr>
        <w:t>、</w:t>
      </w:r>
      <w:r>
        <w:rPr>
          <w:rFonts w:ascii="Times New Roman" w:hAnsi="Times New Roman" w:cs="Times New Roman" w:eastAsia="Times New Roman" w:hint="default"/>
          <w:spacing w:val="-2"/>
        </w:rPr>
        <w:t>“</w:t>
      </w:r>
      <w:r>
        <w:rPr>
          <w:spacing w:val="-2"/>
        </w:rPr>
        <w:t>杭州市优秀社会主义事业建设者</w:t>
      </w:r>
      <w:r>
        <w:rPr>
          <w:rFonts w:ascii="Times New Roman" w:hAnsi="Times New Roman" w:cs="Times New Roman" w:eastAsia="Times New Roman" w:hint="default"/>
          <w:spacing w:val="-2"/>
        </w:rPr>
        <w:t>”,2001</w:t>
      </w:r>
      <w:r>
        <w:rPr>
          <w:spacing w:val="-2"/>
        </w:rPr>
        <w:t>年度被国家农业部授予</w:t>
      </w:r>
      <w:r>
        <w:rPr>
          <w:rFonts w:ascii="Times New Roman" w:hAnsi="Times New Roman" w:cs="Times New Roman" w:eastAsia="Times New Roman" w:hint="default"/>
          <w:spacing w:val="-2"/>
        </w:rPr>
        <w:t>“</w:t>
      </w:r>
      <w:r>
        <w:rPr>
          <w:spacing w:val="-2"/>
        </w:rPr>
        <w:t>第四届全国乡镇企业家</w:t>
      </w:r>
      <w:r>
        <w:rPr>
          <w:rFonts w:ascii="Times New Roman" w:hAnsi="Times New Roman" w:cs="Times New Roman" w:eastAsia="Times New Roman" w:hint="default"/>
          <w:spacing w:val="-2"/>
        </w:rPr>
        <w:t>”</w:t>
      </w:r>
      <w:r>
        <w:rPr>
          <w:spacing w:val="-2"/>
        </w:rPr>
        <w:t>称号，曾担</w:t>
      </w:r>
      <w:r>
        <w:rPr>
          <w:spacing w:val="-40"/>
        </w:rPr>
        <w:t> </w:t>
      </w:r>
      <w:r>
        <w:rPr>
          <w:spacing w:val="-40"/>
        </w:rPr>
      </w:r>
      <w:r>
        <w:rPr>
          <w:spacing w:val="-4"/>
        </w:rPr>
        <w:t>任杭州市第八届政协委员、第九届政协委员、杭州市余杭区第十三届人大代表、十四届人大代表、杭州市第十二届人大代表，</w:t>
      </w:r>
      <w:r>
        <w:rPr>
          <w:spacing w:val="-46"/>
        </w:rPr>
        <w:t> </w:t>
      </w:r>
      <w:r>
        <w:rPr>
          <w:spacing w:val="-46"/>
        </w:rPr>
      </w:r>
      <w:r>
        <w:rPr>
          <w:spacing w:val="-2"/>
        </w:rPr>
        <w:t>现任浙江省工商联执委、浙江省光彩事业促进会常务理事、浙江省电线电缆行业协会常务理事、中国电器工业协会电线电缆</w:t>
      </w:r>
      <w:r>
        <w:rPr>
          <w:spacing w:val="-66"/>
        </w:rPr>
        <w:t> </w:t>
      </w:r>
      <w:r>
        <w:rPr>
          <w:spacing w:val="-66"/>
        </w:rPr>
      </w:r>
      <w:r>
        <w:rPr/>
        <w:t>分会线缆材料专委会副主任委员、杭州市工商联常委、余杭区工商联副主席、余杭区劳动模范协会会长、径山镇商会会长。 </w:t>
      </w:r>
      <w:r>
        <w:rPr>
          <w:spacing w:val="-2"/>
        </w:rPr>
        <w:t>高长虹先生为公司的创始人，</w:t>
      </w:r>
      <w:r>
        <w:rPr>
          <w:rFonts w:ascii="Times New Roman" w:hAnsi="Times New Roman" w:cs="Times New Roman" w:eastAsia="Times New Roman" w:hint="default"/>
          <w:spacing w:val="-2"/>
        </w:rPr>
        <w:t>1984</w:t>
      </w:r>
      <w:r>
        <w:rPr>
          <w:spacing w:val="-2"/>
        </w:rPr>
        <w:t>年起在余杭市鸬鸟中心学校任教，</w:t>
      </w:r>
      <w:r>
        <w:rPr>
          <w:rFonts w:ascii="Times New Roman" w:hAnsi="Times New Roman" w:cs="Times New Roman" w:eastAsia="Times New Roman" w:hint="default"/>
          <w:spacing w:val="-2"/>
        </w:rPr>
        <w:t>1990</w:t>
      </w:r>
      <w:r>
        <w:rPr>
          <w:spacing w:val="-2"/>
        </w:rPr>
        <w:t>年从学校离职进入线缆用高分子材料行业，先后从</w:t>
      </w:r>
      <w:r>
        <w:rPr>
          <w:spacing w:val="-58"/>
        </w:rPr>
        <w:t> </w:t>
      </w:r>
      <w:r>
        <w:rPr>
          <w:spacing w:val="-58"/>
        </w:rPr>
      </w:r>
      <w:r>
        <w:rPr>
          <w:spacing w:val="-2"/>
        </w:rPr>
        <w:t>事了技术、质检、销售、管理等工作，于</w:t>
      </w:r>
      <w:r>
        <w:rPr>
          <w:rFonts w:ascii="Times New Roman" w:hAnsi="Times New Roman" w:cs="Times New Roman" w:eastAsia="Times New Roman" w:hint="default"/>
          <w:spacing w:val="-2"/>
        </w:rPr>
        <w:t>1995</w:t>
      </w:r>
      <w:r>
        <w:rPr>
          <w:spacing w:val="-2"/>
        </w:rPr>
        <w:t>年创办高新塑料厂并担任厂长，于</w:t>
      </w:r>
      <w:r>
        <w:rPr>
          <w:rFonts w:ascii="Times New Roman" w:hAnsi="Times New Roman" w:cs="Times New Roman" w:eastAsia="Times New Roman" w:hint="default"/>
          <w:spacing w:val="-2"/>
        </w:rPr>
        <w:t>2004</w:t>
      </w:r>
      <w:r>
        <w:rPr>
          <w:spacing w:val="-2"/>
        </w:rPr>
        <w:t>年创办本公司并在随后由本公司承接了</w:t>
      </w:r>
      <w:r>
        <w:rPr>
          <w:spacing w:val="-58"/>
        </w:rPr>
        <w:t> </w:t>
      </w:r>
      <w:r>
        <w:rPr>
          <w:spacing w:val="-2"/>
        </w:rPr>
        <w:t>塑料厂的资产和业务。在线缆用高分子材料领域之外，高长虹先生在旅游行业也进行了一定的投资。高长虹先生目前主要负</w:t>
      </w:r>
      <w:r>
        <w:rPr>
          <w:spacing w:val="-66"/>
        </w:rPr>
        <w:t> </w:t>
      </w:r>
      <w:r>
        <w:rPr>
          <w:spacing w:val="-66"/>
        </w:rPr>
      </w:r>
      <w:r>
        <w:rPr/>
        <w:t>责公司重大经营决策等工作。 </w:t>
      </w:r>
      <w:r>
        <w:rPr>
          <w:rFonts w:ascii="Times New Roman" w:hAnsi="Times New Roman" w:cs="Times New Roman" w:eastAsia="Times New Roman" w:hint="default"/>
        </w:rPr>
        <w:t>2</w:t>
      </w:r>
      <w:r>
        <w:rPr/>
        <w:t>、楼永富先生：董事、总经理，</w:t>
      </w:r>
      <w:r>
        <w:rPr>
          <w:rFonts w:ascii="Times New Roman" w:hAnsi="Times New Roman" w:cs="Times New Roman" w:eastAsia="Times New Roman" w:hint="default"/>
        </w:rPr>
        <w:t>1968</w:t>
      </w:r>
      <w:r>
        <w:rPr/>
        <w:t>年出生，中国国籍，大专学历，体育专业，曾任余杭市临平镇第一中学教师，现任杭 州市余杭区第十五届人大代表、公司董事、总经理。楼永富先生全面负责公司的日常生产经营管理。 </w:t>
      </w:r>
      <w:r>
        <w:rPr>
          <w:rFonts w:ascii="Times New Roman" w:hAnsi="Times New Roman" w:cs="Times New Roman" w:eastAsia="Times New Roman" w:hint="default"/>
          <w:spacing w:val="-2"/>
        </w:rPr>
        <w:t>3</w:t>
      </w:r>
      <w:r>
        <w:rPr>
          <w:spacing w:val="-2"/>
        </w:rPr>
        <w:t>、楼永娣女士：</w:t>
      </w:r>
      <w:r>
        <w:rPr>
          <w:rFonts w:ascii="Times New Roman" w:hAnsi="Times New Roman" w:cs="Times New Roman" w:eastAsia="Times New Roman" w:hint="default"/>
          <w:spacing w:val="-2"/>
        </w:rPr>
        <w:t>1967</w:t>
      </w:r>
      <w:r>
        <w:rPr>
          <w:spacing w:val="-2"/>
        </w:rPr>
        <w:t>年出生</w:t>
      </w:r>
      <w:r>
        <w:rPr>
          <w:rFonts w:ascii="Times New Roman" w:hAnsi="Times New Roman" w:cs="Times New Roman" w:eastAsia="Times New Roman" w:hint="default"/>
          <w:spacing w:val="-2"/>
        </w:rPr>
        <w:t>,</w:t>
      </w:r>
      <w:r>
        <w:rPr>
          <w:spacing w:val="-2"/>
        </w:rPr>
        <w:t>中国国籍</w:t>
      </w:r>
      <w:r>
        <w:rPr>
          <w:rFonts w:ascii="Times New Roman" w:hAnsi="Times New Roman" w:cs="Times New Roman" w:eastAsia="Times New Roman" w:hint="default"/>
          <w:spacing w:val="-2"/>
        </w:rPr>
        <w:t>,1984</w:t>
      </w:r>
      <w:r>
        <w:rPr>
          <w:spacing w:val="-2"/>
        </w:rPr>
        <w:t>年参加工作</w:t>
      </w:r>
      <w:r>
        <w:rPr>
          <w:rFonts w:ascii="Times New Roman" w:hAnsi="Times New Roman" w:cs="Times New Roman" w:eastAsia="Times New Roman" w:hint="default"/>
          <w:spacing w:val="-2"/>
        </w:rPr>
        <w:t>,</w:t>
      </w:r>
      <w:r>
        <w:rPr>
          <w:spacing w:val="-2"/>
        </w:rPr>
        <w:t>曾任鸬鸟中心小学教师</w:t>
      </w:r>
      <w:r>
        <w:rPr>
          <w:rFonts w:ascii="Times New Roman" w:hAnsi="Times New Roman" w:cs="Times New Roman" w:eastAsia="Times New Roman" w:hint="default"/>
          <w:spacing w:val="-2"/>
        </w:rPr>
        <w:t>,</w:t>
      </w:r>
      <w:r>
        <w:rPr>
          <w:spacing w:val="-2"/>
        </w:rPr>
        <w:t>现任高兴控股集团有限公司人事总监兼监事、</w:t>
      </w:r>
      <w:r>
        <w:rPr>
          <w:spacing w:val="-53"/>
        </w:rPr>
        <w:t> </w:t>
      </w:r>
      <w:r>
        <w:rPr>
          <w:spacing w:val="-53"/>
        </w:rPr>
      </w:r>
      <w:r>
        <w:rPr>
          <w:spacing w:val="-2"/>
        </w:rPr>
        <w:t>杭州双溪房地产开发有限公司监事、杭州山沟沟旅游度假有限公司董事、杭州双溪旅游开发有限公司董事、杭州临安东天目</w:t>
      </w:r>
      <w:r>
        <w:rPr>
          <w:spacing w:val="-66"/>
        </w:rPr>
        <w:t> </w:t>
      </w:r>
      <w:r>
        <w:rPr>
          <w:spacing w:val="-66"/>
        </w:rPr>
      </w:r>
      <w:r>
        <w:rPr/>
        <w:t>山旅游有限公司监事、杭州陆羽泉文化旅游有限公司董事。楼永娣女士目前实际负责高兴集团的人事行政工作。 </w:t>
      </w:r>
      <w:r>
        <w:rPr>
          <w:rFonts w:ascii="Times New Roman" w:hAnsi="Times New Roman" w:cs="Times New Roman" w:eastAsia="Times New Roman" w:hint="default"/>
        </w:rPr>
        <w:t>4</w:t>
      </w:r>
      <w:r>
        <w:rPr/>
        <w:t>、金桂良先生：董事，</w:t>
      </w:r>
      <w:r>
        <w:rPr>
          <w:rFonts w:ascii="Times New Roman" w:hAnsi="Times New Roman" w:cs="Times New Roman" w:eastAsia="Times New Roman" w:hint="default"/>
        </w:rPr>
        <w:t>1967</w:t>
      </w:r>
      <w:r>
        <w:rPr/>
        <w:t>年出生，中国国籍，大学本科学历，会计学专业，高级会计师，曾任鸬鸟中心学校、超山中心 </w:t>
      </w:r>
      <w:r>
        <w:rPr>
          <w:spacing w:val="-4"/>
        </w:rPr>
        <w:t>学校教师、曾在妙艺圣诞礼品有限公司工作。现任高兴集团董事、财务总监、山沟沟旅游董事、天眼投资监事、本公司董事。</w:t>
      </w:r>
      <w:r>
        <w:rPr>
          <w:spacing w:val="-44"/>
        </w:rPr>
        <w:t> </w:t>
      </w:r>
      <w:r>
        <w:rPr>
          <w:spacing w:val="-44"/>
        </w:rPr>
      </w:r>
      <w:r>
        <w:rPr/>
        <w:t>金桂良先生目前实际负责高兴集团的财务工作。 </w:t>
      </w:r>
      <w:r>
        <w:rPr>
          <w:rFonts w:ascii="Times New Roman" w:hAnsi="Times New Roman" w:cs="Times New Roman" w:eastAsia="Times New Roman" w:hint="default"/>
        </w:rPr>
        <w:t>5</w:t>
      </w:r>
      <w:r>
        <w:rPr/>
        <w:t>、吴畏先生：董事、总工程师，</w:t>
      </w:r>
      <w:r>
        <w:rPr>
          <w:rFonts w:ascii="Times New Roman" w:hAnsi="Times New Roman" w:cs="Times New Roman" w:eastAsia="Times New Roman" w:hint="default"/>
        </w:rPr>
        <w:t>1962</w:t>
      </w:r>
      <w:r>
        <w:rPr/>
        <w:t>年出生，中国国籍，硕士研究生学历，电工材料专业，高级工程师，曾在福建南平电 </w:t>
      </w:r>
      <w:r>
        <w:rPr>
          <w:spacing w:val="-2"/>
        </w:rPr>
        <w:t>缆厂、厦门卡安特塑化有限公司、安徽欣意电缆有限公司、广东东莞周氏电业有限公司工作，现任公司董事、总工程师。吴</w:t>
      </w:r>
      <w:r>
        <w:rPr>
          <w:spacing w:val="-67"/>
        </w:rPr>
        <w:t> </w:t>
      </w:r>
      <w:r>
        <w:rPr>
          <w:spacing w:val="-67"/>
        </w:rPr>
      </w:r>
      <w:r>
        <w:rPr/>
        <w:t>畏先生主持研发的额定电压</w:t>
      </w:r>
      <w:r>
        <w:rPr>
          <w:rFonts w:ascii="Times New Roman" w:hAnsi="Times New Roman" w:cs="Times New Roman" w:eastAsia="Times New Roman" w:hint="default"/>
        </w:rPr>
        <w:t>35kV</w:t>
      </w:r>
      <w:r>
        <w:rPr/>
        <w:t>及以下铜芯、铝芯交联聚乙烯绝缘电力电缆项目荣获安徽省乡镇企业科技进步一等奖；主 持研发的阻燃低卤</w:t>
      </w:r>
      <w:r>
        <w:rPr>
          <w:rFonts w:ascii="Times New Roman" w:hAnsi="Times New Roman" w:cs="Times New Roman" w:eastAsia="Times New Roman" w:hint="default"/>
        </w:rPr>
        <w:t>PVC</w:t>
      </w:r>
      <w:r>
        <w:rPr/>
        <w:t>护套电力电缆项目荣获南平地区科技进步三等奖；由吴畏先生担任总负责人的</w:t>
      </w:r>
      <w:r>
        <w:rPr>
          <w:rFonts w:ascii="Times New Roman" w:hAnsi="Times New Roman" w:cs="Times New Roman" w:eastAsia="Times New Roman" w:hint="default"/>
        </w:rPr>
        <w:t>“</w:t>
      </w:r>
      <w:r>
        <w:rPr/>
        <w:t>重型特种移动设备专 用乙丙橡胶电缆料</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特种移动设备橡套软电缆用</w:t>
      </w:r>
      <w:r>
        <w:rPr>
          <w:rFonts w:ascii="Times New Roman" w:hAnsi="Times New Roman" w:cs="Times New Roman" w:eastAsia="Times New Roman" w:hint="default"/>
        </w:rPr>
        <w:t>CPE</w:t>
      </w:r>
      <w:r>
        <w:rPr/>
        <w:t>护套料</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一步法硅烷自然交联聚乙烯绝缘料</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抗开裂黑色中密度 聚乙烯护套料</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耐候线性低密度聚乙烯绝缘料</w:t>
      </w:r>
      <w:r>
        <w:rPr>
          <w:rFonts w:ascii="Times New Roman" w:hAnsi="Times New Roman" w:cs="Times New Roman" w:eastAsia="Times New Roman" w:hint="default"/>
        </w:rPr>
        <w:t>”</w:t>
      </w:r>
      <w:r>
        <w:rPr>
          <w:rFonts w:ascii="Times New Roman" w:hAnsi="Times New Roman" w:cs="Times New Roman" w:eastAsia="Times New Roman" w:hint="default"/>
          <w:spacing w:val="12"/>
        </w:rPr>
        <w:t> </w:t>
      </w:r>
      <w:r>
        <w:rPr/>
        <w:t>通过了省级科技成果鉴定。吴畏先生目前主要负责公司产品配方技术、生 产工艺以及新产品研发工作。 </w:t>
      </w:r>
      <w:r>
        <w:rPr>
          <w:rFonts w:ascii="Times New Roman" w:hAnsi="Times New Roman" w:cs="Times New Roman" w:eastAsia="Times New Roman" w:hint="default"/>
        </w:rPr>
        <w:t>6</w:t>
      </w:r>
      <w:r>
        <w:rPr/>
        <w:t>、凌勇先生：董事、副总经理，</w:t>
      </w:r>
      <w:r>
        <w:rPr>
          <w:rFonts w:ascii="Times New Roman" w:hAnsi="Times New Roman" w:cs="Times New Roman" w:eastAsia="Times New Roman" w:hint="default"/>
        </w:rPr>
        <w:t>1968</w:t>
      </w:r>
      <w:r>
        <w:rPr/>
        <w:t>年出生，中国国籍，大专学历，公共管理专业，曾在余杭县二轻塑料厂、余杭市鸬鸟</w:t>
      </w:r>
    </w:p>
    <w:p>
      <w:pPr>
        <w:spacing w:after="0" w:line="309" w:lineRule="auto"/>
        <w:jc w:val="left"/>
        <w:sectPr>
          <w:pgSz w:w="11910" w:h="16840"/>
          <w:pgMar w:header="747" w:footer="979" w:top="1060" w:bottom="1160" w:left="980" w:right="940"/>
        </w:sectPr>
      </w:pPr>
    </w:p>
    <w:p>
      <w:pPr>
        <w:spacing w:line="240" w:lineRule="auto" w:before="12"/>
        <w:rPr>
          <w:rFonts w:ascii="宋体" w:hAnsi="宋体" w:cs="宋体" w:eastAsia="宋体" w:hint="default"/>
          <w:sz w:val="25"/>
          <w:szCs w:val="25"/>
        </w:rPr>
      </w:pPr>
    </w:p>
    <w:p>
      <w:pPr>
        <w:pStyle w:val="BodyText"/>
        <w:spacing w:line="309" w:lineRule="auto"/>
        <w:ind w:right="142"/>
        <w:jc w:val="left"/>
      </w:pPr>
      <w:r>
        <w:rPr/>
        <w:t>全新塑料厂工作，现任公司董事、副总经理，目前主要负责公司的质量管理及售后服务工作。 </w:t>
      </w:r>
      <w:r>
        <w:rPr>
          <w:rFonts w:ascii="Times New Roman" w:hAnsi="Times New Roman" w:cs="Times New Roman" w:eastAsia="Times New Roman" w:hint="default"/>
        </w:rPr>
        <w:t>7</w:t>
      </w:r>
      <w:r>
        <w:rPr/>
        <w:t>、吴长顺先生</w:t>
      </w:r>
      <w:r>
        <w:rPr>
          <w:rFonts w:ascii="Times New Roman" w:hAnsi="Times New Roman" w:cs="Times New Roman" w:eastAsia="Times New Roman" w:hint="default"/>
        </w:rPr>
        <w:t>:</w:t>
      </w:r>
      <w:r>
        <w:rPr/>
        <w:t>独立董事，</w:t>
      </w:r>
      <w:r>
        <w:rPr>
          <w:rFonts w:ascii="Times New Roman" w:hAnsi="Times New Roman" w:cs="Times New Roman" w:eastAsia="Times New Roman" w:hint="default"/>
        </w:rPr>
        <w:t>1960</w:t>
      </w:r>
      <w:r>
        <w:rPr/>
        <w:t>年出生，中国国籍，硕士，教授级高级工程师，无境外永久居留权。</w:t>
      </w:r>
      <w:r>
        <w:rPr>
          <w:rFonts w:ascii="Times New Roman" w:hAnsi="Times New Roman" w:cs="Times New Roman" w:eastAsia="Times New Roman" w:hint="default"/>
        </w:rPr>
        <w:t>2000</w:t>
      </w:r>
      <w:r>
        <w:rPr/>
        <w:t>年</w:t>
      </w:r>
      <w:r>
        <w:rPr>
          <w:rFonts w:ascii="Times New Roman" w:hAnsi="Times New Roman" w:cs="Times New Roman" w:eastAsia="Times New Roman" w:hint="default"/>
        </w:rPr>
        <w:t>6</w:t>
      </w:r>
      <w:r>
        <w:rPr/>
        <w:t>月获国务院政 </w:t>
      </w:r>
      <w:r>
        <w:rPr>
          <w:spacing w:val="-2"/>
        </w:rPr>
        <w:t>府特殊津贴，曾任上海电缆研究所副总工程师、国家电线电缆质量监督检验中心常务副主任，现担任中国电机工程学会高压</w:t>
      </w:r>
      <w:r>
        <w:rPr>
          <w:spacing w:val="-66"/>
        </w:rPr>
        <w:t> </w:t>
      </w:r>
      <w:r>
        <w:rPr>
          <w:spacing w:val="-66"/>
        </w:rPr>
      </w:r>
      <w:r>
        <w:rPr>
          <w:spacing w:val="-2"/>
        </w:rPr>
        <w:t>专委会高压测试分专委会委员、中国电气工程学会电线电缆专委会委员、上海市电气绝缘与热老化重点实验室学术委员会委</w:t>
      </w:r>
      <w:r>
        <w:rPr>
          <w:spacing w:val="-64"/>
        </w:rPr>
        <w:t> </w:t>
      </w:r>
      <w:r>
        <w:rPr>
          <w:spacing w:val="-64"/>
        </w:rPr>
      </w:r>
      <w:r>
        <w:rPr/>
        <w:t>员、国际大电网绝缘电缆中国研究委员会副主任和西安交通大学外聘教授，德威新材独立董事。 </w:t>
      </w:r>
      <w:r>
        <w:rPr>
          <w:rFonts w:ascii="Times New Roman" w:hAnsi="Times New Roman" w:cs="Times New Roman" w:eastAsia="Times New Roman" w:hint="default"/>
          <w:spacing w:val="-1"/>
        </w:rPr>
        <w:t>8</w:t>
      </w:r>
      <w:r>
        <w:rPr>
          <w:spacing w:val="-1"/>
        </w:rPr>
        <w:t>、涂必胜先生</w:t>
      </w:r>
      <w:r>
        <w:rPr>
          <w:rFonts w:ascii="Times New Roman" w:hAnsi="Times New Roman" w:cs="Times New Roman" w:eastAsia="Times New Roman" w:hint="default"/>
          <w:spacing w:val="-1"/>
        </w:rPr>
        <w:t>:</w:t>
      </w:r>
      <w:r>
        <w:rPr>
          <w:spacing w:val="-1"/>
        </w:rPr>
        <w:t>独立董事，</w:t>
      </w:r>
      <w:r>
        <w:rPr>
          <w:rFonts w:ascii="Times New Roman" w:hAnsi="Times New Roman" w:cs="Times New Roman" w:eastAsia="Times New Roman" w:hint="default"/>
          <w:spacing w:val="-1"/>
        </w:rPr>
        <w:t>1964</w:t>
      </w:r>
      <w:r>
        <w:rPr>
          <w:spacing w:val="-1"/>
        </w:rPr>
        <w:t>年出生</w:t>
      </w:r>
      <w:r>
        <w:rPr>
          <w:rFonts w:ascii="Times New Roman" w:hAnsi="Times New Roman" w:cs="Times New Roman" w:eastAsia="Times New Roman" w:hint="default"/>
          <w:spacing w:val="-1"/>
        </w:rPr>
        <w:t>,</w:t>
      </w:r>
      <w:r>
        <w:rPr>
          <w:spacing w:val="-1"/>
        </w:rPr>
        <w:t>浙江工商大学管理学学士、厦门大学经济学硕士</w:t>
      </w:r>
      <w:r>
        <w:rPr>
          <w:rFonts w:ascii="Times New Roman" w:hAnsi="Times New Roman" w:cs="Times New Roman" w:eastAsia="Times New Roman" w:hint="default"/>
          <w:spacing w:val="-1"/>
        </w:rPr>
        <w:t>,</w:t>
      </w:r>
      <w:r>
        <w:rPr>
          <w:spacing w:val="-1"/>
        </w:rPr>
        <w:t>会计学副教授</w:t>
      </w:r>
      <w:r>
        <w:rPr>
          <w:rFonts w:ascii="Times New Roman" w:hAnsi="Times New Roman" w:cs="Times New Roman" w:eastAsia="Times New Roman" w:hint="default"/>
          <w:spacing w:val="-1"/>
        </w:rPr>
        <w:t>,</w:t>
      </w:r>
      <w:r>
        <w:rPr>
          <w:spacing w:val="-1"/>
        </w:rPr>
        <w:t>中国注册会计师</w:t>
      </w:r>
      <w:r>
        <w:rPr>
          <w:rFonts w:ascii="Times New Roman" w:hAnsi="Times New Roman" w:cs="Times New Roman" w:eastAsia="Times New Roman" w:hint="default"/>
          <w:spacing w:val="-1"/>
        </w:rPr>
        <w:t>,</w:t>
      </w:r>
      <w:r>
        <w:rPr>
          <w:spacing w:val="-1"/>
        </w:rPr>
        <w:t>无永</w:t>
      </w:r>
      <w:r>
        <w:rPr>
          <w:spacing w:val="-76"/>
        </w:rPr>
        <w:t> </w:t>
      </w:r>
      <w:r>
        <w:rPr/>
        <w:t>久境外居留权。</w:t>
      </w:r>
      <w:r>
        <w:rPr>
          <w:rFonts w:ascii="Times New Roman" w:hAnsi="Times New Roman" w:cs="Times New Roman" w:eastAsia="Times New Roman" w:hint="default"/>
        </w:rPr>
        <w:t>1986</w:t>
      </w:r>
      <w:r>
        <w:rPr/>
        <w:t>年至今一直在浙江工商大学从事财务、会计方面的教学科研工作</w:t>
      </w:r>
      <w:r>
        <w:rPr>
          <w:rFonts w:ascii="Times New Roman" w:hAnsi="Times New Roman" w:cs="Times New Roman" w:eastAsia="Times New Roman" w:hint="default"/>
        </w:rPr>
        <w:t>,</w:t>
      </w:r>
      <w:r>
        <w:rPr/>
        <w:t>现担任宁波大叶园林设备股份有限公 司独立董事。 </w:t>
      </w:r>
      <w:r>
        <w:rPr>
          <w:rFonts w:ascii="Times New Roman" w:hAnsi="Times New Roman" w:cs="Times New Roman" w:eastAsia="Times New Roman" w:hint="default"/>
          <w:spacing w:val="-2"/>
        </w:rPr>
        <w:t>9</w:t>
      </w:r>
      <w:r>
        <w:rPr>
          <w:spacing w:val="-2"/>
        </w:rPr>
        <w:t>、唐有根先生</w:t>
      </w:r>
      <w:r>
        <w:rPr>
          <w:rFonts w:ascii="Times New Roman" w:hAnsi="Times New Roman" w:cs="Times New Roman" w:eastAsia="Times New Roman" w:hint="default"/>
          <w:spacing w:val="-2"/>
        </w:rPr>
        <w:t>:</w:t>
      </w:r>
      <w:r>
        <w:rPr>
          <w:spacing w:val="-2"/>
        </w:rPr>
        <w:t>独立董事，</w:t>
      </w:r>
      <w:r>
        <w:rPr>
          <w:rFonts w:ascii="Times New Roman" w:hAnsi="Times New Roman" w:cs="Times New Roman" w:eastAsia="Times New Roman" w:hint="default"/>
          <w:spacing w:val="-2"/>
        </w:rPr>
        <w:t>1962</w:t>
      </w:r>
      <w:r>
        <w:rPr>
          <w:spacing w:val="-2"/>
        </w:rPr>
        <w:t>年出生</w:t>
      </w:r>
      <w:r>
        <w:rPr>
          <w:rFonts w:ascii="Times New Roman" w:hAnsi="Times New Roman" w:cs="Times New Roman" w:eastAsia="Times New Roman" w:hint="default"/>
          <w:spacing w:val="-2"/>
        </w:rPr>
        <w:t>,</w:t>
      </w:r>
      <w:r>
        <w:rPr>
          <w:spacing w:val="-2"/>
        </w:rPr>
        <w:t>中国国籍</w:t>
      </w:r>
      <w:r>
        <w:rPr>
          <w:rFonts w:ascii="Times New Roman" w:hAnsi="Times New Roman" w:cs="Times New Roman" w:eastAsia="Times New Roman" w:hint="default"/>
          <w:spacing w:val="-2"/>
        </w:rPr>
        <w:t>,</w:t>
      </w:r>
      <w:r>
        <w:rPr>
          <w:spacing w:val="-2"/>
        </w:rPr>
        <w:t>博士</w:t>
      </w:r>
      <w:r>
        <w:rPr>
          <w:rFonts w:ascii="Times New Roman" w:hAnsi="Times New Roman" w:cs="Times New Roman" w:eastAsia="Times New Roman" w:hint="default"/>
          <w:spacing w:val="-2"/>
        </w:rPr>
        <w:t>,</w:t>
      </w:r>
      <w:r>
        <w:rPr>
          <w:spacing w:val="-2"/>
        </w:rPr>
        <w:t>高级工程师</w:t>
      </w:r>
      <w:r>
        <w:rPr>
          <w:rFonts w:ascii="Times New Roman" w:hAnsi="Times New Roman" w:cs="Times New Roman" w:eastAsia="Times New Roman" w:hint="default"/>
          <w:spacing w:val="-2"/>
        </w:rPr>
        <w:t>,</w:t>
      </w:r>
      <w:r>
        <w:rPr>
          <w:spacing w:val="-2"/>
        </w:rPr>
        <w:t>无永久境外居留权。现任中南大学二级教授、博士生导师</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17"/>
        </w:rPr>
        <w:t> </w:t>
      </w:r>
      <w:r>
        <w:rPr/>
        <w:t>化学电源与材料研究所所长</w:t>
      </w:r>
      <w:r>
        <w:rPr>
          <w:rFonts w:ascii="Times New Roman" w:hAnsi="Times New Roman" w:cs="Times New Roman" w:eastAsia="Times New Roman" w:hint="default"/>
        </w:rPr>
        <w:t>,</w:t>
      </w:r>
      <w:r>
        <w:rPr/>
        <w:t>化学电源湖南省重点实验室主任</w:t>
      </w:r>
      <w:r>
        <w:rPr>
          <w:rFonts w:ascii="Times New Roman" w:hAnsi="Times New Roman" w:cs="Times New Roman" w:eastAsia="Times New Roman" w:hint="default"/>
        </w:rPr>
        <w:t>,</w:t>
      </w:r>
      <w:r>
        <w:rPr/>
        <w:t>湖南省电池材料与电池产业技术创新战略联盟理事长</w:t>
      </w:r>
      <w:r>
        <w:rPr>
          <w:rFonts w:ascii="Times New Roman" w:hAnsi="Times New Roman" w:cs="Times New Roman" w:eastAsia="Times New Roman" w:hint="default"/>
        </w:rPr>
        <w:t>,</w:t>
      </w:r>
      <w:r>
        <w:rPr/>
        <w:t>国家科 学技术奖和国家科学基金项目评审专家</w:t>
      </w:r>
      <w:r>
        <w:rPr>
          <w:rFonts w:ascii="Times New Roman" w:hAnsi="Times New Roman" w:cs="Times New Roman" w:eastAsia="Times New Roman" w:hint="default"/>
        </w:rPr>
        <w:t>,</w:t>
      </w:r>
      <w:r>
        <w:rPr/>
        <w:t>中国储能与动力电池及其材料专业委员会常务副主任兼秘书长</w:t>
      </w:r>
      <w:r>
        <w:rPr>
          <w:rFonts w:ascii="Times New Roman" w:hAnsi="Times New Roman" w:cs="Times New Roman" w:eastAsia="Times New Roman" w:hint="default"/>
        </w:rPr>
        <w:t>,</w:t>
      </w:r>
      <w:r>
        <w:rPr/>
        <w:t>中国仪表材料学会常 务理事</w:t>
      </w:r>
      <w:r>
        <w:rPr>
          <w:rFonts w:ascii="Times New Roman" w:hAnsi="Times New Roman" w:cs="Times New Roman" w:eastAsia="Times New Roman" w:hint="default"/>
        </w:rPr>
        <w:t>,</w:t>
      </w:r>
      <w:r>
        <w:rPr/>
        <w:t>中国氢能专业委员会常务理事</w:t>
      </w:r>
      <w:r>
        <w:rPr>
          <w:rFonts w:ascii="Times New Roman" w:hAnsi="Times New Roman" w:cs="Times New Roman" w:eastAsia="Times New Roman" w:hint="default"/>
        </w:rPr>
        <w:t>,</w:t>
      </w:r>
      <w:r>
        <w:rPr/>
        <w:t>中国电池工业协会理事</w:t>
      </w:r>
      <w:r>
        <w:rPr>
          <w:rFonts w:ascii="Times New Roman" w:hAnsi="Times New Roman" w:cs="Times New Roman" w:eastAsia="Times New Roman" w:hint="default"/>
        </w:rPr>
        <w:t>,</w:t>
      </w:r>
      <w:r>
        <w:rPr/>
        <w:t>凯普生物独立董事。</w:t>
      </w:r>
    </w:p>
    <w:p>
      <w:pPr>
        <w:pStyle w:val="BodyText"/>
        <w:spacing w:line="304" w:lineRule="auto" w:before="5"/>
        <w:ind w:right="142"/>
        <w:jc w:val="left"/>
      </w:pPr>
      <w:r>
        <w:rPr/>
        <w:t>（二）监事会成员 </w:t>
      </w:r>
      <w:r>
        <w:rPr>
          <w:rFonts w:ascii="Times New Roman" w:hAnsi="Times New Roman" w:cs="Times New Roman" w:eastAsia="Times New Roman" w:hint="default"/>
        </w:rPr>
        <w:t>1</w:t>
      </w:r>
      <w:r>
        <w:rPr/>
        <w:t>、周建深先生：监事会主席，</w:t>
      </w:r>
      <w:r>
        <w:rPr>
          <w:rFonts w:ascii="Times New Roman" w:hAnsi="Times New Roman" w:cs="Times New Roman" w:eastAsia="Times New Roman" w:hint="default"/>
        </w:rPr>
        <w:t>1976</w:t>
      </w:r>
      <w:r>
        <w:rPr/>
        <w:t>年出生，中国国籍，大学本科学历，化学专业，曾任杭州通达高分子材料有限公司值班 长、技术开发处处长、硅烷交联分厂生产厂长、</w:t>
      </w:r>
      <w:r>
        <w:rPr>
          <w:rFonts w:ascii="Times New Roman" w:hAnsi="Times New Roman" w:cs="Times New Roman" w:eastAsia="Times New Roman" w:hint="default"/>
        </w:rPr>
        <w:t>PE</w:t>
      </w:r>
      <w:r>
        <w:rPr/>
        <w:t>技术厂长、技术中心主任助理职务，现任公司监事、公司技术开发中心 主任。以周建深先生为核心研发人员的</w:t>
      </w:r>
      <w:r>
        <w:rPr>
          <w:rFonts w:ascii="Times New Roman" w:hAnsi="Times New Roman" w:cs="Times New Roman" w:eastAsia="Times New Roman" w:hint="default"/>
        </w:rPr>
        <w:t>“</w:t>
      </w:r>
      <w:r>
        <w:rPr/>
        <w:t>一步法硅烷交联聚乙烯绝缘料</w:t>
      </w:r>
      <w:r>
        <w:rPr>
          <w:rFonts w:ascii="Times New Roman" w:hAnsi="Times New Roman" w:cs="Times New Roman" w:eastAsia="Times New Roman" w:hint="default"/>
        </w:rPr>
        <w:t>”</w:t>
      </w:r>
      <w:r>
        <w:rPr/>
        <w:t>研发项目</w:t>
      </w:r>
      <w:r>
        <w:rPr>
          <w:rFonts w:ascii="Times New Roman" w:hAnsi="Times New Roman" w:cs="Times New Roman" w:eastAsia="Times New Roman" w:hint="default"/>
        </w:rPr>
        <w:t>2011</w:t>
      </w:r>
      <w:r>
        <w:rPr/>
        <w:t>年度获得余杭区科技计划项目补助资 </w:t>
      </w:r>
      <w:r>
        <w:rPr>
          <w:spacing w:val="-2"/>
        </w:rPr>
        <w:t>金，由周建深先生担任产品设计的</w:t>
      </w:r>
      <w:r>
        <w:rPr>
          <w:rFonts w:ascii="Times New Roman" w:hAnsi="Times New Roman" w:cs="Times New Roman" w:eastAsia="Times New Roman" w:hint="default"/>
          <w:spacing w:val="-2"/>
        </w:rPr>
        <w:t>“</w:t>
      </w:r>
      <w:r>
        <w:rPr>
          <w:spacing w:val="-2"/>
        </w:rPr>
        <w:t>重型特种移动设备专用乙丙橡胶电缆料</w:t>
      </w:r>
      <w:r>
        <w:rPr>
          <w:rFonts w:ascii="Times New Roman" w:hAnsi="Times New Roman" w:cs="Times New Roman" w:eastAsia="Times New Roman" w:hint="default"/>
          <w:spacing w:val="-2"/>
        </w:rPr>
        <w:t>”</w:t>
      </w:r>
      <w:r>
        <w:rPr>
          <w:spacing w:val="-2"/>
        </w:rPr>
        <w:t>、</w:t>
      </w:r>
      <w:r>
        <w:rPr>
          <w:rFonts w:ascii="Times New Roman" w:hAnsi="Times New Roman" w:cs="Times New Roman" w:eastAsia="Times New Roman" w:hint="default"/>
          <w:spacing w:val="-2"/>
        </w:rPr>
        <w:t>“</w:t>
      </w:r>
      <w:r>
        <w:rPr>
          <w:spacing w:val="-2"/>
        </w:rPr>
        <w:t>特种移动设备橡套软电缆用</w:t>
      </w:r>
      <w:r>
        <w:rPr>
          <w:rFonts w:ascii="Times New Roman" w:hAnsi="Times New Roman" w:cs="Times New Roman" w:eastAsia="Times New Roman" w:hint="default"/>
          <w:spacing w:val="-2"/>
        </w:rPr>
        <w:t>CPE</w:t>
      </w:r>
      <w:r>
        <w:rPr>
          <w:spacing w:val="-2"/>
        </w:rPr>
        <w:t>护套料</w:t>
      </w:r>
      <w:r>
        <w:rPr>
          <w:rFonts w:ascii="Times New Roman" w:hAnsi="Times New Roman" w:cs="Times New Roman" w:eastAsia="Times New Roman" w:hint="default"/>
          <w:spacing w:val="-2"/>
        </w:rPr>
        <w:t>”</w:t>
      </w:r>
      <w:r>
        <w:rPr>
          <w:spacing w:val="-2"/>
        </w:rPr>
        <w:t>、</w:t>
      </w:r>
      <w:r>
        <w:rPr>
          <w:rFonts w:ascii="Times New Roman" w:hAnsi="Times New Roman" w:cs="Times New Roman" w:eastAsia="Times New Roman" w:hint="default"/>
          <w:spacing w:val="-2"/>
        </w:rPr>
        <w:t>“</w:t>
      </w:r>
      <w:r>
        <w:rPr>
          <w:spacing w:val="-2"/>
        </w:rPr>
        <w:t>一</w:t>
      </w:r>
      <w:r>
        <w:rPr>
          <w:spacing w:val="-68"/>
        </w:rPr>
        <w:t> </w:t>
      </w:r>
      <w:r>
        <w:rPr/>
        <w:t>步法硅烷自然交联聚乙烯绝缘料</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抗开裂黑色中密度聚乙烯护套料</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耐候线性低密度聚乙烯绝缘料</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耐热</w:t>
      </w:r>
      <w:r>
        <w:rPr>
          <w:rFonts w:ascii="Times New Roman" w:hAnsi="Times New Roman" w:cs="Times New Roman" w:eastAsia="Times New Roman" w:hint="default"/>
        </w:rPr>
        <w:t>150</w:t>
      </w:r>
      <w:r>
        <w:rPr/>
        <w:t>℃环境 </w:t>
      </w:r>
      <w:r>
        <w:rPr>
          <w:spacing w:val="-2"/>
        </w:rPr>
        <w:t>友好型辐照交联聚烯烃绝缘料</w:t>
      </w:r>
      <w:r>
        <w:rPr>
          <w:rFonts w:ascii="Times New Roman" w:hAnsi="Times New Roman" w:cs="Times New Roman" w:eastAsia="Times New Roman" w:hint="default"/>
          <w:spacing w:val="-2"/>
        </w:rPr>
        <w:t>”</w:t>
      </w:r>
      <w:r>
        <w:rPr>
          <w:spacing w:val="-2"/>
        </w:rPr>
        <w:t>、</w:t>
      </w:r>
      <w:r>
        <w:rPr>
          <w:rFonts w:ascii="Times New Roman" w:hAnsi="Times New Roman" w:cs="Times New Roman" w:eastAsia="Times New Roman" w:hint="default"/>
          <w:spacing w:val="-2"/>
        </w:rPr>
        <w:t>“</w:t>
      </w:r>
      <w:r>
        <w:rPr>
          <w:spacing w:val="-2"/>
        </w:rPr>
        <w:t>耐热</w:t>
      </w:r>
      <w:r>
        <w:rPr>
          <w:rFonts w:ascii="Times New Roman" w:hAnsi="Times New Roman" w:cs="Times New Roman" w:eastAsia="Times New Roman" w:hint="default"/>
          <w:spacing w:val="-2"/>
        </w:rPr>
        <w:t>125</w:t>
      </w:r>
      <w:r>
        <w:rPr>
          <w:spacing w:val="-2"/>
        </w:rPr>
        <w:t>℃环境友好型辐照交联聚烯烃护套料</w:t>
      </w:r>
      <w:r>
        <w:rPr>
          <w:rFonts w:ascii="Times New Roman" w:hAnsi="Times New Roman" w:cs="Times New Roman" w:eastAsia="Times New Roman" w:hint="default"/>
          <w:spacing w:val="-2"/>
        </w:rPr>
        <w:t>”</w:t>
      </w:r>
      <w:r>
        <w:rPr>
          <w:spacing w:val="-2"/>
        </w:rPr>
        <w:t>、</w:t>
      </w:r>
      <w:r>
        <w:rPr>
          <w:rFonts w:ascii="Times New Roman" w:hAnsi="Times New Roman" w:cs="Times New Roman" w:eastAsia="Times New Roman" w:hint="default"/>
          <w:spacing w:val="-2"/>
        </w:rPr>
        <w:t>“10kV</w:t>
      </w:r>
      <w:r>
        <w:rPr>
          <w:spacing w:val="-2"/>
        </w:rPr>
        <w:t>快速硅烷交联聚乙烯绝缘料</w:t>
      </w:r>
      <w:r>
        <w:rPr>
          <w:rFonts w:ascii="Times New Roman" w:hAnsi="Times New Roman" w:cs="Times New Roman" w:eastAsia="Times New Roman" w:hint="default"/>
          <w:spacing w:val="-2"/>
        </w:rPr>
        <w:t>”</w:t>
      </w:r>
      <w:r>
        <w:rPr>
          <w:spacing w:val="-2"/>
        </w:rPr>
        <w:t>通过省</w:t>
      </w:r>
      <w:r>
        <w:rPr>
          <w:spacing w:val="-46"/>
        </w:rPr>
        <w:t> </w:t>
      </w:r>
      <w:r>
        <w:rPr/>
        <w:t>级科技成果鉴定。周建深先生目前主要负责具体的产品技术研究开发工作。 </w:t>
      </w:r>
      <w:r>
        <w:rPr>
          <w:rFonts w:ascii="Times New Roman" w:hAnsi="Times New Roman" w:cs="Times New Roman" w:eastAsia="Times New Roman" w:hint="default"/>
          <w:spacing w:val="-2"/>
        </w:rPr>
        <w:t>2</w:t>
      </w:r>
      <w:r>
        <w:rPr>
          <w:spacing w:val="-2"/>
        </w:rPr>
        <w:t>、王永高先生</w:t>
      </w:r>
      <w:r>
        <w:rPr>
          <w:rFonts w:ascii="Times New Roman" w:hAnsi="Times New Roman" w:cs="Times New Roman" w:eastAsia="Times New Roman" w:hint="default"/>
          <w:spacing w:val="-2"/>
        </w:rPr>
        <w:t>:1971</w:t>
      </w:r>
      <w:r>
        <w:rPr>
          <w:spacing w:val="-2"/>
        </w:rPr>
        <w:t>年出生</w:t>
      </w:r>
      <w:r>
        <w:rPr>
          <w:rFonts w:ascii="Times New Roman" w:hAnsi="Times New Roman" w:cs="Times New Roman" w:eastAsia="Times New Roman" w:hint="default"/>
          <w:spacing w:val="-2"/>
        </w:rPr>
        <w:t>,</w:t>
      </w:r>
      <w:r>
        <w:rPr>
          <w:spacing w:val="-2"/>
        </w:rPr>
        <w:t>中国国籍</w:t>
      </w:r>
      <w:r>
        <w:rPr>
          <w:rFonts w:ascii="Times New Roman" w:hAnsi="Times New Roman" w:cs="Times New Roman" w:eastAsia="Times New Roman" w:hint="default"/>
          <w:spacing w:val="-2"/>
        </w:rPr>
        <w:t>,</w:t>
      </w:r>
      <w:r>
        <w:rPr>
          <w:spacing w:val="-2"/>
        </w:rPr>
        <w:t>大学学历</w:t>
      </w:r>
      <w:r>
        <w:rPr>
          <w:rFonts w:ascii="Times New Roman" w:hAnsi="Times New Roman" w:cs="Times New Roman" w:eastAsia="Times New Roman" w:hint="default"/>
          <w:spacing w:val="-2"/>
        </w:rPr>
        <w:t>,</w:t>
      </w:r>
      <w:r>
        <w:rPr>
          <w:spacing w:val="-2"/>
        </w:rPr>
        <w:t>高级工程师</w:t>
      </w:r>
      <w:r>
        <w:rPr>
          <w:rFonts w:ascii="Times New Roman" w:hAnsi="Times New Roman" w:cs="Times New Roman" w:eastAsia="Times New Roman" w:hint="default"/>
          <w:spacing w:val="-2"/>
        </w:rPr>
        <w:t>,</w:t>
      </w:r>
      <w:r>
        <w:rPr>
          <w:spacing w:val="-2"/>
        </w:rPr>
        <w:t>国家一级安全评价师</w:t>
      </w:r>
      <w:r>
        <w:rPr>
          <w:rFonts w:ascii="Times New Roman" w:hAnsi="Times New Roman" w:cs="Times New Roman" w:eastAsia="Times New Roman" w:hint="default"/>
          <w:spacing w:val="-2"/>
        </w:rPr>
        <w:t>,1988</w:t>
      </w:r>
      <w:r>
        <w:rPr>
          <w:spacing w:val="-2"/>
        </w:rPr>
        <w:t>年参加工作</w:t>
      </w:r>
      <w:r>
        <w:rPr>
          <w:rFonts w:ascii="Times New Roman" w:hAnsi="Times New Roman" w:cs="Times New Roman" w:eastAsia="Times New Roman" w:hint="default"/>
          <w:spacing w:val="-2"/>
        </w:rPr>
        <w:t>,1989</w:t>
      </w:r>
      <w:r>
        <w:rPr>
          <w:spacing w:val="-2"/>
        </w:rPr>
        <w:t>年</w:t>
      </w:r>
      <w:r>
        <w:rPr>
          <w:rFonts w:ascii="Times New Roman" w:hAnsi="Times New Roman" w:cs="Times New Roman" w:eastAsia="Times New Roman" w:hint="default"/>
          <w:spacing w:val="-2"/>
        </w:rPr>
        <w:t>3</w:t>
      </w:r>
      <w:r>
        <w:rPr>
          <w:spacing w:val="-2"/>
        </w:rPr>
        <w:t>月入伍</w:t>
      </w:r>
      <w:r>
        <w:rPr>
          <w:rFonts w:ascii="Times New Roman" w:hAnsi="Times New Roman" w:cs="Times New Roman" w:eastAsia="Times New Roman" w:hint="default"/>
          <w:spacing w:val="-2"/>
        </w:rPr>
        <w:t>,</w:t>
      </w:r>
      <w:r>
        <w:rPr>
          <w:spacing w:val="-2"/>
        </w:rPr>
        <w:t>曾在部队服</w:t>
      </w:r>
      <w:r>
        <w:rPr>
          <w:spacing w:val="-52"/>
        </w:rPr>
        <w:t> </w:t>
      </w:r>
      <w:r>
        <w:rPr>
          <w:spacing w:val="-52"/>
        </w:rPr>
      </w:r>
      <w:r>
        <w:rPr/>
        <w:t>役任班长代理区队长、浙江交通职业技术学院任教</w:t>
      </w:r>
      <w:r>
        <w:rPr>
          <w:rFonts w:ascii="Times New Roman" w:hAnsi="Times New Roman" w:cs="Times New Roman" w:eastAsia="Times New Roman" w:hint="default"/>
        </w:rPr>
        <w:t>,</w:t>
      </w:r>
      <w:r>
        <w:rPr/>
        <w:t>现任中共杭州市余杭区径山镇第四次代表大会代表、杭州高新环保安监 办主任、安全总监。 </w:t>
      </w:r>
      <w:r>
        <w:rPr>
          <w:rFonts w:ascii="Times New Roman" w:hAnsi="Times New Roman" w:cs="Times New Roman" w:eastAsia="Times New Roman" w:hint="default"/>
        </w:rPr>
        <w:t>3</w:t>
      </w:r>
      <w:r>
        <w:rPr/>
        <w:t>、张国琴女士，</w:t>
      </w:r>
      <w:r>
        <w:rPr>
          <w:rFonts w:ascii="Times New Roman" w:hAnsi="Times New Roman" w:cs="Times New Roman" w:eastAsia="Times New Roman" w:hint="default"/>
        </w:rPr>
        <w:t>1983</w:t>
      </w:r>
      <w:r>
        <w:rPr/>
        <w:t>年出生，中国国籍，本科学历，</w:t>
      </w:r>
      <w:r>
        <w:rPr>
          <w:rFonts w:ascii="Times New Roman" w:hAnsi="Times New Roman" w:cs="Times New Roman" w:eastAsia="Times New Roman" w:hint="default"/>
        </w:rPr>
        <w:t>2002</w:t>
      </w:r>
      <w:r>
        <w:rPr/>
        <w:t>年参加工作，先后在多家公司从事会计工作，现任公司监事、审 计部经理。张国琴女士目前主要负责公司内部审计工作。</w:t>
      </w:r>
    </w:p>
    <w:p>
      <w:pPr>
        <w:pStyle w:val="BodyText"/>
        <w:spacing w:line="240" w:lineRule="auto" w:before="28"/>
        <w:ind w:right="0"/>
        <w:jc w:val="left"/>
      </w:pPr>
      <w:r>
        <w:rPr/>
        <w:t>（三）高级管理人员</w:t>
      </w:r>
    </w:p>
    <w:p>
      <w:pPr>
        <w:pStyle w:val="BodyText"/>
        <w:spacing w:line="240" w:lineRule="auto" w:before="76"/>
        <w:ind w:right="0"/>
        <w:jc w:val="left"/>
      </w:pPr>
      <w:r>
        <w:rPr>
          <w:rFonts w:ascii="Times New Roman" w:hAnsi="Times New Roman" w:cs="Times New Roman" w:eastAsia="Times New Roman" w:hint="default"/>
        </w:rPr>
        <w:t>1</w:t>
      </w:r>
      <w:r>
        <w:rPr/>
        <w:t>、楼永富先生：董事、总经理，其简历见本节（一）董事会成员相关内容。</w:t>
      </w:r>
    </w:p>
    <w:p>
      <w:pPr>
        <w:pStyle w:val="BodyText"/>
        <w:spacing w:line="240" w:lineRule="auto" w:before="63"/>
        <w:ind w:right="0"/>
        <w:jc w:val="left"/>
      </w:pPr>
      <w:r>
        <w:rPr>
          <w:rFonts w:ascii="Times New Roman" w:hAnsi="Times New Roman" w:cs="Times New Roman" w:eastAsia="Times New Roman" w:hint="default"/>
        </w:rPr>
        <w:t>2</w:t>
      </w:r>
      <w:r>
        <w:rPr/>
        <w:t>、吴畏先生：董事、总工程师，其简历见本节（一）董事会成员相关内容。</w:t>
      </w:r>
    </w:p>
    <w:p>
      <w:pPr>
        <w:pStyle w:val="BodyText"/>
        <w:spacing w:line="240" w:lineRule="auto" w:before="63"/>
        <w:ind w:right="0"/>
        <w:jc w:val="left"/>
      </w:pPr>
      <w:r>
        <w:rPr>
          <w:rFonts w:ascii="Times New Roman" w:hAnsi="Times New Roman" w:cs="Times New Roman" w:eastAsia="Times New Roman" w:hint="default"/>
        </w:rPr>
        <w:t>3</w:t>
      </w:r>
      <w:r>
        <w:rPr/>
        <w:t>、凌勇先生：董事、副总经理，其简历见本节（一）董事会成员相关内容。</w:t>
      </w:r>
    </w:p>
    <w:p>
      <w:pPr>
        <w:pStyle w:val="BodyText"/>
        <w:spacing w:line="304" w:lineRule="auto" w:before="63"/>
        <w:ind w:right="142"/>
        <w:jc w:val="left"/>
      </w:pPr>
      <w:r>
        <w:rPr>
          <w:rFonts w:ascii="Times New Roman" w:hAnsi="Times New Roman" w:cs="Times New Roman" w:eastAsia="Times New Roman" w:hint="default"/>
        </w:rPr>
        <w:t>4</w:t>
      </w:r>
      <w:r>
        <w:rPr/>
        <w:t>、沈治华先生：副总经理，</w:t>
      </w:r>
      <w:r>
        <w:rPr>
          <w:rFonts w:ascii="Times New Roman" w:hAnsi="Times New Roman" w:cs="Times New Roman" w:eastAsia="Times New Roman" w:hint="default"/>
        </w:rPr>
        <w:t>1970</w:t>
      </w:r>
      <w:r>
        <w:rPr/>
        <w:t>年出生，中国国籍，大专学历，公共管理专业，现任公司副总经理。沈治华先生参与了公 </w:t>
      </w:r>
      <w:r>
        <w:rPr>
          <w:spacing w:val="-2"/>
        </w:rPr>
        <w:t>司多个产品的技术配方设计及企业产品执行标准的起草，</w:t>
      </w:r>
      <w:r>
        <w:rPr>
          <w:rFonts w:ascii="Times New Roman" w:hAnsi="Times New Roman" w:cs="Times New Roman" w:eastAsia="Times New Roman" w:hint="default"/>
          <w:spacing w:val="-2"/>
        </w:rPr>
        <w:t>2006</w:t>
      </w:r>
      <w:r>
        <w:rPr>
          <w:spacing w:val="-2"/>
        </w:rPr>
        <w:t>年</w:t>
      </w:r>
      <w:r>
        <w:rPr>
          <w:rFonts w:ascii="Times New Roman" w:hAnsi="Times New Roman" w:cs="Times New Roman" w:eastAsia="Times New Roman" w:hint="default"/>
          <w:spacing w:val="-2"/>
        </w:rPr>
        <w:t>3</w:t>
      </w:r>
      <w:r>
        <w:rPr>
          <w:spacing w:val="-2"/>
        </w:rPr>
        <w:t>月被中共杭州市余杭区委、杭州市余杭区人民政府授予</w:t>
      </w:r>
      <w:r>
        <w:rPr>
          <w:rFonts w:ascii="Times New Roman" w:hAnsi="Times New Roman" w:cs="Times New Roman" w:eastAsia="Times New Roman" w:hint="default"/>
          <w:spacing w:val="-2"/>
        </w:rPr>
        <w:t>“</w:t>
      </w:r>
      <w:r>
        <w:rPr>
          <w:spacing w:val="-2"/>
        </w:rPr>
        <w:t>余</w:t>
      </w:r>
      <w:r>
        <w:rPr>
          <w:spacing w:val="-49"/>
        </w:rPr>
        <w:t> </w:t>
      </w:r>
      <w:r>
        <w:rPr/>
        <w:t>杭区科技工作先进工作个人</w:t>
      </w:r>
      <w:r>
        <w:rPr>
          <w:rFonts w:ascii="Times New Roman" w:hAnsi="Times New Roman" w:cs="Times New Roman" w:eastAsia="Times New Roman" w:hint="default"/>
        </w:rPr>
        <w:t>”</w:t>
      </w:r>
      <w:r>
        <w:rPr/>
        <w:t>称号，参加的浙江省重大科技专项重点项目</w:t>
      </w:r>
      <w:r>
        <w:rPr>
          <w:rFonts w:ascii="Times New Roman" w:hAnsi="Times New Roman" w:cs="Times New Roman" w:eastAsia="Times New Roman" w:hint="default"/>
        </w:rPr>
        <w:t>“</w:t>
      </w:r>
      <w:r>
        <w:rPr/>
        <w:t>辐照交联低烟无卤阻燃聚乙烯电缆料</w:t>
      </w:r>
      <w:r>
        <w:rPr>
          <w:rFonts w:ascii="Times New Roman" w:hAnsi="Times New Roman" w:cs="Times New Roman" w:eastAsia="Times New Roman" w:hint="default"/>
        </w:rPr>
        <w:t>”</w:t>
      </w:r>
      <w:r>
        <w:rPr/>
        <w:t>于</w:t>
      </w:r>
      <w:r>
        <w:rPr>
          <w:rFonts w:ascii="Times New Roman" w:hAnsi="Times New Roman" w:cs="Times New Roman" w:eastAsia="Times New Roman" w:hint="default"/>
        </w:rPr>
        <w:t>2010</w:t>
      </w:r>
      <w:r>
        <w:rPr/>
        <w:t>年被 </w:t>
      </w:r>
      <w:r>
        <w:rPr>
          <w:spacing w:val="-2"/>
        </w:rPr>
        <w:t>评为</w:t>
      </w:r>
      <w:r>
        <w:rPr>
          <w:rFonts w:ascii="Times New Roman" w:hAnsi="Times New Roman" w:cs="Times New Roman" w:eastAsia="Times New Roman" w:hint="default"/>
          <w:spacing w:val="-2"/>
        </w:rPr>
        <w:t>“</w:t>
      </w:r>
      <w:r>
        <w:rPr>
          <w:spacing w:val="-2"/>
        </w:rPr>
        <w:t>杭州市优秀新产品、新技术奖</w:t>
      </w:r>
      <w:r>
        <w:rPr>
          <w:rFonts w:ascii="Times New Roman" w:hAnsi="Times New Roman" w:cs="Times New Roman" w:eastAsia="Times New Roman" w:hint="default"/>
          <w:spacing w:val="-2"/>
        </w:rPr>
        <w:t>”</w:t>
      </w:r>
      <w:r>
        <w:rPr>
          <w:spacing w:val="-2"/>
        </w:rPr>
        <w:t>、</w:t>
      </w:r>
      <w:r>
        <w:rPr>
          <w:rFonts w:ascii="Times New Roman" w:hAnsi="Times New Roman" w:cs="Times New Roman" w:eastAsia="Times New Roman" w:hint="default"/>
          <w:spacing w:val="-2"/>
        </w:rPr>
        <w:t>2013</w:t>
      </w:r>
      <w:r>
        <w:rPr>
          <w:spacing w:val="-2"/>
        </w:rPr>
        <w:t>年被评为</w:t>
      </w:r>
      <w:r>
        <w:rPr>
          <w:rFonts w:ascii="Times New Roman" w:hAnsi="Times New Roman" w:cs="Times New Roman" w:eastAsia="Times New Roman" w:hint="default"/>
          <w:spacing w:val="-2"/>
        </w:rPr>
        <w:t>“</w:t>
      </w:r>
      <w:r>
        <w:rPr>
          <w:spacing w:val="-2"/>
        </w:rPr>
        <w:t>余杭区劳动模范</w:t>
      </w:r>
      <w:r>
        <w:rPr>
          <w:rFonts w:ascii="Times New Roman" w:hAnsi="Times New Roman" w:cs="Times New Roman" w:eastAsia="Times New Roman" w:hint="default"/>
          <w:spacing w:val="-2"/>
        </w:rPr>
        <w:t>”</w:t>
      </w:r>
      <w:r>
        <w:rPr>
          <w:spacing w:val="-2"/>
        </w:rPr>
        <w:t>。沈治华先生为</w:t>
      </w:r>
      <w:r>
        <w:rPr>
          <w:rFonts w:ascii="Times New Roman" w:hAnsi="Times New Roman" w:cs="Times New Roman" w:eastAsia="Times New Roman" w:hint="default"/>
          <w:spacing w:val="-2"/>
        </w:rPr>
        <w:t>“</w:t>
      </w:r>
      <w:r>
        <w:rPr>
          <w:spacing w:val="-2"/>
        </w:rPr>
        <w:t>连续自动炼塑的双辊筒炼塑机</w:t>
      </w:r>
      <w:r>
        <w:rPr>
          <w:rFonts w:ascii="Times New Roman" w:hAnsi="Times New Roman" w:cs="Times New Roman" w:eastAsia="Times New Roman" w:hint="default"/>
          <w:spacing w:val="-2"/>
        </w:rPr>
        <w:t>”</w:t>
      </w:r>
      <w:r>
        <w:rPr>
          <w:spacing w:val="-2"/>
        </w:rPr>
        <w:t>、</w:t>
      </w:r>
      <w:r>
        <w:rPr>
          <w:rFonts w:ascii="Times New Roman" w:hAnsi="Times New Roman" w:cs="Times New Roman" w:eastAsia="Times New Roman" w:hint="default"/>
          <w:spacing w:val="-2"/>
        </w:rPr>
        <w:t>“</w:t>
      </w:r>
      <w:r>
        <w:rPr>
          <w:spacing w:val="-2"/>
        </w:rPr>
        <w:t>带</w:t>
      </w:r>
      <w:r>
        <w:rPr>
          <w:spacing w:val="-78"/>
        </w:rPr>
        <w:t> </w:t>
      </w:r>
      <w:r>
        <w:rPr/>
        <w:t>有上料装置的强力加压密炼机</w:t>
      </w:r>
      <w:r>
        <w:rPr>
          <w:rFonts w:ascii="Times New Roman" w:hAnsi="Times New Roman" w:cs="Times New Roman" w:eastAsia="Times New Roman" w:hint="default"/>
        </w:rPr>
        <w:t>”2</w:t>
      </w:r>
      <w:r>
        <w:rPr/>
        <w:t>项实用新型专利的发明人。由沈治华先生担任工艺设计的</w:t>
      </w:r>
      <w:r>
        <w:rPr>
          <w:rFonts w:ascii="Times New Roman" w:hAnsi="Times New Roman" w:cs="Times New Roman" w:eastAsia="Times New Roman" w:hint="default"/>
        </w:rPr>
        <w:t>“</w:t>
      </w:r>
      <w:r>
        <w:rPr/>
        <w:t>重型特种移动设备专用乙丙橡胶 电缆料</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特种移动设备橡套软电缆用</w:t>
      </w:r>
      <w:r>
        <w:rPr>
          <w:rFonts w:ascii="Times New Roman" w:hAnsi="Times New Roman" w:cs="Times New Roman" w:eastAsia="Times New Roman" w:hint="default"/>
        </w:rPr>
        <w:t>CPE</w:t>
      </w:r>
      <w:r>
        <w:rPr/>
        <w:t>护套料</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一步法硅烷自然交联聚乙烯绝缘料</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抗开裂黑色中密度聚乙烯护套 料</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耐候线性低密度聚乙烯绝缘料</w:t>
      </w:r>
      <w:r>
        <w:rPr>
          <w:rFonts w:ascii="Times New Roman" w:hAnsi="Times New Roman" w:cs="Times New Roman" w:eastAsia="Times New Roman" w:hint="default"/>
        </w:rPr>
        <w:t>”</w:t>
      </w:r>
      <w:r>
        <w:rPr/>
        <w:t>通过了省级科技成果鉴定。沈治华先生主要负责福建南平太阳电缆股份有限公司的日 常运营工作。 </w:t>
      </w:r>
      <w:r>
        <w:rPr>
          <w:rFonts w:ascii="Times New Roman" w:hAnsi="Times New Roman" w:cs="Times New Roman" w:eastAsia="Times New Roman" w:hint="default"/>
        </w:rPr>
        <w:t>5</w:t>
      </w:r>
      <w:r>
        <w:rPr/>
        <w:t>、胡炳林先生：副总经理，</w:t>
      </w:r>
      <w:r>
        <w:rPr>
          <w:rFonts w:ascii="Times New Roman" w:hAnsi="Times New Roman" w:cs="Times New Roman" w:eastAsia="Times New Roman" w:hint="default"/>
        </w:rPr>
        <w:t>1970</w:t>
      </w:r>
      <w:r>
        <w:rPr/>
        <w:t>年出生，中国国籍，大专学历，行政管理专业，现任公司副总经理。胡炳林先生主要负责 公司生产、生产工艺的改进及生产设备的技术改造等工作。 </w:t>
      </w:r>
      <w:r>
        <w:rPr>
          <w:rFonts w:ascii="Times New Roman" w:hAnsi="Times New Roman" w:cs="Times New Roman" w:eastAsia="Times New Roman" w:hint="default"/>
        </w:rPr>
        <w:t>6</w:t>
      </w:r>
      <w:r>
        <w:rPr/>
        <w:t>、朱忠华先生：副总经理，</w:t>
      </w:r>
      <w:r>
        <w:rPr>
          <w:rFonts w:ascii="Times New Roman" w:hAnsi="Times New Roman" w:cs="Times New Roman" w:eastAsia="Times New Roman" w:hint="default"/>
        </w:rPr>
        <w:t>1968</w:t>
      </w:r>
      <w:r>
        <w:rPr/>
        <w:t>年出生，中国国籍，大专学历，工商管理专业，现任公司副总经理。朱忠华先生主要负责 公司产品推广和销售工作。 </w:t>
      </w:r>
      <w:r>
        <w:rPr>
          <w:rFonts w:ascii="Times New Roman" w:hAnsi="Times New Roman" w:cs="Times New Roman" w:eastAsia="Times New Roman" w:hint="default"/>
        </w:rPr>
        <w:t>7</w:t>
      </w:r>
      <w:r>
        <w:rPr/>
        <w:t>、缪勇刚先生：财务总监，</w:t>
      </w:r>
      <w:r>
        <w:rPr>
          <w:rFonts w:ascii="Times New Roman" w:hAnsi="Times New Roman" w:cs="Times New Roman" w:eastAsia="Times New Roman" w:hint="default"/>
        </w:rPr>
        <w:t>1981</w:t>
      </w:r>
      <w:r>
        <w:rPr/>
        <w:t>年出生，中国国籍，本科学历，会计学专业，现任公司财务总监。缪勇刚先生主要负责公 司财务工作。 </w:t>
      </w:r>
      <w:r>
        <w:rPr>
          <w:rFonts w:ascii="Times New Roman" w:hAnsi="Times New Roman" w:cs="Times New Roman" w:eastAsia="Times New Roman" w:hint="default"/>
        </w:rPr>
        <w:t>8</w:t>
      </w:r>
      <w:r>
        <w:rPr/>
        <w:t>、蒋鹏先生：副总经理、董事会秘书，</w:t>
      </w:r>
      <w:r>
        <w:rPr>
          <w:rFonts w:ascii="Times New Roman" w:hAnsi="Times New Roman" w:cs="Times New Roman" w:eastAsia="Times New Roman" w:hint="default"/>
        </w:rPr>
        <w:t>1986</w:t>
      </w:r>
      <w:r>
        <w:rPr/>
        <w:t>年出生</w:t>
      </w:r>
      <w:r>
        <w:rPr>
          <w:rFonts w:ascii="Times New Roman" w:hAnsi="Times New Roman" w:cs="Times New Roman" w:eastAsia="Times New Roman" w:hint="default"/>
        </w:rPr>
        <w:t>,</w:t>
      </w:r>
      <w:r>
        <w:rPr/>
        <w:t>中国国籍</w:t>
      </w:r>
      <w:r>
        <w:rPr>
          <w:rFonts w:ascii="Times New Roman" w:hAnsi="Times New Roman" w:cs="Times New Roman" w:eastAsia="Times New Roman" w:hint="default"/>
        </w:rPr>
        <w:t>,</w:t>
      </w:r>
      <w:r>
        <w:rPr/>
        <w:t>本科学历</w:t>
      </w:r>
      <w:r>
        <w:rPr>
          <w:rFonts w:ascii="Times New Roman" w:hAnsi="Times New Roman" w:cs="Times New Roman" w:eastAsia="Times New Roman" w:hint="default"/>
        </w:rPr>
        <w:t>,2008</w:t>
      </w:r>
      <w:r>
        <w:rPr/>
        <w:t>年参加工作</w:t>
      </w:r>
      <w:r>
        <w:rPr>
          <w:rFonts w:ascii="Times New Roman" w:hAnsi="Times New Roman" w:cs="Times New Roman" w:eastAsia="Times New Roman" w:hint="default"/>
        </w:rPr>
        <w:t>,</w:t>
      </w:r>
      <w:r>
        <w:rPr/>
        <w:t>曾在杭州双溪旅游开发有限公司、</w:t>
      </w:r>
    </w:p>
    <w:p>
      <w:pPr>
        <w:spacing w:after="0" w:line="304" w:lineRule="auto"/>
        <w:jc w:val="left"/>
        <w:sectPr>
          <w:pgSz w:w="11910" w:h="16840"/>
          <w:pgMar w:header="747" w:footer="979" w:top="1060" w:bottom="1160" w:left="980" w:right="980"/>
        </w:sectPr>
      </w:pPr>
    </w:p>
    <w:p>
      <w:pPr>
        <w:spacing w:line="240" w:lineRule="auto" w:before="12"/>
        <w:rPr>
          <w:rFonts w:ascii="宋体" w:hAnsi="宋体" w:cs="宋体" w:eastAsia="宋体" w:hint="default"/>
          <w:sz w:val="25"/>
          <w:szCs w:val="25"/>
        </w:rPr>
      </w:pPr>
    </w:p>
    <w:p>
      <w:pPr>
        <w:pStyle w:val="BodyText"/>
        <w:spacing w:line="309" w:lineRule="auto"/>
        <w:ind w:right="92"/>
        <w:jc w:val="left"/>
      </w:pPr>
      <w:r>
        <w:rPr>
          <w:spacing w:val="-2"/>
        </w:rPr>
        <w:t>杭州双溪房地产开发有限公司任职。</w:t>
      </w:r>
      <w:r>
        <w:rPr>
          <w:rFonts w:ascii="Times New Roman" w:hAnsi="Times New Roman" w:cs="Times New Roman" w:eastAsia="Times New Roman" w:hint="default"/>
          <w:spacing w:val="-2"/>
        </w:rPr>
        <w:t>2012</w:t>
      </w:r>
      <w:r>
        <w:rPr>
          <w:spacing w:val="-2"/>
        </w:rPr>
        <w:t>年取得深圳证券交易所颁发的《董事会秘书资格证书》。曾任公司证券部主任、证</w:t>
      </w:r>
      <w:r>
        <w:rPr>
          <w:spacing w:val="-62"/>
        </w:rPr>
        <w:t> </w:t>
      </w:r>
      <w:r>
        <w:rPr>
          <w:spacing w:val="-62"/>
        </w:rPr>
      </w:r>
      <w:r>
        <w:rPr/>
        <w:t>券事务代表，现任公司副总经理，董事会秘书。蒋鹏先生主要负责公司三会运行、信息披露、投资者关系管理等相关工作。 在股东单位任职情况</w:t>
      </w:r>
    </w:p>
    <w:p>
      <w:pPr>
        <w:pStyle w:val="BodyText"/>
        <w:spacing w:line="240" w:lineRule="auto" w:before="65"/>
        <w:ind w:right="92"/>
        <w:jc w:val="left"/>
      </w:pPr>
      <w:r>
        <w:rPr/>
        <w:t>√ 适用 □ 不适用</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202"/>
        <w:gridCol w:w="3189"/>
        <w:gridCol w:w="1064"/>
        <w:gridCol w:w="1196"/>
        <w:gridCol w:w="1330"/>
        <w:gridCol w:w="1588"/>
      </w:tblGrid>
      <w:tr>
        <w:trPr>
          <w:trHeight w:val="714" w:hRule="exact"/>
        </w:trPr>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5"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48" w:right="0"/>
              <w:jc w:val="left"/>
              <w:rPr>
                <w:rFonts w:ascii="宋体" w:hAnsi="宋体" w:cs="宋体" w:eastAsia="宋体" w:hint="default"/>
                <w:sz w:val="18"/>
                <w:szCs w:val="18"/>
              </w:rPr>
            </w:pPr>
            <w:r>
              <w:rPr>
                <w:rFonts w:ascii="宋体" w:hAnsi="宋体" w:cs="宋体" w:eastAsia="宋体" w:hint="default"/>
                <w:sz w:val="18"/>
                <w:szCs w:val="18"/>
              </w:rPr>
              <w:t>股东单位名称</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7" w:right="74"/>
              <w:jc w:val="left"/>
              <w:rPr>
                <w:rFonts w:ascii="宋体" w:hAnsi="宋体" w:cs="宋体" w:eastAsia="宋体" w:hint="default"/>
                <w:sz w:val="18"/>
                <w:szCs w:val="18"/>
              </w:rPr>
            </w:pPr>
            <w:r>
              <w:rPr>
                <w:rFonts w:ascii="宋体" w:hAnsi="宋体" w:cs="宋体" w:eastAsia="宋体" w:hint="default"/>
                <w:sz w:val="18"/>
                <w:szCs w:val="18"/>
              </w:rPr>
              <w:t>在股东单位 担任的职务</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9"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5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38" w:right="67" w:hanging="270"/>
              <w:jc w:val="left"/>
              <w:rPr>
                <w:rFonts w:ascii="宋体" w:hAnsi="宋体" w:cs="宋体" w:eastAsia="宋体" w:hint="default"/>
                <w:sz w:val="18"/>
                <w:szCs w:val="18"/>
              </w:rPr>
            </w:pPr>
            <w:r>
              <w:rPr>
                <w:rFonts w:ascii="宋体" w:hAnsi="宋体" w:cs="宋体" w:eastAsia="宋体" w:hint="default"/>
                <w:sz w:val="18"/>
                <w:szCs w:val="18"/>
              </w:rPr>
              <w:t>在股东单位是否领 取报酬津贴</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高长虹</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高兴控股集团有限公司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28"/>
              <w:jc w:val="left"/>
              <w:rPr>
                <w:rFonts w:ascii="宋体" w:hAnsi="宋体" w:cs="宋体" w:eastAsia="宋体" w:hint="default"/>
                <w:sz w:val="18"/>
                <w:szCs w:val="18"/>
              </w:rPr>
            </w:pPr>
            <w:r>
              <w:rPr>
                <w:rFonts w:ascii="宋体" w:hAnsi="宋体" w:cs="宋体" w:eastAsia="宋体" w:hint="default"/>
                <w:sz w:val="18"/>
                <w:szCs w:val="18"/>
              </w:rPr>
              <w:t>董事长兼总 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楼永富</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高兴控股集团有限公司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楼永娣</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高兴控股集团有限公司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金桂良</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高兴控股集团有限公司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0"/>
              <w:jc w:val="left"/>
              <w:rPr>
                <w:rFonts w:ascii="宋体" w:hAnsi="宋体" w:cs="宋体" w:eastAsia="宋体" w:hint="default"/>
                <w:sz w:val="18"/>
                <w:szCs w:val="18"/>
              </w:rPr>
            </w:pPr>
            <w:r>
              <w:rPr>
                <w:rFonts w:ascii="宋体" w:hAnsi="宋体" w:cs="宋体" w:eastAsia="宋体" w:hint="default"/>
                <w:spacing w:val="-12"/>
                <w:sz w:val="18"/>
                <w:szCs w:val="18"/>
              </w:rPr>
              <w:t>董事、财务总</w:t>
            </w:r>
            <w:r>
              <w:rPr>
                <w:rFonts w:ascii="宋体" w:hAnsi="宋体" w:cs="宋体" w:eastAsia="宋体" w:hint="default"/>
                <w:sz w:val="18"/>
                <w:szCs w:val="18"/>
              </w:rPr>
              <w:t> 监</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高长虹</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杭州天眼投资有限公司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28"/>
              <w:jc w:val="left"/>
              <w:rPr>
                <w:rFonts w:ascii="宋体" w:hAnsi="宋体" w:cs="宋体" w:eastAsia="宋体" w:hint="default"/>
                <w:sz w:val="18"/>
                <w:szCs w:val="18"/>
              </w:rPr>
            </w:pPr>
            <w:r>
              <w:rPr>
                <w:rFonts w:ascii="宋体" w:hAnsi="宋体" w:cs="宋体" w:eastAsia="宋体" w:hint="default"/>
                <w:sz w:val="18"/>
                <w:szCs w:val="18"/>
              </w:rPr>
              <w:t>执行董事兼 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楼永富</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4"/>
              <w:jc w:val="left"/>
              <w:rPr>
                <w:rFonts w:ascii="宋体" w:hAnsi="宋体" w:cs="宋体" w:eastAsia="宋体" w:hint="default"/>
                <w:sz w:val="18"/>
                <w:szCs w:val="18"/>
              </w:rPr>
            </w:pPr>
            <w:r>
              <w:rPr>
                <w:rFonts w:ascii="宋体" w:hAnsi="宋体" w:cs="宋体" w:eastAsia="宋体" w:hint="default"/>
                <w:sz w:val="18"/>
                <w:szCs w:val="18"/>
              </w:rPr>
              <w:t>中国双帆投资控股集团（香港）有限公 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金桂良</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杭州天眼投资有限公司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87"/>
              <w:jc w:val="left"/>
              <w:rPr>
                <w:rFonts w:ascii="宋体" w:hAnsi="宋体" w:cs="宋体" w:eastAsia="宋体" w:hint="default"/>
                <w:sz w:val="18"/>
                <w:szCs w:val="18"/>
              </w:rPr>
            </w:pPr>
            <w:r>
              <w:rPr>
                <w:rFonts w:ascii="宋体" w:hAnsi="宋体" w:cs="宋体" w:eastAsia="宋体" w:hint="default"/>
                <w:sz w:val="18"/>
                <w:szCs w:val="18"/>
              </w:rPr>
              <w:t>在股东单位任 职情况的说明</w:t>
            </w:r>
          </w:p>
        </w:tc>
        <w:tc>
          <w:tcPr>
            <w:tcW w:w="8367"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51"/>
        <w:ind w:right="92"/>
        <w:jc w:val="left"/>
      </w:pPr>
      <w:r>
        <w:rPr/>
        <w:t>在其他单位任职情况</w:t>
      </w:r>
    </w:p>
    <w:p>
      <w:pPr>
        <w:pStyle w:val="BodyText"/>
        <w:spacing w:line="240" w:lineRule="auto" w:before="117"/>
        <w:ind w:right="92"/>
        <w:jc w:val="left"/>
      </w:pPr>
      <w:r>
        <w:rPr/>
        <w:t>√ 适用 □ 不适用</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202"/>
        <w:gridCol w:w="3190"/>
        <w:gridCol w:w="1063"/>
        <w:gridCol w:w="1196"/>
        <w:gridCol w:w="1324"/>
        <w:gridCol w:w="1594"/>
      </w:tblGrid>
      <w:tr>
        <w:trPr>
          <w:trHeight w:val="714" w:hRule="exact"/>
        </w:trPr>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5"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0"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5" w:right="77"/>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6"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42" w:right="71" w:hanging="270"/>
              <w:jc w:val="left"/>
              <w:rPr>
                <w:rFonts w:ascii="宋体" w:hAnsi="宋体" w:cs="宋体" w:eastAsia="宋体" w:hint="default"/>
                <w:sz w:val="18"/>
                <w:szCs w:val="18"/>
              </w:rPr>
            </w:pPr>
            <w:r>
              <w:rPr>
                <w:rFonts w:ascii="宋体" w:hAnsi="宋体" w:cs="宋体" w:eastAsia="宋体" w:hint="default"/>
                <w:sz w:val="18"/>
                <w:szCs w:val="18"/>
              </w:rPr>
              <w:t>在其他单位是否领 取报酬津贴</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高长虹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杭州高新塑料厂</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厂长</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高长虹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杭州双溪旅游开发有限公司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8"/>
              <w:jc w:val="left"/>
              <w:rPr>
                <w:rFonts w:ascii="宋体" w:hAnsi="宋体" w:cs="宋体" w:eastAsia="宋体" w:hint="default"/>
                <w:sz w:val="18"/>
                <w:szCs w:val="18"/>
              </w:rPr>
            </w:pPr>
            <w:r>
              <w:rPr>
                <w:rFonts w:ascii="宋体" w:hAnsi="宋体" w:cs="宋体" w:eastAsia="宋体" w:hint="default"/>
                <w:sz w:val="18"/>
                <w:szCs w:val="18"/>
              </w:rPr>
              <w:t>执行董事兼 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高长虹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杭州山沟沟旅游度假有限公司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高长虹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杭州临安东天目山旅游有限公司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8"/>
              <w:jc w:val="left"/>
              <w:rPr>
                <w:rFonts w:ascii="宋体" w:hAnsi="宋体" w:cs="宋体" w:eastAsia="宋体" w:hint="default"/>
                <w:sz w:val="18"/>
                <w:szCs w:val="18"/>
              </w:rPr>
            </w:pPr>
            <w:r>
              <w:rPr>
                <w:rFonts w:ascii="宋体" w:hAnsi="宋体" w:cs="宋体" w:eastAsia="宋体" w:hint="default"/>
                <w:sz w:val="18"/>
                <w:szCs w:val="18"/>
              </w:rPr>
              <w:t>执行董事兼 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高长虹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杭州双溪房地产开发有限公司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8"/>
              <w:jc w:val="left"/>
              <w:rPr>
                <w:rFonts w:ascii="宋体" w:hAnsi="宋体" w:cs="宋体" w:eastAsia="宋体" w:hint="default"/>
                <w:sz w:val="18"/>
                <w:szCs w:val="18"/>
              </w:rPr>
            </w:pPr>
            <w:r>
              <w:rPr>
                <w:rFonts w:ascii="宋体" w:hAnsi="宋体" w:cs="宋体" w:eastAsia="宋体" w:hint="default"/>
                <w:sz w:val="18"/>
                <w:szCs w:val="18"/>
              </w:rPr>
              <w:t>执行董事兼 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高长虹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杭州双溪禅茶文化有限公司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8"/>
              <w:jc w:val="left"/>
              <w:rPr>
                <w:rFonts w:ascii="宋体" w:hAnsi="宋体" w:cs="宋体" w:eastAsia="宋体" w:hint="default"/>
                <w:sz w:val="18"/>
                <w:szCs w:val="18"/>
              </w:rPr>
            </w:pPr>
            <w:r>
              <w:rPr>
                <w:rFonts w:ascii="宋体" w:hAnsi="宋体" w:cs="宋体" w:eastAsia="宋体" w:hint="default"/>
                <w:sz w:val="18"/>
                <w:szCs w:val="18"/>
              </w:rPr>
              <w:t>执行董事兼 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楼永娣</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杭州双溪旅游开发有限公司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94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202"/>
        <w:gridCol w:w="3190"/>
        <w:gridCol w:w="1063"/>
        <w:gridCol w:w="1196"/>
        <w:gridCol w:w="1324"/>
        <w:gridCol w:w="1594"/>
      </w:tblGrid>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楼永娣</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杭州临安东天目山旅游有限公司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楼永娣</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杭州双溪房地产开发有限公司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吴长顺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江苏德威新材料股份有限公司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涂必胜</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浙江工商大学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副教授</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1986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涂必胜</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宁波大叶园林设备股份有限公司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唐有根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中南大学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教授</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1986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唐有根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广东凯普生物科技股份有限公司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唐有根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湖南中大毫能科技有限公司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8"/>
              <w:jc w:val="left"/>
              <w:rPr>
                <w:rFonts w:ascii="宋体" w:hAnsi="宋体" w:cs="宋体" w:eastAsia="宋体" w:hint="default"/>
                <w:sz w:val="18"/>
                <w:szCs w:val="18"/>
              </w:rPr>
            </w:pPr>
            <w:r>
              <w:rPr>
                <w:rFonts w:ascii="宋体" w:hAnsi="宋体" w:cs="宋体" w:eastAsia="宋体" w:hint="default"/>
                <w:sz w:val="18"/>
                <w:szCs w:val="18"/>
              </w:rPr>
              <w:t>执行董事兼 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87"/>
              <w:jc w:val="left"/>
              <w:rPr>
                <w:rFonts w:ascii="宋体" w:hAnsi="宋体" w:cs="宋体" w:eastAsia="宋体" w:hint="default"/>
                <w:sz w:val="18"/>
                <w:szCs w:val="18"/>
              </w:rPr>
            </w:pPr>
            <w:r>
              <w:rPr>
                <w:rFonts w:ascii="宋体" w:hAnsi="宋体" w:cs="宋体" w:eastAsia="宋体" w:hint="default"/>
                <w:sz w:val="18"/>
                <w:szCs w:val="18"/>
              </w:rPr>
              <w:t>在其他单位任 职情况的说明</w:t>
            </w:r>
          </w:p>
        </w:tc>
        <w:tc>
          <w:tcPr>
            <w:tcW w:w="8367"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51"/>
        <w:ind w:right="0"/>
        <w:jc w:val="left"/>
      </w:pPr>
      <w:r>
        <w:rPr/>
        <w:t>公司现任及报告期内离任董事、监事和高级管理人员近三年证券监管机构处罚的情况</w:t>
      </w:r>
    </w:p>
    <w:p>
      <w:pPr>
        <w:pStyle w:val="BodyText"/>
        <w:spacing w:line="240" w:lineRule="auto" w:before="117"/>
        <w:ind w:right="0"/>
        <w:jc w:val="left"/>
      </w:pPr>
      <w:r>
        <w:rPr/>
        <w:t>□ 适用 √ 不适用</w:t>
      </w:r>
    </w:p>
    <w:p>
      <w:pPr>
        <w:spacing w:line="240" w:lineRule="auto" w:before="13"/>
        <w:rPr>
          <w:rFonts w:ascii="宋体" w:hAnsi="宋体" w:cs="宋体" w:eastAsia="宋体" w:hint="default"/>
          <w:sz w:val="24"/>
          <w:szCs w:val="24"/>
        </w:rPr>
      </w:pPr>
    </w:p>
    <w:p>
      <w:pPr>
        <w:pStyle w:val="Heading2"/>
        <w:spacing w:line="240" w:lineRule="auto"/>
        <w:ind w:right="0"/>
        <w:jc w:val="left"/>
        <w:rPr>
          <w:b w:val="0"/>
          <w:bCs w:val="0"/>
        </w:rPr>
      </w:pPr>
      <w:bookmarkStart w:name="四、董事、监事、高级管理人员报酬情况" w:id="123"/>
      <w:bookmarkEnd w:id="123"/>
      <w:r>
        <w:rPr>
          <w:b w:val="0"/>
          <w:bCs w:val="0"/>
        </w:rPr>
      </w:r>
      <w:r>
        <w:rPr/>
        <w:t>四、董事、监事、高级管理人员报酬情况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before="0"/>
        <w:ind w:right="0"/>
        <w:jc w:val="left"/>
      </w:pPr>
      <w:r>
        <w:rPr/>
        <w:t>董事、监事、高级管理人员报酬的决策程序、确定依据、实际支付情况 </w:t>
      </w:r>
      <w:r>
        <w:rPr>
          <w:spacing w:val="-2"/>
        </w:rPr>
        <w:t>公司独立董事津贴由董事会提交股东大会审议通过后实施，在公司任职的其他董事、监事、高级管理人员根据公司薪酬体系</w:t>
      </w:r>
      <w:r>
        <w:rPr>
          <w:spacing w:val="-66"/>
        </w:rPr>
        <w:t> </w:t>
      </w:r>
      <w:r>
        <w:rPr>
          <w:spacing w:val="-66"/>
        </w:rPr>
      </w:r>
      <w:r>
        <w:rPr/>
        <w:t>和绩效考核体系综合考评后领取薪酬。报告期内，公司已向董事、监事及管理人员全额支付薪酬。</w:t>
      </w:r>
    </w:p>
    <w:p>
      <w:pPr>
        <w:pStyle w:val="BodyText"/>
        <w:spacing w:line="240" w:lineRule="auto" w:before="43"/>
        <w:ind w:right="0"/>
        <w:jc w:val="left"/>
      </w:pPr>
      <w:r>
        <w:rPr/>
        <w:t>公司报告期内董事、监事和高级管理人员报酬情况</w:t>
      </w:r>
    </w:p>
    <w:p>
      <w:pPr>
        <w:pStyle w:val="BodyText"/>
        <w:spacing w:line="240" w:lineRule="auto" w:before="117"/>
        <w:ind w:left="0" w:right="150"/>
        <w:jc w:val="right"/>
      </w:pPr>
      <w:r>
        <w:rPr/>
        <w:t>单位：万元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713"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职务</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性别</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年龄</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8" w:right="47" w:hanging="181"/>
              <w:jc w:val="left"/>
              <w:rPr>
                <w:rFonts w:ascii="宋体" w:hAnsi="宋体" w:cs="宋体" w:eastAsia="宋体" w:hint="default"/>
                <w:sz w:val="18"/>
                <w:szCs w:val="18"/>
              </w:rPr>
            </w:pPr>
            <w:r>
              <w:rPr>
                <w:rFonts w:ascii="宋体" w:hAnsi="宋体" w:cs="宋体" w:eastAsia="宋体" w:hint="default"/>
                <w:sz w:val="18"/>
                <w:szCs w:val="18"/>
              </w:rPr>
              <w:t>从公司获得的税 前报酬总额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7" w:right="47" w:hanging="180"/>
              <w:jc w:val="left"/>
              <w:rPr>
                <w:rFonts w:ascii="宋体" w:hAnsi="宋体" w:cs="宋体" w:eastAsia="宋体" w:hint="default"/>
                <w:sz w:val="18"/>
                <w:szCs w:val="18"/>
              </w:rPr>
            </w:pPr>
            <w:r>
              <w:rPr>
                <w:rFonts w:ascii="宋体" w:hAnsi="宋体" w:cs="宋体" w:eastAsia="宋体" w:hint="default"/>
                <w:sz w:val="18"/>
                <w:szCs w:val="18"/>
              </w:rPr>
              <w:t>是否在公司关联 方获取报酬</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高长虹</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38.59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楼永富</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79.79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楼永娣</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金桂良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吴畏</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董事、总工程师</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26.51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凌勇</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董事、副总经理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25.26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吴长顺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涂必胜</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唐有根</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沈治华</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25.11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胡炳林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29.99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朱忠华</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23.45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蒋鹏</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董秘、副总经理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缪勇刚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25.16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周建深</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10.36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张国琴</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10.66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王永高</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0.58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邵少敏</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傅黎瑛</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李勇进</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周黎隽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董秘、副总经理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问泽文</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362.38</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t>公司董事、高级管理人员报告期内被授予的股权激励情况</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23"/>
          <w:szCs w:val="23"/>
        </w:rPr>
      </w:pPr>
    </w:p>
    <w:p>
      <w:pPr>
        <w:pStyle w:val="Heading2"/>
        <w:spacing w:line="240" w:lineRule="auto"/>
        <w:ind w:right="0"/>
        <w:jc w:val="left"/>
        <w:rPr>
          <w:b w:val="0"/>
          <w:bCs w:val="0"/>
        </w:rPr>
      </w:pPr>
      <w:bookmarkStart w:name="五、公司员工情况" w:id="124"/>
      <w:bookmarkEnd w:id="124"/>
      <w:r>
        <w:rPr>
          <w:b w:val="0"/>
          <w:bCs w:val="0"/>
        </w:rPr>
      </w:r>
      <w:r>
        <w:rPr/>
        <w:t>五、公司员工情况</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right="0"/>
        <w:jc w:val="left"/>
        <w:rPr>
          <w:b w:val="0"/>
          <w:bCs w:val="0"/>
        </w:rPr>
      </w:pPr>
      <w:bookmarkStart w:name="1、员工数量、专业构成及教育程度" w:id="125"/>
      <w:bookmarkEnd w:id="125"/>
      <w:r>
        <w:rPr>
          <w:b w:val="0"/>
          <w:bCs w:val="0"/>
        </w:rPr>
      </w:r>
      <w:r>
        <w:rPr>
          <w:rFonts w:ascii="Times New Roman" w:hAnsi="Times New Roman" w:cs="Times New Roman" w:eastAsia="Times New Roman" w:hint="default"/>
        </w:rPr>
        <w:t>1</w:t>
      </w:r>
      <w:r>
        <w:rPr/>
        <w:t>、员工数量、专业构成及教育程度</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4762"/>
        <w:gridCol w:w="4796"/>
      </w:tblGrid>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338</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346</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684</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684</w:t>
            </w:r>
          </w:p>
        </w:tc>
      </w:tr>
      <w:tr>
        <w:trPr>
          <w:trHeight w:val="407"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392"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 w:right="10"/>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407"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 w:right="0"/>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588"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330</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96</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128</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3"/>
                <w:sz w:val="18"/>
              </w:rPr>
              <w:t>117</w:t>
            </w:r>
          </w:p>
        </w:tc>
      </w:tr>
      <w:tr>
        <w:trPr>
          <w:trHeight w:val="407"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684</w:t>
            </w:r>
          </w:p>
        </w:tc>
      </w:tr>
      <w:tr>
        <w:trPr>
          <w:trHeight w:val="397"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 w:right="10"/>
              <w:jc w:val="center"/>
              <w:rPr>
                <w:rFonts w:ascii="宋体" w:hAnsi="宋体" w:cs="宋体" w:eastAsia="宋体" w:hint="default"/>
                <w:sz w:val="18"/>
                <w:szCs w:val="18"/>
              </w:rPr>
            </w:pPr>
            <w:r>
              <w:rPr>
                <w:rFonts w:ascii="宋体" w:hAnsi="宋体" w:cs="宋体" w:eastAsia="宋体" w:hint="default"/>
                <w:sz w:val="18"/>
                <w:szCs w:val="18"/>
              </w:rPr>
              <w:t>教育程度</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98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教育程度类别</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数量（人）</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研究生及以上</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本科</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97</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大专</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171</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大专以下</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401</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684</w:t>
            </w:r>
          </w:p>
        </w:tc>
      </w:tr>
    </w:tbl>
    <w:p>
      <w:pPr>
        <w:spacing w:line="240" w:lineRule="auto" w:before="2"/>
        <w:rPr>
          <w:rFonts w:ascii="宋体" w:hAnsi="宋体" w:cs="宋体" w:eastAsia="宋体" w:hint="default"/>
          <w:b/>
          <w:bCs/>
          <w:sz w:val="19"/>
          <w:szCs w:val="19"/>
        </w:rPr>
      </w:pPr>
    </w:p>
    <w:p>
      <w:pPr>
        <w:pStyle w:val="Heading5"/>
        <w:spacing w:line="240" w:lineRule="auto" w:before="35"/>
        <w:ind w:right="0"/>
        <w:jc w:val="both"/>
        <w:rPr>
          <w:b w:val="0"/>
          <w:bCs w:val="0"/>
        </w:rPr>
      </w:pPr>
      <w:bookmarkStart w:name="2、薪酬政策" w:id="126"/>
      <w:bookmarkEnd w:id="126"/>
      <w:r>
        <w:rPr>
          <w:b w:val="0"/>
          <w:bCs w:val="0"/>
        </w:rPr>
      </w:r>
      <w:r>
        <w:rPr>
          <w:rFonts w:ascii="Times New Roman" w:hAnsi="Times New Roman" w:cs="Times New Roman" w:eastAsia="Times New Roman" w:hint="default"/>
        </w:rPr>
        <w:t>2</w:t>
      </w:r>
      <w:r>
        <w:rPr/>
        <w:t>、薪酬政策</w:t>
      </w:r>
      <w:r>
        <w:rPr>
          <w:b w:val="0"/>
          <w:bCs w:val="0"/>
        </w:rPr>
      </w:r>
    </w:p>
    <w:p>
      <w:pPr>
        <w:spacing w:line="240" w:lineRule="auto" w:before="7"/>
        <w:rPr>
          <w:rFonts w:ascii="宋体" w:hAnsi="宋体" w:cs="宋体" w:eastAsia="宋体" w:hint="default"/>
          <w:b/>
          <w:bCs/>
          <w:sz w:val="26"/>
          <w:szCs w:val="26"/>
        </w:rPr>
      </w:pPr>
    </w:p>
    <w:p>
      <w:pPr>
        <w:pStyle w:val="BodyText"/>
        <w:spacing w:line="316" w:lineRule="auto" w:before="0"/>
        <w:ind w:right="151"/>
        <w:jc w:val="both"/>
      </w:pPr>
      <w:r>
        <w:rPr>
          <w:spacing w:val="-2"/>
        </w:rPr>
        <w:t>公司高度重视人力资源建设，根据发展战略，结合人力资源现状和未来需求预测，建立和实施了薪酬管理制度。制度根据岗</w:t>
      </w:r>
      <w:r>
        <w:rPr>
          <w:spacing w:val="-66"/>
        </w:rPr>
        <w:t> </w:t>
      </w:r>
      <w:r>
        <w:rPr>
          <w:spacing w:val="-66"/>
        </w:rPr>
      </w:r>
      <w:r>
        <w:rPr>
          <w:spacing w:val="-2"/>
        </w:rPr>
        <w:t>位职级与岗位类别进行制定，并切实做到岗位薪资与业绩挂钩，以提高员工的满意度，鼓励员工长期稳定的在企业发展，同</w:t>
      </w:r>
      <w:r>
        <w:rPr>
          <w:spacing w:val="-66"/>
        </w:rPr>
        <w:t> </w:t>
      </w:r>
      <w:r>
        <w:rPr>
          <w:spacing w:val="-66"/>
        </w:rPr>
      </w:r>
      <w:r>
        <w:rPr>
          <w:spacing w:val="-2"/>
        </w:rPr>
        <w:t>时为企业的发展做出应有的贡献。在本公司领取薪酬的人员，按国家及地方的有关规定享受本公司提供的社会保障。根据公</w:t>
      </w:r>
      <w:r>
        <w:rPr>
          <w:spacing w:val="-65"/>
        </w:rPr>
        <w:t> </w:t>
      </w:r>
      <w:r>
        <w:rPr>
          <w:spacing w:val="-65"/>
        </w:rPr>
      </w:r>
      <w:r>
        <w:rPr>
          <w:spacing w:val="-2"/>
        </w:rPr>
        <w:t>司薪酬管理制度，公司员工薪酬由基本工资和绩效薪酬所组成。其中，基本工资系根据工作岗位的主要范围、职责、重要性</w:t>
      </w:r>
      <w:r>
        <w:rPr>
          <w:spacing w:val="-66"/>
        </w:rPr>
        <w:t> </w:t>
      </w:r>
      <w:r>
        <w:rPr>
          <w:spacing w:val="-66"/>
        </w:rPr>
      </w:r>
      <w:r>
        <w:rPr/>
        <w:t>以及其他相关企业相关岗位的薪酬水平制定，绩效薪酬则根据绩效考核结果确定。</w:t>
      </w:r>
    </w:p>
    <w:p>
      <w:pPr>
        <w:spacing w:line="240" w:lineRule="auto" w:before="7"/>
        <w:rPr>
          <w:rFonts w:ascii="宋体" w:hAnsi="宋体" w:cs="宋体" w:eastAsia="宋体" w:hint="default"/>
          <w:sz w:val="22"/>
          <w:szCs w:val="22"/>
        </w:rPr>
      </w:pPr>
    </w:p>
    <w:p>
      <w:pPr>
        <w:pStyle w:val="Heading5"/>
        <w:spacing w:line="240" w:lineRule="auto"/>
        <w:ind w:right="0"/>
        <w:jc w:val="both"/>
        <w:rPr>
          <w:b w:val="0"/>
          <w:bCs w:val="0"/>
        </w:rPr>
      </w:pPr>
      <w:bookmarkStart w:name="3、培训计划" w:id="127"/>
      <w:bookmarkEnd w:id="127"/>
      <w:r>
        <w:rPr>
          <w:b w:val="0"/>
          <w:bCs w:val="0"/>
        </w:rPr>
      </w:r>
      <w:r>
        <w:rPr>
          <w:rFonts w:ascii="Times New Roman" w:hAnsi="Times New Roman" w:cs="Times New Roman" w:eastAsia="Times New Roman" w:hint="default"/>
        </w:rPr>
        <w:t>3</w:t>
      </w:r>
      <w:r>
        <w:rPr/>
        <w:t>、培训计划</w:t>
      </w:r>
      <w:r>
        <w:rPr>
          <w:b w:val="0"/>
          <w:bCs w:val="0"/>
        </w:rPr>
      </w:r>
    </w:p>
    <w:p>
      <w:pPr>
        <w:spacing w:line="240" w:lineRule="auto" w:before="7"/>
        <w:rPr>
          <w:rFonts w:ascii="宋体" w:hAnsi="宋体" w:cs="宋体" w:eastAsia="宋体" w:hint="default"/>
          <w:b/>
          <w:bCs/>
          <w:sz w:val="26"/>
          <w:szCs w:val="26"/>
        </w:rPr>
      </w:pPr>
    </w:p>
    <w:p>
      <w:pPr>
        <w:pStyle w:val="BodyText"/>
        <w:spacing w:line="316" w:lineRule="auto" w:before="0"/>
        <w:ind w:right="153"/>
        <w:jc w:val="both"/>
      </w:pPr>
      <w:r>
        <w:rPr>
          <w:spacing w:val="-2"/>
        </w:rPr>
        <w:t>根据各部门提交的培训需求结合公司实际发展需要制定公司年度培训计划，坚持务求实效的原则，加强内部培训力度，重点</w:t>
      </w:r>
      <w:r>
        <w:rPr>
          <w:spacing w:val="-66"/>
        </w:rPr>
        <w:t> </w:t>
      </w:r>
      <w:r>
        <w:rPr>
          <w:spacing w:val="-66"/>
        </w:rPr>
      </w:r>
      <w:r>
        <w:rPr>
          <w:spacing w:val="-2"/>
        </w:rPr>
        <w:t>开展新员工入职教育培训以及各岗位人员系统的业务能力提升培训，不断激发员工潜能，增强员工凝聚力，进而增强企业核</w:t>
      </w:r>
      <w:r>
        <w:rPr>
          <w:spacing w:val="-66"/>
        </w:rPr>
        <w:t> </w:t>
      </w:r>
      <w:r>
        <w:rPr>
          <w:spacing w:val="-66"/>
        </w:rPr>
      </w:r>
      <w:r>
        <w:rPr/>
        <w:t>心竞争力。</w:t>
      </w:r>
    </w:p>
    <w:p>
      <w:pPr>
        <w:spacing w:line="240" w:lineRule="auto" w:before="7"/>
        <w:rPr>
          <w:rFonts w:ascii="宋体" w:hAnsi="宋体" w:cs="宋体" w:eastAsia="宋体" w:hint="default"/>
          <w:sz w:val="22"/>
          <w:szCs w:val="22"/>
        </w:rPr>
      </w:pPr>
    </w:p>
    <w:p>
      <w:pPr>
        <w:pStyle w:val="Heading5"/>
        <w:spacing w:line="240" w:lineRule="auto"/>
        <w:ind w:right="0"/>
        <w:jc w:val="both"/>
        <w:rPr>
          <w:b w:val="0"/>
          <w:bCs w:val="0"/>
        </w:rPr>
      </w:pPr>
      <w:bookmarkStart w:name="4、劳务外包情况" w:id="128"/>
      <w:bookmarkEnd w:id="128"/>
      <w:r>
        <w:rPr>
          <w:b w:val="0"/>
          <w:bCs w:val="0"/>
        </w:rPr>
      </w:r>
      <w:r>
        <w:rPr>
          <w:rFonts w:ascii="Times New Roman" w:hAnsi="Times New Roman" w:cs="Times New Roman" w:eastAsia="Times New Roman" w:hint="default"/>
        </w:rPr>
        <w:t>4</w:t>
      </w:r>
      <w:r>
        <w:rPr/>
        <w:t>、劳务外包情况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both"/>
        <w:sectPr>
          <w:pgSz w:w="11910" w:h="16840"/>
          <w:pgMar w:header="747" w:footer="979"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431" w:right="3469"/>
        <w:jc w:val="center"/>
        <w:rPr>
          <w:b w:val="0"/>
          <w:bCs w:val="0"/>
        </w:rPr>
      </w:pPr>
      <w:bookmarkStart w:name="第九节 公司治理" w:id="129"/>
      <w:bookmarkEnd w:id="129"/>
      <w:r>
        <w:rPr>
          <w:b w:val="0"/>
          <w:bCs w:val="0"/>
        </w:rPr>
      </w:r>
      <w:bookmarkStart w:name="_bookmark7" w:id="130"/>
      <w:bookmarkEnd w:id="130"/>
      <w:r>
        <w:rPr>
          <w:b w:val="0"/>
          <w:bCs w:val="0"/>
        </w:rPr>
      </w:r>
      <w:r>
        <w:rPr/>
        <w:t>第九节</w:t>
      </w:r>
      <w:r>
        <w:rPr>
          <w:spacing w:val="-5"/>
        </w:rPr>
        <w:t> </w:t>
      </w:r>
      <w:r>
        <w:rPr/>
        <w:t>公司治理</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92"/>
        <w:jc w:val="left"/>
        <w:rPr>
          <w:b w:val="0"/>
          <w:bCs w:val="0"/>
        </w:rPr>
      </w:pPr>
      <w:bookmarkStart w:name="一、公司治理的基本状况" w:id="131"/>
      <w:bookmarkEnd w:id="131"/>
      <w:r>
        <w:rPr>
          <w:b w:val="0"/>
          <w:bCs w:val="0"/>
        </w:rPr>
      </w:r>
      <w:r>
        <w:rPr/>
        <w:t>一、公司治理的基本状况</w:t>
      </w:r>
      <w:r>
        <w:rPr>
          <w:b w:val="0"/>
          <w:bCs w:val="0"/>
        </w:rPr>
      </w:r>
    </w:p>
    <w:p>
      <w:pPr>
        <w:spacing w:line="240" w:lineRule="auto" w:before="6"/>
        <w:rPr>
          <w:rFonts w:ascii="宋体" w:hAnsi="宋体" w:cs="宋体" w:eastAsia="宋体" w:hint="default"/>
          <w:b/>
          <w:bCs/>
          <w:sz w:val="26"/>
          <w:szCs w:val="26"/>
        </w:rPr>
      </w:pPr>
    </w:p>
    <w:p>
      <w:pPr>
        <w:pStyle w:val="BodyText"/>
        <w:spacing w:line="316" w:lineRule="auto" w:before="0"/>
        <w:ind w:right="193"/>
        <w:jc w:val="both"/>
      </w:pPr>
      <w:r>
        <w:rPr>
          <w:spacing w:val="-2"/>
        </w:rPr>
        <w:t>公司的治理结构是根据《公司法》及本公司《公司章程》、《股东大会议事规则》、《董事会议事规则》、《监事会议事规</w:t>
      </w:r>
      <w:r>
        <w:rPr>
          <w:spacing w:val="-72"/>
        </w:rPr>
        <w:t> </w:t>
      </w:r>
      <w:r>
        <w:rPr>
          <w:spacing w:val="-72"/>
        </w:rPr>
      </w:r>
      <w:r>
        <w:rPr>
          <w:spacing w:val="-2"/>
        </w:rPr>
        <w:t>则》等法律法规及公司制度建立的。公司股东大会、董事会、监事会、管理层严格按照《公司法》及公司章程的规定行使相</w:t>
      </w:r>
      <w:r>
        <w:rPr>
          <w:spacing w:val="-72"/>
        </w:rPr>
        <w:t> </w:t>
      </w:r>
      <w:r>
        <w:rPr>
          <w:spacing w:val="-72"/>
        </w:rPr>
      </w:r>
      <w:r>
        <w:rPr>
          <w:spacing w:val="-2"/>
        </w:rPr>
        <w:t>关权力、执行公司决策，完善规范公司治理机制，健全公司内控制度，探索科学有效的激励约束机制，确保公司健康稳定发</w:t>
      </w:r>
      <w:r>
        <w:rPr>
          <w:spacing w:val="-66"/>
        </w:rPr>
        <w:t> </w:t>
      </w:r>
      <w:r>
        <w:rPr>
          <w:spacing w:val="-66"/>
        </w:rPr>
      </w:r>
      <w:r>
        <w:rPr/>
        <w:t>展。</w:t>
      </w:r>
    </w:p>
    <w:p>
      <w:pPr>
        <w:pStyle w:val="BodyText"/>
        <w:spacing w:line="240" w:lineRule="auto" w:before="19"/>
        <w:ind w:right="92"/>
        <w:jc w:val="left"/>
      </w:pPr>
      <w:r>
        <w:rPr/>
        <w:t>本公司严格按照各项规章制度规范运行，相关机构和人员均依法履行相应职责。</w:t>
      </w:r>
    </w:p>
    <w:p>
      <w:pPr>
        <w:pStyle w:val="BodyText"/>
        <w:spacing w:line="316" w:lineRule="auto" w:before="76"/>
        <w:ind w:right="92"/>
        <w:jc w:val="left"/>
      </w:pPr>
      <w:r>
        <w:rPr/>
        <w:t>（一）在会计核算方面 </w:t>
      </w:r>
      <w:r>
        <w:rPr>
          <w:spacing w:val="-2"/>
        </w:rPr>
        <w:t>公司严格遵照国家统一的会计准则和会计制度，制定了《会计核算制度》，指定了统一的财务处理流程及方法，建立了规范</w:t>
      </w:r>
      <w:r>
        <w:rPr>
          <w:spacing w:val="-65"/>
        </w:rPr>
        <w:t> </w:t>
      </w:r>
      <w:r>
        <w:rPr>
          <w:spacing w:val="-65"/>
        </w:rPr>
      </w:r>
      <w:r>
        <w:rPr>
          <w:spacing w:val="-2"/>
        </w:rPr>
        <w:t>的会计工作秩序，并通过规范统一会计处理流程及方法，加强公司会计管理，提高了会计工作的质量和水平。与此同时，公</w:t>
      </w:r>
      <w:r>
        <w:rPr>
          <w:spacing w:val="-66"/>
        </w:rPr>
        <w:t> </w:t>
      </w:r>
      <w:r>
        <w:rPr>
          <w:spacing w:val="-66"/>
        </w:rPr>
      </w:r>
      <w:r>
        <w:rPr/>
        <w:t>司通过不断加强和完善财务信息系统，实现财务核算工作全面信息化，有效保证了会计信息及资料的真实、完整。</w:t>
      </w:r>
    </w:p>
    <w:p>
      <w:pPr>
        <w:pStyle w:val="BodyText"/>
        <w:spacing w:line="316" w:lineRule="auto" w:before="19"/>
        <w:ind w:right="92"/>
        <w:jc w:val="left"/>
      </w:pPr>
      <w:r>
        <w:rPr/>
        <w:t>（二）风险控制方面 </w:t>
      </w:r>
      <w:r>
        <w:rPr>
          <w:spacing w:val="-2"/>
        </w:rPr>
        <w:t>公司在董事会领导下，在审计委员会下设立了审计部，对经济形势、产业政策、市场竞争、资源供给等外部风险因素以及财</w:t>
      </w:r>
      <w:r>
        <w:rPr>
          <w:spacing w:val="-66"/>
        </w:rPr>
        <w:t> </w:t>
      </w:r>
      <w:r>
        <w:rPr>
          <w:spacing w:val="-66"/>
        </w:rPr>
      </w:r>
      <w:r>
        <w:rPr>
          <w:spacing w:val="-2"/>
        </w:rPr>
        <w:t>务状况、资金状况、资产管理、运营管理等内部风险因素进行收集研究、风险分析及评估，为管理层制订风险应对策略提供</w:t>
      </w:r>
      <w:r>
        <w:rPr>
          <w:spacing w:val="-66"/>
        </w:rPr>
        <w:t> </w:t>
      </w:r>
      <w:r>
        <w:rPr>
          <w:spacing w:val="-66"/>
        </w:rPr>
      </w:r>
      <w:r>
        <w:rPr/>
        <w:t>依据。</w:t>
      </w:r>
    </w:p>
    <w:p>
      <w:pPr>
        <w:pStyle w:val="BodyText"/>
        <w:spacing w:line="316" w:lineRule="auto" w:before="19"/>
        <w:ind w:right="92"/>
        <w:jc w:val="left"/>
      </w:pPr>
      <w:r>
        <w:rPr/>
        <w:t>（三）重大事项决策方面 </w:t>
      </w:r>
      <w:r>
        <w:rPr>
          <w:spacing w:val="-4"/>
        </w:rPr>
        <w:t>公司制定了《股东大会议事规则》、《董事会议事规则》和《监事会议事规则》，明确了股东大会、董事会、监事会在决策、</w:t>
      </w:r>
      <w:r>
        <w:rPr>
          <w:spacing w:val="-44"/>
        </w:rPr>
        <w:t> </w:t>
      </w:r>
      <w:r>
        <w:rPr>
          <w:spacing w:val="-44"/>
        </w:rPr>
      </w:r>
      <w:r>
        <w:rPr>
          <w:spacing w:val="-2"/>
        </w:rPr>
        <w:t>执行、监督等方面的职责权限、程序以及应履行的义务，形成了权力机构、决策机构、经营机构和监督机构科学分工、各司</w:t>
      </w:r>
      <w:r>
        <w:rPr>
          <w:spacing w:val="-68"/>
        </w:rPr>
        <w:t> </w:t>
      </w:r>
      <w:r>
        <w:rPr>
          <w:spacing w:val="-68"/>
        </w:rPr>
      </w:r>
      <w:r>
        <w:rPr>
          <w:spacing w:val="-2"/>
        </w:rPr>
        <w:t>其责、有效制衡的内部管理制度。对重大事项，制订了《重大投资和决策制度》、《对外担保决策制度》、《关联交易公允</w:t>
      </w:r>
      <w:r>
        <w:rPr>
          <w:spacing w:val="-69"/>
        </w:rPr>
        <w:t> </w:t>
      </w:r>
      <w:r>
        <w:rPr>
          <w:spacing w:val="-69"/>
        </w:rPr>
      </w:r>
      <w:r>
        <w:rPr>
          <w:spacing w:val="-2"/>
        </w:rPr>
        <w:t>决策制度》；完善对外投资及担保流程，严格把控风险。同时，公司还建立了统一规范的报告渠道和方式，并制定了《重大</w:t>
      </w:r>
      <w:r>
        <w:rPr>
          <w:spacing w:val="-71"/>
        </w:rPr>
        <w:t> </w:t>
      </w:r>
      <w:r>
        <w:rPr>
          <w:spacing w:val="-71"/>
        </w:rPr>
      </w:r>
      <w:r>
        <w:rPr/>
        <w:t>事项报告制度》，规定了相关责任人应当报告的具体交易事项和标准。</w:t>
      </w:r>
    </w:p>
    <w:p>
      <w:pPr>
        <w:pStyle w:val="BodyText"/>
        <w:spacing w:line="316" w:lineRule="auto" w:before="19"/>
        <w:ind w:right="92"/>
        <w:jc w:val="left"/>
      </w:pPr>
      <w:r>
        <w:rPr/>
        <w:t>（四）信息披露方面 </w:t>
      </w:r>
      <w:r>
        <w:rPr>
          <w:spacing w:val="-2"/>
        </w:rPr>
        <w:t>公司制定了《公司信息披露制度》、《重大事项报告制度》、《内幕信息知情人登记管理制度》等制度，以及时把握公司的</w:t>
      </w:r>
      <w:r>
        <w:rPr>
          <w:spacing w:val="-69"/>
        </w:rPr>
        <w:t> </w:t>
      </w:r>
      <w:r>
        <w:rPr>
          <w:spacing w:val="-69"/>
        </w:rPr>
      </w:r>
      <w:r>
        <w:rPr>
          <w:spacing w:val="-2"/>
        </w:rPr>
        <w:t>整体经营状况，决策重大经营管理事项，并通过分级审批控制保证各类信息以适当的方式及时准确完整地向外部信息使用者</w:t>
      </w:r>
      <w:r>
        <w:rPr>
          <w:spacing w:val="-64"/>
        </w:rPr>
        <w:t> </w:t>
      </w:r>
      <w:r>
        <w:rPr>
          <w:spacing w:val="-64"/>
        </w:rPr>
      </w:r>
      <w:r>
        <w:rPr/>
        <w:t>传递。</w:t>
      </w:r>
    </w:p>
    <w:p>
      <w:pPr>
        <w:pStyle w:val="BodyText"/>
        <w:spacing w:line="316" w:lineRule="auto" w:before="19"/>
        <w:ind w:right="92"/>
        <w:jc w:val="left"/>
      </w:pPr>
      <w:r>
        <w:rPr/>
        <w:t>（五）投资者关系管理方面 </w:t>
      </w:r>
      <w:r>
        <w:rPr>
          <w:spacing w:val="-2"/>
        </w:rPr>
        <w:t>公司重视投资者关系管理，指定董事会秘书负责投资者关系管理工作。公司制定了《投资者关系管理制度》，明确了投资者</w:t>
      </w:r>
      <w:r>
        <w:rPr>
          <w:spacing w:val="-65"/>
        </w:rPr>
        <w:t> </w:t>
      </w:r>
      <w:r>
        <w:rPr>
          <w:spacing w:val="-65"/>
        </w:rPr>
      </w:r>
      <w:r>
        <w:rPr/>
        <w:t>关系管理工作的工作内容和职责及相关信息披露程序等。</w:t>
      </w:r>
    </w:p>
    <w:p>
      <w:pPr>
        <w:pStyle w:val="BodyText"/>
        <w:spacing w:line="316" w:lineRule="auto" w:before="19"/>
        <w:ind w:right="92"/>
        <w:jc w:val="left"/>
      </w:pPr>
      <w:r>
        <w:rPr/>
        <w:t>（六）资金管理方面 </w:t>
      </w:r>
      <w:r>
        <w:rPr>
          <w:spacing w:val="-2"/>
        </w:rPr>
        <w:t>公司重视资金管理，制定《募集资金管理办法》，从募集资金的存放、募集资金的使用、募集资金项目实施管理、募集资金</w:t>
      </w:r>
      <w:r>
        <w:rPr>
          <w:spacing w:val="-72"/>
        </w:rPr>
        <w:t> </w:t>
      </w:r>
      <w:r>
        <w:rPr>
          <w:spacing w:val="-72"/>
        </w:rPr>
      </w:r>
      <w:r>
        <w:rPr/>
        <w:t>投资项目的变更、募集资金管理与监督、募集资金的信息披露等方面做了规定。</w:t>
      </w:r>
    </w:p>
    <w:p>
      <w:pPr>
        <w:pStyle w:val="BodyText"/>
        <w:spacing w:line="316" w:lineRule="auto" w:before="19"/>
        <w:ind w:right="92"/>
        <w:jc w:val="left"/>
      </w:pPr>
      <w:r>
        <w:rPr/>
        <w:t>（七）关联交易管理制度方面 </w:t>
      </w:r>
      <w:r>
        <w:rPr>
          <w:spacing w:val="-2"/>
        </w:rPr>
        <w:t>公司制定了《关联交易公允决策制度》，对关联人和关联关系进行定义，并对关联交易的事项进行了说明，同时还制定了关</w:t>
      </w:r>
      <w:r>
        <w:rPr>
          <w:spacing w:val="-66"/>
        </w:rPr>
        <w:t> </w:t>
      </w:r>
      <w:r>
        <w:rPr>
          <w:spacing w:val="-66"/>
        </w:rPr>
      </w:r>
      <w:r>
        <w:rPr/>
        <w:t>联交易的原则与价格管理，明确了关联交易的决策程序。</w:t>
      </w:r>
    </w:p>
    <w:p>
      <w:pPr>
        <w:pStyle w:val="BodyText"/>
        <w:spacing w:line="319" w:lineRule="auto" w:before="19"/>
        <w:ind w:right="92"/>
        <w:jc w:val="left"/>
      </w:pPr>
      <w:r>
        <w:rPr/>
        <w:t>（八）突发事件应急管理方面 </w:t>
      </w:r>
      <w:r>
        <w:rPr>
          <w:spacing w:val="-2"/>
        </w:rPr>
        <w:t>为应对可能对公司经营管理造成不利影响的突发事件，公司针对突发事件制定了相应的应急处置方案，应急处置方案涵盖重</w:t>
      </w:r>
      <w:r>
        <w:rPr>
          <w:spacing w:val="-64"/>
        </w:rPr>
        <w:t> </w:t>
      </w:r>
      <w:r>
        <w:rPr>
          <w:spacing w:val="-64"/>
        </w:rPr>
      </w:r>
      <w:r>
        <w:rPr/>
        <w:t>大突发事件的适用范围、预警和预防机制、应急处置方案、责任追究等。</w:t>
      </w:r>
    </w:p>
    <w:p>
      <w:pPr>
        <w:pStyle w:val="BodyText"/>
        <w:spacing w:line="240" w:lineRule="auto" w:before="58"/>
        <w:ind w:right="92"/>
        <w:jc w:val="left"/>
      </w:pPr>
      <w:r>
        <w:rPr/>
        <w:t>公司治理的实际状况与中国证监会发布的有关上市公司治理的规范性文件是否存在重大差异</w:t>
      </w:r>
    </w:p>
    <w:p>
      <w:pPr>
        <w:pStyle w:val="BodyText"/>
        <w:spacing w:line="357" w:lineRule="auto" w:before="117"/>
        <w:ind w:right="2612"/>
        <w:jc w:val="left"/>
      </w:pPr>
      <w:r>
        <w:rPr/>
        <w:t>□ 是 √ 否 公司治理的实际状况与中国证监会发布的有关上市公司治理的规范性文件不存在重大差异。</w:t>
      </w:r>
    </w:p>
    <w:p>
      <w:pPr>
        <w:spacing w:after="0" w:line="357" w:lineRule="auto"/>
        <w:jc w:val="left"/>
        <w:sectPr>
          <w:pgSz w:w="11910" w:h="16840"/>
          <w:pgMar w:header="747" w:footer="979" w:top="1060" w:bottom="1160" w:left="980" w:right="940"/>
        </w:sectPr>
      </w:pPr>
    </w:p>
    <w:p>
      <w:pPr>
        <w:spacing w:line="240" w:lineRule="auto" w:before="8"/>
        <w:rPr>
          <w:rFonts w:ascii="宋体" w:hAnsi="宋体" w:cs="宋体" w:eastAsia="宋体" w:hint="default"/>
          <w:sz w:val="23"/>
          <w:szCs w:val="23"/>
        </w:rPr>
      </w:pPr>
    </w:p>
    <w:p>
      <w:pPr>
        <w:pStyle w:val="Heading2"/>
        <w:spacing w:line="240" w:lineRule="auto" w:before="26"/>
        <w:ind w:right="92"/>
        <w:jc w:val="left"/>
        <w:rPr>
          <w:b w:val="0"/>
          <w:bCs w:val="0"/>
        </w:rPr>
      </w:pPr>
      <w:bookmarkStart w:name="二、公司相对于控股股东在业务、人员、资产、机构、财务等方面的独立情况" w:id="132"/>
      <w:bookmarkEnd w:id="132"/>
      <w:r>
        <w:rPr>
          <w:b w:val="0"/>
          <w:bCs w:val="0"/>
        </w:rPr>
      </w:r>
      <w:r>
        <w:rPr/>
        <w:t>二、公司相对于控股股东在业务、人员、资产、机构、财务等方面的独立情况</w:t>
      </w:r>
      <w:r>
        <w:rPr>
          <w:b w:val="0"/>
          <w:bCs w:val="0"/>
        </w:rPr>
      </w:r>
    </w:p>
    <w:p>
      <w:pPr>
        <w:spacing w:line="240" w:lineRule="auto" w:before="7"/>
        <w:rPr>
          <w:rFonts w:ascii="宋体" w:hAnsi="宋体" w:cs="宋体" w:eastAsia="宋体" w:hint="default"/>
          <w:b/>
          <w:bCs/>
          <w:sz w:val="26"/>
          <w:szCs w:val="26"/>
        </w:rPr>
      </w:pPr>
    </w:p>
    <w:p>
      <w:pPr>
        <w:pStyle w:val="BodyText"/>
        <w:spacing w:line="312" w:lineRule="auto" w:before="0"/>
        <w:ind w:right="92"/>
        <w:jc w:val="left"/>
      </w:pPr>
      <w:r>
        <w:rPr>
          <w:rFonts w:ascii="Times New Roman" w:hAnsi="Times New Roman" w:cs="Times New Roman" w:eastAsia="Times New Roman" w:hint="default"/>
        </w:rPr>
        <w:t>1</w:t>
      </w:r>
      <w:r>
        <w:rPr/>
        <w:t>、公司的人员独立：公司的董事、监事以及高级管理人员均严格按照法定程序产生。本公司已建立独立的劳动、人事、社 </w:t>
      </w:r>
      <w:r>
        <w:rPr>
          <w:spacing w:val="-2"/>
        </w:rPr>
        <w:t>会保障体系及工资管理体系，与员工签订了劳动合同，并按国家规定办理了社会保险。除本公司的总经理兼任公司控股股东</w:t>
      </w:r>
      <w:r>
        <w:rPr>
          <w:spacing w:val="-66"/>
        </w:rPr>
        <w:t> </w:t>
      </w:r>
      <w:r>
        <w:rPr>
          <w:spacing w:val="-66"/>
        </w:rPr>
      </w:r>
      <w:r>
        <w:rPr>
          <w:spacing w:val="-4"/>
        </w:rPr>
        <w:t>的董事外，公司副总经理、财务总监和董事会秘书均未在本公司的控股股东、实际控制人及其控制的其他企业中担任除董事、</w:t>
      </w:r>
      <w:r>
        <w:rPr>
          <w:spacing w:val="-44"/>
        </w:rPr>
        <w:t> </w:t>
      </w:r>
      <w:r>
        <w:rPr>
          <w:spacing w:val="-44"/>
        </w:rPr>
      </w:r>
      <w:r>
        <w:rPr>
          <w:spacing w:val="-2"/>
        </w:rPr>
        <w:t>监事以外的其他职务，且均未在本公司的控股股东、实际控制人及其控制的其他企业领薪。本公司的财务人员也未在本公司</w:t>
      </w:r>
      <w:r>
        <w:rPr>
          <w:spacing w:val="-66"/>
        </w:rPr>
        <w:t> </w:t>
      </w:r>
      <w:r>
        <w:rPr>
          <w:spacing w:val="-66"/>
        </w:rPr>
      </w:r>
      <w:r>
        <w:rPr/>
        <w:t>的控股股东、实际控制人及其控制的其他企业中兼职。 </w:t>
      </w:r>
      <w:r>
        <w:rPr>
          <w:rFonts w:ascii="Times New Roman" w:hAnsi="Times New Roman" w:cs="Times New Roman" w:eastAsia="Times New Roman" w:hint="default"/>
        </w:rPr>
        <w:t>2</w:t>
      </w:r>
      <w:r>
        <w:rPr/>
        <w:t>、公司的资产独立完整、权属清晰：公司拥有独立的经营和办公场所，拥有经营所需的设备和其他资产，合法拥有与生产 </w:t>
      </w:r>
      <w:r>
        <w:rPr>
          <w:spacing w:val="-2"/>
        </w:rPr>
        <w:t>经营有关的注册商标、专利、非专利技术、著作权的所有权或使用权，与公司股东及实际控制人的资产完全分离，产权关系</w:t>
      </w:r>
      <w:r>
        <w:rPr>
          <w:spacing w:val="-66"/>
        </w:rPr>
        <w:t> </w:t>
      </w:r>
      <w:r>
        <w:rPr>
          <w:spacing w:val="-66"/>
        </w:rPr>
      </w:r>
      <w:r>
        <w:rPr/>
        <w:t>清晰，公司的资产独立完整。 </w:t>
      </w:r>
      <w:r>
        <w:rPr>
          <w:rFonts w:ascii="Times New Roman" w:hAnsi="Times New Roman" w:cs="Times New Roman" w:eastAsia="Times New Roman" w:hint="default"/>
        </w:rPr>
        <w:t>3</w:t>
      </w:r>
      <w:r>
        <w:rPr/>
        <w:t>、公司财务独立：公司建立了独立的财务部门以及独立的财务核算体系，能够独立作出财务决策，具有规范、独立的财务 </w:t>
      </w:r>
      <w:r>
        <w:rPr>
          <w:spacing w:val="-2"/>
        </w:rPr>
        <w:t>会计制度和对分支机构的财务管理制度，并拥有独立的财务会计账簿。公司拥有独立的银行帐户，未与其股东或关联企业共</w:t>
      </w:r>
      <w:r>
        <w:rPr>
          <w:spacing w:val="-66"/>
        </w:rPr>
        <w:t> </w:t>
      </w:r>
      <w:r>
        <w:rPr>
          <w:spacing w:val="-66"/>
        </w:rPr>
      </w:r>
      <w:r>
        <w:rPr/>
        <w:t>用银行帐户。 </w:t>
      </w:r>
      <w:r>
        <w:rPr>
          <w:rFonts w:ascii="Times New Roman" w:hAnsi="Times New Roman" w:cs="Times New Roman" w:eastAsia="Times New Roman" w:hint="default"/>
        </w:rPr>
        <w:t>4</w:t>
      </w:r>
      <w:r>
        <w:rPr/>
        <w:t>、公司机构独立：公司按照有关法律、法规、《公司章程》设立的董事会、监事会，均分别对公司股东大会负责。公司的 </w:t>
      </w:r>
      <w:r>
        <w:rPr>
          <w:spacing w:val="-2"/>
        </w:rPr>
        <w:t>机构独立于股东的机构，不存在与股东合署办公的情况。公司已建立健全内部经营管理机构，独立行使经营管理职权，不存</w:t>
      </w:r>
      <w:r>
        <w:rPr>
          <w:spacing w:val="-66"/>
        </w:rPr>
        <w:t> </w:t>
      </w:r>
      <w:r>
        <w:rPr>
          <w:spacing w:val="-66"/>
        </w:rPr>
      </w:r>
      <w:r>
        <w:rPr/>
        <w:t>在与股东机构混同的情形。 </w:t>
      </w:r>
      <w:r>
        <w:rPr>
          <w:rFonts w:ascii="Times New Roman" w:hAnsi="Times New Roman" w:cs="Times New Roman" w:eastAsia="Times New Roman" w:hint="default"/>
        </w:rPr>
        <w:t>5</w:t>
      </w:r>
      <w:r>
        <w:rPr/>
        <w:t>、公司业务独立：公司通过自身开展生产、销售业务，拥有完整的业务体系。公司独立开展业务，具备直接面向市场独立 </w:t>
      </w:r>
      <w:r>
        <w:rPr>
          <w:spacing w:val="-4"/>
        </w:rPr>
        <w:t>经营的能力。公司的业务独立于控股股东、实际控制人，与控股股东、实际控制人不存在同业竞争或者显失公平的关联交易。</w:t>
      </w:r>
    </w:p>
    <w:p>
      <w:pPr>
        <w:spacing w:line="240" w:lineRule="auto" w:before="0"/>
        <w:rPr>
          <w:rFonts w:ascii="宋体" w:hAnsi="宋体" w:cs="宋体" w:eastAsia="宋体" w:hint="default"/>
          <w:sz w:val="21"/>
          <w:szCs w:val="21"/>
        </w:rPr>
      </w:pPr>
    </w:p>
    <w:p>
      <w:pPr>
        <w:pStyle w:val="Heading2"/>
        <w:spacing w:line="240" w:lineRule="auto"/>
        <w:ind w:right="92"/>
        <w:jc w:val="left"/>
        <w:rPr>
          <w:b w:val="0"/>
          <w:bCs w:val="0"/>
        </w:rPr>
      </w:pPr>
      <w:bookmarkStart w:name="三、同业竞争情况" w:id="133"/>
      <w:bookmarkEnd w:id="133"/>
      <w:r>
        <w:rPr>
          <w:b w:val="0"/>
          <w:bCs w:val="0"/>
        </w:rPr>
      </w:r>
      <w:r>
        <w:rPr/>
        <w:t>三、同业竞争情况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23"/>
          <w:szCs w:val="23"/>
        </w:rPr>
      </w:pPr>
    </w:p>
    <w:p>
      <w:pPr>
        <w:pStyle w:val="Heading2"/>
        <w:spacing w:line="240" w:lineRule="auto"/>
        <w:ind w:right="92"/>
        <w:jc w:val="left"/>
        <w:rPr>
          <w:b w:val="0"/>
          <w:bCs w:val="0"/>
        </w:rPr>
      </w:pPr>
      <w:bookmarkStart w:name="四、报告期内召开的年度股东大会和临时股东大会的有关情况" w:id="134"/>
      <w:bookmarkEnd w:id="134"/>
      <w:r>
        <w:rPr>
          <w:b w:val="0"/>
          <w:bCs w:val="0"/>
        </w:rPr>
      </w:r>
      <w:r>
        <w:rPr/>
        <w:t>四、报告期内召开的年度股东大会和临时股东大会的有关情况</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right="92"/>
        <w:jc w:val="left"/>
        <w:rPr>
          <w:b w:val="0"/>
          <w:bCs w:val="0"/>
        </w:rPr>
      </w:pPr>
      <w:bookmarkStart w:name="1、本报告期股东大会情况" w:id="135"/>
      <w:bookmarkEnd w:id="135"/>
      <w:r>
        <w:rPr>
          <w:b w:val="0"/>
          <w:bCs w:val="0"/>
        </w:rPr>
      </w:r>
      <w:r>
        <w:rPr>
          <w:rFonts w:ascii="Times New Roman" w:hAnsi="Times New Roman" w:cs="Times New Roman" w:eastAsia="Times New Roman" w:hint="default"/>
        </w:rPr>
        <w:t>1</w:t>
      </w:r>
      <w:r>
        <w:rPr/>
        <w:t>、本报告期股东大会情况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1"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会议类型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63" w:right="0"/>
              <w:jc w:val="left"/>
              <w:rPr>
                <w:rFonts w:ascii="宋体" w:hAnsi="宋体" w:cs="宋体" w:eastAsia="宋体" w:hint="default"/>
                <w:sz w:val="18"/>
                <w:szCs w:val="18"/>
              </w:rPr>
            </w:pPr>
            <w:r>
              <w:rPr>
                <w:rFonts w:ascii="宋体" w:hAnsi="宋体" w:cs="宋体" w:eastAsia="宋体" w:hint="default"/>
                <w:sz w:val="18"/>
                <w:szCs w:val="18"/>
              </w:rPr>
              <w:t>投资者参与比例</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5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年度股东大会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63.75%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5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p>
            <w:pPr>
              <w:pStyle w:val="TableParagraph"/>
              <w:spacing w:line="240" w:lineRule="auto" w:before="65"/>
              <w:ind w:left="23" w:right="0"/>
              <w:jc w:val="left"/>
              <w:rPr>
                <w:rFonts w:ascii="Times New Roman" w:hAnsi="Times New Roman" w:cs="Times New Roman" w:eastAsia="Times New Roman" w:hint="default"/>
                <w:sz w:val="18"/>
                <w:szCs w:val="18"/>
              </w:rPr>
            </w:pPr>
            <w:r>
              <w:rPr>
                <w:rFonts w:ascii="宋体" w:hAnsi="宋体" w:cs="宋体" w:eastAsia="宋体" w:hint="default"/>
                <w:spacing w:val="-4"/>
                <w:sz w:val="18"/>
                <w:szCs w:val="18"/>
              </w:rPr>
              <w:t>公告编号：</w:t>
            </w:r>
            <w:r>
              <w:rPr>
                <w:rFonts w:ascii="Times New Roman" w:hAnsi="Times New Roman" w:cs="Times New Roman" w:eastAsia="Times New Roman" w:hint="default"/>
                <w:spacing w:val="-4"/>
                <w:sz w:val="18"/>
                <w:szCs w:val="18"/>
              </w:rPr>
              <w:t>2017-029</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65.03%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5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p>
            <w:pPr>
              <w:pStyle w:val="TableParagraph"/>
              <w:spacing w:line="240" w:lineRule="auto" w:before="65"/>
              <w:ind w:left="23" w:right="0"/>
              <w:jc w:val="left"/>
              <w:rPr>
                <w:rFonts w:ascii="Times New Roman" w:hAnsi="Times New Roman" w:cs="Times New Roman" w:eastAsia="Times New Roman" w:hint="default"/>
                <w:sz w:val="18"/>
                <w:szCs w:val="18"/>
              </w:rPr>
            </w:pPr>
            <w:r>
              <w:rPr>
                <w:rFonts w:ascii="宋体" w:hAnsi="宋体" w:cs="宋体" w:eastAsia="宋体" w:hint="default"/>
                <w:spacing w:val="-4"/>
                <w:sz w:val="18"/>
                <w:szCs w:val="18"/>
              </w:rPr>
              <w:t>公告编号：</w:t>
            </w:r>
            <w:r>
              <w:rPr>
                <w:rFonts w:ascii="Times New Roman" w:hAnsi="Times New Roman" w:cs="Times New Roman" w:eastAsia="Times New Roman" w:hint="default"/>
                <w:spacing w:val="-4"/>
                <w:sz w:val="18"/>
                <w:szCs w:val="18"/>
              </w:rPr>
              <w:t>2017-064</w:t>
            </w: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63.75%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5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5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p>
            <w:pPr>
              <w:pStyle w:val="TableParagraph"/>
              <w:spacing w:line="240" w:lineRule="auto" w:before="65"/>
              <w:ind w:left="23" w:right="0"/>
              <w:jc w:val="left"/>
              <w:rPr>
                <w:rFonts w:ascii="Times New Roman" w:hAnsi="Times New Roman" w:cs="Times New Roman" w:eastAsia="Times New Roman" w:hint="default"/>
                <w:sz w:val="18"/>
                <w:szCs w:val="18"/>
              </w:rPr>
            </w:pPr>
            <w:r>
              <w:rPr>
                <w:rFonts w:ascii="宋体" w:hAnsi="宋体" w:cs="宋体" w:eastAsia="宋体" w:hint="default"/>
                <w:spacing w:val="-4"/>
                <w:sz w:val="18"/>
                <w:szCs w:val="18"/>
              </w:rPr>
              <w:t>公告编号：</w:t>
            </w:r>
            <w:r>
              <w:rPr>
                <w:rFonts w:ascii="Times New Roman" w:hAnsi="Times New Roman" w:cs="Times New Roman" w:eastAsia="Times New Roman" w:hint="default"/>
                <w:spacing w:val="-4"/>
                <w:sz w:val="18"/>
                <w:szCs w:val="18"/>
              </w:rPr>
              <w:t>2017-075</w:t>
            </w:r>
          </w:p>
        </w:tc>
      </w:tr>
    </w:tbl>
    <w:p>
      <w:pPr>
        <w:spacing w:line="240" w:lineRule="auto" w:before="2"/>
        <w:rPr>
          <w:rFonts w:ascii="宋体" w:hAnsi="宋体" w:cs="宋体" w:eastAsia="宋体" w:hint="default"/>
          <w:b/>
          <w:bCs/>
          <w:sz w:val="19"/>
          <w:szCs w:val="19"/>
        </w:rPr>
      </w:pPr>
    </w:p>
    <w:p>
      <w:pPr>
        <w:pStyle w:val="Heading5"/>
        <w:spacing w:line="240" w:lineRule="auto" w:before="35"/>
        <w:ind w:right="92"/>
        <w:jc w:val="left"/>
        <w:rPr>
          <w:b w:val="0"/>
          <w:bCs w:val="0"/>
        </w:rPr>
      </w:pPr>
      <w:bookmarkStart w:name="2、表决权恢复的优先股股东请求召开临时股东大会" w:id="136"/>
      <w:bookmarkEnd w:id="136"/>
      <w:r>
        <w:rPr>
          <w:b w:val="0"/>
          <w:bCs w:val="0"/>
        </w:rPr>
      </w: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94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bookmarkStart w:name="五、报告期内独立董事履行职责的情况" w:id="137"/>
      <w:bookmarkEnd w:id="137"/>
      <w:r>
        <w:rPr>
          <w:b w:val="0"/>
          <w:bCs w:val="0"/>
        </w:rPr>
      </w:r>
      <w:r>
        <w:rPr/>
        <w:t>五、报告期内独立董事履行职责的情况</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right="0"/>
        <w:jc w:val="left"/>
        <w:rPr>
          <w:b w:val="0"/>
          <w:bCs w:val="0"/>
        </w:rPr>
      </w:pPr>
      <w:bookmarkStart w:name="1、独立董事出席董事会及股东大会的情况" w:id="138"/>
      <w:bookmarkEnd w:id="138"/>
      <w:r>
        <w:rPr>
          <w:b w:val="0"/>
          <w:bCs w:val="0"/>
        </w:rPr>
      </w: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427"/>
        <w:gridCol w:w="1164"/>
        <w:gridCol w:w="1164"/>
        <w:gridCol w:w="1163"/>
        <w:gridCol w:w="1164"/>
        <w:gridCol w:w="1163"/>
        <w:gridCol w:w="1163"/>
        <w:gridCol w:w="1163"/>
      </w:tblGrid>
      <w:tr>
        <w:trPr>
          <w:trHeight w:val="402" w:hRule="exact"/>
        </w:trPr>
        <w:tc>
          <w:tcPr>
            <w:tcW w:w="9571"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独立董事出席董事会及股东大会的情况</w:t>
            </w:r>
          </w:p>
        </w:tc>
      </w:tr>
      <w:tr>
        <w:trPr>
          <w:trHeight w:val="1026"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68"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35" w:right="36"/>
              <w:jc w:val="left"/>
              <w:rPr>
                <w:rFonts w:ascii="宋体" w:hAnsi="宋体" w:cs="宋体" w:eastAsia="宋体" w:hint="default"/>
                <w:sz w:val="18"/>
                <w:szCs w:val="18"/>
              </w:rPr>
            </w:pPr>
            <w:r>
              <w:rPr>
                <w:rFonts w:ascii="宋体" w:hAnsi="宋体" w:cs="宋体" w:eastAsia="宋体" w:hint="default"/>
                <w:sz w:val="18"/>
                <w:szCs w:val="18"/>
              </w:rPr>
              <w:t>本报告期应参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305" w:right="36" w:hanging="270"/>
              <w:jc w:val="left"/>
              <w:rPr>
                <w:rFonts w:ascii="宋体" w:hAnsi="宋体" w:cs="宋体" w:eastAsia="宋体" w:hint="default"/>
                <w:sz w:val="18"/>
                <w:szCs w:val="18"/>
              </w:rPr>
            </w:pPr>
            <w:r>
              <w:rPr>
                <w:rFonts w:ascii="宋体" w:hAnsi="宋体" w:cs="宋体" w:eastAsia="宋体" w:hint="default"/>
                <w:sz w:val="18"/>
                <w:szCs w:val="18"/>
              </w:rPr>
              <w:t>现场出席董事 会次数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35" w:right="35"/>
              <w:jc w:val="left"/>
              <w:rPr>
                <w:rFonts w:ascii="宋体" w:hAnsi="宋体" w:cs="宋体" w:eastAsia="宋体" w:hint="default"/>
                <w:sz w:val="18"/>
                <w:szCs w:val="18"/>
              </w:rPr>
            </w:pPr>
            <w:r>
              <w:rPr>
                <w:rFonts w:ascii="宋体" w:hAnsi="宋体" w:cs="宋体" w:eastAsia="宋体" w:hint="default"/>
                <w:sz w:val="18"/>
                <w:szCs w:val="18"/>
              </w:rPr>
              <w:t>以通讯方式参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307" w:right="35" w:hanging="270"/>
              <w:jc w:val="left"/>
              <w:rPr>
                <w:rFonts w:ascii="宋体" w:hAnsi="宋体" w:cs="宋体" w:eastAsia="宋体" w:hint="default"/>
                <w:sz w:val="18"/>
                <w:szCs w:val="18"/>
              </w:rPr>
            </w:pPr>
            <w:r>
              <w:rPr>
                <w:rFonts w:ascii="宋体" w:hAnsi="宋体" w:cs="宋体" w:eastAsia="宋体" w:hint="default"/>
                <w:sz w:val="18"/>
                <w:szCs w:val="18"/>
              </w:rPr>
              <w:t>委托出席董事 会次数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485" w:right="35" w:hanging="450"/>
              <w:jc w:val="left"/>
              <w:rPr>
                <w:rFonts w:ascii="宋体" w:hAnsi="宋体" w:cs="宋体" w:eastAsia="宋体" w:hint="default"/>
                <w:sz w:val="18"/>
                <w:szCs w:val="18"/>
              </w:rPr>
            </w:pPr>
            <w:r>
              <w:rPr>
                <w:rFonts w:ascii="宋体" w:hAnsi="宋体" w:cs="宋体" w:eastAsia="宋体" w:hint="default"/>
                <w:sz w:val="18"/>
                <w:szCs w:val="18"/>
              </w:rPr>
              <w:t>缺席董事会次 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5" w:right="35"/>
              <w:jc w:val="center"/>
              <w:rPr>
                <w:rFonts w:ascii="宋体" w:hAnsi="宋体" w:cs="宋体" w:eastAsia="宋体" w:hint="default"/>
                <w:sz w:val="18"/>
                <w:szCs w:val="18"/>
              </w:rPr>
            </w:pPr>
            <w:r>
              <w:rPr>
                <w:rFonts w:ascii="宋体" w:hAnsi="宋体" w:cs="宋体" w:eastAsia="宋体" w:hint="default"/>
                <w:sz w:val="18"/>
                <w:szCs w:val="18"/>
              </w:rPr>
              <w:t>是否连续两次 未亲自参加董 事会会议</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395" w:right="35" w:hanging="360"/>
              <w:jc w:val="left"/>
              <w:rPr>
                <w:rFonts w:ascii="宋体" w:hAnsi="宋体" w:cs="宋体" w:eastAsia="宋体" w:hint="default"/>
                <w:sz w:val="18"/>
                <w:szCs w:val="18"/>
              </w:rPr>
            </w:pPr>
            <w:r>
              <w:rPr>
                <w:rFonts w:ascii="宋体" w:hAnsi="宋体" w:cs="宋体" w:eastAsia="宋体" w:hint="default"/>
                <w:sz w:val="18"/>
                <w:szCs w:val="18"/>
              </w:rPr>
              <w:t>出席股东大会 次数</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邵少敏</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7</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6</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傅黎瑛</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7</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6</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李勇进</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7</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6</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吴长顺</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唐有根</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涂必胜</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r>
    </w:tbl>
    <w:p>
      <w:pPr>
        <w:pStyle w:val="BodyText"/>
        <w:spacing w:line="240" w:lineRule="auto" w:before="51"/>
        <w:ind w:right="0"/>
        <w:jc w:val="both"/>
      </w:pPr>
      <w:r>
        <w:rPr/>
        <w:t>连续两次未亲自出席董事会的说明</w:t>
      </w:r>
    </w:p>
    <w:p>
      <w:pPr>
        <w:spacing w:line="240" w:lineRule="auto" w:before="11"/>
        <w:rPr>
          <w:rFonts w:ascii="宋体" w:hAnsi="宋体" w:cs="宋体" w:eastAsia="宋体" w:hint="default"/>
          <w:sz w:val="26"/>
          <w:szCs w:val="26"/>
        </w:rPr>
      </w:pPr>
    </w:p>
    <w:p>
      <w:pPr>
        <w:pStyle w:val="Heading5"/>
        <w:spacing w:line="240" w:lineRule="auto"/>
        <w:ind w:right="0"/>
        <w:jc w:val="both"/>
        <w:rPr>
          <w:b w:val="0"/>
          <w:bCs w:val="0"/>
        </w:rPr>
      </w:pPr>
      <w:bookmarkStart w:name="2、独立董事对公司有关事项提出异议的情况" w:id="139"/>
      <w:bookmarkEnd w:id="139"/>
      <w:r>
        <w:rPr>
          <w:b w:val="0"/>
          <w:bCs w:val="0"/>
        </w:rPr>
      </w: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0"/>
        <w:jc w:val="both"/>
      </w:pPr>
      <w:r>
        <w:rPr/>
        <w:t>独立董事对公司有关事项是否提出异议</w:t>
      </w:r>
    </w:p>
    <w:p>
      <w:pPr>
        <w:pStyle w:val="BodyText"/>
        <w:spacing w:line="340" w:lineRule="auto" w:before="116"/>
        <w:ind w:right="599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报告期内独立董事对公司有关事项未提出异议。</w:t>
      </w:r>
    </w:p>
    <w:p>
      <w:pPr>
        <w:spacing w:line="240" w:lineRule="auto" w:before="12"/>
        <w:rPr>
          <w:rFonts w:ascii="宋体" w:hAnsi="宋体" w:cs="宋体" w:eastAsia="宋体" w:hint="default"/>
          <w:sz w:val="20"/>
          <w:szCs w:val="20"/>
        </w:rPr>
      </w:pPr>
    </w:p>
    <w:p>
      <w:pPr>
        <w:pStyle w:val="Heading5"/>
        <w:spacing w:line="240" w:lineRule="auto"/>
        <w:ind w:right="0"/>
        <w:jc w:val="both"/>
        <w:rPr>
          <w:b w:val="0"/>
          <w:bCs w:val="0"/>
        </w:rPr>
      </w:pPr>
      <w:bookmarkStart w:name="3、独立董事履行职责的其他说明" w:id="140"/>
      <w:bookmarkEnd w:id="140"/>
      <w:r>
        <w:rPr>
          <w:b w:val="0"/>
          <w:bCs w:val="0"/>
        </w:rPr>
      </w:r>
      <w:r>
        <w:rPr>
          <w:rFonts w:ascii="Times New Roman" w:hAnsi="Times New Roman" w:cs="Times New Roman" w:eastAsia="Times New Roman" w:hint="default"/>
        </w:rPr>
        <w:t>3</w:t>
      </w:r>
      <w:r>
        <w:rPr/>
        <w:t>、独立董事履行职责的其他说明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0"/>
        <w:jc w:val="both"/>
      </w:pPr>
      <w:r>
        <w:rPr/>
        <w:t>独立董事对公司有关建议是否被采纳</w:t>
      </w:r>
    </w:p>
    <w:p>
      <w:pPr>
        <w:pStyle w:val="BodyText"/>
        <w:spacing w:line="338" w:lineRule="auto" w:before="116"/>
        <w:ind w:right="581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独立董事对公司有关建议被采纳或未被采纳的说明</w:t>
      </w:r>
    </w:p>
    <w:p>
      <w:pPr>
        <w:pStyle w:val="BodyText"/>
        <w:spacing w:line="316" w:lineRule="auto" w:before="42"/>
        <w:ind w:right="159" w:firstLine="73"/>
        <w:jc w:val="left"/>
      </w:pPr>
      <w:r>
        <w:rPr/>
        <w:t>公司独立董事严格按照《公司章程》、《独立董事制度》的相关规定，履行职责，发表独立意见，积极参与公司的重大生 产经营决策，对公司经营管理、发展战略的选择发挥了积极作用。</w:t>
      </w:r>
    </w:p>
    <w:p>
      <w:pPr>
        <w:pStyle w:val="BodyText"/>
        <w:spacing w:line="240" w:lineRule="auto" w:before="19"/>
        <w:ind w:left="227" w:right="0"/>
        <w:jc w:val="both"/>
      </w:pPr>
      <w:r>
        <w:rPr/>
        <w:t>报告期内，独立董事对下列事项发表了独立意见：</w:t>
      </w:r>
    </w:p>
    <w:p>
      <w:pPr>
        <w:pStyle w:val="BodyText"/>
        <w:spacing w:line="300" w:lineRule="auto" w:before="76"/>
        <w:ind w:right="150"/>
        <w:jc w:val="both"/>
      </w:pPr>
      <w:r>
        <w:rPr/>
        <w:t>（一）</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23</w:t>
      </w:r>
      <w:r>
        <w:rPr/>
        <w:t>日，对《关于续聘公司</w:t>
      </w:r>
      <w:r>
        <w:rPr>
          <w:rFonts w:ascii="Times New Roman" w:hAnsi="Times New Roman" w:cs="Times New Roman" w:eastAsia="Times New Roman" w:hint="default"/>
        </w:rPr>
        <w:t>2017</w:t>
      </w:r>
      <w:r>
        <w:rPr/>
        <w:t>年度财务审计机构的议案》发表了事前认可意见，在公司第二届董事会第十 </w:t>
      </w:r>
      <w:r>
        <w:rPr>
          <w:spacing w:val="-2"/>
        </w:rPr>
        <w:t>八次会议上对《公司</w:t>
      </w:r>
      <w:r>
        <w:rPr>
          <w:rFonts w:ascii="Times New Roman" w:hAnsi="Times New Roman" w:cs="Times New Roman" w:eastAsia="Times New Roman" w:hint="default"/>
          <w:spacing w:val="-2"/>
        </w:rPr>
        <w:t>2016</w:t>
      </w:r>
      <w:r>
        <w:rPr>
          <w:spacing w:val="-2"/>
        </w:rPr>
        <w:t>年度利润分配预案》、《关于公司董事</w:t>
      </w:r>
      <w:r>
        <w:rPr>
          <w:rFonts w:ascii="Times New Roman" w:hAnsi="Times New Roman" w:cs="Times New Roman" w:eastAsia="Times New Roman" w:hint="default"/>
          <w:spacing w:val="-2"/>
        </w:rPr>
        <w:t>2017</w:t>
      </w:r>
      <w:r>
        <w:rPr>
          <w:spacing w:val="-2"/>
        </w:rPr>
        <w:t>年度薪酬的议案》、《关于公司高级管理人员</w:t>
      </w:r>
      <w:r>
        <w:rPr>
          <w:rFonts w:ascii="Times New Roman" w:hAnsi="Times New Roman" w:cs="Times New Roman" w:eastAsia="Times New Roman" w:hint="default"/>
          <w:spacing w:val="-2"/>
        </w:rPr>
        <w:t>2017</w:t>
      </w:r>
      <w:r>
        <w:rPr>
          <w:spacing w:val="-2"/>
        </w:rPr>
        <w:t>年度</w:t>
      </w:r>
      <w:r>
        <w:rPr>
          <w:spacing w:val="-55"/>
        </w:rPr>
        <w:t> </w:t>
      </w:r>
      <w:r>
        <w:rPr>
          <w:spacing w:val="-2"/>
        </w:rPr>
        <w:t>薪酬的议案》、《关于续聘公司</w:t>
      </w:r>
      <w:r>
        <w:rPr>
          <w:rFonts w:ascii="Times New Roman" w:hAnsi="Times New Roman" w:cs="Times New Roman" w:eastAsia="Times New Roman" w:hint="default"/>
          <w:spacing w:val="-2"/>
        </w:rPr>
        <w:t>2017</w:t>
      </w:r>
      <w:r>
        <w:rPr>
          <w:spacing w:val="-2"/>
        </w:rPr>
        <w:t>年度财务审计机构的议案》、《关于募集资金年度存放与使用情况的专项报告》、《公</w:t>
      </w:r>
      <w:r>
        <w:rPr>
          <w:spacing w:val="-66"/>
        </w:rPr>
        <w:t> </w:t>
      </w:r>
      <w:r>
        <w:rPr>
          <w:spacing w:val="-66"/>
        </w:rPr>
      </w:r>
      <w:r>
        <w:rPr/>
        <w:t>司 </w:t>
      </w:r>
      <w:r>
        <w:rPr>
          <w:rFonts w:ascii="Times New Roman" w:hAnsi="Times New Roman" w:cs="Times New Roman" w:eastAsia="Times New Roman" w:hint="default"/>
        </w:rPr>
        <w:t>2016 </w:t>
      </w:r>
      <w:r>
        <w:rPr/>
        <w:t>年度关联交易事项》、《关于 </w:t>
      </w:r>
      <w:r>
        <w:rPr>
          <w:rFonts w:ascii="Times New Roman" w:hAnsi="Times New Roman" w:cs="Times New Roman" w:eastAsia="Times New Roman" w:hint="default"/>
        </w:rPr>
        <w:t>2016 </w:t>
      </w:r>
      <w:r>
        <w:rPr/>
        <w:t>年度内部控制的自我评价报告》和《关于 </w:t>
      </w:r>
      <w:r>
        <w:rPr>
          <w:rFonts w:ascii="Times New Roman" w:hAnsi="Times New Roman" w:cs="Times New Roman" w:eastAsia="Times New Roman" w:hint="default"/>
        </w:rPr>
        <w:t>2016</w:t>
      </w:r>
      <w:r>
        <w:rPr>
          <w:rFonts w:ascii="Times New Roman" w:hAnsi="Times New Roman" w:cs="Times New Roman" w:eastAsia="Times New Roman" w:hint="default"/>
          <w:spacing w:val="24"/>
        </w:rPr>
        <w:t> </w:t>
      </w:r>
      <w:r>
        <w:rPr/>
        <w:t>年度公司关联方资金占用和对 外担保情况》事项发表了独立意见。</w:t>
      </w:r>
    </w:p>
    <w:p>
      <w:pPr>
        <w:pStyle w:val="BodyText"/>
        <w:spacing w:line="300" w:lineRule="auto" w:before="31"/>
        <w:ind w:right="142"/>
        <w:jc w:val="left"/>
      </w:pPr>
      <w:r>
        <w:rPr/>
        <w:t>（二）</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19</w:t>
      </w:r>
      <w:r>
        <w:rPr/>
        <w:t>日，在公司第二届董事会第十九次会议上对《关于筹划重大资产重组停牌期满并申请继续停牌的议案》 发表了独立意见。</w:t>
      </w:r>
    </w:p>
    <w:p>
      <w:pPr>
        <w:pStyle w:val="BodyText"/>
        <w:spacing w:line="312" w:lineRule="auto" w:before="32"/>
        <w:ind w:right="152"/>
        <w:jc w:val="both"/>
      </w:pPr>
      <w:r>
        <w:rPr/>
        <w:t>（三）</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18</w:t>
      </w:r>
      <w:r>
        <w:rPr/>
        <w:t>日，对《关于支付现金购买资产事项》发表了事前认可意见，在公司第二届董事会第二十次会议上对支 </w:t>
      </w:r>
      <w:r>
        <w:rPr>
          <w:spacing w:val="-2"/>
        </w:rPr>
        <w:t>付现金购买资产相关交易事项、关于评估机构的独立性、评估假设前提的合理性、评估方法与评估目的的相关性以及评估定</w:t>
      </w:r>
      <w:r>
        <w:rPr>
          <w:spacing w:val="-66"/>
        </w:rPr>
        <w:t> </w:t>
      </w:r>
      <w:r>
        <w:rPr>
          <w:spacing w:val="-66"/>
        </w:rPr>
      </w:r>
      <w:r>
        <w:rPr>
          <w:spacing w:val="-2"/>
        </w:rPr>
        <w:t>价的公允性等事项、关于公司向银行申请并购贷款及授权董事会办理申请并购贷款相关事宜、关于拟投资设立新能源汽车产</w:t>
      </w:r>
      <w:r>
        <w:rPr>
          <w:spacing w:val="-64"/>
        </w:rPr>
        <w:t> </w:t>
      </w:r>
      <w:r>
        <w:rPr>
          <w:spacing w:val="-64"/>
        </w:rPr>
      </w:r>
      <w:r>
        <w:rPr/>
        <w:t>业投资基金发表了独立意见。</w:t>
      </w:r>
    </w:p>
    <w:p>
      <w:pPr>
        <w:spacing w:after="0" w:line="312" w:lineRule="auto"/>
        <w:jc w:val="both"/>
        <w:sectPr>
          <w:pgSz w:w="11910" w:h="16840"/>
          <w:pgMar w:header="747" w:footer="979" w:top="1060" w:bottom="1160" w:left="980" w:right="980"/>
        </w:sectPr>
      </w:pPr>
    </w:p>
    <w:p>
      <w:pPr>
        <w:spacing w:line="240" w:lineRule="auto" w:before="12"/>
        <w:rPr>
          <w:rFonts w:ascii="宋体" w:hAnsi="宋体" w:cs="宋体" w:eastAsia="宋体" w:hint="default"/>
          <w:sz w:val="25"/>
          <w:szCs w:val="25"/>
        </w:rPr>
      </w:pPr>
    </w:p>
    <w:p>
      <w:pPr>
        <w:pStyle w:val="BodyText"/>
        <w:spacing w:line="300" w:lineRule="auto"/>
        <w:ind w:right="92"/>
        <w:jc w:val="left"/>
      </w:pPr>
      <w:r>
        <w:rPr>
          <w:spacing w:val="-2"/>
        </w:rPr>
        <w:t>（四）</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3</w:t>
      </w:r>
      <w:r>
        <w:rPr>
          <w:spacing w:val="-2"/>
        </w:rPr>
        <w:t>日，在公司第二届董事会第二十一次会议上对关于支付现金购买资产方案变更事项发表了事前认可意见和</w:t>
      </w:r>
      <w:r>
        <w:rPr>
          <w:spacing w:val="-58"/>
        </w:rPr>
        <w:t> </w:t>
      </w:r>
      <w:r>
        <w:rPr>
          <w:spacing w:val="-58"/>
        </w:rPr>
      </w:r>
      <w:r>
        <w:rPr/>
        <w:t>独立意见。</w:t>
      </w:r>
    </w:p>
    <w:p>
      <w:pPr>
        <w:pStyle w:val="BodyText"/>
        <w:spacing w:line="300" w:lineRule="auto" w:before="31"/>
        <w:ind w:right="182"/>
        <w:jc w:val="left"/>
      </w:pPr>
      <w:r>
        <w:rPr/>
        <w:t>（五）</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25</w:t>
      </w:r>
      <w:r>
        <w:rPr/>
        <w:t>日，在公司第二届董事会第二十二次会议上，对《关于控股股东及其关联方占用公司资金情况》、《关 于公司对外担保的情况》、《关于</w:t>
      </w:r>
      <w:r>
        <w:rPr>
          <w:rFonts w:ascii="Times New Roman" w:hAnsi="Times New Roman" w:cs="Times New Roman" w:eastAsia="Times New Roman" w:hint="default"/>
        </w:rPr>
        <w:t>2017</w:t>
      </w:r>
      <w:r>
        <w:rPr/>
        <w:t>年上半年度募集资金存放与使用情况》发表了独立意见。</w:t>
      </w:r>
    </w:p>
    <w:p>
      <w:pPr>
        <w:pStyle w:val="BodyText"/>
        <w:spacing w:line="300" w:lineRule="auto" w:before="13"/>
        <w:ind w:right="89"/>
        <w:jc w:val="left"/>
      </w:pPr>
      <w:r>
        <w:rPr>
          <w:spacing w:val="-3"/>
        </w:rPr>
        <w:t>（六）</w:t>
      </w:r>
      <w:r>
        <w:rPr>
          <w:rFonts w:ascii="Times New Roman" w:hAnsi="Times New Roman" w:cs="Times New Roman" w:eastAsia="Times New Roman" w:hint="default"/>
          <w:spacing w:val="-3"/>
        </w:rPr>
        <w:t>2017</w:t>
      </w:r>
      <w:r>
        <w:rPr>
          <w:spacing w:val="-3"/>
        </w:rPr>
        <w:t>年</w:t>
      </w:r>
      <w:r>
        <w:rPr>
          <w:rFonts w:ascii="Times New Roman" w:hAnsi="Times New Roman" w:cs="Times New Roman" w:eastAsia="Times New Roman" w:hint="default"/>
          <w:spacing w:val="-3"/>
        </w:rPr>
        <w:t>10</w:t>
      </w:r>
      <w:r>
        <w:rPr>
          <w:spacing w:val="-3"/>
        </w:rPr>
        <w:t>月</w:t>
      </w:r>
      <w:r>
        <w:rPr>
          <w:rFonts w:ascii="Times New Roman" w:hAnsi="Times New Roman" w:cs="Times New Roman" w:eastAsia="Times New Roman" w:hint="default"/>
          <w:spacing w:val="-3"/>
        </w:rPr>
        <w:t>27</w:t>
      </w:r>
      <w:r>
        <w:rPr>
          <w:spacing w:val="-3"/>
        </w:rPr>
        <w:t>日，在公司第二届董事会第二十三次会议上，对《关于董事会换届选举暨第三届董事会董事候选人提名》</w:t>
      </w:r>
      <w:r>
        <w:rPr>
          <w:spacing w:val="-88"/>
        </w:rPr>
        <w:t> </w:t>
      </w:r>
      <w:r>
        <w:rPr>
          <w:spacing w:val="-88"/>
        </w:rPr>
      </w:r>
      <w:r>
        <w:rPr/>
        <w:t>发表了独立意见。</w:t>
      </w:r>
    </w:p>
    <w:p>
      <w:pPr>
        <w:pStyle w:val="BodyText"/>
        <w:spacing w:line="300" w:lineRule="auto" w:before="31"/>
        <w:ind w:right="92"/>
        <w:jc w:val="left"/>
      </w:pPr>
      <w:r>
        <w:rPr>
          <w:spacing w:val="-2"/>
        </w:rPr>
        <w:t>（七）</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13</w:t>
      </w:r>
      <w:r>
        <w:rPr>
          <w:spacing w:val="-2"/>
        </w:rPr>
        <w:t>日，在公司第三届董事会第一次会议上，对《关于选举公司第三届董事会董事长》和《关于聘任公司高</w:t>
      </w:r>
      <w:r>
        <w:rPr>
          <w:spacing w:val="-61"/>
        </w:rPr>
        <w:t> </w:t>
      </w:r>
      <w:r>
        <w:rPr>
          <w:spacing w:val="-61"/>
        </w:rPr>
      </w:r>
      <w:r>
        <w:rPr/>
        <w:t>级管理人员》发表了独立意见。</w:t>
      </w:r>
    </w:p>
    <w:p>
      <w:pPr>
        <w:spacing w:line="240" w:lineRule="auto" w:before="9"/>
        <w:rPr>
          <w:rFonts w:ascii="宋体" w:hAnsi="宋体" w:cs="宋体" w:eastAsia="宋体" w:hint="default"/>
          <w:sz w:val="21"/>
          <w:szCs w:val="21"/>
        </w:rPr>
      </w:pPr>
    </w:p>
    <w:p>
      <w:pPr>
        <w:pStyle w:val="Heading2"/>
        <w:spacing w:line="240" w:lineRule="auto"/>
        <w:ind w:right="92"/>
        <w:jc w:val="left"/>
        <w:rPr>
          <w:b w:val="0"/>
          <w:bCs w:val="0"/>
        </w:rPr>
      </w:pPr>
      <w:bookmarkStart w:name="六、董事会下设专门委员会在报告期内履行职责情况" w:id="141"/>
      <w:bookmarkEnd w:id="141"/>
      <w:r>
        <w:rPr>
          <w:b w:val="0"/>
          <w:bCs w:val="0"/>
        </w:rPr>
      </w:r>
      <w:r>
        <w:rPr/>
        <w:t>六、董事会下设专门委员会在报告期内履行职责情况</w:t>
      </w:r>
      <w:r>
        <w:rPr>
          <w:b w:val="0"/>
          <w:bCs w:val="0"/>
        </w:rPr>
      </w:r>
    </w:p>
    <w:p>
      <w:pPr>
        <w:spacing w:line="240" w:lineRule="auto" w:before="6"/>
        <w:rPr>
          <w:rFonts w:ascii="宋体" w:hAnsi="宋体" w:cs="宋体" w:eastAsia="宋体" w:hint="default"/>
          <w:b/>
          <w:bCs/>
          <w:sz w:val="26"/>
          <w:szCs w:val="26"/>
        </w:rPr>
      </w:pPr>
    </w:p>
    <w:p>
      <w:pPr>
        <w:pStyle w:val="BodyText"/>
        <w:spacing w:line="316" w:lineRule="auto" w:before="0"/>
        <w:ind w:right="92"/>
        <w:jc w:val="left"/>
      </w:pPr>
      <w:r>
        <w:rPr>
          <w:spacing w:val="-2"/>
        </w:rPr>
        <w:t>公司董事会下设战略、审计、提名、薪酬与考核四个专门委员会，并制定了《董事会战略委员会实施细则》、《董事会审计</w:t>
      </w:r>
      <w:r>
        <w:rPr>
          <w:spacing w:val="-67"/>
        </w:rPr>
        <w:t> </w:t>
      </w:r>
      <w:r>
        <w:rPr>
          <w:spacing w:val="-67"/>
        </w:rPr>
      </w:r>
      <w:r>
        <w:rPr>
          <w:spacing w:val="-2"/>
        </w:rPr>
        <w:t>委员会实施细则》、《董事会提名委员会实施细则》、《董事会薪酬与考核委员会实施细则》。董事会各专门委员会按照相</w:t>
      </w:r>
      <w:r>
        <w:rPr>
          <w:spacing w:val="-67"/>
        </w:rPr>
        <w:t> </w:t>
      </w:r>
      <w:r>
        <w:rPr>
          <w:spacing w:val="-67"/>
        </w:rPr>
      </w:r>
      <w:r>
        <w:rPr/>
        <w:t>关议事规则及《公司章程》的规定积极开展相关工作，切实履行工作职责，分别对公司的战略投资、人才选拔、薪酬管理、 内部审计等方面发表合理意见和建议。</w:t>
      </w:r>
    </w:p>
    <w:p>
      <w:pPr>
        <w:spacing w:line="240" w:lineRule="auto" w:before="10"/>
        <w:rPr>
          <w:rFonts w:ascii="宋体" w:hAnsi="宋体" w:cs="宋体" w:eastAsia="宋体" w:hint="default"/>
          <w:sz w:val="20"/>
          <w:szCs w:val="20"/>
        </w:rPr>
      </w:pPr>
    </w:p>
    <w:p>
      <w:pPr>
        <w:pStyle w:val="Heading2"/>
        <w:spacing w:line="240" w:lineRule="auto"/>
        <w:ind w:right="92"/>
        <w:jc w:val="left"/>
        <w:rPr>
          <w:b w:val="0"/>
          <w:bCs w:val="0"/>
        </w:rPr>
      </w:pPr>
      <w:bookmarkStart w:name="七、监事会工作情况" w:id="142"/>
      <w:bookmarkEnd w:id="142"/>
      <w:r>
        <w:rPr>
          <w:b w:val="0"/>
          <w:bCs w:val="0"/>
        </w:rPr>
      </w:r>
      <w:r>
        <w:rPr/>
        <w:t>七、监事会工作情况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92"/>
        <w:jc w:val="left"/>
      </w:pPr>
      <w:r>
        <w:rPr/>
        <w:t>监事会在报告期内的监督活动中发现公司是否存在风险</w:t>
      </w:r>
    </w:p>
    <w:p>
      <w:pPr>
        <w:pStyle w:val="BodyText"/>
        <w:spacing w:line="340" w:lineRule="auto" w:before="116"/>
        <w:ind w:right="639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公司监事会对报告期内的监督事项无异议。</w:t>
      </w:r>
    </w:p>
    <w:p>
      <w:pPr>
        <w:spacing w:line="240" w:lineRule="auto" w:before="3"/>
        <w:rPr>
          <w:rFonts w:ascii="宋体" w:hAnsi="宋体" w:cs="宋体" w:eastAsia="宋体" w:hint="default"/>
          <w:sz w:val="19"/>
          <w:szCs w:val="19"/>
        </w:rPr>
      </w:pPr>
    </w:p>
    <w:p>
      <w:pPr>
        <w:pStyle w:val="Heading2"/>
        <w:spacing w:line="240" w:lineRule="auto"/>
        <w:ind w:right="92"/>
        <w:jc w:val="left"/>
        <w:rPr>
          <w:b w:val="0"/>
          <w:bCs w:val="0"/>
        </w:rPr>
      </w:pPr>
      <w:bookmarkStart w:name="八、高级管理人员的考评及激励情况" w:id="143"/>
      <w:bookmarkEnd w:id="143"/>
      <w:r>
        <w:rPr>
          <w:b w:val="0"/>
          <w:bCs w:val="0"/>
        </w:rPr>
      </w:r>
      <w:r>
        <w:rPr/>
        <w:t>八、高级管理人员的考评及激励情况</w:t>
      </w:r>
      <w:r>
        <w:rPr>
          <w:b w:val="0"/>
          <w:bCs w:val="0"/>
        </w:rPr>
      </w:r>
    </w:p>
    <w:p>
      <w:pPr>
        <w:spacing w:line="240" w:lineRule="auto" w:before="7"/>
        <w:rPr>
          <w:rFonts w:ascii="宋体" w:hAnsi="宋体" w:cs="宋体" w:eastAsia="宋体" w:hint="default"/>
          <w:b/>
          <w:bCs/>
          <w:sz w:val="26"/>
          <w:szCs w:val="26"/>
        </w:rPr>
      </w:pPr>
    </w:p>
    <w:p>
      <w:pPr>
        <w:pStyle w:val="BodyText"/>
        <w:spacing w:line="314" w:lineRule="auto" w:before="0"/>
        <w:ind w:right="92"/>
        <w:jc w:val="left"/>
      </w:pPr>
      <w:r>
        <w:rPr>
          <w:spacing w:val="-4"/>
        </w:rPr>
        <w:t>公司建立了完善的薪酬管理制度和绩效考核管理制度，设立董事会薪酬和考核委员会，负责公司高级管理人员绩效考核制度、</w:t>
      </w:r>
      <w:r>
        <w:rPr>
          <w:spacing w:val="-44"/>
        </w:rPr>
        <w:t> </w:t>
      </w:r>
      <w:r>
        <w:rPr>
          <w:spacing w:val="-44"/>
        </w:rPr>
      </w:r>
      <w:r>
        <w:rPr>
          <w:spacing w:val="-2"/>
        </w:rPr>
        <w:t>流程的制定，以及考核标准及关键指标的确立。薪酬和考核委员会负责对公司高级管理人员进行绩效考核，公司根据绩效考</w:t>
      </w:r>
      <w:r>
        <w:rPr>
          <w:spacing w:val="-66"/>
        </w:rPr>
        <w:t> </w:t>
      </w:r>
      <w:r>
        <w:rPr>
          <w:spacing w:val="-66"/>
        </w:rPr>
      </w:r>
      <w:r>
        <w:rPr>
          <w:spacing w:val="-2"/>
        </w:rPr>
        <w:t>核结果实施相应的奖惩。报告期内，公司高级管理人员的薪酬由基本工资和绩效薪酬所组成。其中，基本工资系根据高级管</w:t>
      </w:r>
      <w:r>
        <w:rPr>
          <w:spacing w:val="-66"/>
        </w:rPr>
        <w:t> </w:t>
      </w:r>
      <w:r>
        <w:rPr>
          <w:spacing w:val="-66"/>
        </w:rPr>
      </w:r>
      <w:r>
        <w:rPr>
          <w:spacing w:val="-4"/>
        </w:rPr>
        <w:t>理人员工作岗位的主要范围、职责、重要性以及其他相关企业相关岗位的薪酬水平制定，绩效薪酬则根据绩效考核结果确定。</w:t>
      </w:r>
      <w:r>
        <w:rPr>
          <w:spacing w:val="-44"/>
        </w:rPr>
        <w:t> </w:t>
      </w:r>
      <w:r>
        <w:rPr>
          <w:spacing w:val="-44"/>
        </w:rPr>
      </w:r>
      <w:r>
        <w:rPr>
          <w:spacing w:val="-2"/>
        </w:rPr>
        <w:t>公司董事会薪酬和考核委员会根据实际情况对公司高级管理人员进行考核后，一致认为：</w:t>
      </w:r>
      <w:r>
        <w:rPr>
          <w:rFonts w:ascii="Times New Roman" w:hAnsi="Times New Roman" w:cs="Times New Roman" w:eastAsia="Times New Roman" w:hint="default"/>
          <w:spacing w:val="-2"/>
        </w:rPr>
        <w:t>2017</w:t>
      </w:r>
      <w:r>
        <w:rPr>
          <w:spacing w:val="-2"/>
        </w:rPr>
        <w:t>年度公司高级管理人员薪酬方</w:t>
      </w:r>
      <w:r>
        <w:rPr>
          <w:spacing w:val="-59"/>
        </w:rPr>
        <w:t> </w:t>
      </w:r>
      <w:r>
        <w:rPr/>
        <w:t>案严格执行了公司薪酬管理制度，绩效考核和薪酬发放的程序符合有关法律、法规、公司章程、规章制度等规定。</w:t>
      </w:r>
    </w:p>
    <w:p>
      <w:pPr>
        <w:spacing w:line="240" w:lineRule="auto" w:before="12"/>
        <w:rPr>
          <w:rFonts w:ascii="宋体" w:hAnsi="宋体" w:cs="宋体" w:eastAsia="宋体" w:hint="default"/>
          <w:sz w:val="20"/>
          <w:szCs w:val="20"/>
        </w:rPr>
      </w:pPr>
    </w:p>
    <w:p>
      <w:pPr>
        <w:pStyle w:val="Heading2"/>
        <w:spacing w:line="240" w:lineRule="auto"/>
        <w:ind w:right="92"/>
        <w:jc w:val="left"/>
        <w:rPr>
          <w:b w:val="0"/>
          <w:bCs w:val="0"/>
        </w:rPr>
      </w:pPr>
      <w:bookmarkStart w:name="九、内部控制评价报告" w:id="144"/>
      <w:bookmarkEnd w:id="144"/>
      <w:r>
        <w:rPr>
          <w:b w:val="0"/>
          <w:bCs w:val="0"/>
        </w:rPr>
      </w:r>
      <w:r>
        <w:rPr/>
        <w:t>九、内部控制评价报告</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92"/>
        <w:jc w:val="left"/>
        <w:rPr>
          <w:b w:val="0"/>
          <w:bCs w:val="0"/>
        </w:rPr>
      </w:pPr>
      <w:bookmarkStart w:name="1、报告期内发现的内部控制重大缺陷的具体情况" w:id="145"/>
      <w:bookmarkEnd w:id="145"/>
      <w:r>
        <w:rPr>
          <w:b w:val="0"/>
          <w:bCs w:val="0"/>
        </w:rPr>
      </w: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9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9"/>
        <w:rPr>
          <w:rFonts w:ascii="宋体" w:hAnsi="宋体" w:cs="宋体" w:eastAsia="宋体" w:hint="default"/>
          <w:sz w:val="25"/>
          <w:szCs w:val="25"/>
        </w:rPr>
      </w:pPr>
    </w:p>
    <w:p>
      <w:pPr>
        <w:pStyle w:val="Heading5"/>
        <w:spacing w:line="240" w:lineRule="auto"/>
        <w:ind w:right="92"/>
        <w:jc w:val="left"/>
        <w:rPr>
          <w:b w:val="0"/>
          <w:bCs w:val="0"/>
        </w:rPr>
      </w:pPr>
      <w:bookmarkStart w:name="2、内控自我评价报告" w:id="146"/>
      <w:bookmarkEnd w:id="146"/>
      <w:r>
        <w:rPr>
          <w:b w:val="0"/>
          <w:bCs w:val="0"/>
        </w:rPr>
      </w:r>
      <w:r>
        <w:rPr>
          <w:rFonts w:ascii="Times New Roman" w:hAnsi="Times New Roman" w:cs="Times New Roman" w:eastAsia="Times New Roman" w:hint="default"/>
        </w:rPr>
        <w:t>2</w:t>
      </w:r>
      <w:r>
        <w:rPr/>
        <w:t>、内控自我评价报告</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94"/>
        <w:gridCol w:w="6375"/>
      </w:tblGrid>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http:/</w:t>
            </w:r>
            <w:hyperlink r:id="rId11">
              <w:r>
                <w:rPr>
                  <w:rFonts w:ascii="Times New Roman"/>
                  <w:sz w:val="18"/>
                </w:rPr>
                <w:t>www.cninfo.com.cn</w:t>
              </w:r>
            </w:hyperlink>
          </w:p>
        </w:tc>
      </w:tr>
      <w:tr>
        <w:trPr>
          <w:trHeight w:val="714"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99"/>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纳入评价范围单位资产总额占公司合并 财务报表资产总额的比例</w:t>
            </w:r>
          </w:p>
        </w:tc>
        <w:tc>
          <w:tcPr>
            <w:tcW w:w="6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94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6"/>
          <w:szCs w:val="16"/>
        </w:rPr>
      </w:pPr>
    </w:p>
    <w:p>
      <w:pPr>
        <w:pStyle w:val="BodyText"/>
        <w:spacing w:line="240" w:lineRule="auto" w:before="0"/>
        <w:ind w:left="0" w:right="170"/>
        <w:jc w:val="right"/>
      </w:pPr>
      <w:r>
        <w:rPr/>
        <w:pict>
          <v:shape style="position:absolute;margin-left:56.459999pt;margin-top:-411.148285pt;width:479.2pt;height:509.05pt;mso-position-horizontal-relative:page;mso-position-vertical-relative:paragraph;z-index:133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89"/>
                    <w:gridCol w:w="3329"/>
                    <w:gridCol w:w="3051"/>
                  </w:tblGrid>
                  <w:tr>
                    <w:trPr>
                      <w:trHeight w:val="714"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94"/>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纳入评价范围单位营业收入占公司合并 财务报表营业收入的比例</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r>
                  <w:tr>
                    <w:trPr>
                      <w:trHeight w:val="397" w:hRule="exact"/>
                    </w:trPr>
                    <w:tc>
                      <w:tcPr>
                        <w:tcW w:w="956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7"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4"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3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5" w:right="0"/>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2501" w:hRule="exact"/>
                    </w:trPr>
                    <w:tc>
                      <w:tcPr>
                        <w:tcW w:w="31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329" w:type="dxa"/>
                        <w:vMerge w:val="restart"/>
                        <w:tcBorders>
                          <w:top w:val="single" w:sz="4" w:space="0" w:color="000000"/>
                          <w:left w:val="single" w:sz="9" w:space="0" w:color="D2D2D2"/>
                          <w:right w:val="single" w:sz="9" w:space="0" w:color="FFFFFF"/>
                        </w:tcBorders>
                      </w:tcPr>
                      <w:p>
                        <w:pPr>
                          <w:pStyle w:val="TableParagraph"/>
                          <w:spacing w:line="300" w:lineRule="auto" w:before="51"/>
                          <w:ind w:left="22" w:right="14"/>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、财务报告重大缺陷的迹象包括：①公司</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董事、监事和高级管理人员的舞弊行为；</w:t>
                        </w:r>
                      </w:p>
                      <w:p>
                        <w:pPr>
                          <w:pStyle w:val="TableParagraph"/>
                          <w:spacing w:line="316" w:lineRule="auto" w:before="31"/>
                          <w:ind w:left="22" w:right="41"/>
                          <w:jc w:val="both"/>
                          <w:rPr>
                            <w:rFonts w:ascii="宋体" w:hAnsi="宋体" w:cs="宋体" w:eastAsia="宋体" w:hint="default"/>
                            <w:sz w:val="18"/>
                            <w:szCs w:val="18"/>
                          </w:rPr>
                        </w:pPr>
                        <w:r>
                          <w:rPr>
                            <w:rFonts w:ascii="宋体" w:hAnsi="宋体" w:cs="宋体" w:eastAsia="宋体" w:hint="default"/>
                            <w:sz w:val="18"/>
                            <w:szCs w:val="18"/>
                          </w:rPr>
                          <w:t>②公司更正已公布的财务报告；③注册会 计师发现当期财务报告存在重大错误，而 内部控制在运行过程中未能发现该错报；</w:t>
                        </w:r>
                      </w:p>
                      <w:p>
                        <w:pPr>
                          <w:pStyle w:val="TableParagraph"/>
                          <w:spacing w:line="314" w:lineRule="auto" w:before="19"/>
                          <w:ind w:left="22" w:right="-47"/>
                          <w:jc w:val="left"/>
                          <w:rPr>
                            <w:rFonts w:ascii="宋体" w:hAnsi="宋体" w:cs="宋体" w:eastAsia="宋体" w:hint="default"/>
                            <w:sz w:val="18"/>
                            <w:szCs w:val="18"/>
                          </w:rPr>
                        </w:pPr>
                        <w:r>
                          <w:rPr>
                            <w:rFonts w:ascii="宋体" w:hAnsi="宋体" w:cs="宋体" w:eastAsia="宋体" w:hint="default"/>
                            <w:sz w:val="18"/>
                            <w:szCs w:val="18"/>
                          </w:rPr>
                          <w:t>④审计委员会和审计部门对公司的对外财 务报告和财务报告内部控制监督无效。</w:t>
                        </w:r>
                        <w:r>
                          <w:rPr>
                            <w:rFonts w:ascii="Times New Roman" w:hAnsi="Times New Roman" w:cs="Times New Roman" w:eastAsia="Times New Roman" w:hint="default"/>
                            <w:sz w:val="18"/>
                            <w:szCs w:val="18"/>
                          </w:rPr>
                          <w:t>2</w:t>
                        </w:r>
                        <w:r>
                          <w:rPr>
                            <w:rFonts w:ascii="宋体" w:hAnsi="宋体" w:cs="宋体" w:eastAsia="宋体" w:hint="default"/>
                            <w:sz w:val="18"/>
                            <w:szCs w:val="18"/>
                          </w:rPr>
                          <w:t>、 财务报告重要缺陷的迹象包括：①未依照 公认会计准则选择和应用会计政策、未建 立反舞弊程序和控制措施；②对于非常规 或特殊交易的账务处理没有建立相应的控 制机制或没有实施且没有相应的补偿性控 制；③对于期末财务报告过程的控制存在 一项或多项缺陷且不能合理保证编制的财 </w:t>
                        </w:r>
                        <w:r>
                          <w:rPr>
                            <w:rFonts w:ascii="宋体" w:hAnsi="宋体" w:cs="宋体" w:eastAsia="宋体" w:hint="default"/>
                            <w:spacing w:val="-4"/>
                            <w:sz w:val="18"/>
                            <w:szCs w:val="18"/>
                          </w:rPr>
                          <w:t>务报表达到真实、准确的目标。</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、财务报</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告一般缺陷是指上述重大缺陷、重要缺陷 之外的其他控制缺陷。</w:t>
                        </w:r>
                      </w:p>
                    </w:tc>
                    <w:tc>
                      <w:tcPr>
                        <w:tcW w:w="3051" w:type="dxa"/>
                        <w:vMerge w:val="restart"/>
                        <w:tcBorders>
                          <w:top w:val="single" w:sz="4" w:space="0" w:color="000000"/>
                          <w:left w:val="single" w:sz="9" w:space="0" w:color="FFFFFF"/>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1"/>
                          <w:ind w:left="16"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、非财务报告重大缺陷的存在迹象包 括：①违反国家法律法规或规范性文 </w:t>
                        </w:r>
                        <w:r>
                          <w:rPr>
                            <w:rFonts w:ascii="宋体" w:hAnsi="宋体" w:cs="宋体" w:eastAsia="宋体" w:hint="default"/>
                            <w:spacing w:val="-4"/>
                            <w:sz w:val="18"/>
                            <w:szCs w:val="18"/>
                          </w:rPr>
                          <w:t>件；②公司重大决策程序不科学；③重</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要业务缺乏制度控制或制度系统性失 </w:t>
                        </w:r>
                        <w:r>
                          <w:rPr>
                            <w:rFonts w:ascii="宋体" w:hAnsi="宋体" w:cs="宋体" w:eastAsia="宋体" w:hint="default"/>
                            <w:spacing w:val="-4"/>
                            <w:sz w:val="18"/>
                            <w:szCs w:val="18"/>
                          </w:rPr>
                          <w:t>效；④内部控制评价的结果特别是重大</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或重要缺陷未得到整改；⑤其他对公司</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负面影响重大的情形。</w:t>
                        </w:r>
                        <w:r>
                          <w:rPr>
                            <w:rFonts w:ascii="Times New Roman" w:hAnsi="Times New Roman" w:cs="Times New Roman" w:eastAsia="Times New Roman" w:hint="default"/>
                            <w:sz w:val="18"/>
                            <w:szCs w:val="18"/>
                          </w:rPr>
                          <w:t>2</w:t>
                        </w:r>
                        <w:r>
                          <w:rPr>
                            <w:rFonts w:ascii="宋体" w:hAnsi="宋体" w:cs="宋体" w:eastAsia="宋体" w:hint="default"/>
                            <w:sz w:val="18"/>
                            <w:szCs w:val="18"/>
                          </w:rPr>
                          <w:t>、其他情形按 影响程度分别确定为重要缺陷或一般 缺陷。</w:t>
                        </w:r>
                      </w:p>
                    </w:tc>
                  </w:tr>
                  <w:tr>
                    <w:trPr>
                      <w:trHeight w:val="392" w:hRule="exact"/>
                    </w:trPr>
                    <w:tc>
                      <w:tcPr>
                        <w:tcW w:w="318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329" w:type="dxa"/>
                        <w:vMerge/>
                        <w:tcBorders>
                          <w:left w:val="single" w:sz="9" w:space="0" w:color="D2D2D2"/>
                          <w:right w:val="single" w:sz="9" w:space="0" w:color="FFFFFF"/>
                        </w:tcBorders>
                      </w:tcPr>
                      <w:p>
                        <w:pPr/>
                      </w:p>
                    </w:tc>
                    <w:tc>
                      <w:tcPr>
                        <w:tcW w:w="3051" w:type="dxa"/>
                        <w:vMerge/>
                        <w:tcBorders>
                          <w:left w:val="single" w:sz="9" w:space="0" w:color="FFFFFF"/>
                          <w:right w:val="single" w:sz="4" w:space="0" w:color="000000"/>
                        </w:tcBorders>
                      </w:tcPr>
                      <w:p>
                        <w:pPr/>
                      </w:p>
                    </w:tc>
                  </w:tr>
                  <w:tr>
                    <w:trPr>
                      <w:trHeight w:val="2501" w:hRule="exact"/>
                    </w:trPr>
                    <w:tc>
                      <w:tcPr>
                        <w:tcW w:w="3189" w:type="dxa"/>
                        <w:tcBorders>
                          <w:top w:val="nil" w:sz="6" w:space="0" w:color="auto"/>
                          <w:left w:val="single" w:sz="4" w:space="0" w:color="000000"/>
                          <w:bottom w:val="single" w:sz="4" w:space="0" w:color="000000"/>
                          <w:right w:val="single" w:sz="4" w:space="0" w:color="000000"/>
                        </w:tcBorders>
                        <w:shd w:val="clear" w:color="auto" w:fill="D2D2D2"/>
                      </w:tcPr>
                      <w:p>
                        <w:pPr/>
                      </w:p>
                    </w:tc>
                    <w:tc>
                      <w:tcPr>
                        <w:tcW w:w="3329" w:type="dxa"/>
                        <w:vMerge/>
                        <w:tcBorders>
                          <w:left w:val="single" w:sz="9" w:space="0" w:color="D2D2D2"/>
                          <w:bottom w:val="single" w:sz="4" w:space="0" w:color="000000"/>
                          <w:right w:val="single" w:sz="9" w:space="0" w:color="FFFFFF"/>
                        </w:tcBorders>
                      </w:tcPr>
                      <w:p>
                        <w:pPr/>
                      </w:p>
                    </w:tc>
                    <w:tc>
                      <w:tcPr>
                        <w:tcW w:w="3051" w:type="dxa"/>
                        <w:vMerge/>
                        <w:tcBorders>
                          <w:left w:val="single" w:sz="9" w:space="0" w:color="FFFFFF"/>
                          <w:bottom w:val="single" w:sz="4" w:space="0" w:color="000000"/>
                          <w:right w:val="single" w:sz="4" w:space="0" w:color="000000"/>
                        </w:tcBorders>
                      </w:tcPr>
                      <w:p>
                        <w:pPr/>
                      </w:p>
                    </w:tc>
                  </w:tr>
                  <w:tr>
                    <w:trPr>
                      <w:trHeight w:val="629" w:hRule="exact"/>
                    </w:trPr>
                    <w:tc>
                      <w:tcPr>
                        <w:tcW w:w="31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329" w:type="dxa"/>
                        <w:vMerge w:val="restart"/>
                        <w:tcBorders>
                          <w:top w:val="single" w:sz="4" w:space="0" w:color="000000"/>
                          <w:left w:val="single" w:sz="9" w:space="0" w:color="D2D2D2"/>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07" w:lineRule="auto"/>
                          <w:ind w:left="22" w:right="20"/>
                          <w:jc w:val="left"/>
                          <w:rPr>
                            <w:rFonts w:ascii="宋体" w:hAnsi="宋体" w:cs="宋体" w:eastAsia="宋体" w:hint="default"/>
                            <w:sz w:val="18"/>
                            <w:szCs w:val="18"/>
                          </w:rPr>
                        </w:pPr>
                        <w:r>
                          <w:rPr>
                            <w:rFonts w:ascii="宋体" w:hAnsi="宋体" w:cs="宋体" w:eastAsia="宋体" w:hint="default"/>
                            <w:sz w:val="18"/>
                            <w:szCs w:val="18"/>
                          </w:rPr>
                          <w:t>考虑补偿性控制措施和实际偏差率后，对 金额超过资产总额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的错报认定为重大 </w:t>
                        </w:r>
                        <w:r>
                          <w:rPr>
                            <w:rFonts w:ascii="宋体" w:hAnsi="宋体" w:cs="宋体" w:eastAsia="宋体" w:hint="default"/>
                            <w:spacing w:val="-3"/>
                            <w:sz w:val="18"/>
                            <w:szCs w:val="18"/>
                          </w:rPr>
                          <w:t>错报，对金额超过资产总额</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的错报认 定为重要错报，其余为一般错误。</w:t>
                        </w:r>
                      </w:p>
                    </w:tc>
                    <w:tc>
                      <w:tcPr>
                        <w:tcW w:w="3051" w:type="dxa"/>
                        <w:vMerge w:val="restart"/>
                        <w:tcBorders>
                          <w:top w:val="single" w:sz="4" w:space="0" w:color="000000"/>
                          <w:left w:val="single" w:sz="4" w:space="0" w:color="000000"/>
                          <w:right w:val="single" w:sz="4" w:space="0" w:color="000000"/>
                        </w:tcBorders>
                      </w:tcPr>
                      <w:p>
                        <w:pPr>
                          <w:pStyle w:val="TableParagraph"/>
                          <w:spacing w:line="314" w:lineRule="auto" w:before="51"/>
                          <w:ind w:left="22" w:right="-42"/>
                          <w:jc w:val="left"/>
                          <w:rPr>
                            <w:rFonts w:ascii="宋体" w:hAnsi="宋体" w:cs="宋体" w:eastAsia="宋体" w:hint="default"/>
                            <w:sz w:val="18"/>
                            <w:szCs w:val="18"/>
                          </w:rPr>
                        </w:pPr>
                        <w:r>
                          <w:rPr>
                            <w:rFonts w:ascii="宋体" w:hAnsi="宋体" w:cs="宋体" w:eastAsia="宋体" w:hint="default"/>
                            <w:sz w:val="18"/>
                            <w:szCs w:val="18"/>
                          </w:rPr>
                          <w:t>考虑补偿性控制措施和实际偏差率后， </w:t>
                        </w:r>
                        <w:r>
                          <w:rPr>
                            <w:rFonts w:ascii="宋体" w:hAnsi="宋体" w:cs="宋体" w:eastAsia="宋体" w:hint="default"/>
                            <w:spacing w:val="-4"/>
                            <w:sz w:val="18"/>
                            <w:szCs w:val="18"/>
                          </w:rPr>
                          <w:t>以涉及金额大小为标准，造成直接财务</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损失占公司资产总额的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的为重大缺 </w:t>
                        </w:r>
                        <w:r>
                          <w:rPr>
                            <w:rFonts w:ascii="宋体" w:hAnsi="宋体" w:cs="宋体" w:eastAsia="宋体" w:hint="default"/>
                            <w:spacing w:val="-4"/>
                            <w:sz w:val="18"/>
                            <w:szCs w:val="18"/>
                          </w:rPr>
                          <w:t>陷，造成直接财产损失占公司资产总额</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Times New Roman" w:hAnsi="Times New Roman" w:cs="Times New Roman" w:eastAsia="Times New Roman" w:hint="default"/>
                            <w:sz w:val="18"/>
                            <w:szCs w:val="18"/>
                          </w:rPr>
                          <w:t>0.5%</w:t>
                        </w:r>
                        <w:r>
                          <w:rPr>
                            <w:rFonts w:ascii="宋体" w:hAnsi="宋体" w:cs="宋体" w:eastAsia="宋体" w:hint="default"/>
                            <w:sz w:val="18"/>
                            <w:szCs w:val="18"/>
                          </w:rPr>
                          <w:t>的为重要缺陷，其余为一般缺陷</w:t>
                        </w:r>
                      </w:p>
                    </w:tc>
                  </w:tr>
                  <w:tr>
                    <w:trPr>
                      <w:trHeight w:val="392" w:hRule="exact"/>
                    </w:trPr>
                    <w:tc>
                      <w:tcPr>
                        <w:tcW w:w="318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329" w:type="dxa"/>
                        <w:vMerge/>
                        <w:tcBorders>
                          <w:left w:val="single" w:sz="9" w:space="0" w:color="D2D2D2"/>
                          <w:right w:val="single" w:sz="4" w:space="0" w:color="000000"/>
                        </w:tcBorders>
                      </w:tcPr>
                      <w:p>
                        <w:pPr/>
                      </w:p>
                    </w:tc>
                    <w:tc>
                      <w:tcPr>
                        <w:tcW w:w="3051" w:type="dxa"/>
                        <w:vMerge/>
                        <w:tcBorders>
                          <w:left w:val="single" w:sz="4" w:space="0" w:color="000000"/>
                          <w:right w:val="single" w:sz="4" w:space="0" w:color="000000"/>
                        </w:tcBorders>
                      </w:tcPr>
                      <w:p>
                        <w:pPr/>
                      </w:p>
                    </w:tc>
                  </w:tr>
                  <w:tr>
                    <w:trPr>
                      <w:trHeight w:val="629" w:hRule="exact"/>
                    </w:trPr>
                    <w:tc>
                      <w:tcPr>
                        <w:tcW w:w="3189" w:type="dxa"/>
                        <w:tcBorders>
                          <w:top w:val="nil" w:sz="6" w:space="0" w:color="auto"/>
                          <w:left w:val="single" w:sz="4" w:space="0" w:color="000000"/>
                          <w:bottom w:val="single" w:sz="4" w:space="0" w:color="000000"/>
                          <w:right w:val="single" w:sz="4" w:space="0" w:color="000000"/>
                        </w:tcBorders>
                        <w:shd w:val="clear" w:color="auto" w:fill="D2D2D2"/>
                      </w:tcPr>
                      <w:p>
                        <w:pPr/>
                      </w:p>
                    </w:tc>
                    <w:tc>
                      <w:tcPr>
                        <w:tcW w:w="3329" w:type="dxa"/>
                        <w:vMerge/>
                        <w:tcBorders>
                          <w:left w:val="single" w:sz="9" w:space="0" w:color="D2D2D2"/>
                          <w:bottom w:val="single" w:sz="4" w:space="0" w:color="000000"/>
                          <w:right w:val="single" w:sz="4" w:space="0" w:color="000000"/>
                        </w:tcBorders>
                      </w:tcPr>
                      <w:p>
                        <w:pPr/>
                      </w:p>
                    </w:tc>
                    <w:tc>
                      <w:tcPr>
                        <w:tcW w:w="3051" w:type="dxa"/>
                        <w:vMerge/>
                        <w:tcBorders>
                          <w:left w:val="single" w:sz="4" w:space="0" w:color="000000"/>
                          <w:bottom w:val="single" w:sz="4" w:space="0" w:color="000000"/>
                          <w:right w:val="single" w:sz="4" w:space="0" w:color="000000"/>
                        </w:tcBorders>
                      </w:tcPr>
                      <w:p>
                        <w:pP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9"/>
          <w:szCs w:val="29"/>
        </w:rPr>
      </w:pPr>
    </w:p>
    <w:p>
      <w:pPr>
        <w:pStyle w:val="Heading2"/>
        <w:spacing w:line="240" w:lineRule="auto" w:before="26"/>
        <w:ind w:right="0"/>
        <w:jc w:val="left"/>
        <w:rPr>
          <w:b w:val="0"/>
          <w:bCs w:val="0"/>
        </w:rPr>
      </w:pPr>
      <w:bookmarkStart w:name="十、内部控制审计报告或鉴证报告" w:id="147"/>
      <w:bookmarkEnd w:id="147"/>
      <w:r>
        <w:rPr>
          <w:b w:val="0"/>
          <w:bCs w:val="0"/>
        </w:rPr>
      </w:r>
      <w:r>
        <w:rPr/>
        <w:t>十、内部控制审计报告或鉴证报告</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0"/>
        <w:jc w:val="left"/>
      </w:pPr>
      <w:r>
        <w:rPr/>
        <w:t>不适用</w:t>
      </w:r>
    </w:p>
    <w:p>
      <w:pPr>
        <w:spacing w:after="0" w:line="240" w:lineRule="auto"/>
        <w:jc w:val="left"/>
        <w:sectPr>
          <w:pgSz w:w="11910" w:h="16840"/>
          <w:pgMar w:header="747" w:footer="979"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126" w:right="0"/>
        <w:jc w:val="left"/>
        <w:rPr>
          <w:b w:val="0"/>
          <w:bCs w:val="0"/>
        </w:rPr>
      </w:pPr>
      <w:bookmarkStart w:name="第十节 公司债券相关情况" w:id="148"/>
      <w:bookmarkEnd w:id="148"/>
      <w:r>
        <w:rPr>
          <w:b w:val="0"/>
          <w:bCs w:val="0"/>
        </w:rPr>
      </w:r>
      <w:bookmarkStart w:name="_bookmark8" w:id="149"/>
      <w:bookmarkEnd w:id="149"/>
      <w:r>
        <w:rPr>
          <w:b w:val="0"/>
          <w:bCs w:val="0"/>
        </w:rPr>
      </w:r>
      <w:r>
        <w:rPr/>
        <w:t>第十节</w:t>
      </w:r>
      <w:r>
        <w:rPr>
          <w:spacing w:val="-9"/>
        </w:rPr>
        <w:t> </w:t>
      </w:r>
      <w:r>
        <w:rPr/>
        <w:t>公司债券相关情况</w:t>
      </w:r>
      <w:r>
        <w:rPr>
          <w:b w:val="0"/>
          <w:bCs w:val="0"/>
        </w:rPr>
      </w:r>
    </w:p>
    <w:p>
      <w:pPr>
        <w:spacing w:line="240" w:lineRule="auto" w:before="8"/>
        <w:rPr>
          <w:rFonts w:ascii="宋体" w:hAnsi="宋体" w:cs="宋体" w:eastAsia="宋体" w:hint="default"/>
          <w:b/>
          <w:bCs/>
          <w:sz w:val="42"/>
          <w:szCs w:val="42"/>
        </w:rPr>
      </w:pPr>
    </w:p>
    <w:p>
      <w:pPr>
        <w:pStyle w:val="BodyText"/>
        <w:spacing w:line="357" w:lineRule="auto" w:before="0"/>
        <w:ind w:right="1132"/>
        <w:jc w:val="left"/>
      </w:pPr>
      <w:r>
        <w:rPr/>
        <w:t>公司是否存在公开发行并在证券交易所上市，且在年度报告批准报出日未到期或到期未能全额兑付的公司债券 否</w:t>
      </w:r>
    </w:p>
    <w:p>
      <w:pPr>
        <w:spacing w:after="0" w:line="357" w:lineRule="auto"/>
        <w:jc w:val="left"/>
        <w:sectPr>
          <w:pgSz w:w="11910" w:h="16840"/>
          <w:pgMar w:header="747" w:footer="979"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150"/>
        <w:jc w:val="center"/>
        <w:rPr>
          <w:b w:val="0"/>
          <w:bCs w:val="0"/>
        </w:rPr>
      </w:pPr>
      <w:bookmarkStart w:name="第十一节 财务报告" w:id="150"/>
      <w:bookmarkEnd w:id="150"/>
      <w:r>
        <w:rPr>
          <w:b w:val="0"/>
          <w:bCs w:val="0"/>
        </w:rPr>
      </w:r>
      <w:bookmarkStart w:name="_bookmark9" w:id="151"/>
      <w:bookmarkEnd w:id="151"/>
      <w:r>
        <w:rPr>
          <w:b w:val="0"/>
          <w:bCs w:val="0"/>
        </w:rPr>
      </w:r>
      <w:r>
        <w:rPr/>
        <w:t>第十一节</w:t>
      </w:r>
      <w:r>
        <w:rPr>
          <w:spacing w:val="-6"/>
        </w:rPr>
        <w:t> </w:t>
      </w:r>
      <w:r>
        <w:rPr/>
        <w:t>财务报告</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审计报告" w:id="152"/>
      <w:bookmarkEnd w:id="152"/>
      <w:r>
        <w:rPr>
          <w:b w:val="0"/>
          <w:bCs w:val="0"/>
        </w:rPr>
      </w: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4"/>
        <w:gridCol w:w="4785"/>
      </w:tblGrid>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标准的无保留意见</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天健会计师事务所（特殊普通合伙）</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天健审〔</w:t>
            </w:r>
            <w:r>
              <w:rPr>
                <w:rFonts w:ascii="Times New Roman" w:hAnsi="Times New Roman" w:cs="Times New Roman" w:eastAsia="Times New Roman" w:hint="default"/>
                <w:sz w:val="18"/>
                <w:szCs w:val="18"/>
              </w:rPr>
              <w:t>2018</w:t>
            </w:r>
            <w:r>
              <w:rPr>
                <w:rFonts w:ascii="宋体" w:hAnsi="宋体" w:cs="宋体" w:eastAsia="宋体" w:hint="default"/>
                <w:sz w:val="18"/>
                <w:szCs w:val="18"/>
              </w:rPr>
              <w:t>〕 </w:t>
            </w:r>
            <w:r>
              <w:rPr>
                <w:rFonts w:ascii="Times New Roman" w:hAnsi="Times New Roman" w:cs="Times New Roman" w:eastAsia="Times New Roman" w:hint="default"/>
                <w:sz w:val="18"/>
                <w:szCs w:val="18"/>
              </w:rPr>
              <w:t>2468  </w:t>
            </w:r>
            <w:r>
              <w:rPr>
                <w:rFonts w:ascii="宋体" w:hAnsi="宋体" w:cs="宋体" w:eastAsia="宋体" w:hint="default"/>
                <w:sz w:val="18"/>
                <w:szCs w:val="18"/>
              </w:rPr>
              <w:t>号</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王强、李唯婕</w:t>
            </w:r>
          </w:p>
        </w:tc>
      </w:tr>
    </w:tbl>
    <w:p>
      <w:pPr>
        <w:pStyle w:val="BodyText"/>
        <w:spacing w:line="240" w:lineRule="auto" w:before="51"/>
        <w:ind w:left="151" w:right="150"/>
        <w:jc w:val="center"/>
      </w:pPr>
      <w:r>
        <w:rPr/>
        <w:t>审计报告正文</w:t>
      </w:r>
    </w:p>
    <w:p>
      <w:pPr>
        <w:tabs>
          <w:tab w:pos="668" w:val="left" w:leader="none"/>
          <w:tab w:pos="1337" w:val="left" w:leader="none"/>
          <w:tab w:pos="2005" w:val="left" w:leader="none"/>
        </w:tabs>
        <w:spacing w:before="125"/>
        <w:ind w:left="0" w:right="0" w:firstLine="0"/>
        <w:jc w:val="center"/>
        <w:rPr>
          <w:rFonts w:ascii="宋体" w:hAnsi="宋体" w:cs="宋体" w:eastAsia="宋体" w:hint="default"/>
          <w:sz w:val="36"/>
          <w:szCs w:val="36"/>
        </w:rPr>
      </w:pPr>
      <w:r>
        <w:rPr>
          <w:rFonts w:ascii="宋体" w:hAnsi="宋体" w:cs="宋体" w:eastAsia="宋体" w:hint="default"/>
          <w:b/>
          <w:bCs/>
          <w:w w:val="95"/>
          <w:sz w:val="36"/>
          <w:szCs w:val="36"/>
        </w:rPr>
        <w:t>审</w:t>
        <w:tab/>
        <w:t>计</w:t>
        <w:tab/>
        <w:t>报</w:t>
        <w:tab/>
      </w:r>
      <w:r>
        <w:rPr>
          <w:rFonts w:ascii="宋体" w:hAnsi="宋体" w:cs="宋体" w:eastAsia="宋体" w:hint="default"/>
          <w:b/>
          <w:bCs/>
          <w:sz w:val="36"/>
          <w:szCs w:val="36"/>
        </w:rPr>
        <w:t>告</w:t>
      </w:r>
      <w:r>
        <w:rPr>
          <w:rFonts w:ascii="宋体" w:hAnsi="宋体" w:cs="宋体" w:eastAsia="宋体" w:hint="default"/>
          <w:sz w:val="36"/>
          <w:szCs w:val="36"/>
        </w:rPr>
      </w:r>
    </w:p>
    <w:p>
      <w:pPr>
        <w:pStyle w:val="BodyText"/>
        <w:spacing w:line="240" w:lineRule="auto" w:before="142"/>
        <w:ind w:left="152" w:right="150"/>
        <w:jc w:val="center"/>
      </w:pPr>
      <w:r>
        <w:rPr/>
        <w:t>天健审〔</w:t>
      </w:r>
      <w:r>
        <w:rPr>
          <w:rFonts w:ascii="Times New Roman" w:hAnsi="Times New Roman" w:cs="Times New Roman" w:eastAsia="Times New Roman" w:hint="default"/>
        </w:rPr>
        <w:t>2018</w:t>
      </w:r>
      <w:r>
        <w:rPr/>
        <w:t>〕 </w:t>
      </w:r>
      <w:r>
        <w:rPr>
          <w:rFonts w:ascii="Times New Roman" w:hAnsi="Times New Roman" w:cs="Times New Roman" w:eastAsia="Times New Roman" w:hint="default"/>
        </w:rPr>
        <w:t>2468</w:t>
      </w:r>
      <w:r>
        <w:rPr>
          <w:rFonts w:ascii="Times New Roman" w:hAnsi="Times New Roman" w:cs="Times New Roman" w:eastAsia="Times New Roman" w:hint="default"/>
          <w:spacing w:val="10"/>
        </w:rPr>
        <w:t> </w:t>
      </w:r>
      <w:r>
        <w:rPr/>
        <w:t>号</w:t>
      </w:r>
    </w:p>
    <w:p>
      <w:pPr>
        <w:spacing w:line="620" w:lineRule="atLeast" w:before="19"/>
        <w:ind w:left="636" w:right="5213" w:hanging="483"/>
        <w:jc w:val="left"/>
        <w:rPr>
          <w:rFonts w:ascii="宋体" w:hAnsi="宋体" w:cs="宋体" w:eastAsia="宋体" w:hint="default"/>
          <w:sz w:val="24"/>
          <w:szCs w:val="24"/>
        </w:rPr>
      </w:pPr>
      <w:r>
        <w:rPr>
          <w:rFonts w:ascii="宋体" w:hAnsi="宋体" w:cs="宋体" w:eastAsia="宋体" w:hint="default"/>
          <w:sz w:val="24"/>
          <w:szCs w:val="24"/>
        </w:rPr>
        <w:t>杭州高新橡塑材料股份有限公司全体股东： </w:t>
      </w:r>
      <w:r>
        <w:rPr>
          <w:rFonts w:ascii="宋体" w:hAnsi="宋体" w:cs="宋体" w:eastAsia="宋体" w:hint="default"/>
          <w:b/>
          <w:bCs/>
          <w:sz w:val="24"/>
          <w:szCs w:val="24"/>
        </w:rPr>
        <w:t>一、审计意见</w:t>
      </w:r>
      <w:r>
        <w:rPr>
          <w:rFonts w:ascii="宋体" w:hAnsi="宋体" w:cs="宋体" w:eastAsia="宋体" w:hint="default"/>
          <w:sz w:val="24"/>
          <w:szCs w:val="24"/>
        </w:rPr>
      </w:r>
    </w:p>
    <w:p>
      <w:pPr>
        <w:pStyle w:val="Heading3"/>
        <w:spacing w:line="312" w:lineRule="exact" w:before="28"/>
        <w:ind w:right="153" w:firstLine="480"/>
        <w:jc w:val="both"/>
      </w:pPr>
      <w:r>
        <w:rPr>
          <w:spacing w:val="8"/>
        </w:rPr>
        <w:t>我们审计了杭州高新橡塑材料股份有限公司</w:t>
      </w:r>
      <w:r>
        <w:rPr>
          <w:rFonts w:ascii="Times New Roman" w:hAnsi="Times New Roman" w:cs="Times New Roman" w:eastAsia="Times New Roman" w:hint="default"/>
          <w:spacing w:val="8"/>
        </w:rPr>
        <w:t>(</w:t>
      </w:r>
      <w:r>
        <w:rPr>
          <w:spacing w:val="8"/>
        </w:rPr>
        <w:t>以下简称杭州高新公司</w:t>
      </w:r>
      <w:r>
        <w:rPr>
          <w:rFonts w:ascii="Times New Roman" w:hAnsi="Times New Roman" w:cs="Times New Roman" w:eastAsia="Times New Roman" w:hint="default"/>
          <w:spacing w:val="8"/>
        </w:rPr>
        <w:t>)</w:t>
      </w:r>
      <w:r>
        <w:rPr>
          <w:spacing w:val="8"/>
        </w:rPr>
        <w:t>财务报表，包括</w:t>
      </w:r>
      <w:r>
        <w:rPr/>
        <w:t> </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日的合并及母公司资产负债表，</w:t>
      </w:r>
      <w:r>
        <w:rPr>
          <w:rFonts w:ascii="Times New Roman" w:hAnsi="Times New Roman" w:cs="Times New Roman" w:eastAsia="Times New Roman" w:hint="default"/>
        </w:rPr>
        <w:t>2017</w:t>
      </w:r>
      <w:r>
        <w:rPr/>
        <w:t>年度的合并及母公司利润表、合并及母公</w:t>
      </w:r>
      <w:r>
        <w:rPr>
          <w:spacing w:val="-109"/>
        </w:rPr>
        <w:t> </w:t>
      </w:r>
      <w:r>
        <w:rPr>
          <w:spacing w:val="-109"/>
        </w:rPr>
      </w:r>
      <w:r>
        <w:rPr/>
        <w:t>司现金流量表、合并及母公司所有者权益变动表，以及相关财务报表附注。</w:t>
      </w:r>
    </w:p>
    <w:p>
      <w:pPr>
        <w:pStyle w:val="Heading3"/>
        <w:spacing w:line="312" w:lineRule="exact"/>
        <w:ind w:right="153" w:firstLine="480"/>
        <w:jc w:val="both"/>
      </w:pPr>
      <w:r>
        <w:rPr/>
        <w:t>我们认为，后附的财务报表在所有重大方面按照企业会计准则的规定编制，公允反映了 杭州高新公司</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日的合并及母公司财务状况以及</w:t>
      </w:r>
      <w:r>
        <w:rPr>
          <w:rFonts w:ascii="Times New Roman" w:hAnsi="Times New Roman" w:cs="Times New Roman" w:eastAsia="Times New Roman" w:hint="default"/>
        </w:rPr>
        <w:t>2017</w:t>
      </w:r>
      <w:r>
        <w:rPr/>
        <w:t>年度的合并及母公司经营成</w:t>
      </w:r>
      <w:r>
        <w:rPr>
          <w:spacing w:val="-106"/>
        </w:rPr>
        <w:t> </w:t>
      </w:r>
      <w:r>
        <w:rPr>
          <w:spacing w:val="-106"/>
        </w:rPr>
      </w:r>
      <w:r>
        <w:rPr/>
        <w:t>果和现金流量。</w:t>
      </w:r>
    </w:p>
    <w:p>
      <w:pPr>
        <w:spacing w:line="240" w:lineRule="auto" w:before="11"/>
        <w:rPr>
          <w:rFonts w:ascii="宋体" w:hAnsi="宋体" w:cs="宋体" w:eastAsia="宋体" w:hint="default"/>
          <w:sz w:val="23"/>
          <w:szCs w:val="23"/>
        </w:rPr>
      </w:pPr>
    </w:p>
    <w:p>
      <w:pPr>
        <w:spacing w:line="312" w:lineRule="exact" w:before="0"/>
        <w:ind w:left="634" w:right="143" w:firstLine="2"/>
        <w:jc w:val="left"/>
        <w:rPr>
          <w:rFonts w:ascii="宋体" w:hAnsi="宋体" w:cs="宋体" w:eastAsia="宋体" w:hint="default"/>
          <w:sz w:val="24"/>
          <w:szCs w:val="24"/>
        </w:rPr>
      </w:pPr>
      <w:r>
        <w:rPr>
          <w:rFonts w:ascii="宋体" w:hAnsi="宋体" w:cs="宋体" w:eastAsia="宋体" w:hint="default"/>
          <w:b/>
          <w:bCs/>
          <w:sz w:val="24"/>
          <w:szCs w:val="24"/>
        </w:rPr>
        <w:t>二、形成审计意见的基础</w:t>
      </w:r>
      <w:r>
        <w:rPr>
          <w:rFonts w:ascii="宋体" w:hAnsi="宋体" w:cs="宋体" w:eastAsia="宋体" w:hint="default"/>
          <w:b/>
          <w:bCs/>
          <w:w w:val="99"/>
          <w:sz w:val="24"/>
          <w:szCs w:val="24"/>
        </w:rPr>
        <w:t> </w:t>
      </w:r>
      <w:r>
        <w:rPr>
          <w:rFonts w:ascii="宋体" w:hAnsi="宋体" w:cs="宋体" w:eastAsia="宋体" w:hint="default"/>
          <w:spacing w:val="-2"/>
          <w:sz w:val="24"/>
          <w:szCs w:val="24"/>
        </w:rPr>
        <w:t>我们按照中国注册会计师审计准则的规定执行了审计工作。审计报告的</w:t>
      </w:r>
      <w:r>
        <w:rPr>
          <w:rFonts w:ascii="Times New Roman" w:hAnsi="Times New Roman" w:cs="Times New Roman" w:eastAsia="Times New Roman" w:hint="default"/>
          <w:spacing w:val="-2"/>
          <w:sz w:val="24"/>
          <w:szCs w:val="24"/>
        </w:rPr>
        <w:t>“</w:t>
      </w:r>
      <w:r>
        <w:rPr>
          <w:rFonts w:ascii="宋体" w:hAnsi="宋体" w:cs="宋体" w:eastAsia="宋体" w:hint="default"/>
          <w:spacing w:val="-2"/>
          <w:sz w:val="24"/>
          <w:szCs w:val="24"/>
        </w:rPr>
        <w:t>注册会计师对财</w:t>
      </w:r>
    </w:p>
    <w:p>
      <w:pPr>
        <w:pStyle w:val="Heading3"/>
        <w:spacing w:line="312" w:lineRule="exact"/>
        <w:ind w:right="151"/>
        <w:jc w:val="both"/>
      </w:pPr>
      <w:r>
        <w:rPr>
          <w:spacing w:val="-2"/>
        </w:rPr>
        <w:t>务报表审计的责任</w:t>
      </w:r>
      <w:r>
        <w:rPr>
          <w:rFonts w:ascii="Times New Roman" w:hAnsi="Times New Roman" w:cs="Times New Roman" w:eastAsia="Times New Roman" w:hint="default"/>
          <w:spacing w:val="-2"/>
        </w:rPr>
        <w:t>”</w:t>
      </w:r>
      <w:r>
        <w:rPr>
          <w:spacing w:val="-2"/>
        </w:rPr>
        <w:t>部分进一步阐述了我们在这些准则下的责任。按照中国注册会计师职业道</w:t>
      </w:r>
      <w:r>
        <w:rPr>
          <w:spacing w:val="-107"/>
        </w:rPr>
        <w:t> </w:t>
      </w:r>
      <w:r>
        <w:rPr>
          <w:spacing w:val="-107"/>
        </w:rPr>
      </w:r>
      <w:r>
        <w:rPr/>
        <w:t>德守则，我们独立于杭州高新公司，并履行了职业道德方面的其他责任。我们相信，我们获 取的审计证据是充分、适当的，为发表审计意见提供了基础。</w:t>
      </w:r>
    </w:p>
    <w:p>
      <w:pPr>
        <w:spacing w:line="240" w:lineRule="auto" w:before="11"/>
        <w:rPr>
          <w:rFonts w:ascii="宋体" w:hAnsi="宋体" w:cs="宋体" w:eastAsia="宋体" w:hint="default"/>
          <w:sz w:val="23"/>
          <w:szCs w:val="23"/>
        </w:rPr>
      </w:pPr>
    </w:p>
    <w:p>
      <w:pPr>
        <w:pStyle w:val="Heading3"/>
        <w:spacing w:line="312" w:lineRule="exact"/>
        <w:ind w:left="634" w:right="0" w:firstLine="2"/>
        <w:jc w:val="left"/>
      </w:pPr>
      <w:r>
        <w:rPr>
          <w:rFonts w:ascii="宋体" w:hAnsi="宋体" w:cs="宋体" w:eastAsia="宋体" w:hint="default"/>
          <w:b/>
          <w:bCs/>
        </w:rPr>
        <w:t>三、关键审计事项</w:t>
      </w:r>
      <w:r>
        <w:rPr>
          <w:rFonts w:ascii="宋体" w:hAnsi="宋体" w:cs="宋体" w:eastAsia="宋体" w:hint="default"/>
          <w:b/>
          <w:bCs/>
          <w:w w:val="99"/>
        </w:rPr>
        <w:t> </w:t>
      </w:r>
      <w:r>
        <w:rPr/>
        <w:t>关键审计事项是我们根据职业判断，认为对本期财务报表审计最为重要的事项。这些事</w:t>
      </w:r>
    </w:p>
    <w:p>
      <w:pPr>
        <w:pStyle w:val="Heading3"/>
        <w:spacing w:line="312" w:lineRule="exact"/>
        <w:ind w:right="159"/>
        <w:jc w:val="both"/>
      </w:pPr>
      <w:r>
        <w:rPr/>
        <w:t>项的应对以对财务报表整体进行审计并形成审计意见为背景，我们不对这些事项单独发表意 见。</w:t>
      </w:r>
    </w:p>
    <w:p>
      <w:pPr>
        <w:pStyle w:val="Heading3"/>
        <w:spacing w:line="291" w:lineRule="exact"/>
        <w:ind w:left="578" w:right="0"/>
        <w:jc w:val="left"/>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r>
      <w:r>
        <w:rPr/>
        <w:t>商誉减值</w:t>
      </w:r>
    </w:p>
    <w:p>
      <w:pPr>
        <w:pStyle w:val="Heading3"/>
        <w:spacing w:line="312" w:lineRule="exact"/>
        <w:ind w:left="634"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36"/>
        </w:rPr>
        <w:t> </w:t>
      </w:r>
      <w:r>
        <w:rPr/>
        <w:t>关键审计事项</w:t>
      </w:r>
    </w:p>
    <w:p>
      <w:pPr>
        <w:pStyle w:val="Heading3"/>
        <w:spacing w:line="312" w:lineRule="exact" w:before="20"/>
        <w:ind w:right="147" w:firstLine="480"/>
        <w:jc w:val="both"/>
      </w:pPr>
      <w:r>
        <w:rPr/>
        <w:t>如公司财务报表附注五</w:t>
      </w:r>
      <w:r>
        <w:rPr>
          <w:spacing w:val="-15"/>
        </w:rPr>
        <w:t> </w:t>
      </w:r>
      <w:r>
        <w:rPr>
          <w:rFonts w:ascii="Times New Roman" w:hAnsi="Times New Roman" w:cs="Times New Roman" w:eastAsia="Times New Roman" w:hint="default"/>
        </w:rPr>
        <w:t>(</w:t>
      </w:r>
      <w:r>
        <w:rPr/>
        <w:t>一</w:t>
      </w:r>
      <w:r>
        <w:rPr>
          <w:rFonts w:ascii="Times New Roman" w:hAnsi="Times New Roman" w:cs="Times New Roman" w:eastAsia="Times New Roman" w:hint="default"/>
        </w:rPr>
        <w:t>)13</w:t>
      </w:r>
      <w:r>
        <w:rPr/>
        <w:t>所述，杭州高新公司期末商誉账面价值为</w:t>
      </w:r>
      <w:r>
        <w:rPr>
          <w:rFonts w:ascii="Times New Roman" w:hAnsi="Times New Roman" w:cs="Times New Roman" w:eastAsia="Times New Roman" w:hint="default"/>
        </w:rPr>
        <w:t>46,929.04</w:t>
      </w:r>
      <w:r>
        <w:rPr/>
        <w:t>万元，</w:t>
      </w:r>
      <w:r>
        <w:rPr>
          <w:spacing w:val="1"/>
        </w:rPr>
        <w:t> </w:t>
      </w:r>
      <w:r>
        <w:rPr/>
        <w:t>占资产总额</w:t>
      </w:r>
      <w:r>
        <w:rPr>
          <w:rFonts w:ascii="Times New Roman" w:hAnsi="Times New Roman" w:cs="Times New Roman" w:eastAsia="Times New Roman" w:hint="default"/>
        </w:rPr>
        <w:t>34.31%</w:t>
      </w:r>
      <w:r>
        <w:rPr/>
        <w:t>。管理层在每年年度终了对商誉进行减值测试，并依据减值测试的结果调 整商誉的账面价值。由于商誉减值测试的评估过程复杂，需要管理层对被收购单位的未来预 计收入、毛利率及现金流折现率等假设做出重大判断和估计，因此，我们将商誉减值识别为</w:t>
      </w:r>
    </w:p>
    <w:p>
      <w:pPr>
        <w:spacing w:after="0" w:line="312" w:lineRule="exact"/>
        <w:jc w:val="both"/>
        <w:sectPr>
          <w:pgSz w:w="11910" w:h="16840"/>
          <w:pgMar w:header="747" w:footer="979" w:top="1060" w:bottom="1160" w:left="980" w:right="980"/>
        </w:sectPr>
      </w:pPr>
    </w:p>
    <w:p>
      <w:pPr>
        <w:spacing w:line="240" w:lineRule="auto" w:before="7"/>
        <w:rPr>
          <w:rFonts w:ascii="宋体" w:hAnsi="宋体" w:cs="宋体" w:eastAsia="宋体" w:hint="default"/>
          <w:sz w:val="23"/>
          <w:szCs w:val="23"/>
        </w:rPr>
      </w:pPr>
    </w:p>
    <w:p>
      <w:pPr>
        <w:pStyle w:val="Heading3"/>
        <w:spacing w:line="313" w:lineRule="exact" w:before="26"/>
        <w:ind w:right="2892"/>
        <w:jc w:val="left"/>
      </w:pPr>
      <w:r>
        <w:rPr/>
        <w:t>关键审计事项。</w:t>
      </w:r>
    </w:p>
    <w:p>
      <w:pPr>
        <w:pStyle w:val="Heading3"/>
        <w:spacing w:line="312" w:lineRule="exact" w:before="29"/>
        <w:ind w:left="634" w:right="2892"/>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36"/>
        </w:rPr>
        <w:t> </w:t>
      </w:r>
      <w:r>
        <w:rPr/>
        <w:t>审计中的应对 我们针对杭州高新公司该关键审计事项执行的主要程序包括：</w:t>
      </w:r>
    </w:p>
    <w:p>
      <w:pPr>
        <w:pStyle w:val="Heading3"/>
        <w:spacing w:line="225" w:lineRule="auto"/>
        <w:ind w:right="214" w:firstLine="424"/>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6"/>
        </w:rPr>
        <w:t> </w:t>
      </w:r>
      <w:r>
        <w:rPr/>
        <w:t>了解及评价商誉减值测试相关的内部控制设计的有效性，并测试关键控制运行的有效</w:t>
      </w:r>
      <w:r>
        <w:rPr>
          <w:w w:val="99"/>
        </w:rPr>
        <w:t> </w:t>
      </w:r>
      <w:r>
        <w:rPr/>
        <w:t>性；</w:t>
      </w:r>
    </w:p>
    <w:p>
      <w:pPr>
        <w:pStyle w:val="Heading3"/>
        <w:spacing w:line="312" w:lineRule="exact" w:before="30"/>
        <w:ind w:right="173" w:firstLine="424"/>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35"/>
        </w:rPr>
        <w:t> </w:t>
      </w:r>
      <w:r>
        <w:rPr/>
        <w:t>分析管理层对商誉所属资产组的认定和进行商誉减值测试时采用的关键假设和方法，</w:t>
      </w:r>
      <w:r>
        <w:rPr>
          <w:w w:val="99"/>
        </w:rPr>
        <w:t> </w:t>
      </w:r>
      <w:r>
        <w:rPr/>
        <w:t>检查相关的假设和方法的合理性；</w:t>
      </w:r>
    </w:p>
    <w:p>
      <w:pPr>
        <w:pStyle w:val="Heading3"/>
        <w:spacing w:line="312" w:lineRule="exact"/>
        <w:ind w:right="214" w:firstLine="424"/>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6"/>
        </w:rPr>
        <w:t> </w:t>
      </w:r>
      <w:r>
        <w:rPr/>
        <w:t>复核管理层编制的商誉所属资产组可收回金额的计算表；获取独立估值专家对被收购</w:t>
      </w:r>
      <w:r>
        <w:rPr>
          <w:w w:val="99"/>
        </w:rPr>
        <w:t> </w:t>
      </w:r>
      <w:r>
        <w:rPr/>
        <w:t>单位出具的评估报告，与管理层测算结果进行比较；</w:t>
      </w:r>
    </w:p>
    <w:p>
      <w:pPr>
        <w:pStyle w:val="Heading3"/>
        <w:spacing w:line="312" w:lineRule="exact"/>
        <w:ind w:right="214" w:firstLine="424"/>
        <w:jc w:val="left"/>
      </w:pPr>
      <w:r>
        <w:rPr>
          <w:rFonts w:ascii="Times New Roman" w:hAnsi="Times New Roman" w:cs="Times New Roman" w:eastAsia="Times New Roman" w:hint="default"/>
        </w:rPr>
        <w:t>(4)</w:t>
      </w:r>
      <w:r>
        <w:rPr>
          <w:rFonts w:ascii="Times New Roman" w:hAnsi="Times New Roman" w:cs="Times New Roman" w:eastAsia="Times New Roman" w:hint="default"/>
          <w:spacing w:val="57"/>
        </w:rPr>
        <w:t> </w:t>
      </w:r>
      <w:r>
        <w:rPr>
          <w:spacing w:val="4"/>
        </w:rPr>
        <w:t>比较商誉所属资产组的账面价值与其可收回金额的差异，确认是否存在商誉减值情</w:t>
      </w:r>
      <w:r>
        <w:rPr>
          <w:w w:val="99"/>
        </w:rPr>
        <w:t> </w:t>
      </w:r>
      <w:r>
        <w:rPr/>
        <w:t>况。</w:t>
      </w:r>
    </w:p>
    <w:p>
      <w:pPr>
        <w:pStyle w:val="Heading3"/>
        <w:spacing w:line="291" w:lineRule="exact"/>
        <w:ind w:left="634" w:right="2892"/>
        <w:jc w:val="left"/>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21"/>
        </w:rPr>
        <w:t> </w:t>
      </w:r>
      <w:r>
        <w:rPr/>
        <w:t>营业确认</w:t>
      </w:r>
    </w:p>
    <w:p>
      <w:pPr>
        <w:pStyle w:val="Heading3"/>
        <w:spacing w:line="312" w:lineRule="exact" w:before="20"/>
        <w:ind w:left="634" w:right="212"/>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36"/>
        </w:rPr>
        <w:t> </w:t>
      </w:r>
      <w:r>
        <w:rPr/>
        <w:t>关键审计事项 如财务报表附注五</w:t>
      </w:r>
      <w:r>
        <w:rPr>
          <w:rFonts w:ascii="Times New Roman" w:hAnsi="Times New Roman" w:cs="Times New Roman" w:eastAsia="Times New Roman" w:hint="default"/>
        </w:rPr>
        <w:t>(</w:t>
      </w:r>
      <w:r>
        <w:rPr/>
        <w:t>二</w:t>
      </w:r>
      <w:r>
        <w:rPr>
          <w:rFonts w:ascii="Times New Roman" w:hAnsi="Times New Roman" w:cs="Times New Roman" w:eastAsia="Times New Roman" w:hint="default"/>
        </w:rPr>
        <w:t>)1</w:t>
      </w:r>
      <w:r>
        <w:rPr/>
        <w:t>所述，杭州高新公司本期营业收入为</w:t>
      </w:r>
      <w:r>
        <w:rPr>
          <w:rFonts w:ascii="Times New Roman" w:hAnsi="Times New Roman" w:cs="Times New Roman" w:eastAsia="Times New Roman" w:hint="default"/>
        </w:rPr>
        <w:t>65,153.78</w:t>
      </w:r>
      <w:r>
        <w:rPr/>
        <w:t>万元，主要来源于</w:t>
      </w:r>
    </w:p>
    <w:p>
      <w:pPr>
        <w:pStyle w:val="Heading3"/>
        <w:spacing w:line="312" w:lineRule="exact"/>
        <w:ind w:right="214"/>
        <w:jc w:val="left"/>
      </w:pPr>
      <w:r>
        <w:rPr/>
        <w:t>销售电线电缆用高分子材料、智能化电源设备和新能源设备的收入，产生错报的固有风险较 高。因此，我们将营业收入的确认识别为关键审计事项。</w:t>
      </w:r>
    </w:p>
    <w:p>
      <w:pPr>
        <w:pStyle w:val="Heading3"/>
        <w:spacing w:line="312" w:lineRule="exact"/>
        <w:ind w:left="634" w:right="2412"/>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36"/>
        </w:rPr>
        <w:t> </w:t>
      </w:r>
      <w:r>
        <w:rPr/>
        <w:t>审计中的应对 我们针对杭州高新公司该关键审计事项执行的主要审计程序包括：</w:t>
      </w:r>
    </w:p>
    <w:p>
      <w:pPr>
        <w:pStyle w:val="Heading3"/>
        <w:spacing w:line="312" w:lineRule="exact"/>
        <w:ind w:right="217" w:firstLine="480"/>
        <w:jc w:val="left"/>
      </w:pPr>
      <w:r>
        <w:rPr>
          <w:rFonts w:ascii="Times New Roman" w:hAnsi="Times New Roman" w:cs="Times New Roman" w:eastAsia="Times New Roman" w:hint="default"/>
          <w:w w:val="99"/>
        </w:rPr>
        <w:t>(1)</w:t>
      </w:r>
      <w:r>
        <w:rPr>
          <w:rFonts w:ascii="Times New Roman" w:hAnsi="Times New Roman" w:cs="Times New Roman" w:eastAsia="Times New Roman" w:hint="default"/>
          <w:spacing w:val="46"/>
          <w:w w:val="99"/>
        </w:rPr>
        <w:t> </w:t>
      </w:r>
      <w:r>
        <w:rPr>
          <w:spacing w:val="-3"/>
          <w:w w:val="99"/>
        </w:rPr>
        <w:t>了解及评价与收入确认事项有关的内部控制设计的有效性，并测试关键控制运行的有</w:t>
      </w:r>
      <w:r>
        <w:rPr>
          <w:w w:val="99"/>
        </w:rPr>
        <w:t> </w:t>
      </w:r>
      <w:r>
        <w:rPr/>
        <w:t>效性；</w:t>
      </w:r>
    </w:p>
    <w:p>
      <w:pPr>
        <w:pStyle w:val="Heading3"/>
        <w:spacing w:line="312" w:lineRule="exact"/>
        <w:ind w:right="218" w:firstLine="48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45"/>
        </w:rPr>
        <w:t> </w:t>
      </w:r>
      <w:r>
        <w:rPr>
          <w:spacing w:val="-3"/>
        </w:rPr>
        <w:t>通过查阅销售合同、与管理层的沟通等程序，对与产品销售收入确认有关的产品所有</w:t>
      </w:r>
      <w:r>
        <w:rPr>
          <w:w w:val="99"/>
        </w:rPr>
        <w:t> </w:t>
      </w:r>
      <w:r>
        <w:rPr/>
        <w:t>权上的主要风险及报酬转移时点进行分析评估，进而评估产品销售收入确认政策的适当性；</w:t>
      </w:r>
    </w:p>
    <w:p>
      <w:pPr>
        <w:pStyle w:val="Heading3"/>
        <w:spacing w:line="292" w:lineRule="exact"/>
        <w:ind w:left="634" w:right="0"/>
        <w:jc w:val="left"/>
      </w:pPr>
      <w:r>
        <w:rPr>
          <w:rFonts w:ascii="Times New Roman" w:hAnsi="Times New Roman" w:cs="Times New Roman" w:eastAsia="Times New Roman" w:hint="default"/>
          <w:w w:val="99"/>
        </w:rPr>
        <w:t>(3) </w:t>
      </w:r>
      <w:r>
        <w:rPr>
          <w:rFonts w:ascii="Times New Roman" w:hAnsi="Times New Roman" w:cs="Times New Roman" w:eastAsia="Times New Roman" w:hint="default"/>
          <w:spacing w:val="-23"/>
          <w:w w:val="99"/>
        </w:rPr>
        <w:t> </w:t>
      </w:r>
      <w:r>
        <w:rPr>
          <w:w w:val="99"/>
        </w:rPr>
        <w:t>对销</w:t>
      </w:r>
      <w:r>
        <w:rPr>
          <w:spacing w:val="-2"/>
          <w:w w:val="99"/>
        </w:rPr>
        <w:t>售</w:t>
      </w:r>
      <w:r>
        <w:rPr>
          <w:w w:val="99"/>
        </w:rPr>
        <w:t>收入执行实质性分析程序</w:t>
      </w:r>
      <w:r>
        <w:rPr>
          <w:spacing w:val="-110"/>
          <w:w w:val="99"/>
        </w:rPr>
        <w:t>，</w:t>
      </w:r>
      <w:r>
        <w:rPr>
          <w:w w:val="99"/>
        </w:rPr>
        <w:t>包括年度间</w:t>
      </w:r>
      <w:r>
        <w:rPr>
          <w:spacing w:val="-110"/>
          <w:w w:val="99"/>
        </w:rPr>
        <w:t>、</w:t>
      </w:r>
      <w:r>
        <w:rPr>
          <w:w w:val="99"/>
        </w:rPr>
        <w:t>年度内月度波动分析和毛利率分析等；</w:t>
      </w:r>
      <w:r>
        <w:rPr/>
      </w:r>
    </w:p>
    <w:p>
      <w:pPr>
        <w:pStyle w:val="Heading3"/>
        <w:spacing w:line="312" w:lineRule="exact" w:before="20"/>
        <w:ind w:right="219" w:firstLine="480"/>
        <w:jc w:val="left"/>
      </w:pPr>
      <w:r>
        <w:rPr>
          <w:rFonts w:ascii="Times New Roman" w:hAnsi="Times New Roman" w:cs="Times New Roman" w:eastAsia="Times New Roman" w:hint="default"/>
        </w:rPr>
        <w:t>(4)</w:t>
      </w:r>
      <w:r>
        <w:rPr>
          <w:rFonts w:ascii="Times New Roman" w:hAnsi="Times New Roman" w:cs="Times New Roman" w:eastAsia="Times New Roman" w:hint="default"/>
          <w:spacing w:val="44"/>
        </w:rPr>
        <w:t> </w:t>
      </w:r>
      <w:r>
        <w:rPr>
          <w:spacing w:val="-3"/>
        </w:rPr>
        <w:t>检查与收入确认相关的支持性文件，包括销售合同、订单、出库单、收货单、安装调</w:t>
      </w:r>
      <w:r>
        <w:rPr>
          <w:w w:val="99"/>
        </w:rPr>
        <w:t> </w:t>
      </w:r>
      <w:r>
        <w:rPr/>
        <w:t>试验收证明等；</w:t>
      </w:r>
    </w:p>
    <w:p>
      <w:pPr>
        <w:pStyle w:val="Heading3"/>
        <w:spacing w:line="291" w:lineRule="exact"/>
        <w:ind w:left="670" w:right="0"/>
        <w:jc w:val="left"/>
      </w:pPr>
      <w:r>
        <w:rPr>
          <w:rFonts w:ascii="Times New Roman" w:hAnsi="Times New Roman" w:cs="Times New Roman" w:eastAsia="Times New Roman" w:hint="default"/>
        </w:rPr>
        <w:t>(5)</w:t>
      </w:r>
      <w:r>
        <w:rPr>
          <w:rFonts w:ascii="Times New Roman" w:hAnsi="Times New Roman" w:cs="Times New Roman" w:eastAsia="Times New Roman" w:hint="default"/>
          <w:spacing w:val="18"/>
        </w:rPr>
        <w:t> </w:t>
      </w:r>
      <w:r>
        <w:rPr/>
        <w:t>对主要客户的销售额及应收账款期末余额执行函证程序，必要时执行实地走访核查；</w:t>
      </w:r>
    </w:p>
    <w:p>
      <w:pPr>
        <w:pStyle w:val="Heading3"/>
        <w:spacing w:line="312" w:lineRule="exact" w:before="20"/>
        <w:ind w:right="235" w:firstLine="516"/>
        <w:jc w:val="left"/>
      </w:pPr>
      <w:r>
        <w:rPr>
          <w:rFonts w:ascii="Times New Roman" w:hAnsi="Times New Roman" w:cs="Times New Roman" w:eastAsia="Times New Roman" w:hint="default"/>
        </w:rPr>
        <w:t>(6)</w:t>
      </w:r>
      <w:r>
        <w:rPr>
          <w:rFonts w:ascii="Times New Roman" w:hAnsi="Times New Roman" w:cs="Times New Roman" w:eastAsia="Times New Roman" w:hint="default"/>
          <w:spacing w:val="49"/>
        </w:rPr>
        <w:t> </w:t>
      </w:r>
      <w:r>
        <w:rPr>
          <w:spacing w:val="2"/>
        </w:rPr>
        <w:t>对资产负债表日前后确认的销售收入执行截止性测试，并检查期后是否存在销售退</w:t>
      </w:r>
      <w:r>
        <w:rPr>
          <w:w w:val="99"/>
        </w:rPr>
        <w:t> </w:t>
      </w:r>
      <w:r>
        <w:rPr/>
        <w:t>回，以评估销售收入确认期间是否恰当。</w:t>
      </w:r>
    </w:p>
    <w:p>
      <w:pPr>
        <w:spacing w:line="240" w:lineRule="auto" w:before="11"/>
        <w:rPr>
          <w:rFonts w:ascii="宋体" w:hAnsi="宋体" w:cs="宋体" w:eastAsia="宋体" w:hint="default"/>
          <w:sz w:val="23"/>
          <w:szCs w:val="23"/>
        </w:rPr>
      </w:pPr>
    </w:p>
    <w:p>
      <w:pPr>
        <w:pStyle w:val="Heading3"/>
        <w:spacing w:line="312" w:lineRule="exact"/>
        <w:ind w:left="634" w:right="214" w:firstLine="2"/>
        <w:jc w:val="left"/>
      </w:pPr>
      <w:r>
        <w:rPr>
          <w:rFonts w:ascii="宋体" w:hAnsi="宋体" w:cs="宋体" w:eastAsia="宋体" w:hint="default"/>
          <w:b/>
          <w:bCs/>
        </w:rPr>
        <w:t>四、其他信息</w:t>
      </w:r>
      <w:r>
        <w:rPr>
          <w:rFonts w:ascii="宋体" w:hAnsi="宋体" w:cs="宋体" w:eastAsia="宋体" w:hint="default"/>
          <w:b/>
          <w:bCs/>
          <w:w w:val="99"/>
        </w:rPr>
        <w:t> </w:t>
      </w:r>
      <w:r>
        <w:rPr>
          <w:spacing w:val="2"/>
        </w:rPr>
        <w:t>杭州高新公司管理层</w:t>
      </w:r>
      <w:r>
        <w:rPr>
          <w:rFonts w:ascii="Times New Roman" w:hAnsi="Times New Roman" w:cs="Times New Roman" w:eastAsia="Times New Roman" w:hint="default"/>
          <w:spacing w:val="2"/>
        </w:rPr>
        <w:t>(</w:t>
      </w:r>
      <w:r>
        <w:rPr>
          <w:spacing w:val="2"/>
        </w:rPr>
        <w:t>以下简称管理层</w:t>
      </w:r>
      <w:r>
        <w:rPr>
          <w:rFonts w:ascii="Times New Roman" w:hAnsi="Times New Roman" w:cs="Times New Roman" w:eastAsia="Times New Roman" w:hint="default"/>
          <w:spacing w:val="2"/>
        </w:rPr>
        <w:t>)</w:t>
      </w:r>
      <w:r>
        <w:rPr>
          <w:spacing w:val="2"/>
        </w:rPr>
        <w:t>对其他信息负责。其他信息包括年度报告中涵盖</w:t>
      </w:r>
    </w:p>
    <w:p>
      <w:pPr>
        <w:pStyle w:val="Heading3"/>
        <w:spacing w:line="312" w:lineRule="exact"/>
        <w:ind w:left="634" w:right="214" w:hanging="480"/>
        <w:jc w:val="left"/>
      </w:pPr>
      <w:r>
        <w:rPr/>
        <w:t>的信息，但不包括财务报表和我们的审计报告。 我们对财务报表发表的审计意见不涵盖其他信息，我们也不对其他信息发表任何形式的</w:t>
      </w:r>
    </w:p>
    <w:p>
      <w:pPr>
        <w:pStyle w:val="Heading3"/>
        <w:spacing w:line="282" w:lineRule="exact"/>
        <w:ind w:right="2892"/>
        <w:jc w:val="left"/>
      </w:pPr>
      <w:r>
        <w:rPr/>
        <w:t>鉴证结论。</w:t>
      </w:r>
    </w:p>
    <w:p>
      <w:pPr>
        <w:pStyle w:val="Heading3"/>
        <w:spacing w:line="312" w:lineRule="exact" w:before="29"/>
        <w:ind w:right="240" w:firstLine="480"/>
        <w:jc w:val="right"/>
      </w:pPr>
      <w:r>
        <w:rPr/>
        <w:t>结合我们对财务报表的审计，我们的责任是阅读其他信息，在此过程中，考虑其他信息 是否与财务报表或我们在审计过程中了解到的情况存在重大不一致或者似乎存在重大错报。 基于我们已执行的工作，如果我们确定其他信息存在重大错报，我们应当报告该事实。</w:t>
      </w:r>
    </w:p>
    <w:p>
      <w:pPr>
        <w:pStyle w:val="Heading3"/>
        <w:spacing w:line="283" w:lineRule="exact"/>
        <w:ind w:right="2892"/>
        <w:jc w:val="left"/>
      </w:pPr>
      <w:r>
        <w:rPr/>
        <w:t>在这方面，我们无任何事项需要报告。</w:t>
      </w:r>
    </w:p>
    <w:p>
      <w:pPr>
        <w:spacing w:line="240" w:lineRule="auto" w:before="9"/>
        <w:rPr>
          <w:rFonts w:ascii="宋体" w:hAnsi="宋体" w:cs="宋体" w:eastAsia="宋体" w:hint="default"/>
          <w:sz w:val="23"/>
          <w:szCs w:val="23"/>
        </w:rPr>
      </w:pPr>
    </w:p>
    <w:p>
      <w:pPr>
        <w:spacing w:before="0"/>
        <w:ind w:left="634" w:right="214" w:firstLine="2"/>
        <w:jc w:val="left"/>
        <w:rPr>
          <w:rFonts w:ascii="宋体" w:hAnsi="宋体" w:cs="宋体" w:eastAsia="宋体" w:hint="default"/>
          <w:sz w:val="24"/>
          <w:szCs w:val="24"/>
        </w:rPr>
      </w:pPr>
      <w:r>
        <w:rPr>
          <w:rFonts w:ascii="宋体" w:hAnsi="宋体" w:cs="宋体" w:eastAsia="宋体" w:hint="default"/>
          <w:b/>
          <w:bCs/>
          <w:sz w:val="24"/>
          <w:szCs w:val="24"/>
        </w:rPr>
        <w:t>五、管理层和治理层对财务报表的责任</w:t>
      </w:r>
      <w:r>
        <w:rPr>
          <w:rFonts w:ascii="宋体" w:hAnsi="宋体" w:cs="宋体" w:eastAsia="宋体" w:hint="default"/>
          <w:b/>
          <w:bCs/>
          <w:w w:val="99"/>
          <w:sz w:val="24"/>
          <w:szCs w:val="24"/>
        </w:rPr>
        <w:t> </w:t>
      </w:r>
      <w:r>
        <w:rPr>
          <w:rFonts w:ascii="宋体" w:hAnsi="宋体" w:cs="宋体" w:eastAsia="宋体" w:hint="default"/>
          <w:sz w:val="24"/>
          <w:szCs w:val="24"/>
        </w:rPr>
        <w:t>管理层负责按照企业会计准则的规定编制财务报表，使其实现公允反映，并设计、执行</w:t>
      </w:r>
    </w:p>
    <w:p>
      <w:pPr>
        <w:pStyle w:val="Heading3"/>
        <w:spacing w:line="312" w:lineRule="exact" w:before="28"/>
        <w:ind w:left="634" w:right="214" w:hanging="480"/>
        <w:jc w:val="left"/>
      </w:pPr>
      <w:r>
        <w:rPr/>
        <w:t>和维护必要的内部控制，以使财务报表不存在由于舞弊或错误导致的重大错报。 在编制财务报表时，管理层负责评估杭州高新公司的持续经营能力，披露与持续经营相</w:t>
      </w:r>
    </w:p>
    <w:p>
      <w:pPr>
        <w:pStyle w:val="Heading3"/>
        <w:spacing w:line="283" w:lineRule="exact"/>
        <w:ind w:right="214"/>
        <w:jc w:val="left"/>
      </w:pPr>
      <w:r>
        <w:rPr/>
        <w:t>关的事项，并运用持续经营假设，除非计划进行清算、终止运营或别无其他现实的选择。</w:t>
      </w:r>
    </w:p>
    <w:p>
      <w:pPr>
        <w:spacing w:after="0" w:line="283" w:lineRule="exact"/>
        <w:jc w:val="left"/>
        <w:sectPr>
          <w:pgSz w:w="11910" w:h="16840"/>
          <w:pgMar w:header="747" w:footer="979" w:top="1060" w:bottom="1160" w:left="980" w:right="900"/>
        </w:sectPr>
      </w:pPr>
    </w:p>
    <w:p>
      <w:pPr>
        <w:spacing w:line="240" w:lineRule="auto" w:before="7"/>
        <w:rPr>
          <w:rFonts w:ascii="宋体" w:hAnsi="宋体" w:cs="宋体" w:eastAsia="宋体" w:hint="default"/>
          <w:sz w:val="23"/>
          <w:szCs w:val="23"/>
        </w:rPr>
      </w:pPr>
    </w:p>
    <w:p>
      <w:pPr>
        <w:pStyle w:val="Heading3"/>
        <w:spacing w:line="240" w:lineRule="auto" w:before="26"/>
        <w:ind w:left="634" w:right="0"/>
        <w:jc w:val="left"/>
      </w:pPr>
      <w:r>
        <w:rPr/>
        <w:t>杭州高新公司治理层</w:t>
      </w:r>
      <w:r>
        <w:rPr>
          <w:rFonts w:ascii="Times New Roman" w:hAnsi="Times New Roman" w:cs="Times New Roman" w:eastAsia="Times New Roman" w:hint="default"/>
        </w:rPr>
        <w:t>(</w:t>
      </w:r>
      <w:r>
        <w:rPr/>
        <w:t>以下简称治理层</w:t>
      </w:r>
      <w:r>
        <w:rPr>
          <w:rFonts w:ascii="Times New Roman" w:hAnsi="Times New Roman" w:cs="Times New Roman" w:eastAsia="Times New Roman" w:hint="default"/>
        </w:rPr>
        <w:t>)</w:t>
      </w:r>
      <w:r>
        <w:rPr/>
        <w:t>负责监督杭州高新公司的财务报告过程。</w:t>
      </w:r>
    </w:p>
    <w:p>
      <w:pPr>
        <w:spacing w:line="240" w:lineRule="auto" w:before="8"/>
        <w:rPr>
          <w:rFonts w:ascii="宋体" w:hAnsi="宋体" w:cs="宋体" w:eastAsia="宋体" w:hint="default"/>
          <w:sz w:val="24"/>
          <w:szCs w:val="24"/>
        </w:rPr>
      </w:pPr>
    </w:p>
    <w:p>
      <w:pPr>
        <w:spacing w:line="312" w:lineRule="exact" w:before="0"/>
        <w:ind w:left="634" w:right="0" w:firstLine="2"/>
        <w:jc w:val="left"/>
        <w:rPr>
          <w:rFonts w:ascii="宋体" w:hAnsi="宋体" w:cs="宋体" w:eastAsia="宋体" w:hint="default"/>
          <w:sz w:val="24"/>
          <w:szCs w:val="24"/>
        </w:rPr>
      </w:pPr>
      <w:r>
        <w:rPr>
          <w:rFonts w:ascii="宋体" w:hAnsi="宋体" w:cs="宋体" w:eastAsia="宋体" w:hint="default"/>
          <w:b/>
          <w:bCs/>
          <w:sz w:val="24"/>
          <w:szCs w:val="24"/>
        </w:rPr>
        <w:t>六、注册会计师对财务报表审计的责任</w:t>
      </w:r>
      <w:r>
        <w:rPr>
          <w:rFonts w:ascii="宋体" w:hAnsi="宋体" w:cs="宋体" w:eastAsia="宋体" w:hint="default"/>
          <w:b/>
          <w:bCs/>
          <w:w w:val="99"/>
          <w:sz w:val="24"/>
          <w:szCs w:val="24"/>
        </w:rPr>
        <w:t> </w:t>
      </w:r>
      <w:r>
        <w:rPr>
          <w:rFonts w:ascii="宋体" w:hAnsi="宋体" w:cs="宋体" w:eastAsia="宋体" w:hint="default"/>
          <w:spacing w:val="7"/>
          <w:sz w:val="24"/>
          <w:szCs w:val="24"/>
        </w:rPr>
        <w:t>我们的目标是对财务报表整体是否不存在由于舞弊或错误导致的重大错报获取合理保</w:t>
      </w:r>
    </w:p>
    <w:p>
      <w:pPr>
        <w:pStyle w:val="Heading3"/>
        <w:spacing w:line="312" w:lineRule="exact"/>
        <w:ind w:right="159"/>
        <w:jc w:val="both"/>
      </w:pPr>
      <w:r>
        <w:rPr/>
        <w:t>证，并出具包含审计意见的审计报告。合理保证是高水平的保证，但并不能保证按照审计准 则执行的审计在某一重大错报存在时总能发现。错报可能由于舞弊或错误导致，如果合理预 期错报单独或汇总起来可能影响财务报表使用者依据财务报表作出的经济决策，则通常认为 错报是重大的。</w:t>
      </w:r>
    </w:p>
    <w:p>
      <w:pPr>
        <w:pStyle w:val="Heading3"/>
        <w:spacing w:line="312" w:lineRule="exact"/>
        <w:ind w:right="160" w:firstLine="480"/>
        <w:jc w:val="both"/>
      </w:pPr>
      <w:r>
        <w:rPr/>
        <w:t>在按照审计准则执行审计工作的过程中，我们运用职业判断，并保持职业怀疑。同时， 我们也执行以下工作：</w:t>
      </w:r>
    </w:p>
    <w:p>
      <w:pPr>
        <w:pStyle w:val="Heading3"/>
        <w:spacing w:line="312" w:lineRule="exact"/>
        <w:ind w:right="152" w:firstLine="480"/>
        <w:jc w:val="both"/>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r>
      <w:r>
        <w:rPr>
          <w:rFonts w:ascii="Times New Roman" w:hAnsi="Times New Roman" w:cs="Times New Roman" w:eastAsia="Times New Roman" w:hint="default"/>
          <w:spacing w:val="36"/>
        </w:rPr>
        <w:t> </w:t>
      </w:r>
      <w:r>
        <w:rPr/>
        <w:t>识别和评估由于舞弊或错误导致的财务报表重大错报风险，设计和实施审计程序以</w:t>
      </w:r>
      <w:r>
        <w:rPr>
          <w:w w:val="99"/>
        </w:rPr>
        <w:t> </w:t>
      </w:r>
      <w:r>
        <w:rPr/>
        <w:t>应对这些风险，并获取充分、适当的审计证据，作为发表审计意见的基础。由于舞弊可能涉</w:t>
      </w:r>
      <w:r>
        <w:rPr>
          <w:spacing w:val="-113"/>
        </w:rPr>
        <w:t> </w:t>
      </w:r>
      <w:r>
        <w:rPr>
          <w:spacing w:val="-113"/>
        </w:rPr>
      </w:r>
      <w:r>
        <w:rPr/>
        <w:t>及串通、伪造、故意遗漏、虚假陈述或凌驾于内部控制之上，未能发现由于舞弊导致的重大</w:t>
      </w:r>
      <w:r>
        <w:rPr>
          <w:w w:val="99"/>
        </w:rPr>
        <w:t> </w:t>
      </w:r>
      <w:r>
        <w:rPr/>
        <w:t>错报的风险高于未能发现由于错误导致的重大错报的风险。</w:t>
      </w:r>
    </w:p>
    <w:p>
      <w:pPr>
        <w:pStyle w:val="Heading3"/>
        <w:spacing w:line="312" w:lineRule="exact"/>
        <w:ind w:right="157" w:firstLine="480"/>
        <w:jc w:val="both"/>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36"/>
        </w:rPr>
        <w:t> </w:t>
      </w:r>
      <w:r>
        <w:rPr/>
        <w:t>了解与审计相关的内部控制，以设计恰当的审计程序，但目的并非对内部控制的有</w:t>
      </w:r>
      <w:r>
        <w:rPr>
          <w:w w:val="99"/>
        </w:rPr>
        <w:t> </w:t>
      </w:r>
      <w:r>
        <w:rPr/>
        <w:t>效性发表意见。</w:t>
      </w:r>
    </w:p>
    <w:p>
      <w:pPr>
        <w:pStyle w:val="Heading3"/>
        <w:spacing w:line="291" w:lineRule="exact"/>
        <w:ind w:left="634" w:right="0"/>
        <w:jc w:val="left"/>
      </w:pPr>
      <w:r>
        <w:rPr>
          <w:rFonts w:ascii="Times New Roman" w:hAnsi="Times New Roman" w:cs="Times New Roman" w:eastAsia="Times New Roman" w:hint="default"/>
        </w:rPr>
        <w:t>(</w:t>
      </w:r>
      <w:r>
        <w:rPr/>
        <w:t>三</w:t>
      </w:r>
      <w:r>
        <w:rPr>
          <w:rFonts w:ascii="Times New Roman" w:hAnsi="Times New Roman" w:cs="Times New Roman" w:eastAsia="Times New Roman" w:hint="default"/>
        </w:rPr>
        <w:t>)</w:t>
      </w:r>
      <w:r>
        <w:rPr>
          <w:rFonts w:ascii="Times New Roman" w:hAnsi="Times New Roman" w:cs="Times New Roman" w:eastAsia="Times New Roman" w:hint="default"/>
          <w:spacing w:val="33"/>
        </w:rPr>
        <w:t> </w:t>
      </w:r>
      <w:r>
        <w:rPr/>
        <w:t>评价管理层选用会计政策的恰当性和作出会计估计及相关披露的合理性。</w:t>
      </w:r>
    </w:p>
    <w:p>
      <w:pPr>
        <w:pStyle w:val="Heading3"/>
        <w:spacing w:line="235" w:lineRule="auto"/>
        <w:ind w:right="156" w:firstLine="480"/>
        <w:jc w:val="both"/>
      </w:pPr>
      <w:r>
        <w:rPr>
          <w:rFonts w:ascii="Times New Roman" w:hAnsi="Times New Roman" w:cs="Times New Roman" w:eastAsia="Times New Roman" w:hint="default"/>
        </w:rPr>
        <w:t>(</w:t>
      </w:r>
      <w:r>
        <w:rPr/>
        <w:t>四</w:t>
      </w:r>
      <w:r>
        <w:rPr>
          <w:rFonts w:ascii="Times New Roman" w:hAnsi="Times New Roman" w:cs="Times New Roman" w:eastAsia="Times New Roman" w:hint="default"/>
        </w:rPr>
        <w:t>)</w:t>
      </w:r>
      <w:r>
        <w:rPr>
          <w:rFonts w:ascii="Times New Roman" w:hAnsi="Times New Roman" w:cs="Times New Roman" w:eastAsia="Times New Roman" w:hint="default"/>
          <w:spacing w:val="36"/>
        </w:rPr>
        <w:t> </w:t>
      </w:r>
      <w:r>
        <w:rPr/>
        <w:t>对管理层使用持续经营假设的恰当性得出结论。同时，根据获取的审计证据，就可</w:t>
      </w:r>
      <w:r>
        <w:rPr>
          <w:w w:val="99"/>
        </w:rPr>
        <w:t> </w:t>
      </w:r>
      <w:r>
        <w:rPr/>
        <w:t>能导致对杭州高新公司持续经营能力产生重大疑虑的事项或情况是否存在重大不确定性得出</w:t>
      </w:r>
      <w:r>
        <w:rPr>
          <w:w w:val="99"/>
        </w:rPr>
        <w:t> </w:t>
      </w:r>
      <w:r>
        <w:rPr/>
        <w:t>结论。如果我们得出结论认为存在重大不确定性，审计准则要求我们在审计报告中提请报表</w:t>
      </w:r>
      <w:r>
        <w:rPr>
          <w:spacing w:val="-118"/>
        </w:rPr>
        <w:t> </w:t>
      </w:r>
      <w:r>
        <w:rPr>
          <w:spacing w:val="-118"/>
        </w:rPr>
      </w:r>
      <w:r>
        <w:rPr/>
        <w:t>使用者注意财务报表中的相关披露；如果披露不充分，我们应当发表非无保留意见。我们的</w:t>
      </w:r>
      <w:r>
        <w:rPr>
          <w:w w:val="99"/>
        </w:rPr>
        <w:t> </w:t>
      </w:r>
      <w:r>
        <w:rPr/>
        <w:t>结论基于截至审计报告日可获得的信息。然而，未来的事项或情况可能导致杭州高新公司不</w:t>
      </w:r>
      <w:r>
        <w:rPr>
          <w:w w:val="99"/>
        </w:rPr>
        <w:t> </w:t>
      </w:r>
      <w:r>
        <w:rPr/>
        <w:t>能持续经营。</w:t>
      </w:r>
    </w:p>
    <w:p>
      <w:pPr>
        <w:pStyle w:val="Heading3"/>
        <w:spacing w:line="312" w:lineRule="exact" w:before="29"/>
        <w:ind w:right="155" w:firstLine="480"/>
        <w:jc w:val="both"/>
      </w:pPr>
      <w:r>
        <w:rPr>
          <w:rFonts w:ascii="Times New Roman" w:hAnsi="Times New Roman" w:cs="Times New Roman" w:eastAsia="Times New Roman" w:hint="default"/>
        </w:rPr>
        <w:t>(</w:t>
      </w:r>
      <w:r>
        <w:rPr/>
        <w:t>五</w:t>
      </w:r>
      <w:r>
        <w:rPr>
          <w:rFonts w:ascii="Times New Roman" w:hAnsi="Times New Roman" w:cs="Times New Roman" w:eastAsia="Times New Roman" w:hint="default"/>
        </w:rPr>
        <w:t>)</w:t>
      </w:r>
      <w:r>
        <w:rPr>
          <w:rFonts w:ascii="Times New Roman" w:hAnsi="Times New Roman" w:cs="Times New Roman" w:eastAsia="Times New Roman" w:hint="default"/>
          <w:spacing w:val="47"/>
        </w:rPr>
        <w:t> </w:t>
      </w:r>
      <w:r>
        <w:rPr>
          <w:spacing w:val="2"/>
        </w:rPr>
        <w:t>评价财务报表的总体列报、结构和内容</w:t>
      </w:r>
      <w:r>
        <w:rPr>
          <w:rFonts w:ascii="Times New Roman" w:hAnsi="Times New Roman" w:cs="Times New Roman" w:eastAsia="Times New Roman" w:hint="default"/>
          <w:spacing w:val="2"/>
        </w:rPr>
        <w:t>(</w:t>
      </w:r>
      <w:r>
        <w:rPr>
          <w:spacing w:val="2"/>
        </w:rPr>
        <w:t>包括披露</w:t>
      </w:r>
      <w:r>
        <w:rPr>
          <w:rFonts w:ascii="Times New Roman" w:hAnsi="Times New Roman" w:cs="Times New Roman" w:eastAsia="Times New Roman" w:hint="default"/>
          <w:spacing w:val="2"/>
        </w:rPr>
        <w:t>)</w:t>
      </w:r>
      <w:r>
        <w:rPr>
          <w:spacing w:val="2"/>
        </w:rPr>
        <w:t>，并评价财务报表是否公允反映</w:t>
      </w:r>
      <w:r>
        <w:rPr>
          <w:w w:val="99"/>
        </w:rPr>
        <w:t> </w:t>
      </w:r>
      <w:r>
        <w:rPr/>
        <w:t>相关交易和事项。</w:t>
      </w:r>
    </w:p>
    <w:p>
      <w:pPr>
        <w:pStyle w:val="Heading3"/>
        <w:spacing w:line="312" w:lineRule="exact"/>
        <w:ind w:right="157" w:firstLine="480"/>
        <w:jc w:val="right"/>
      </w:pPr>
      <w:r>
        <w:rPr>
          <w:rFonts w:ascii="Times New Roman" w:hAnsi="Times New Roman" w:cs="Times New Roman" w:eastAsia="Times New Roman" w:hint="default"/>
        </w:rPr>
        <w:t>(</w:t>
      </w:r>
      <w:r>
        <w:rPr/>
        <w:t>六</w:t>
      </w:r>
      <w:r>
        <w:rPr>
          <w:rFonts w:ascii="Times New Roman" w:hAnsi="Times New Roman" w:cs="Times New Roman" w:eastAsia="Times New Roman" w:hint="default"/>
        </w:rPr>
        <w:t>)</w:t>
      </w:r>
      <w:r>
        <w:rPr>
          <w:rFonts w:ascii="Times New Roman" w:hAnsi="Times New Roman" w:cs="Times New Roman" w:eastAsia="Times New Roman" w:hint="default"/>
          <w:spacing w:val="36"/>
        </w:rPr>
        <w:t> </w:t>
      </w:r>
      <w:r>
        <w:rPr/>
        <w:t>就杭州高新公司中实体或业务活动的财务信息获取充分、适当的审计证据，以对财</w:t>
      </w:r>
      <w:r>
        <w:rPr>
          <w:w w:val="99"/>
        </w:rPr>
        <w:t> </w:t>
      </w:r>
      <w:r>
        <w:rPr>
          <w:w w:val="95"/>
        </w:rPr>
        <w:t>务报表发表审计意见。我们负责指导、监督和执行集团审计，并对审计意见承担全部责任。</w:t>
      </w:r>
      <w:r>
        <w:rPr>
          <w:spacing w:val="98"/>
          <w:w w:val="95"/>
        </w:rPr>
        <w:t> </w:t>
      </w:r>
      <w:r>
        <w:rPr/>
        <w:t>我们与治理层就计划的审计范围、时间安排和重大审计发现等事项进行沟通，包括沟通</w:t>
      </w:r>
    </w:p>
    <w:p>
      <w:pPr>
        <w:pStyle w:val="Heading3"/>
        <w:spacing w:line="312" w:lineRule="exact"/>
        <w:ind w:left="634" w:right="0" w:hanging="480"/>
        <w:jc w:val="left"/>
      </w:pPr>
      <w:r>
        <w:rPr/>
        <w:t>我们在审计中识别出的值得关注的内部控制缺陷。 我们还就已遵守与独立性相关的职业道德要求向治理层提供声明，并与治理层沟通可能</w:t>
      </w:r>
    </w:p>
    <w:p>
      <w:pPr>
        <w:pStyle w:val="Heading3"/>
        <w:spacing w:line="312" w:lineRule="exact"/>
        <w:ind w:left="634" w:right="0" w:hanging="480"/>
        <w:jc w:val="left"/>
      </w:pPr>
      <w:r>
        <w:rPr/>
        <w:t>被合理认为影响我们独立性的所有关系和其他事项，以及相关的防范措施。 从与治理层沟通过的事项中，我们确定哪些事项对本期财务报表审计最为重要，因而构</w:t>
      </w:r>
    </w:p>
    <w:p>
      <w:pPr>
        <w:pStyle w:val="Heading3"/>
        <w:spacing w:line="312" w:lineRule="exact"/>
        <w:ind w:right="159"/>
        <w:jc w:val="both"/>
      </w:pPr>
      <w:r>
        <w:rPr/>
        <w:t>成关键审计事项。我们在审计报告中描述这些事项，除非法律法规禁止公开披露这些事项， 或在极少数情形下，如果合理预期在审计报告中沟通某事项造成的负面后果超过在公众利益 方面产生的益处，我们确定不应在审计报告中沟通该事项。</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1"/>
          <w:szCs w:val="21"/>
        </w:rPr>
      </w:pPr>
    </w:p>
    <w:p>
      <w:pPr>
        <w:pStyle w:val="Heading3"/>
        <w:spacing w:line="322" w:lineRule="exact"/>
        <w:ind w:right="0"/>
        <w:jc w:val="both"/>
      </w:pPr>
      <w:r>
        <w:rPr/>
        <w:t>天健会计师事务所</w:t>
      </w:r>
      <w:r>
        <w:rPr>
          <w:rFonts w:ascii="Times New Roman" w:hAnsi="Times New Roman" w:cs="Times New Roman" w:eastAsia="Times New Roman" w:hint="default"/>
        </w:rPr>
        <w:t>(</w:t>
      </w:r>
      <w:r>
        <w:rPr/>
        <w:t>特殊普通合伙</w:t>
      </w:r>
      <w:r>
        <w:rPr>
          <w:rFonts w:ascii="Times New Roman" w:hAnsi="Times New Roman" w:cs="Times New Roman" w:eastAsia="Times New Roman" w:hint="default"/>
        </w:rPr>
        <w:t>)   </w:t>
      </w:r>
      <w:r>
        <w:rPr>
          <w:rFonts w:ascii="Times New Roman" w:hAnsi="Times New Roman" w:cs="Times New Roman" w:eastAsia="Times New Roman" w:hint="default"/>
          <w:spacing w:val="20"/>
        </w:rPr>
        <w:t> </w:t>
      </w:r>
      <w:r>
        <w:rPr/>
        <w:t>中国注册会计师：王强</w:t>
      </w:r>
    </w:p>
    <w:p>
      <w:pPr>
        <w:pStyle w:val="Heading3"/>
        <w:spacing w:line="322" w:lineRule="exact"/>
        <w:ind w:left="574" w:right="0"/>
        <w:jc w:val="left"/>
        <w:rPr>
          <w:rFonts w:ascii="Times New Roman" w:hAnsi="Times New Roman" w:cs="Times New Roman" w:eastAsia="Times New Roman" w:hint="default"/>
        </w:rPr>
      </w:pPr>
      <w:r>
        <w:rPr>
          <w:rFonts w:ascii="Times New Roman" w:hAnsi="Times New Roman" w:cs="Times New Roman" w:eastAsia="Times New Roman" w:hint="default"/>
        </w:rPr>
        <w:t>(</w:t>
      </w:r>
      <w:r>
        <w:rPr/>
        <w:t>项目合伙人</w:t>
      </w:r>
      <w:r>
        <w:rPr>
          <w:rFonts w:ascii="Times New Roman" w:hAnsi="Times New Roman" w:cs="Times New Roman" w:eastAsia="Times New Roman" w:hint="default"/>
        </w:rPr>
        <w:t>)</w:t>
      </w:r>
    </w:p>
    <w:p>
      <w:pPr>
        <w:spacing w:line="240" w:lineRule="auto" w:before="4"/>
        <w:rPr>
          <w:rFonts w:ascii="Times New Roman" w:hAnsi="Times New Roman" w:cs="Times New Roman" w:eastAsia="Times New Roman" w:hint="default"/>
          <w:sz w:val="25"/>
          <w:szCs w:val="25"/>
        </w:rPr>
      </w:pPr>
    </w:p>
    <w:p>
      <w:pPr>
        <w:pStyle w:val="Heading3"/>
        <w:tabs>
          <w:tab w:pos="3852" w:val="left" w:leader="none"/>
        </w:tabs>
        <w:spacing w:line="240" w:lineRule="auto"/>
        <w:ind w:left="574" w:right="0"/>
        <w:jc w:val="left"/>
      </w:pPr>
      <w:r>
        <w:rPr/>
        <w:t>中国</w:t>
      </w:r>
      <w:r>
        <w:rPr>
          <w:rFonts w:ascii="Times New Roman" w:hAnsi="Times New Roman" w:cs="Times New Roman" w:eastAsia="Times New Roman" w:hint="default"/>
        </w:rPr>
        <w:t>·</w:t>
      </w:r>
      <w:r>
        <w:rPr/>
        <w:t>杭州</w:t>
        <w:tab/>
        <w:t>中国注册会计师：李唯婕</w:t>
      </w:r>
    </w:p>
    <w:p>
      <w:pPr>
        <w:spacing w:after="0" w:line="240" w:lineRule="auto"/>
        <w:jc w:val="left"/>
        <w:sectPr>
          <w:pgSz w:w="11910" w:h="16840"/>
          <w:pgMar w:header="747" w:footer="979" w:top="1060" w:bottom="1160" w:left="980" w:right="980"/>
        </w:sectPr>
      </w:pPr>
    </w:p>
    <w:p>
      <w:pPr>
        <w:spacing w:line="240" w:lineRule="auto" w:before="7"/>
        <w:rPr>
          <w:rFonts w:ascii="宋体" w:hAnsi="宋体" w:cs="宋体" w:eastAsia="宋体" w:hint="default"/>
          <w:sz w:val="23"/>
          <w:szCs w:val="23"/>
        </w:rPr>
      </w:pPr>
    </w:p>
    <w:p>
      <w:pPr>
        <w:pStyle w:val="Heading3"/>
        <w:spacing w:line="240" w:lineRule="auto" w:before="26"/>
        <w:ind w:left="574" w:right="0"/>
        <w:jc w:val="left"/>
      </w:pPr>
      <w:r>
        <w:rPr/>
        <w:t>二〇一八年四月十八日</w:t>
      </w:r>
    </w:p>
    <w:p>
      <w:pPr>
        <w:spacing w:line="240" w:lineRule="auto" w:before="0"/>
        <w:rPr>
          <w:rFonts w:ascii="宋体" w:hAnsi="宋体" w:cs="宋体" w:eastAsia="宋体" w:hint="default"/>
          <w:sz w:val="24"/>
          <w:szCs w:val="24"/>
        </w:rPr>
      </w:pPr>
    </w:p>
    <w:p>
      <w:pPr>
        <w:spacing w:line="240" w:lineRule="auto" w:before="10"/>
        <w:rPr>
          <w:rFonts w:ascii="宋体" w:hAnsi="宋体" w:cs="宋体" w:eastAsia="宋体" w:hint="default"/>
          <w:sz w:val="22"/>
          <w:szCs w:val="22"/>
        </w:rPr>
      </w:pPr>
    </w:p>
    <w:p>
      <w:pPr>
        <w:pStyle w:val="Heading2"/>
        <w:spacing w:line="240" w:lineRule="auto"/>
        <w:ind w:right="0"/>
        <w:jc w:val="left"/>
        <w:rPr>
          <w:b w:val="0"/>
          <w:bCs w:val="0"/>
        </w:rPr>
      </w:pPr>
      <w:bookmarkStart w:name="二、财务报表" w:id="153"/>
      <w:bookmarkEnd w:id="153"/>
      <w:r>
        <w:rPr>
          <w:b w:val="0"/>
          <w:bCs w:val="0"/>
        </w:rPr>
      </w:r>
      <w:r>
        <w:rPr/>
        <w:t>二、财务报表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0"/>
        <w:jc w:val="left"/>
      </w:pPr>
      <w:r>
        <w:rPr/>
        <w:t>财务附注中报表的单位为：人民币元</w:t>
      </w:r>
    </w:p>
    <w:p>
      <w:pPr>
        <w:spacing w:line="240" w:lineRule="auto" w:before="10"/>
        <w:rPr>
          <w:rFonts w:ascii="宋体" w:hAnsi="宋体" w:cs="宋体" w:eastAsia="宋体" w:hint="default"/>
          <w:sz w:val="26"/>
          <w:szCs w:val="26"/>
        </w:rPr>
      </w:pPr>
    </w:p>
    <w:p>
      <w:pPr>
        <w:pStyle w:val="Heading5"/>
        <w:spacing w:line="240" w:lineRule="auto"/>
        <w:ind w:right="0"/>
        <w:jc w:val="left"/>
        <w:rPr>
          <w:b w:val="0"/>
          <w:bCs w:val="0"/>
        </w:rPr>
      </w:pPr>
      <w:bookmarkStart w:name="1、合并资产负债表" w:id="154"/>
      <w:bookmarkEnd w:id="154"/>
      <w:r>
        <w:rPr>
          <w:b w:val="0"/>
          <w:bCs w:val="0"/>
        </w:rPr>
      </w:r>
      <w:r>
        <w:rPr>
          <w:rFonts w:ascii="Times New Roman" w:hAnsi="Times New Roman" w:cs="Times New Roman" w:eastAsia="Times New Roman" w:hint="default"/>
        </w:rPr>
        <w:t>1</w:t>
      </w:r>
      <w:r>
        <w:rPr/>
        <w:t>、合并资产负债表</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980"/>
        </w:sectPr>
      </w:pPr>
    </w:p>
    <w:p>
      <w:pPr>
        <w:pStyle w:val="BodyText"/>
        <w:spacing w:line="240" w:lineRule="auto"/>
        <w:ind w:right="-20"/>
        <w:jc w:val="left"/>
      </w:pPr>
      <w:r>
        <w:rPr/>
        <w:t>编制单位：杭州高新橡塑材料股份有限公司</w:t>
      </w:r>
    </w:p>
    <w:p>
      <w:pPr>
        <w:spacing w:line="240" w:lineRule="auto" w:before="0"/>
        <w:rPr>
          <w:rFonts w:ascii="宋体" w:hAnsi="宋体" w:cs="宋体" w:eastAsia="宋体" w:hint="default"/>
          <w:sz w:val="18"/>
          <w:szCs w:val="18"/>
        </w:rPr>
      </w:pPr>
      <w:r>
        <w:rPr/>
        <w:br w:type="column"/>
      </w:r>
      <w:r>
        <w:rPr>
          <w:rFonts w:ascii="宋体"/>
          <w:sz w:val="18"/>
        </w:rPr>
      </w:r>
    </w:p>
    <w:p>
      <w:pPr>
        <w:pStyle w:val="BodyText"/>
        <w:spacing w:line="240" w:lineRule="auto" w:before="160"/>
        <w:ind w:left="153" w:right="-16"/>
        <w:jc w:val="left"/>
      </w:pP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04 </w:t>
      </w:r>
      <w:r>
        <w:rPr/>
        <w:t>月</w:t>
      </w:r>
      <w:r>
        <w:rPr>
          <w:spacing w:val="-46"/>
        </w:rPr>
        <w:t> </w:t>
      </w:r>
      <w:r>
        <w:rPr>
          <w:rFonts w:ascii="Times New Roman" w:hAnsi="Times New Roman" w:cs="Times New Roman" w:eastAsia="Times New Roman" w:hint="default"/>
        </w:rPr>
        <w:t>18</w:t>
      </w:r>
      <w:r>
        <w:rPr>
          <w:rFonts w:ascii="Times New Roman" w:hAnsi="Times New Roman" w:cs="Times New Roman" w:eastAsia="Times New Roman" w:hint="default"/>
          <w:spacing w:val="-1"/>
        </w:rPr>
        <w:t> </w:t>
      </w:r>
      <w:r>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before="0"/>
        <w:ind w:left="153" w:right="0"/>
        <w:jc w:val="left"/>
      </w:pPr>
      <w:r>
        <w:rPr/>
        <w:t>单位：元</w:t>
      </w:r>
    </w:p>
    <w:p>
      <w:pPr>
        <w:spacing w:after="0" w:line="240" w:lineRule="auto"/>
        <w:jc w:val="left"/>
        <w:sectPr>
          <w:type w:val="continuous"/>
          <w:pgSz w:w="11910" w:h="16840"/>
          <w:pgMar w:top="1060" w:bottom="1160" w:left="980" w:right="980"/>
          <w:cols w:num="3" w:equalWidth="0">
            <w:col w:w="3575" w:space="503"/>
            <w:col w:w="1639" w:space="3203"/>
            <w:col w:w="1030"/>
          </w:cols>
        </w:sectPr>
      </w:pP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112,323,066.79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137,172,514.12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104,733,379.08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75,046,060.79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243,735,502.65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146,923,027.80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2,175,048.11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77,558.61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2,513,128.70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1,862,441.70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117,992,830.69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57,477,893.55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持有待售的资产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8,088,250.12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1,589,145.34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591,561,206.14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420,148,641.91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发放贷款及垫款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71,908.00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3,734,230.09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3,964,136.34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66,851,739.73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69,905,581.99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167,611,933.01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76,173,337.94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61,336,100.17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46,793,988.00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469,290,400.94</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3,675,502.55</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3,726,025.44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1,514,104.17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776,297,839.93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198,351,148.44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1,367,859,046.07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618,499,790.35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163,000,000.00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40,000,000.00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41"/>
              <w:jc w:val="righ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24,843,443.10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5,200,000.00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105,576,038.47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47,368,536.71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11,363,116.83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1,147,648.00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41"/>
              <w:jc w:val="righ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7,740,815.07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1,570,739.56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7,764,750.19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7,775,359.60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406,006.25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53,831.25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3,590,737.25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443,195.99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持有待售的负债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33,000,000.00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357,284,907.16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103,559,311.11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84,600,000.00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364,000,000.00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448,600,000.00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805,884,907.16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103,559,311.11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66,670,000.00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66,670,000.00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240,142,564.59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240,142,564.59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7"/>
        <w:gridCol w:w="3301"/>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38,791,661.77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35,546,762.21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201,675,757.39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172,581,152.44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547,279,983.75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514,940,479.24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14,694,155.16</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561,974,138.91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514,940,479.24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1,367,859,046.07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618,499,790.35</w:t>
            </w:r>
          </w:p>
        </w:tc>
      </w:tr>
    </w:tbl>
    <w:p>
      <w:pPr>
        <w:spacing w:line="240" w:lineRule="auto" w:before="3"/>
        <w:rPr>
          <w:rFonts w:ascii="Times New Roman" w:hAnsi="Times New Roman" w:cs="Times New Roman" w:eastAsia="Times New Roman" w:hint="default"/>
          <w:sz w:val="23"/>
          <w:szCs w:val="23"/>
        </w:rPr>
      </w:pPr>
    </w:p>
    <w:p>
      <w:pPr>
        <w:pStyle w:val="BodyText"/>
        <w:tabs>
          <w:tab w:pos="3420" w:val="left" w:leader="none"/>
          <w:tab w:pos="7561" w:val="left" w:leader="none"/>
        </w:tabs>
        <w:spacing w:line="240" w:lineRule="auto"/>
        <w:ind w:left="0" w:right="249"/>
        <w:jc w:val="right"/>
      </w:pPr>
      <w:r>
        <w:rPr/>
        <w:t>法定代表人：高长虹</w:t>
        <w:tab/>
        <w:t>主管会计工作负责人：楼永富</w:t>
        <w:tab/>
        <w:t>会计机构负责人：缪勇刚</w:t>
      </w: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bookmarkStart w:name="2、母公司资产负债表" w:id="155"/>
      <w:bookmarkEnd w:id="155"/>
      <w:r>
        <w:rPr>
          <w:b w:val="0"/>
          <w:bCs w:val="0"/>
        </w:rPr>
      </w:r>
      <w:r>
        <w:rPr>
          <w:rFonts w:ascii="Times New Roman" w:hAnsi="Times New Roman" w:cs="Times New Roman" w:eastAsia="Times New Roman" w:hint="default"/>
        </w:rPr>
        <w:t>2</w:t>
      </w:r>
      <w:r>
        <w:rPr/>
        <w:t>、母公司资产负债表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0" w:right="15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45,853,872.52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137,172,514.12</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104,733,379.08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75,046,060.79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139,858,895.07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146,923,027.80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298,421.47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77,558.61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226,665.92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1,862,441.70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79,148,204.47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57,477,893.55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持有待售的资产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4,564,935.34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1,589,145.34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374,684,373.87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420,148,641.91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575,300,000.00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3,734,230.09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3,964,136.34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64,368,054.32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69,905,581.99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147,135,913.64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76,173,337.94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45,694,748.13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46,793,988.00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1,775,410.16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1,514,104.17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838,008,356.34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198,351,148.44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1,212,692,730.21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618,499,790.35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153,000,000.00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40,000,000.00</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4,150,000.00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5,200,000.00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43,800,700.30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47,368,536.71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726,941.23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1,147,648.00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1,533,797.75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1,570,739.56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413,549.66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7,775,359.60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389,198.33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53,831.25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505,900.00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443,195.99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持有待售的负债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33,000,000.00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237,520,087.27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103,559,311.11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84,600,000.00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364,000,000.00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448,600,000.00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686,120,087.27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103,559,311.11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66,670,000.00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66,670,000.00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240,142,564.59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240,142,564.59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38,791,661.77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35,546,762.21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180,968,416.58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172,581,152.44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526,572,642.94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514,940,479.24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1,212,692,730.21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618,499,790.35</w:t>
            </w:r>
          </w:p>
        </w:tc>
      </w:tr>
    </w:tbl>
    <w:p>
      <w:pPr>
        <w:spacing w:line="240" w:lineRule="auto" w:before="10"/>
        <w:rPr>
          <w:rFonts w:ascii="Times New Roman" w:hAnsi="Times New Roman" w:cs="Times New Roman" w:eastAsia="Times New Roman" w:hint="default"/>
          <w:sz w:val="21"/>
          <w:szCs w:val="21"/>
        </w:rPr>
      </w:pPr>
    </w:p>
    <w:p>
      <w:pPr>
        <w:pStyle w:val="Heading5"/>
        <w:spacing w:line="240" w:lineRule="auto" w:before="35"/>
        <w:ind w:right="0"/>
        <w:jc w:val="left"/>
        <w:rPr>
          <w:b w:val="0"/>
          <w:bCs w:val="0"/>
        </w:rPr>
      </w:pPr>
      <w:bookmarkStart w:name="3、合并利润表" w:id="156"/>
      <w:bookmarkEnd w:id="156"/>
      <w:r>
        <w:rPr>
          <w:b w:val="0"/>
          <w:bCs w:val="0"/>
        </w:rPr>
      </w:r>
      <w:r>
        <w:rPr>
          <w:rFonts w:ascii="Times New Roman" w:hAnsi="Times New Roman" w:cs="Times New Roman" w:eastAsia="Times New Roman" w:hint="default"/>
        </w:rPr>
        <w:t>3</w:t>
      </w:r>
      <w:r>
        <w:rPr/>
        <w:t>、合并利润表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057"/>
        <w:gridCol w:w="3222"/>
        <w:gridCol w:w="3278"/>
      </w:tblGrid>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651,537,809.23</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561,567,900.62</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651,537,809.23</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561,567,900.62</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607,181,570.38</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527,545,080.80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r>
        <w:rPr/>
        <w:pict>
          <v:group style="position:absolute;margin-left:212.119995pt;margin-top:440.919983pt;width:157.7pt;height:19.650pt;mso-position-horizontal-relative:page;mso-position-vertical-relative:page;z-index:-903328" coordorigin="4242,8818" coordsize="3154,393">
            <v:shape style="position:absolute;left:4242;top:8818;width:3154;height:393" coordorigin="4242,8818" coordsize="3154,393" path="m4242,9211l7396,9211,7396,8818,4242,8818,4242,9211xe" filled="true" fillcolor="#ffffff" stroked="false">
              <v:path arrowok="t"/>
              <v:fill type="solid"/>
            </v:shape>
            <w10:wrap type="none"/>
          </v:group>
        </w:pict>
      </w:r>
      <w:r>
        <w:rPr/>
        <w:pict>
          <v:group style="position:absolute;margin-left:212.119995pt;margin-top:577.119995pt;width:157.7pt;height:19.650pt;mso-position-horizontal-relative:page;mso-position-vertical-relative:page;z-index:-903304" coordorigin="4242,11542" coordsize="3154,393">
            <v:shape style="position:absolute;left:4242;top:11542;width:3154;height:393" coordorigin="4242,11542" coordsize="3154,393" path="m4242,11935l7396,11935,7396,11542,4242,11542,4242,11935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080"/>
        <w:gridCol w:w="1105"/>
        <w:gridCol w:w="2106"/>
        <w:gridCol w:w="3278"/>
      </w:tblGrid>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53" w:right="0"/>
              <w:jc w:val="left"/>
              <w:rPr>
                <w:rFonts w:ascii="Times New Roman" w:hAnsi="Times New Roman" w:cs="Times New Roman" w:eastAsia="Times New Roman" w:hint="default"/>
                <w:sz w:val="18"/>
                <w:szCs w:val="18"/>
              </w:rPr>
            </w:pPr>
            <w:r>
              <w:rPr>
                <w:rFonts w:ascii="Times New Roman"/>
                <w:sz w:val="18"/>
              </w:rPr>
              <w:t>500,519,995.26</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442,309,871.45</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5"/>
              <w:jc w:val="righ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2,398,067.78</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2,489,035.70</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33,349,450.29</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26,547,452.72</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60,696,432.81</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53,375,160.53</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5,967,250.12</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1,929,777.66</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4,250,374.12</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893,782.74</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firstLine="720"/>
              <w:jc w:val="left"/>
              <w:rPr>
                <w:rFonts w:ascii="宋体" w:hAnsi="宋体" w:cs="宋体" w:eastAsia="宋体" w:hint="default"/>
                <w:sz w:val="18"/>
                <w:szCs w:val="18"/>
              </w:rPr>
            </w:pPr>
            <w:r>
              <w:rPr>
                <w:rFonts w:ascii="宋体" w:hAnsi="宋体" w:cs="宋体" w:eastAsia="宋体" w:hint="default"/>
                <w:spacing w:val="-3"/>
                <w:sz w:val="18"/>
                <w:szCs w:val="18"/>
              </w:rPr>
              <w:t>其中：对联营企业和合营企业</w:t>
            </w:r>
            <w:r>
              <w:rPr>
                <w:rFonts w:ascii="宋体" w:hAnsi="宋体" w:cs="宋体" w:eastAsia="宋体" w:hint="default"/>
                <w:sz w:val="18"/>
                <w:szCs w:val="18"/>
              </w:rPr>
              <w:t> 的投资收益</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9" w:space="0" w:color="FFFFFF"/>
            </w:tcBorders>
            <w:shd w:val="clear" w:color="auto" w:fill="D2D2D2"/>
          </w:tcPr>
          <w:p>
            <w:pPr>
              <w:pStyle w:val="TableParagraph"/>
              <w:spacing w:line="240" w:lineRule="auto" w:before="51"/>
              <w:ind w:right="119"/>
              <w:jc w:val="right"/>
              <w:rPr>
                <w:rFonts w:ascii="宋体" w:hAnsi="宋体" w:cs="宋体" w:eastAsia="宋体" w:hint="default"/>
                <w:sz w:val="18"/>
                <w:szCs w:val="18"/>
              </w:rPr>
            </w:pPr>
            <w:r>
              <w:rPr>
                <w:rFonts w:ascii="宋体" w:hAnsi="宋体" w:cs="宋体" w:eastAsia="宋体" w:hint="default"/>
                <w:spacing w:val="-1"/>
                <w:sz w:val="18"/>
                <w:szCs w:val="18"/>
              </w:rPr>
              <w:t>汇兑收益（损失以</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3211" w:type="dxa"/>
            <w:gridSpan w:val="2"/>
            <w:tcBorders>
              <w:top w:val="single" w:sz="4" w:space="0" w:color="000000"/>
              <w:left w:val="single" w:sz="9" w:space="0" w:color="FFFFFF"/>
              <w:bottom w:val="single" w:sz="4" w:space="0" w:color="000000"/>
              <w:right w:val="single" w:sz="4" w:space="0" w:color="000000"/>
            </w:tcBorders>
          </w:tcPr>
          <w:p>
            <w:pPr>
              <w:pStyle w:val="TableParagraph"/>
              <w:spacing w:line="240" w:lineRule="auto" w:before="51"/>
              <w:ind w:left="-144" w:right="0"/>
              <w:jc w:val="left"/>
              <w:rPr>
                <w:rFonts w:ascii="宋体" w:hAnsi="宋体" w:cs="宋体" w:eastAsia="宋体" w:hint="default"/>
                <w:sz w:val="18"/>
                <w:szCs w:val="18"/>
              </w:rPr>
            </w:pPr>
            <w:r>
              <w:rPr>
                <w:rFonts w:ascii="宋体" w:hAnsi="宋体" w:cs="宋体" w:eastAsia="宋体" w:hint="default"/>
                <w:sz w:val="18"/>
                <w:szCs w:val="18"/>
              </w:rPr>
              <w:t>）</w:t>
            </w: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资产处置收</w:t>
            </w:r>
            <w:r>
              <w:rPr>
                <w:rFonts w:ascii="宋体" w:hAnsi="宋体" w:cs="宋体" w:eastAsia="宋体" w:hint="default"/>
                <w:spacing w:val="-76"/>
                <w:sz w:val="18"/>
                <w:szCs w:val="18"/>
              </w:rPr>
              <w:t>益</w:t>
            </w:r>
            <w:r>
              <w:rPr>
                <w:rFonts w:ascii="宋体" w:hAnsi="宋体" w:cs="宋体" w:eastAsia="宋体" w:hint="default"/>
                <w:sz w:val="18"/>
                <w:szCs w:val="18"/>
              </w:rPr>
              <w:t>（损失以</w:t>
            </w:r>
            <w:r>
              <w:rPr>
                <w:rFonts w:ascii="Times New Roman" w:hAnsi="Times New Roman" w:cs="Times New Roman" w:eastAsia="Times New Roman" w:hint="default"/>
                <w:spacing w:val="-1"/>
                <w:w w:val="100"/>
                <w:sz w:val="18"/>
                <w:szCs w:val="18"/>
              </w:rPr>
              <w:t>“</w:t>
            </w:r>
            <w:r>
              <w:rPr>
                <w:rFonts w:ascii="Times New Roman" w:hAnsi="Times New Roman" w:cs="Times New Roman" w:eastAsia="Times New Roman" w:hint="default"/>
                <w:w w:val="99"/>
                <w:sz w:val="18"/>
                <w:szCs w:val="18"/>
              </w:rPr>
              <w:t>-</w:t>
            </w:r>
            <w:r>
              <w:rPr>
                <w:rFonts w:ascii="Times New Roman" w:hAnsi="Times New Roman" w:cs="Times New Roman" w:eastAsia="Times New Roman" w:hint="default"/>
                <w:w w:val="100"/>
                <w:sz w:val="18"/>
                <w:szCs w:val="18"/>
              </w:rPr>
              <w:t>”</w:t>
            </w:r>
            <w:r>
              <w:rPr>
                <w:rFonts w:ascii="宋体" w:hAnsi="宋体" w:cs="宋体" w:eastAsia="宋体" w:hint="default"/>
                <w:sz w:val="18"/>
                <w:szCs w:val="18"/>
              </w:rPr>
              <w:t>号填</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100,561.63</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3,026,655.66</w:t>
            </w: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47,382,894.51</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34,123,381.45</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148,448.65</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4,869,981.11</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97,776.38</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446,104.62</w:t>
            </w:r>
          </w:p>
        </w:tc>
      </w:tr>
      <w:tr>
        <w:trPr>
          <w:trHeight w:val="402" w:hRule="exact"/>
        </w:trPr>
        <w:tc>
          <w:tcPr>
            <w:tcW w:w="3080" w:type="dxa"/>
            <w:tcBorders>
              <w:top w:val="single" w:sz="4" w:space="0" w:color="000000"/>
              <w:left w:val="single" w:sz="4" w:space="0" w:color="000000"/>
              <w:bottom w:val="single" w:sz="4" w:space="0" w:color="000000"/>
              <w:right w:val="single" w:sz="9" w:space="0" w:color="FFFFFF"/>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6"/>
                <w:sz w:val="18"/>
                <w:szCs w:val="18"/>
              </w:rPr>
              <w:t>四、利润总额（亏损总额以</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号填列</w:t>
            </w:r>
          </w:p>
        </w:tc>
        <w:tc>
          <w:tcPr>
            <w:tcW w:w="1105" w:type="dxa"/>
            <w:tcBorders>
              <w:top w:val="single" w:sz="4" w:space="0" w:color="000000"/>
              <w:left w:val="single" w:sz="9" w:space="0" w:color="FFFFFF"/>
              <w:bottom w:val="single" w:sz="4" w:space="0" w:color="000000"/>
              <w:right w:val="nil" w:sz="6" w:space="0" w:color="auto"/>
            </w:tcBorders>
          </w:tcPr>
          <w:p>
            <w:pPr>
              <w:pStyle w:val="TableParagraph"/>
              <w:spacing w:line="240" w:lineRule="auto" w:before="51"/>
              <w:ind w:left="-129" w:right="0"/>
              <w:jc w:val="left"/>
              <w:rPr>
                <w:rFonts w:ascii="宋体" w:hAnsi="宋体" w:cs="宋体" w:eastAsia="宋体" w:hint="default"/>
                <w:sz w:val="18"/>
                <w:szCs w:val="18"/>
              </w:rPr>
            </w:pPr>
            <w:r>
              <w:rPr>
                <w:rFonts w:ascii="宋体" w:hAnsi="宋体" w:cs="宋体" w:eastAsia="宋体" w:hint="default"/>
                <w:sz w:val="18"/>
                <w:szCs w:val="18"/>
              </w:rPr>
              <w:t>）</w:t>
            </w:r>
          </w:p>
        </w:tc>
        <w:tc>
          <w:tcPr>
            <w:tcW w:w="21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1042" w:right="0"/>
              <w:jc w:val="left"/>
              <w:rPr>
                <w:rFonts w:ascii="Times New Roman" w:hAnsi="Times New Roman" w:cs="Times New Roman" w:eastAsia="Times New Roman" w:hint="default"/>
                <w:sz w:val="18"/>
                <w:szCs w:val="18"/>
              </w:rPr>
            </w:pPr>
            <w:r>
              <w:rPr>
                <w:rFonts w:ascii="Times New Roman"/>
                <w:sz w:val="18"/>
              </w:rPr>
              <w:t>47,433,566.78</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38,547,257.94</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5,099,407.11</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3,232,341.25</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42,334,159.67</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35,314,916.69</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0" w:right="0"/>
              <w:jc w:val="left"/>
              <w:rPr>
                <w:rFonts w:ascii="宋体" w:hAnsi="宋体" w:cs="宋体" w:eastAsia="宋体" w:hint="default"/>
                <w:sz w:val="18"/>
                <w:szCs w:val="18"/>
              </w:rPr>
            </w:pPr>
            <w:r>
              <w:rPr>
                <w:rFonts w:ascii="宋体" w:hAnsi="宋体" w:cs="宋体" w:eastAsia="宋体" w:hint="default"/>
                <w:spacing w:val="-2"/>
                <w:sz w:val="18"/>
                <w:szCs w:val="18"/>
              </w:rPr>
              <w:t>（一）持续经营净利润（净亏损以</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42,334,159.67</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35,314,916.69</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0" w:right="0"/>
              <w:jc w:val="left"/>
              <w:rPr>
                <w:rFonts w:ascii="宋体" w:hAnsi="宋体" w:cs="宋体" w:eastAsia="宋体" w:hint="default"/>
                <w:sz w:val="18"/>
                <w:szCs w:val="18"/>
              </w:rPr>
            </w:pPr>
            <w:r>
              <w:rPr>
                <w:rFonts w:ascii="宋体" w:hAnsi="宋体" w:cs="宋体" w:eastAsia="宋体" w:hint="default"/>
                <w:spacing w:val="-2"/>
                <w:sz w:val="18"/>
                <w:szCs w:val="18"/>
              </w:rPr>
              <w:t>（二）终止经营净利润（净亏损以</w:t>
            </w:r>
          </w:p>
          <w:p>
            <w:pPr>
              <w:pStyle w:val="TableParagraph"/>
              <w:spacing w:line="240" w:lineRule="auto" w:before="7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42,340,004.51</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35,314,916.69</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-5,844.84</w:t>
            </w:r>
            <w:r>
              <w:rPr>
                <w:rFonts w:ascii="Times New Roman"/>
                <w:sz w:val="18"/>
              </w:rPr>
            </w: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057"/>
        <w:gridCol w:w="3222"/>
        <w:gridCol w:w="3278"/>
      </w:tblGrid>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54" w:firstLine="18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 的税后净额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firstLine="342"/>
              <w:jc w:val="left"/>
              <w:rPr>
                <w:rFonts w:ascii="宋体" w:hAnsi="宋体" w:cs="宋体" w:eastAsia="宋体" w:hint="default"/>
                <w:sz w:val="18"/>
                <w:szCs w:val="18"/>
              </w:rPr>
            </w:pPr>
            <w:r>
              <w:rPr>
                <w:rFonts w:ascii="宋体" w:hAnsi="宋体" w:cs="宋体" w:eastAsia="宋体" w:hint="default"/>
                <w:spacing w:val="-2"/>
                <w:sz w:val="18"/>
                <w:szCs w:val="18"/>
              </w:rPr>
              <w:t>（一）以后不能重分类进损益的其</w:t>
            </w:r>
            <w:r>
              <w:rPr>
                <w:rFonts w:ascii="宋体" w:hAnsi="宋体" w:cs="宋体" w:eastAsia="宋体" w:hint="default"/>
                <w:sz w:val="18"/>
                <w:szCs w:val="18"/>
              </w:rPr>
              <w:t> 他综合收益</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19"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重新计量设定受益计划净 负债或净资产的变动</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19"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权益法下在被投资单位不 能重分类进损益的其他综合收益中享 有的份额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firstLine="342"/>
              <w:jc w:val="left"/>
              <w:rPr>
                <w:rFonts w:ascii="宋体" w:hAnsi="宋体" w:cs="宋体" w:eastAsia="宋体" w:hint="default"/>
                <w:sz w:val="18"/>
                <w:szCs w:val="18"/>
              </w:rPr>
            </w:pPr>
            <w:r>
              <w:rPr>
                <w:rFonts w:ascii="宋体" w:hAnsi="宋体" w:cs="宋体" w:eastAsia="宋体" w:hint="default"/>
                <w:spacing w:val="-2"/>
                <w:sz w:val="18"/>
                <w:szCs w:val="18"/>
              </w:rPr>
              <w:t>（二）以后将重分类进损益的其他</w:t>
            </w:r>
            <w:r>
              <w:rPr>
                <w:rFonts w:ascii="宋体" w:hAnsi="宋体" w:cs="宋体" w:eastAsia="宋体" w:hint="default"/>
                <w:sz w:val="18"/>
                <w:szCs w:val="18"/>
              </w:rPr>
              <w:t> 综合收益</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19"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权益法下在被投资单位以 后将重分类进损益的其他综合收益中 享有的份额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可供出售金融资产公允价</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值变动损益</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19"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持有至到期投资重分类为 可供出售金融资产损益</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现金流量套期损益的有效</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部分</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9"/>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外币财务报表折算差额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54" w:firstLine="18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 税后净额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42,334,159.67</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35,314,916.69</w:t>
            </w: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54" w:firstLine="36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 总额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42,340,004.51</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35,314,916.69</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4"/>
              <w:jc w:val="righ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-5,844.84</w:t>
            </w:r>
            <w:r>
              <w:rPr>
                <w:rFonts w:ascii="Times New Roman"/>
                <w:sz w:val="18"/>
              </w:rPr>
            </w: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0.64</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0.53</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0.64</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0.53</w:t>
            </w:r>
          </w:p>
        </w:tc>
      </w:tr>
    </w:tbl>
    <w:p>
      <w:pPr>
        <w:pStyle w:val="BodyText"/>
        <w:tabs>
          <w:tab w:pos="3574" w:val="left" w:leader="none"/>
          <w:tab w:pos="7715" w:val="left" w:leader="none"/>
        </w:tabs>
        <w:spacing w:line="624" w:lineRule="auto" w:before="51"/>
        <w:ind w:right="249"/>
        <w:jc w:val="left"/>
      </w:pPr>
      <w:r>
        <w:rPr/>
        <w:t>本期发生同一控制下企业合并的，被合并方在合并前实现的净利润为：元，上期被合并方实现的净利润为：元。 法定代表人：高长虹</w:t>
        <w:tab/>
        <w:t>主管会计工作负责人：楼永富</w:t>
        <w:tab/>
        <w:t>会计机构负责人：缪勇刚</w:t>
      </w:r>
    </w:p>
    <w:p>
      <w:pPr>
        <w:pStyle w:val="Heading5"/>
        <w:spacing w:line="240" w:lineRule="auto" w:before="63"/>
        <w:ind w:right="0"/>
        <w:jc w:val="left"/>
        <w:rPr>
          <w:b w:val="0"/>
          <w:bCs w:val="0"/>
        </w:rPr>
      </w:pPr>
      <w:bookmarkStart w:name="4、母公司利润表" w:id="157"/>
      <w:bookmarkEnd w:id="157"/>
      <w:r>
        <w:rPr>
          <w:b w:val="0"/>
          <w:bCs w:val="0"/>
        </w:rPr>
      </w:r>
      <w:r>
        <w:rPr>
          <w:rFonts w:ascii="Times New Roman" w:hAnsi="Times New Roman" w:cs="Times New Roman" w:eastAsia="Times New Roman" w:hint="default"/>
        </w:rPr>
        <w:t>4</w:t>
      </w:r>
      <w:r>
        <w:rPr/>
        <w:t>、母公司利润表</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left="0" w:right="15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968"/>
        <w:gridCol w:w="3300"/>
        <w:gridCol w:w="3300"/>
      </w:tblGrid>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7"/>
        <w:gridCol w:w="3301"/>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581,270,604.90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561,567,900.62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465,832,716.05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442,309,871.45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1,475,563.94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2,489,035.70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28,819,102.15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26,547,452.72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53,545,339.17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53,375,160.53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5,866,472.72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1,929,777.66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3,020,048.42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893,782.74</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100,561.63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165,320.00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22,876,682.45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34,123,381.45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148,448.65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4,869,981.11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97,276.38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446,104.62</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22,927,854.72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38,547,257.94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1,295,191.02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3,232,341.25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21,632,663.70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35,314,916.69</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4" w:firstLine="360"/>
              <w:jc w:val="left"/>
              <w:rPr>
                <w:rFonts w:ascii="宋体" w:hAnsi="宋体" w:cs="宋体" w:eastAsia="宋体" w:hint="default"/>
                <w:sz w:val="18"/>
                <w:szCs w:val="18"/>
              </w:rPr>
            </w:pPr>
            <w:r>
              <w:rPr>
                <w:rFonts w:ascii="宋体" w:hAnsi="宋体" w:cs="宋体" w:eastAsia="宋体" w:hint="default"/>
                <w:sz w:val="18"/>
                <w:szCs w:val="18"/>
              </w:rPr>
              <w:t>（一）持续经营净利润（净亏损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21,632,663.70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35,314,916.69</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4" w:firstLine="360"/>
              <w:jc w:val="left"/>
              <w:rPr>
                <w:rFonts w:ascii="宋体" w:hAnsi="宋体" w:cs="宋体" w:eastAsia="宋体" w:hint="default"/>
                <w:sz w:val="18"/>
                <w:szCs w:val="18"/>
              </w:rPr>
            </w:pPr>
            <w:r>
              <w:rPr>
                <w:rFonts w:ascii="宋体" w:hAnsi="宋体" w:cs="宋体" w:eastAsia="宋体" w:hint="default"/>
                <w:sz w:val="18"/>
                <w:szCs w:val="18"/>
              </w:rPr>
              <w:t>（二）终止经营净利润（净亏损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4" w:firstLine="360"/>
              <w:jc w:val="left"/>
              <w:rPr>
                <w:rFonts w:ascii="宋体" w:hAnsi="宋体" w:cs="宋体" w:eastAsia="宋体" w:hint="default"/>
                <w:sz w:val="18"/>
                <w:szCs w:val="18"/>
              </w:rPr>
            </w:pPr>
            <w:r>
              <w:rPr>
                <w:rFonts w:ascii="宋体" w:hAnsi="宋体" w:cs="宋体" w:eastAsia="宋体" w:hint="default"/>
                <w:sz w:val="18"/>
                <w:szCs w:val="18"/>
              </w:rPr>
              <w:t>（一）以后不能重分类进损益的 其他综合收益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9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 净负债或净资产的变动</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4"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 不能重分类进损益的其他综合收益中 享有的份额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4" w:firstLine="360"/>
              <w:jc w:val="left"/>
              <w:rPr>
                <w:rFonts w:ascii="宋体" w:hAnsi="宋体" w:cs="宋体" w:eastAsia="宋体" w:hint="default"/>
                <w:sz w:val="18"/>
                <w:szCs w:val="18"/>
              </w:rPr>
            </w:pPr>
            <w:r>
              <w:rPr>
                <w:rFonts w:ascii="宋体" w:hAnsi="宋体" w:cs="宋体" w:eastAsia="宋体" w:hint="default"/>
                <w:sz w:val="18"/>
                <w:szCs w:val="18"/>
              </w:rPr>
              <w:t>（二）以后将重分类进损益的其 他综合收益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102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41"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 以后将重分类进损益的其他综合收益 中享有的份额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21,632,663.70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35,314,916.69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Times New Roman" w:hAnsi="Times New Roman" w:cs="Times New Roman" w:eastAsia="Times New Roman" w:hint="default"/>
          <w:sz w:val="21"/>
          <w:szCs w:val="21"/>
        </w:rPr>
      </w:pPr>
    </w:p>
    <w:p>
      <w:pPr>
        <w:pStyle w:val="Heading5"/>
        <w:spacing w:line="240" w:lineRule="auto" w:before="35"/>
        <w:ind w:right="0"/>
        <w:jc w:val="left"/>
        <w:rPr>
          <w:b w:val="0"/>
          <w:bCs w:val="0"/>
        </w:rPr>
      </w:pPr>
      <w:bookmarkStart w:name="5、合并现金流量表" w:id="158"/>
      <w:bookmarkEnd w:id="158"/>
      <w:r>
        <w:rPr>
          <w:b w:val="0"/>
          <w:bCs w:val="0"/>
        </w:rPr>
      </w:r>
      <w:r>
        <w:rPr>
          <w:rFonts w:ascii="Times New Roman" w:hAnsi="Times New Roman" w:cs="Times New Roman" w:eastAsia="Times New Roman" w:hint="default"/>
        </w:rPr>
        <w:t>5</w:t>
      </w:r>
      <w:r>
        <w:rPr/>
        <w:t>、合并现金流量表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324,379,239.81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271,403,422.99</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 入当期损益的金融资产净增加额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2,858,335.66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3,262,132.66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12,266,224.70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6,322,042.98</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339,503,800.17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280,987,598.63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213,661,397.99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137,414,960.53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38,108,828.67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31,560,809.77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20,377,730.85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23,487,169.95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55,941,168.23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44,955,822.31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328,089,125.74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237,418,762.56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11,414,674.43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43,568,836.07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150,000.00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2,553,800.00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2,381,147.79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2,553,800.00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2,531,147.79</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97,033,545.05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32,593,833.93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190,017,075.71</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287,050,620.76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32,593,833.93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-284,496,820.76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-30,062,686.14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14,700,000.00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14,700,000.00</w:t>
            </w: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7"/>
        <w:gridCol w:w="3302"/>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438,600,000.00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85,000,000.00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453,300,000.00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85,000,000.00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205,000,000.00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101,000,000.00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16,051,369.89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12,752,843.32</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783,018.87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221,051,369.89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114,535,862.19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232,248,630.11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-29,535,862.19</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-1.44</w:t>
            </w:r>
            <w:r>
              <w:rPr>
                <w:rFonts w:ascii="Times New Roman"/>
                <w:sz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-40,833,517.66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-16,029,710.67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137,172,514.12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153,202,224.79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96,338,996.46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137,172,514.12</w:t>
            </w:r>
          </w:p>
        </w:tc>
      </w:tr>
    </w:tbl>
    <w:p>
      <w:pPr>
        <w:spacing w:line="240" w:lineRule="auto" w:before="10"/>
        <w:rPr>
          <w:rFonts w:ascii="Times New Roman" w:hAnsi="Times New Roman" w:cs="Times New Roman" w:eastAsia="Times New Roman" w:hint="default"/>
          <w:sz w:val="21"/>
          <w:szCs w:val="21"/>
        </w:rPr>
      </w:pPr>
    </w:p>
    <w:p>
      <w:pPr>
        <w:pStyle w:val="Heading5"/>
        <w:spacing w:line="240" w:lineRule="auto" w:before="35"/>
        <w:ind w:right="0"/>
        <w:jc w:val="left"/>
        <w:rPr>
          <w:b w:val="0"/>
          <w:bCs w:val="0"/>
        </w:rPr>
      </w:pPr>
      <w:bookmarkStart w:name="6、母公司现金流量表" w:id="159"/>
      <w:bookmarkEnd w:id="159"/>
      <w:r>
        <w:rPr>
          <w:b w:val="0"/>
          <w:bCs w:val="0"/>
        </w:rPr>
      </w:r>
      <w:r>
        <w:rPr>
          <w:rFonts w:ascii="Times New Roman" w:hAnsi="Times New Roman" w:cs="Times New Roman" w:eastAsia="Times New Roman" w:hint="default"/>
        </w:rPr>
        <w:t>6</w:t>
      </w:r>
      <w:r>
        <w:rPr/>
        <w:t>、母公司现金流量表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274,615,862.54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271,403,422.99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3,262,132.66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2,612,930.35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6,322,042.98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277,228,792.89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280,987,598.63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199,095,788.69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137,414,960.53</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32,650,462.84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31,560,809.77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15,589,925.93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23,487,169.95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40,370,850.99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44,955,822.31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287,707,028.45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237,418,762.56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-10,478,235.56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43,568,836.07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150,000.00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2,381,147.79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2,531,147.79</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84,211,716.79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32,593,833.93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15,300,000.00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196,000,000.00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295,511,716.79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32,593,833.93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-295,511,716.79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-30,062,686.14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435,600,000.00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85,000,000.00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435,600,000.00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85,000,000.00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205,000,000.00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101,000,000.00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15,928,687.81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12,752,843.32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783,018.87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220,928,687.81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114,535,862.19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214,671,312.19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-29,535,862.19</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-1.44</w:t>
            </w:r>
            <w:r>
              <w:rPr>
                <w:rFonts w:ascii="Times New Roman"/>
                <w:sz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-91,318,641.60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-16,029,710.67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137,172,514.12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153,202,224.79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45,853,872.52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137,172,514.12</w:t>
            </w:r>
          </w:p>
        </w:tc>
      </w:tr>
    </w:tbl>
    <w:p>
      <w:pPr>
        <w:spacing w:line="240" w:lineRule="auto" w:before="3"/>
        <w:rPr>
          <w:rFonts w:ascii="宋体" w:hAnsi="宋体" w:cs="宋体" w:eastAsia="宋体" w:hint="default"/>
          <w:sz w:val="19"/>
          <w:szCs w:val="19"/>
        </w:rPr>
      </w:pPr>
    </w:p>
    <w:p>
      <w:pPr>
        <w:pStyle w:val="Heading5"/>
        <w:spacing w:line="240" w:lineRule="auto" w:before="35"/>
        <w:ind w:right="0"/>
        <w:jc w:val="left"/>
        <w:rPr>
          <w:b w:val="0"/>
          <w:bCs w:val="0"/>
        </w:rPr>
      </w:pPr>
      <w:bookmarkStart w:name="7、合并所有者权益变动表" w:id="160"/>
      <w:bookmarkEnd w:id="160"/>
      <w:r>
        <w:rPr>
          <w:b w:val="0"/>
          <w:bCs w:val="0"/>
        </w:rPr>
      </w:r>
      <w:r>
        <w:rPr>
          <w:rFonts w:ascii="Times New Roman" w:hAnsi="Times New Roman" w:cs="Times New Roman" w:eastAsia="Times New Roman" w:hint="default"/>
        </w:rPr>
        <w:t>7</w:t>
      </w:r>
      <w:r>
        <w:rPr/>
        <w:t>、合并所有者权益变动表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right="0"/>
        <w:jc w:val="left"/>
      </w:pPr>
      <w:r>
        <w:rPr/>
        <w:t>本期金额</w:t>
      </w:r>
    </w:p>
    <w:p>
      <w:pPr>
        <w:pStyle w:val="BodyText"/>
        <w:spacing w:line="240" w:lineRule="auto" w:before="117"/>
        <w:ind w:left="0" w:right="150"/>
        <w:jc w:val="right"/>
      </w:pPr>
      <w:r>
        <w:rPr/>
        <w:t>单位：元</w:t>
      </w:r>
    </w:p>
    <w:p>
      <w:pPr>
        <w:spacing w:after="0" w:line="240" w:lineRule="auto"/>
        <w:jc w:val="right"/>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1415"/>
        <w:gridCol w:w="574"/>
        <w:gridCol w:w="530"/>
        <w:gridCol w:w="532"/>
        <w:gridCol w:w="530"/>
        <w:gridCol w:w="665"/>
        <w:gridCol w:w="665"/>
        <w:gridCol w:w="665"/>
        <w:gridCol w:w="665"/>
        <w:gridCol w:w="664"/>
        <w:gridCol w:w="666"/>
        <w:gridCol w:w="665"/>
        <w:gridCol w:w="665"/>
        <w:gridCol w:w="659"/>
      </w:tblGrid>
      <w:tr>
        <w:trPr>
          <w:trHeight w:val="402" w:hRule="exact"/>
        </w:trPr>
        <w:tc>
          <w:tcPr>
            <w:tcW w:w="1415" w:type="dxa"/>
            <w:vMerge w:val="restart"/>
            <w:tcBorders>
              <w:top w:val="single" w:sz="4" w:space="0" w:color="000000"/>
              <w:left w:val="single" w:sz="4" w:space="0" w:color="000000"/>
              <w:right w:val="single" w:sz="4" w:space="0" w:color="000000"/>
            </w:tcBorders>
            <w:shd w:val="clear" w:color="auto" w:fill="D2D2D2"/>
          </w:tcPr>
          <w:p>
            <w:pPr/>
          </w:p>
        </w:tc>
        <w:tc>
          <w:tcPr>
            <w:tcW w:w="8145"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51" w:hRule="exact"/>
        </w:trPr>
        <w:tc>
          <w:tcPr>
            <w:tcW w:w="1415" w:type="dxa"/>
            <w:vMerge/>
            <w:tcBorders>
              <w:left w:val="single" w:sz="4" w:space="0" w:color="000000"/>
              <w:right w:val="single" w:sz="4" w:space="0" w:color="000000"/>
            </w:tcBorders>
            <w:shd w:val="clear" w:color="auto" w:fill="D2D2D2"/>
          </w:tcPr>
          <w:p>
            <w:pPr/>
          </w:p>
        </w:tc>
        <w:tc>
          <w:tcPr>
            <w:tcW w:w="6821"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65" w:type="dxa"/>
            <w:vMerge w:val="restart"/>
            <w:tcBorders>
              <w:top w:val="single" w:sz="4" w:space="0" w:color="000000"/>
              <w:left w:val="single" w:sz="4" w:space="0" w:color="000000"/>
              <w:right w:val="single" w:sz="4" w:space="0" w:color="000000"/>
            </w:tcBorders>
            <w:shd w:val="clear" w:color="auto" w:fill="D2D2D2"/>
          </w:tcPr>
          <w:p>
            <w:pPr/>
          </w:p>
        </w:tc>
        <w:tc>
          <w:tcPr>
            <w:tcW w:w="65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415" w:type="dxa"/>
            <w:vMerge/>
            <w:tcBorders>
              <w:left w:val="single" w:sz="4" w:space="0" w:color="000000"/>
              <w:bottom w:val="nil" w:sz="6" w:space="0" w:color="auto"/>
              <w:right w:val="single" w:sz="4" w:space="0" w:color="000000"/>
            </w:tcBorders>
            <w:shd w:val="clear" w:color="auto" w:fill="D2D2D2"/>
          </w:tcPr>
          <w:p>
            <w:pPr/>
          </w:p>
        </w:tc>
        <w:tc>
          <w:tcPr>
            <w:tcW w:w="6821" w:type="dxa"/>
            <w:gridSpan w:val="11"/>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59"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53"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41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574" w:type="dxa"/>
            <w:vMerge w:val="restart"/>
            <w:tcBorders>
              <w:top w:val="single" w:sz="4" w:space="0" w:color="000000"/>
              <w:left w:val="single" w:sz="4" w:space="0" w:color="000000"/>
              <w:right w:val="single" w:sz="4" w:space="0" w:color="000000"/>
            </w:tcBorders>
            <w:shd w:val="clear" w:color="auto" w:fill="D2D2D2"/>
          </w:tcPr>
          <w:p>
            <w:pPr/>
          </w:p>
        </w:tc>
        <w:tc>
          <w:tcPr>
            <w:tcW w:w="159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4" w:type="dxa"/>
            <w:tcBorders>
              <w:top w:val="single" w:sz="4" w:space="0" w:color="000000"/>
              <w:left w:val="single" w:sz="4" w:space="0" w:color="000000"/>
              <w:bottom w:val="nil" w:sz="6" w:space="0" w:color="auto"/>
              <w:right w:val="single" w:sz="4" w:space="0" w:color="000000"/>
            </w:tcBorders>
            <w:shd w:val="clear" w:color="auto" w:fill="D2D2D2"/>
          </w:tcPr>
          <w:p>
            <w:pPr/>
          </w:p>
        </w:tc>
        <w:tc>
          <w:tcPr>
            <w:tcW w:w="666"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6"/>
              <w:ind w:left="56" w:right="56"/>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tcBorders>
              <w:left w:val="single" w:sz="4" w:space="0" w:color="000000"/>
              <w:right w:val="single" w:sz="4" w:space="0" w:color="000000"/>
            </w:tcBorders>
            <w:shd w:val="clear" w:color="auto" w:fill="D2D2D2"/>
          </w:tcPr>
          <w:p>
            <w:pPr/>
          </w:p>
        </w:tc>
      </w:tr>
      <w:tr>
        <w:trPr>
          <w:trHeight w:val="173" w:hRule="exact"/>
        </w:trPr>
        <w:tc>
          <w:tcPr>
            <w:tcW w:w="1415" w:type="dxa"/>
            <w:vMerge/>
            <w:tcBorders>
              <w:left w:val="single" w:sz="4" w:space="0" w:color="000000"/>
              <w:bottom w:val="nil" w:sz="6" w:space="0" w:color="auto"/>
              <w:right w:val="single" w:sz="4" w:space="0" w:color="000000"/>
            </w:tcBorders>
            <w:shd w:val="clear" w:color="auto" w:fill="D2D2D2"/>
          </w:tcPr>
          <w:p>
            <w:pPr/>
          </w:p>
        </w:tc>
        <w:tc>
          <w:tcPr>
            <w:tcW w:w="574" w:type="dxa"/>
            <w:vMerge/>
            <w:tcBorders>
              <w:left w:val="single" w:sz="4" w:space="0" w:color="000000"/>
              <w:bottom w:val="nil" w:sz="6" w:space="0" w:color="auto"/>
              <w:right w:val="single" w:sz="4" w:space="0" w:color="000000"/>
            </w:tcBorders>
            <w:shd w:val="clear" w:color="auto" w:fill="D2D2D2"/>
          </w:tcPr>
          <w:p>
            <w:pPr/>
          </w:p>
        </w:tc>
        <w:tc>
          <w:tcPr>
            <w:tcW w:w="1592" w:type="dxa"/>
            <w:gridSpan w:val="3"/>
            <w:vMerge/>
            <w:tcBorders>
              <w:left w:val="single" w:sz="4" w:space="0" w:color="000000"/>
              <w:bottom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236" w:right="57" w:hanging="181"/>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4"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236" w:right="5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6"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57" w:right="5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65"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84" w:hRule="exact"/>
        </w:trPr>
        <w:tc>
          <w:tcPr>
            <w:tcW w:w="1415" w:type="dxa"/>
            <w:vMerge w:val="restart"/>
            <w:tcBorders>
              <w:top w:val="nil" w:sz="6" w:space="0" w:color="auto"/>
              <w:left w:val="single" w:sz="4" w:space="0" w:color="000000"/>
              <w:right w:val="single" w:sz="4" w:space="0" w:color="000000"/>
            </w:tcBorders>
            <w:shd w:val="clear" w:color="auto" w:fill="D2D2D2"/>
          </w:tcPr>
          <w:p>
            <w:pPr/>
          </w:p>
        </w:tc>
        <w:tc>
          <w:tcPr>
            <w:tcW w:w="57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5"/>
              <w:ind w:left="108"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4"/>
              <w:ind w:left="170"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4"/>
              <w:ind w:left="170" w:right="79"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4" w:type="dxa"/>
            <w:vMerge/>
            <w:tcBorders>
              <w:left w:val="single" w:sz="4" w:space="0" w:color="000000"/>
              <w:right w:val="single" w:sz="4" w:space="0" w:color="000000"/>
            </w:tcBorders>
            <w:shd w:val="clear" w:color="auto" w:fill="D2D2D2"/>
          </w:tcPr>
          <w:p>
            <w:pPr/>
          </w:p>
        </w:tc>
        <w:tc>
          <w:tcPr>
            <w:tcW w:w="666"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69" w:hRule="exact"/>
        </w:trPr>
        <w:tc>
          <w:tcPr>
            <w:tcW w:w="1415" w:type="dxa"/>
            <w:vMerge/>
            <w:tcBorders>
              <w:left w:val="single" w:sz="4" w:space="0" w:color="000000"/>
              <w:right w:val="single" w:sz="4" w:space="0" w:color="000000"/>
            </w:tcBorders>
            <w:shd w:val="clear" w:color="auto" w:fill="D2D2D2"/>
          </w:tcPr>
          <w:p>
            <w:pPr/>
          </w:p>
        </w:tc>
        <w:tc>
          <w:tcPr>
            <w:tcW w:w="574" w:type="dxa"/>
            <w:vMerge/>
            <w:tcBorders>
              <w:left w:val="single" w:sz="4" w:space="0" w:color="000000"/>
              <w:bottom w:val="nil" w:sz="6" w:space="0" w:color="auto"/>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4" w:type="dxa"/>
            <w:vMerge/>
            <w:tcBorders>
              <w:left w:val="single" w:sz="4" w:space="0" w:color="000000"/>
              <w:right w:val="single" w:sz="4" w:space="0" w:color="000000"/>
            </w:tcBorders>
            <w:shd w:val="clear" w:color="auto" w:fill="D2D2D2"/>
          </w:tcPr>
          <w:p>
            <w:pPr/>
          </w:p>
        </w:tc>
        <w:tc>
          <w:tcPr>
            <w:tcW w:w="666"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56" w:hRule="exact"/>
        </w:trPr>
        <w:tc>
          <w:tcPr>
            <w:tcW w:w="1415" w:type="dxa"/>
            <w:vMerge/>
            <w:tcBorders>
              <w:left w:val="single" w:sz="4" w:space="0" w:color="000000"/>
              <w:right w:val="single" w:sz="4" w:space="0" w:color="000000"/>
            </w:tcBorders>
            <w:shd w:val="clear" w:color="auto" w:fill="D2D2D2"/>
          </w:tcPr>
          <w:p>
            <w:pPr/>
          </w:p>
        </w:tc>
        <w:tc>
          <w:tcPr>
            <w:tcW w:w="574" w:type="dxa"/>
            <w:vMerge w:val="restart"/>
            <w:tcBorders>
              <w:top w:val="nil" w:sz="6" w:space="0" w:color="auto"/>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4" w:type="dxa"/>
            <w:vMerge/>
            <w:tcBorders>
              <w:left w:val="single" w:sz="4" w:space="0" w:color="000000"/>
              <w:bottom w:val="nil" w:sz="6" w:space="0" w:color="auto"/>
              <w:right w:val="single" w:sz="4" w:space="0" w:color="000000"/>
            </w:tcBorders>
            <w:shd w:val="clear" w:color="auto" w:fill="D2D2D2"/>
          </w:tcPr>
          <w:p>
            <w:pPr/>
          </w:p>
        </w:tc>
        <w:tc>
          <w:tcPr>
            <w:tcW w:w="666"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
        </w:tc>
        <w:tc>
          <w:tcPr>
            <w:tcW w:w="659" w:type="dxa"/>
            <w:vMerge/>
            <w:tcBorders>
              <w:left w:val="single" w:sz="4" w:space="0" w:color="000000"/>
              <w:bottom w:val="nil" w:sz="6" w:space="0" w:color="auto"/>
              <w:right w:val="single" w:sz="4" w:space="0" w:color="000000"/>
            </w:tcBorders>
            <w:shd w:val="clear" w:color="auto" w:fill="D2D2D2"/>
          </w:tcPr>
          <w:p>
            <w:pPr/>
          </w:p>
        </w:tc>
      </w:tr>
      <w:tr>
        <w:trPr>
          <w:trHeight w:val="229" w:hRule="exact"/>
        </w:trPr>
        <w:tc>
          <w:tcPr>
            <w:tcW w:w="1415" w:type="dxa"/>
            <w:vMerge/>
            <w:tcBorders>
              <w:left w:val="single" w:sz="4" w:space="0" w:color="000000"/>
              <w:bottom w:val="single" w:sz="4" w:space="0" w:color="000000"/>
              <w:right w:val="single" w:sz="4" w:space="0" w:color="000000"/>
            </w:tcBorders>
            <w:shd w:val="clear" w:color="auto" w:fill="D2D2D2"/>
          </w:tcPr>
          <w:p>
            <w:pPr/>
          </w:p>
        </w:tc>
        <w:tc>
          <w:tcPr>
            <w:tcW w:w="574"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2"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4" w:type="dxa"/>
            <w:tcBorders>
              <w:top w:val="nil" w:sz="6" w:space="0" w:color="auto"/>
              <w:left w:val="single" w:sz="4" w:space="0" w:color="000000"/>
              <w:bottom w:val="single" w:sz="4" w:space="0" w:color="000000"/>
              <w:right w:val="single" w:sz="4" w:space="0" w:color="000000"/>
            </w:tcBorders>
            <w:shd w:val="clear" w:color="auto" w:fill="D2D2D2"/>
          </w:tcPr>
          <w:p>
            <w:pPr/>
          </w:p>
        </w:tc>
        <w:tc>
          <w:tcPr>
            <w:tcW w:w="666"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5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7"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66,670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240,142</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,564.59</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35,546,</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762.21</w:t>
            </w: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172,581</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,152.44</w:t>
            </w:r>
          </w:p>
        </w:tc>
        <w:tc>
          <w:tcPr>
            <w:tcW w:w="665" w:type="dxa"/>
            <w:vMerge w:val="restart"/>
            <w:tcBorders>
              <w:top w:val="single" w:sz="4" w:space="0" w:color="000000"/>
              <w:left w:val="single" w:sz="4" w:space="0" w:color="000000"/>
              <w:right w:val="single" w:sz="4" w:space="0" w:color="000000"/>
            </w:tcBorders>
          </w:tcPr>
          <w:p>
            <w:pP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514,940</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,479.24</w:t>
            </w:r>
          </w:p>
        </w:tc>
      </w:tr>
      <w:tr>
        <w:trPr>
          <w:trHeight w:val="392"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7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9"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31"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66,670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240,142</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,564.59</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35,546,</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762.21</w:t>
            </w: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172,581</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,152.44</w:t>
            </w:r>
          </w:p>
        </w:tc>
        <w:tc>
          <w:tcPr>
            <w:tcW w:w="665" w:type="dxa"/>
            <w:vMerge w:val="restart"/>
            <w:tcBorders>
              <w:top w:val="single" w:sz="4" w:space="0" w:color="000000"/>
              <w:left w:val="single" w:sz="4" w:space="0" w:color="000000"/>
              <w:right w:val="single" w:sz="4" w:space="0" w:color="000000"/>
            </w:tcBorders>
          </w:tcPr>
          <w:p>
            <w:pP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514,940</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,479.24</w:t>
            </w:r>
          </w:p>
        </w:tc>
      </w:tr>
      <w:tr>
        <w:trPr>
          <w:trHeight w:val="392"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7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1026"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9"/>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39"/>
                <w:sz w:val="18"/>
                <w:szCs w:val="18"/>
              </w:rPr>
              <w:t> </w:t>
            </w:r>
            <w:r>
              <w:rPr>
                <w:rFonts w:ascii="宋体" w:hAnsi="宋体" w:cs="宋体" w:eastAsia="宋体" w:hint="default"/>
                <w:sz w:val="18"/>
                <w:szCs w:val="18"/>
              </w:rPr>
              <w:t>号填列）</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9" w:right="0"/>
              <w:jc w:val="center"/>
              <w:rPr>
                <w:rFonts w:ascii="Times New Roman" w:hAnsi="Times New Roman" w:cs="Times New Roman" w:eastAsia="Times New Roman" w:hint="default"/>
                <w:sz w:val="18"/>
                <w:szCs w:val="18"/>
              </w:rPr>
            </w:pPr>
            <w:r>
              <w:rPr>
                <w:rFonts w:ascii="Times New Roman"/>
                <w:sz w:val="18"/>
              </w:rPr>
              <w:t>3,244,8</w:t>
            </w:r>
          </w:p>
          <w:p>
            <w:pPr>
              <w:pStyle w:val="TableParagraph"/>
              <w:spacing w:line="240" w:lineRule="auto" w:before="106"/>
              <w:ind w:left="204" w:right="0"/>
              <w:jc w:val="center"/>
              <w:rPr>
                <w:rFonts w:ascii="Times New Roman" w:hAnsi="Times New Roman" w:cs="Times New Roman" w:eastAsia="Times New Roman" w:hint="default"/>
                <w:sz w:val="18"/>
                <w:szCs w:val="18"/>
              </w:rPr>
            </w:pPr>
            <w:r>
              <w:rPr>
                <w:rFonts w:ascii="Times New Roman"/>
                <w:sz w:val="18"/>
              </w:rPr>
              <w:t>99.56</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29,094,</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604.95</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14,694,</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155.16</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47,033,</w:t>
            </w:r>
          </w:p>
          <w:p>
            <w:pPr>
              <w:pStyle w:val="TableParagraph"/>
              <w:spacing w:line="240" w:lineRule="auto" w:before="106"/>
              <w:ind w:left="130" w:right="0"/>
              <w:jc w:val="left"/>
              <w:rPr>
                <w:rFonts w:ascii="Times New Roman" w:hAnsi="Times New Roman" w:cs="Times New Roman" w:eastAsia="Times New Roman" w:hint="default"/>
                <w:sz w:val="18"/>
                <w:szCs w:val="18"/>
              </w:rPr>
            </w:pPr>
            <w:r>
              <w:rPr>
                <w:rFonts w:ascii="Times New Roman"/>
                <w:sz w:val="18"/>
              </w:rPr>
              <w:t>659.67</w:t>
            </w: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9"/>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42,340,</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004.51</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-5,844.8</w:t>
            </w:r>
            <w:r>
              <w:rPr>
                <w:rFonts w:ascii="Times New Roman"/>
                <w:sz w:val="18"/>
              </w:rPr>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 w:right="0"/>
              <w:jc w:val="left"/>
              <w:rPr>
                <w:rFonts w:ascii="Times New Roman" w:hAnsi="Times New Roman" w:cs="Times New Roman" w:eastAsia="Times New Roman" w:hint="default"/>
                <w:sz w:val="18"/>
                <w:szCs w:val="18"/>
              </w:rPr>
            </w:pPr>
            <w:r>
              <w:rPr>
                <w:rFonts w:ascii="Times New Roman"/>
                <w:sz w:val="18"/>
              </w:rPr>
              <w:t>42,334,</w:t>
            </w:r>
          </w:p>
          <w:p>
            <w:pPr>
              <w:pStyle w:val="TableParagraph"/>
              <w:spacing w:line="240" w:lineRule="auto" w:before="106"/>
              <w:ind w:left="130" w:right="0"/>
              <w:jc w:val="left"/>
              <w:rPr>
                <w:rFonts w:ascii="Times New Roman" w:hAnsi="Times New Roman" w:cs="Times New Roman" w:eastAsia="Times New Roman" w:hint="default"/>
                <w:sz w:val="18"/>
                <w:szCs w:val="18"/>
              </w:rPr>
            </w:pPr>
            <w:r>
              <w:rPr>
                <w:rFonts w:ascii="Times New Roman"/>
                <w:sz w:val="18"/>
              </w:rPr>
              <w:t>159.67</w:t>
            </w: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9"/>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和减少资本</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14,700,</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000.00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 w:right="0"/>
              <w:jc w:val="left"/>
              <w:rPr>
                <w:rFonts w:ascii="Times New Roman" w:hAnsi="Times New Roman" w:cs="Times New Roman" w:eastAsia="Times New Roman" w:hint="default"/>
                <w:sz w:val="18"/>
                <w:szCs w:val="18"/>
              </w:rPr>
            </w:pPr>
            <w:r>
              <w:rPr>
                <w:rFonts w:ascii="Times New Roman"/>
                <w:sz w:val="18"/>
              </w:rPr>
              <w:t>14,700,</w:t>
            </w:r>
          </w:p>
          <w:p>
            <w:pPr>
              <w:pStyle w:val="TableParagraph"/>
              <w:spacing w:line="240" w:lineRule="auto" w:before="106"/>
              <w:ind w:left="130" w:right="0"/>
              <w:jc w:val="left"/>
              <w:rPr>
                <w:rFonts w:ascii="Times New Roman" w:hAnsi="Times New Roman" w:cs="Times New Roman" w:eastAsia="Times New Roman" w:hint="default"/>
                <w:sz w:val="18"/>
                <w:szCs w:val="18"/>
              </w:rPr>
            </w:pPr>
            <w:r>
              <w:rPr>
                <w:rFonts w:ascii="Times New Roman"/>
                <w:sz w:val="18"/>
              </w:rPr>
              <w:t>000.00</w:t>
            </w: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42"/>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14,700,</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000.00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 w:right="0"/>
              <w:jc w:val="left"/>
              <w:rPr>
                <w:rFonts w:ascii="Times New Roman" w:hAnsi="Times New Roman" w:cs="Times New Roman" w:eastAsia="Times New Roman" w:hint="default"/>
                <w:sz w:val="18"/>
                <w:szCs w:val="18"/>
              </w:rPr>
            </w:pPr>
            <w:r>
              <w:rPr>
                <w:rFonts w:ascii="Times New Roman"/>
                <w:sz w:val="18"/>
              </w:rPr>
              <w:t>14,700,</w:t>
            </w:r>
          </w:p>
          <w:p>
            <w:pPr>
              <w:pStyle w:val="TableParagraph"/>
              <w:spacing w:line="240" w:lineRule="auto" w:before="106"/>
              <w:ind w:left="130" w:right="0"/>
              <w:jc w:val="left"/>
              <w:rPr>
                <w:rFonts w:ascii="Times New Roman" w:hAnsi="Times New Roman" w:cs="Times New Roman" w:eastAsia="Times New Roman" w:hint="default"/>
                <w:sz w:val="18"/>
                <w:szCs w:val="18"/>
              </w:rPr>
            </w:pPr>
            <w:r>
              <w:rPr>
                <w:rFonts w:ascii="Times New Roman"/>
                <w:sz w:val="18"/>
              </w:rPr>
              <w:t>000.00</w:t>
            </w: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4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42"/>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9" w:space="0" w:color="D2D2D2"/>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Style w:val="TableParagraph"/>
              <w:spacing w:line="240" w:lineRule="auto" w:before="91"/>
              <w:ind w:left="69" w:right="0"/>
              <w:jc w:val="center"/>
              <w:rPr>
                <w:rFonts w:ascii="Times New Roman" w:hAnsi="Times New Roman" w:cs="Times New Roman" w:eastAsia="Times New Roman" w:hint="default"/>
                <w:sz w:val="18"/>
                <w:szCs w:val="18"/>
              </w:rPr>
            </w:pPr>
            <w:r>
              <w:rPr>
                <w:rFonts w:ascii="Times New Roman"/>
                <w:sz w:val="18"/>
              </w:rPr>
              <w:t>3,244,8</w:t>
            </w:r>
          </w:p>
          <w:p>
            <w:pPr>
              <w:pStyle w:val="TableParagraph"/>
              <w:spacing w:line="240" w:lineRule="auto" w:before="106"/>
              <w:ind w:left="204" w:right="0"/>
              <w:jc w:val="center"/>
              <w:rPr>
                <w:rFonts w:ascii="Times New Roman" w:hAnsi="Times New Roman" w:cs="Times New Roman" w:eastAsia="Times New Roman" w:hint="default"/>
                <w:sz w:val="18"/>
                <w:szCs w:val="18"/>
              </w:rPr>
            </w:pPr>
            <w:r>
              <w:rPr>
                <w:rFonts w:ascii="Times New Roman"/>
                <w:sz w:val="18"/>
              </w:rPr>
              <w:t>99.56</w:t>
            </w: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-13,245,</w:t>
            </w:r>
          </w:p>
          <w:p>
            <w:pPr>
              <w:pStyle w:val="TableParagraph"/>
              <w:spacing w:line="240" w:lineRule="auto" w:before="106"/>
              <w:ind w:left="113" w:right="0"/>
              <w:jc w:val="center"/>
              <w:rPr>
                <w:rFonts w:ascii="Times New Roman" w:hAnsi="Times New Roman" w:cs="Times New Roman" w:eastAsia="Times New Roman" w:hint="default"/>
                <w:sz w:val="18"/>
                <w:szCs w:val="18"/>
              </w:rPr>
            </w:pPr>
            <w:r>
              <w:rPr>
                <w:rFonts w:ascii="Times New Roman"/>
                <w:sz w:val="18"/>
              </w:rPr>
              <w:t>399.56</w:t>
            </w:r>
          </w:p>
        </w:tc>
        <w:tc>
          <w:tcPr>
            <w:tcW w:w="665" w:type="dxa"/>
            <w:vMerge w:val="restart"/>
            <w:tcBorders>
              <w:top w:val="single" w:sz="4" w:space="0" w:color="000000"/>
              <w:left w:val="single" w:sz="4" w:space="0" w:color="000000"/>
              <w:right w:val="single" w:sz="4" w:space="0" w:color="000000"/>
            </w:tcBorders>
          </w:tcPr>
          <w:p>
            <w:pP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6"/>
              <w:ind w:left="107" w:right="0"/>
              <w:jc w:val="center"/>
              <w:rPr>
                <w:rFonts w:ascii="Times New Roman" w:hAnsi="Times New Roman" w:cs="Times New Roman" w:eastAsia="Times New Roman" w:hint="default"/>
                <w:sz w:val="18"/>
                <w:szCs w:val="18"/>
              </w:rPr>
            </w:pPr>
            <w:r>
              <w:rPr>
                <w:rFonts w:ascii="Times New Roman"/>
                <w:sz w:val="18"/>
              </w:rPr>
              <w:t>500.00</w:t>
            </w:r>
          </w:p>
        </w:tc>
      </w:tr>
      <w:tr>
        <w:trPr>
          <w:trHeight w:val="392"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7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161"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161"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9" w:space="0" w:color="D2D2D2"/>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Style w:val="TableParagraph"/>
              <w:spacing w:line="240" w:lineRule="auto" w:before="91"/>
              <w:ind w:left="69" w:right="0"/>
              <w:jc w:val="center"/>
              <w:rPr>
                <w:rFonts w:ascii="Times New Roman" w:hAnsi="Times New Roman" w:cs="Times New Roman" w:eastAsia="Times New Roman" w:hint="default"/>
                <w:sz w:val="18"/>
                <w:szCs w:val="18"/>
              </w:rPr>
            </w:pPr>
            <w:r>
              <w:rPr>
                <w:rFonts w:ascii="Times New Roman"/>
                <w:sz w:val="18"/>
              </w:rPr>
              <w:t>3,244,8</w:t>
            </w:r>
          </w:p>
          <w:p>
            <w:pPr>
              <w:pStyle w:val="TableParagraph"/>
              <w:spacing w:line="240" w:lineRule="auto" w:before="106"/>
              <w:ind w:left="204" w:right="0"/>
              <w:jc w:val="center"/>
              <w:rPr>
                <w:rFonts w:ascii="Times New Roman" w:hAnsi="Times New Roman" w:cs="Times New Roman" w:eastAsia="Times New Roman" w:hint="default"/>
                <w:sz w:val="18"/>
                <w:szCs w:val="18"/>
              </w:rPr>
            </w:pPr>
            <w:r>
              <w:rPr>
                <w:rFonts w:ascii="Times New Roman"/>
                <w:sz w:val="18"/>
              </w:rPr>
              <w:t>99.56</w:t>
            </w: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-3,244,8</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99.56</w:t>
            </w:r>
          </w:p>
        </w:tc>
        <w:tc>
          <w:tcPr>
            <w:tcW w:w="665" w:type="dxa"/>
            <w:vMerge w:val="restart"/>
            <w:tcBorders>
              <w:top w:val="single" w:sz="4" w:space="0" w:color="000000"/>
              <w:left w:val="single" w:sz="4" w:space="0" w:color="000000"/>
              <w:right w:val="single" w:sz="4" w:space="0" w:color="000000"/>
            </w:tcBorders>
          </w:tcPr>
          <w:p>
            <w:pPr/>
          </w:p>
        </w:tc>
        <w:tc>
          <w:tcPr>
            <w:tcW w:w="659" w:type="dxa"/>
            <w:vMerge w:val="restart"/>
            <w:tcBorders>
              <w:top w:val="single" w:sz="4" w:space="0" w:color="000000"/>
              <w:left w:val="single" w:sz="4" w:space="0" w:color="000000"/>
              <w:right w:val="single" w:sz="4" w:space="0" w:color="000000"/>
            </w:tcBorders>
          </w:tcPr>
          <w:p>
            <w:pPr/>
          </w:p>
        </w:tc>
      </w:tr>
      <w:tr>
        <w:trPr>
          <w:trHeight w:val="392"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7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161"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402"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59"/>
      </w:tblGrid>
      <w:tr>
        <w:trPr>
          <w:trHeight w:val="36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准备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113" w:right="0"/>
              <w:jc w:val="center"/>
              <w:rPr>
                <w:rFonts w:ascii="Times New Roman" w:hAnsi="Times New Roman" w:cs="Times New Roman" w:eastAsia="Times New Roman" w:hint="default"/>
                <w:sz w:val="18"/>
                <w:szCs w:val="18"/>
              </w:rPr>
            </w:pPr>
            <w:r>
              <w:rPr>
                <w:rFonts w:ascii="Times New Roman"/>
                <w:sz w:val="18"/>
              </w:rPr>
              <w:t>500.00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107" w:right="0"/>
              <w:jc w:val="center"/>
              <w:rPr>
                <w:rFonts w:ascii="Times New Roman" w:hAnsi="Times New Roman" w:cs="Times New Roman" w:eastAsia="Times New Roman" w:hint="default"/>
                <w:sz w:val="18"/>
                <w:szCs w:val="18"/>
              </w:rPr>
            </w:pPr>
            <w:r>
              <w:rPr>
                <w:rFonts w:ascii="Times New Roman"/>
                <w:sz w:val="18"/>
              </w:rPr>
              <w:t>500.00</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内部结转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66,670</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240,142</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,564.59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38,791,</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661.77</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201,675</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,757.39</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14,694,</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155.16</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561,974</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,138.91</w:t>
            </w:r>
          </w:p>
        </w:tc>
      </w:tr>
    </w:tbl>
    <w:p>
      <w:pPr>
        <w:pStyle w:val="BodyText"/>
        <w:spacing w:line="240" w:lineRule="auto" w:before="51"/>
        <w:ind w:right="0"/>
        <w:jc w:val="left"/>
      </w:pPr>
      <w:r>
        <w:rPr/>
        <w:t>上期金额</w:t>
      </w:r>
    </w:p>
    <w:p>
      <w:pPr>
        <w:pStyle w:val="BodyText"/>
        <w:spacing w:line="240" w:lineRule="auto" w:before="117"/>
        <w:ind w:left="0" w:right="15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438"/>
        <w:gridCol w:w="562"/>
        <w:gridCol w:w="530"/>
        <w:gridCol w:w="532"/>
        <w:gridCol w:w="530"/>
        <w:gridCol w:w="665"/>
        <w:gridCol w:w="665"/>
        <w:gridCol w:w="665"/>
        <w:gridCol w:w="665"/>
        <w:gridCol w:w="665"/>
        <w:gridCol w:w="665"/>
        <w:gridCol w:w="678"/>
        <w:gridCol w:w="652"/>
        <w:gridCol w:w="659"/>
      </w:tblGrid>
      <w:tr>
        <w:trPr>
          <w:trHeight w:val="402" w:hRule="exact"/>
        </w:trPr>
        <w:tc>
          <w:tcPr>
            <w:tcW w:w="1438" w:type="dxa"/>
            <w:vMerge w:val="restart"/>
            <w:tcBorders>
              <w:top w:val="single" w:sz="4" w:space="0" w:color="000000"/>
              <w:left w:val="single" w:sz="4" w:space="0" w:color="000000"/>
              <w:right w:val="single" w:sz="4" w:space="0" w:color="000000"/>
            </w:tcBorders>
            <w:shd w:val="clear" w:color="auto" w:fill="D2D2D2"/>
          </w:tcPr>
          <w:p>
            <w:pPr/>
          </w:p>
        </w:tc>
        <w:tc>
          <w:tcPr>
            <w:tcW w:w="8132"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51" w:hRule="exact"/>
        </w:trPr>
        <w:tc>
          <w:tcPr>
            <w:tcW w:w="1438" w:type="dxa"/>
            <w:vMerge/>
            <w:tcBorders>
              <w:left w:val="single" w:sz="4" w:space="0" w:color="000000"/>
              <w:right w:val="single" w:sz="4" w:space="0" w:color="000000"/>
            </w:tcBorders>
            <w:shd w:val="clear" w:color="auto" w:fill="D2D2D2"/>
          </w:tcPr>
          <w:p>
            <w:pPr/>
          </w:p>
        </w:tc>
        <w:tc>
          <w:tcPr>
            <w:tcW w:w="6822"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52" w:type="dxa"/>
            <w:vMerge w:val="restart"/>
            <w:tcBorders>
              <w:top w:val="single" w:sz="4" w:space="0" w:color="000000"/>
              <w:left w:val="single" w:sz="4" w:space="0" w:color="000000"/>
              <w:right w:val="single" w:sz="4" w:space="0" w:color="000000"/>
            </w:tcBorders>
            <w:shd w:val="clear" w:color="auto" w:fill="D2D2D2"/>
          </w:tcPr>
          <w:p>
            <w:pPr/>
          </w:p>
        </w:tc>
        <w:tc>
          <w:tcPr>
            <w:tcW w:w="65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438" w:type="dxa"/>
            <w:vMerge/>
            <w:tcBorders>
              <w:left w:val="single" w:sz="4" w:space="0" w:color="000000"/>
              <w:bottom w:val="nil" w:sz="6" w:space="0" w:color="auto"/>
              <w:right w:val="single" w:sz="4" w:space="0" w:color="000000"/>
            </w:tcBorders>
            <w:shd w:val="clear" w:color="auto" w:fill="D2D2D2"/>
          </w:tcPr>
          <w:p>
            <w:pPr/>
          </w:p>
        </w:tc>
        <w:tc>
          <w:tcPr>
            <w:tcW w:w="6822" w:type="dxa"/>
            <w:gridSpan w:val="11"/>
            <w:vMerge/>
            <w:tcBorders>
              <w:left w:val="single" w:sz="4" w:space="0" w:color="000000"/>
              <w:bottom w:val="single" w:sz="4" w:space="0" w:color="000000"/>
              <w:right w:val="single" w:sz="4" w:space="0" w:color="000000"/>
            </w:tcBorders>
            <w:shd w:val="clear" w:color="auto" w:fill="D2D2D2"/>
          </w:tcPr>
          <w:p>
            <w:pPr/>
          </w:p>
        </w:tc>
        <w:tc>
          <w:tcPr>
            <w:tcW w:w="652" w:type="dxa"/>
            <w:vMerge/>
            <w:tcBorders>
              <w:left w:val="single" w:sz="4" w:space="0" w:color="000000"/>
              <w:bottom w:val="nil" w:sz="6" w:space="0" w:color="auto"/>
              <w:right w:val="single" w:sz="4" w:space="0" w:color="000000"/>
            </w:tcBorders>
            <w:shd w:val="clear" w:color="auto" w:fill="D2D2D2"/>
          </w:tcPr>
          <w:p>
            <w:pPr/>
          </w:p>
        </w:tc>
        <w:tc>
          <w:tcPr>
            <w:tcW w:w="659"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53"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43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562" w:type="dxa"/>
            <w:vMerge w:val="restart"/>
            <w:tcBorders>
              <w:top w:val="single" w:sz="4" w:space="0" w:color="000000"/>
              <w:left w:val="single" w:sz="4" w:space="0" w:color="000000"/>
              <w:right w:val="single" w:sz="4" w:space="0" w:color="000000"/>
            </w:tcBorders>
            <w:shd w:val="clear" w:color="auto" w:fill="D2D2D2"/>
          </w:tcPr>
          <w:p>
            <w:pPr/>
          </w:p>
        </w:tc>
        <w:tc>
          <w:tcPr>
            <w:tcW w:w="159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78" w:type="dxa"/>
            <w:tcBorders>
              <w:top w:val="single" w:sz="4" w:space="0" w:color="000000"/>
              <w:left w:val="single" w:sz="4" w:space="0" w:color="000000"/>
              <w:bottom w:val="nil" w:sz="6" w:space="0" w:color="auto"/>
              <w:right w:val="single" w:sz="4" w:space="0" w:color="000000"/>
            </w:tcBorders>
            <w:shd w:val="clear" w:color="auto" w:fill="D2D2D2"/>
          </w:tcPr>
          <w:p>
            <w:pPr/>
          </w:p>
        </w:tc>
        <w:tc>
          <w:tcPr>
            <w:tcW w:w="652"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6"/>
              <w:ind w:left="50" w:right="49"/>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tcBorders>
              <w:left w:val="single" w:sz="4" w:space="0" w:color="000000"/>
              <w:right w:val="single" w:sz="4" w:space="0" w:color="000000"/>
            </w:tcBorders>
            <w:shd w:val="clear" w:color="auto" w:fill="D2D2D2"/>
          </w:tcPr>
          <w:p>
            <w:pPr/>
          </w:p>
        </w:tc>
      </w:tr>
      <w:tr>
        <w:trPr>
          <w:trHeight w:val="173" w:hRule="exact"/>
        </w:trPr>
        <w:tc>
          <w:tcPr>
            <w:tcW w:w="1438" w:type="dxa"/>
            <w:vMerge/>
            <w:tcBorders>
              <w:left w:val="single" w:sz="4" w:space="0" w:color="000000"/>
              <w:bottom w:val="nil" w:sz="6" w:space="0" w:color="auto"/>
              <w:right w:val="single" w:sz="4" w:space="0" w:color="000000"/>
            </w:tcBorders>
            <w:shd w:val="clear" w:color="auto" w:fill="D2D2D2"/>
          </w:tcPr>
          <w:p>
            <w:pPr/>
          </w:p>
        </w:tc>
        <w:tc>
          <w:tcPr>
            <w:tcW w:w="562" w:type="dxa"/>
            <w:vMerge/>
            <w:tcBorders>
              <w:left w:val="single" w:sz="4" w:space="0" w:color="000000"/>
              <w:bottom w:val="nil" w:sz="6" w:space="0" w:color="auto"/>
              <w:right w:val="single" w:sz="4" w:space="0" w:color="000000"/>
            </w:tcBorders>
            <w:shd w:val="clear" w:color="auto" w:fill="D2D2D2"/>
          </w:tcPr>
          <w:p>
            <w:pPr/>
          </w:p>
        </w:tc>
        <w:tc>
          <w:tcPr>
            <w:tcW w:w="1592" w:type="dxa"/>
            <w:gridSpan w:val="3"/>
            <w:vMerge/>
            <w:tcBorders>
              <w:left w:val="single" w:sz="4" w:space="0" w:color="000000"/>
              <w:bottom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7" w:right="57" w:hanging="181"/>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7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53" w:right="62"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52"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84" w:hRule="exact"/>
        </w:trPr>
        <w:tc>
          <w:tcPr>
            <w:tcW w:w="1438" w:type="dxa"/>
            <w:vMerge w:val="restart"/>
            <w:tcBorders>
              <w:top w:val="nil" w:sz="6" w:space="0" w:color="auto"/>
              <w:left w:val="single" w:sz="4" w:space="0" w:color="000000"/>
              <w:right w:val="single" w:sz="4" w:space="0" w:color="000000"/>
            </w:tcBorders>
            <w:shd w:val="clear" w:color="auto" w:fill="D2D2D2"/>
          </w:tcPr>
          <w:p>
            <w:pPr/>
          </w:p>
        </w:tc>
        <w:tc>
          <w:tcPr>
            <w:tcW w:w="5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4"/>
              <w:ind w:left="9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4"/>
              <w:ind w:left="170"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4"/>
              <w:ind w:left="171" w:right="78"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78" w:type="dxa"/>
            <w:vMerge/>
            <w:tcBorders>
              <w:left w:val="single" w:sz="4" w:space="0" w:color="000000"/>
              <w:right w:val="single" w:sz="4" w:space="0" w:color="000000"/>
            </w:tcBorders>
            <w:shd w:val="clear" w:color="auto" w:fill="D2D2D2"/>
          </w:tcPr>
          <w:p>
            <w:pPr/>
          </w:p>
        </w:tc>
        <w:tc>
          <w:tcPr>
            <w:tcW w:w="652"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69" w:hRule="exact"/>
        </w:trPr>
        <w:tc>
          <w:tcPr>
            <w:tcW w:w="1438" w:type="dxa"/>
            <w:vMerge/>
            <w:tcBorders>
              <w:left w:val="single" w:sz="4" w:space="0" w:color="000000"/>
              <w:right w:val="single" w:sz="4" w:space="0" w:color="000000"/>
            </w:tcBorders>
            <w:shd w:val="clear" w:color="auto" w:fill="D2D2D2"/>
          </w:tcPr>
          <w:p>
            <w:pPr/>
          </w:p>
        </w:tc>
        <w:tc>
          <w:tcPr>
            <w:tcW w:w="562" w:type="dxa"/>
            <w:vMerge/>
            <w:tcBorders>
              <w:left w:val="single" w:sz="4" w:space="0" w:color="000000"/>
              <w:bottom w:val="nil" w:sz="6" w:space="0" w:color="auto"/>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78" w:type="dxa"/>
            <w:vMerge/>
            <w:tcBorders>
              <w:left w:val="single" w:sz="4" w:space="0" w:color="000000"/>
              <w:right w:val="single" w:sz="4" w:space="0" w:color="000000"/>
            </w:tcBorders>
            <w:shd w:val="clear" w:color="auto" w:fill="D2D2D2"/>
          </w:tcPr>
          <w:p>
            <w:pPr/>
          </w:p>
        </w:tc>
        <w:tc>
          <w:tcPr>
            <w:tcW w:w="652" w:type="dxa"/>
            <w:vMerge/>
            <w:tcBorders>
              <w:left w:val="single" w:sz="4" w:space="0" w:color="000000"/>
              <w:bottom w:val="nil" w:sz="6" w:space="0" w:color="auto"/>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56" w:hRule="exact"/>
        </w:trPr>
        <w:tc>
          <w:tcPr>
            <w:tcW w:w="1438" w:type="dxa"/>
            <w:vMerge/>
            <w:tcBorders>
              <w:left w:val="single" w:sz="4" w:space="0" w:color="000000"/>
              <w:right w:val="single" w:sz="4" w:space="0" w:color="000000"/>
            </w:tcBorders>
            <w:shd w:val="clear" w:color="auto" w:fill="D2D2D2"/>
          </w:tcPr>
          <w:p>
            <w:pPr/>
          </w:p>
        </w:tc>
        <w:tc>
          <w:tcPr>
            <w:tcW w:w="562" w:type="dxa"/>
            <w:vMerge w:val="restart"/>
            <w:tcBorders>
              <w:top w:val="nil" w:sz="6" w:space="0" w:color="auto"/>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78" w:type="dxa"/>
            <w:vMerge/>
            <w:tcBorders>
              <w:left w:val="single" w:sz="4" w:space="0" w:color="000000"/>
              <w:bottom w:val="nil" w:sz="6" w:space="0" w:color="auto"/>
              <w:right w:val="single" w:sz="4" w:space="0" w:color="000000"/>
            </w:tcBorders>
            <w:shd w:val="clear" w:color="auto" w:fill="D2D2D2"/>
          </w:tcPr>
          <w:p>
            <w:pPr/>
          </w:p>
        </w:tc>
        <w:tc>
          <w:tcPr>
            <w:tcW w:w="652" w:type="dxa"/>
            <w:vMerge w:val="restart"/>
            <w:tcBorders>
              <w:top w:val="nil" w:sz="6" w:space="0" w:color="auto"/>
              <w:left w:val="single" w:sz="4" w:space="0" w:color="000000"/>
              <w:right w:val="single" w:sz="4" w:space="0" w:color="000000"/>
            </w:tcBorders>
            <w:shd w:val="clear" w:color="auto" w:fill="D2D2D2"/>
          </w:tcPr>
          <w:p>
            <w:pPr/>
          </w:p>
        </w:tc>
        <w:tc>
          <w:tcPr>
            <w:tcW w:w="659" w:type="dxa"/>
            <w:vMerge/>
            <w:tcBorders>
              <w:left w:val="single" w:sz="4" w:space="0" w:color="000000"/>
              <w:bottom w:val="nil" w:sz="6" w:space="0" w:color="auto"/>
              <w:right w:val="single" w:sz="4" w:space="0" w:color="000000"/>
            </w:tcBorders>
            <w:shd w:val="clear" w:color="auto" w:fill="D2D2D2"/>
          </w:tcPr>
          <w:p>
            <w:pPr/>
          </w:p>
        </w:tc>
      </w:tr>
      <w:tr>
        <w:trPr>
          <w:trHeight w:val="229" w:hRule="exact"/>
        </w:trPr>
        <w:tc>
          <w:tcPr>
            <w:tcW w:w="1438" w:type="dxa"/>
            <w:vMerge/>
            <w:tcBorders>
              <w:left w:val="single" w:sz="4" w:space="0" w:color="000000"/>
              <w:bottom w:val="single" w:sz="4" w:space="0" w:color="000000"/>
              <w:right w:val="single" w:sz="4" w:space="0" w:color="000000"/>
            </w:tcBorders>
            <w:shd w:val="clear" w:color="auto" w:fill="D2D2D2"/>
          </w:tcPr>
          <w:p>
            <w:pPr/>
          </w:p>
        </w:tc>
        <w:tc>
          <w:tcPr>
            <w:tcW w:w="562"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2"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78" w:type="dxa"/>
            <w:tcBorders>
              <w:top w:val="nil" w:sz="6" w:space="0" w:color="auto"/>
              <w:left w:val="single" w:sz="4" w:space="0" w:color="000000"/>
              <w:bottom w:val="single" w:sz="4" w:space="0" w:color="000000"/>
              <w:right w:val="single" w:sz="4" w:space="0" w:color="000000"/>
            </w:tcBorders>
            <w:shd w:val="clear" w:color="auto" w:fill="D2D2D2"/>
          </w:tcPr>
          <w:p>
            <w:pPr/>
          </w:p>
        </w:tc>
        <w:tc>
          <w:tcPr>
            <w:tcW w:w="652" w:type="dxa"/>
            <w:vMerge/>
            <w:tcBorders>
              <w:left w:val="single" w:sz="4" w:space="0" w:color="000000"/>
              <w:bottom w:val="single" w:sz="4" w:space="0" w:color="000000"/>
              <w:right w:val="single" w:sz="4" w:space="0" w:color="000000"/>
            </w:tcBorders>
            <w:shd w:val="clear" w:color="auto" w:fill="D2D2D2"/>
          </w:tcPr>
          <w:p>
            <w:pPr/>
          </w:p>
        </w:tc>
        <w:tc>
          <w:tcPr>
            <w:tcW w:w="65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7" w:hRule="exact"/>
        </w:trPr>
        <w:tc>
          <w:tcPr>
            <w:tcW w:w="1438"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66,670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240,142</w:t>
            </w:r>
          </w:p>
          <w:p>
            <w:pPr>
              <w:pStyle w:val="TableParagraph"/>
              <w:spacing w:line="240" w:lineRule="auto" w:before="106"/>
              <w:ind w:left="92" w:right="0"/>
              <w:jc w:val="left"/>
              <w:rPr>
                <w:rFonts w:ascii="Times New Roman" w:hAnsi="Times New Roman" w:cs="Times New Roman" w:eastAsia="Times New Roman" w:hint="default"/>
                <w:sz w:val="18"/>
                <w:szCs w:val="18"/>
              </w:rPr>
            </w:pPr>
            <w:r>
              <w:rPr>
                <w:rFonts w:ascii="Times New Roman"/>
                <w:sz w:val="18"/>
              </w:rPr>
              <w:t>,564.59</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30,249,</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524.71</w:t>
            </w: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152,563</w:t>
            </w:r>
          </w:p>
          <w:p>
            <w:pPr>
              <w:pStyle w:val="TableParagraph"/>
              <w:spacing w:line="240" w:lineRule="auto" w:before="106"/>
              <w:ind w:left="104" w:right="0"/>
              <w:jc w:val="left"/>
              <w:rPr>
                <w:rFonts w:ascii="Times New Roman" w:hAnsi="Times New Roman" w:cs="Times New Roman" w:eastAsia="Times New Roman" w:hint="default"/>
                <w:sz w:val="18"/>
                <w:szCs w:val="18"/>
              </w:rPr>
            </w:pPr>
            <w:r>
              <w:rPr>
                <w:rFonts w:ascii="Times New Roman"/>
                <w:sz w:val="18"/>
              </w:rPr>
              <w:t>,973.25</w:t>
            </w:r>
          </w:p>
        </w:tc>
        <w:tc>
          <w:tcPr>
            <w:tcW w:w="652" w:type="dxa"/>
            <w:vMerge w:val="restart"/>
            <w:tcBorders>
              <w:top w:val="single" w:sz="4" w:space="0" w:color="000000"/>
              <w:left w:val="single" w:sz="4" w:space="0" w:color="000000"/>
              <w:right w:val="single" w:sz="4" w:space="0" w:color="000000"/>
            </w:tcBorders>
          </w:tcPr>
          <w:p>
            <w:pP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489,626</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,062.55</w:t>
            </w:r>
          </w:p>
        </w:tc>
      </w:tr>
      <w:tr>
        <w:trPr>
          <w:trHeight w:val="392" w:hRule="exact"/>
        </w:trPr>
        <w:tc>
          <w:tcPr>
            <w:tcW w:w="143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2"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38"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8"/>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43"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0"/>
        <w:gridCol w:w="532"/>
        <w:gridCol w:w="530"/>
        <w:gridCol w:w="665"/>
        <w:gridCol w:w="665"/>
        <w:gridCol w:w="665"/>
        <w:gridCol w:w="665"/>
        <w:gridCol w:w="665"/>
        <w:gridCol w:w="665"/>
        <w:gridCol w:w="678"/>
        <w:gridCol w:w="652"/>
        <w:gridCol w:w="659"/>
      </w:tblGrid>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66,670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240,142</w:t>
            </w:r>
          </w:p>
          <w:p>
            <w:pPr>
              <w:pStyle w:val="TableParagraph"/>
              <w:spacing w:line="240" w:lineRule="auto" w:before="106"/>
              <w:ind w:left="92" w:right="0"/>
              <w:jc w:val="left"/>
              <w:rPr>
                <w:rFonts w:ascii="Times New Roman" w:hAnsi="Times New Roman" w:cs="Times New Roman" w:eastAsia="Times New Roman" w:hint="default"/>
                <w:sz w:val="18"/>
                <w:szCs w:val="18"/>
              </w:rPr>
            </w:pPr>
            <w:r>
              <w:rPr>
                <w:rFonts w:ascii="Times New Roman"/>
                <w:sz w:val="18"/>
              </w:rPr>
              <w:t>,564.59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30,249,</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524.71</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152,563</w:t>
            </w:r>
          </w:p>
          <w:p>
            <w:pPr>
              <w:pStyle w:val="TableParagraph"/>
              <w:spacing w:line="240" w:lineRule="auto" w:before="106"/>
              <w:ind w:left="104" w:right="0"/>
              <w:jc w:val="left"/>
              <w:rPr>
                <w:rFonts w:ascii="Times New Roman" w:hAnsi="Times New Roman" w:cs="Times New Roman" w:eastAsia="Times New Roman" w:hint="default"/>
                <w:sz w:val="18"/>
                <w:szCs w:val="18"/>
              </w:rPr>
            </w:pPr>
            <w:r>
              <w:rPr>
                <w:rFonts w:ascii="Times New Roman"/>
                <w:sz w:val="18"/>
              </w:rPr>
              <w:t>,973.25</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489,626</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,062.55</w:t>
            </w: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1"/>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号填列）</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5,297,2</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37.50</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4" w:right="0"/>
              <w:jc w:val="left"/>
              <w:rPr>
                <w:rFonts w:ascii="Times New Roman" w:hAnsi="Times New Roman" w:cs="Times New Roman" w:eastAsia="Times New Roman" w:hint="default"/>
                <w:sz w:val="18"/>
                <w:szCs w:val="18"/>
              </w:rPr>
            </w:pPr>
            <w:r>
              <w:rPr>
                <w:rFonts w:ascii="Times New Roman"/>
                <w:sz w:val="18"/>
              </w:rPr>
              <w:t>20,017,</w:t>
            </w:r>
          </w:p>
          <w:p>
            <w:pPr>
              <w:pStyle w:val="TableParagraph"/>
              <w:spacing w:line="240" w:lineRule="auto" w:before="106"/>
              <w:ind w:left="149" w:right="0"/>
              <w:jc w:val="left"/>
              <w:rPr>
                <w:rFonts w:ascii="Times New Roman" w:hAnsi="Times New Roman" w:cs="Times New Roman" w:eastAsia="Times New Roman" w:hint="default"/>
                <w:sz w:val="18"/>
                <w:szCs w:val="18"/>
              </w:rPr>
            </w:pPr>
            <w:r>
              <w:rPr>
                <w:rFonts w:ascii="Times New Roman"/>
                <w:sz w:val="18"/>
              </w:rPr>
              <w:t>179.19</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25,314,</w:t>
            </w:r>
          </w:p>
          <w:p>
            <w:pPr>
              <w:pStyle w:val="TableParagraph"/>
              <w:spacing w:line="240" w:lineRule="auto" w:before="106"/>
              <w:ind w:left="130" w:right="0"/>
              <w:jc w:val="left"/>
              <w:rPr>
                <w:rFonts w:ascii="Times New Roman" w:hAnsi="Times New Roman" w:cs="Times New Roman" w:eastAsia="Times New Roman" w:hint="default"/>
                <w:sz w:val="18"/>
                <w:szCs w:val="18"/>
              </w:rPr>
            </w:pPr>
            <w:r>
              <w:rPr>
                <w:rFonts w:ascii="Times New Roman"/>
                <w:sz w:val="18"/>
              </w:rPr>
              <w:t>416.69</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4" w:right="0"/>
              <w:jc w:val="left"/>
              <w:rPr>
                <w:rFonts w:ascii="Times New Roman" w:hAnsi="Times New Roman" w:cs="Times New Roman" w:eastAsia="Times New Roman" w:hint="default"/>
                <w:sz w:val="18"/>
                <w:szCs w:val="18"/>
              </w:rPr>
            </w:pPr>
            <w:r>
              <w:rPr>
                <w:rFonts w:ascii="Times New Roman"/>
                <w:sz w:val="18"/>
              </w:rPr>
              <w:t>35,314,</w:t>
            </w:r>
          </w:p>
          <w:p>
            <w:pPr>
              <w:pStyle w:val="TableParagraph"/>
              <w:spacing w:line="240" w:lineRule="auto" w:before="106"/>
              <w:ind w:left="149" w:right="0"/>
              <w:jc w:val="left"/>
              <w:rPr>
                <w:rFonts w:ascii="Times New Roman" w:hAnsi="Times New Roman" w:cs="Times New Roman" w:eastAsia="Times New Roman" w:hint="default"/>
                <w:sz w:val="18"/>
                <w:szCs w:val="18"/>
              </w:rPr>
            </w:pPr>
            <w:r>
              <w:rPr>
                <w:rFonts w:ascii="Times New Roman"/>
                <w:sz w:val="18"/>
              </w:rPr>
              <w:t>916.69</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 w:right="0"/>
              <w:jc w:val="left"/>
              <w:rPr>
                <w:rFonts w:ascii="Times New Roman" w:hAnsi="Times New Roman" w:cs="Times New Roman" w:eastAsia="Times New Roman" w:hint="default"/>
                <w:sz w:val="18"/>
                <w:szCs w:val="18"/>
              </w:rPr>
            </w:pPr>
            <w:r>
              <w:rPr>
                <w:rFonts w:ascii="Times New Roman"/>
                <w:sz w:val="18"/>
              </w:rPr>
              <w:t>35,314,</w:t>
            </w:r>
          </w:p>
          <w:p>
            <w:pPr>
              <w:pStyle w:val="TableParagraph"/>
              <w:spacing w:line="240" w:lineRule="auto" w:before="106"/>
              <w:ind w:left="130" w:right="0"/>
              <w:jc w:val="left"/>
              <w:rPr>
                <w:rFonts w:ascii="Times New Roman" w:hAnsi="Times New Roman" w:cs="Times New Roman" w:eastAsia="Times New Roman" w:hint="default"/>
                <w:sz w:val="18"/>
                <w:szCs w:val="18"/>
              </w:rPr>
            </w:pPr>
            <w:r>
              <w:rPr>
                <w:rFonts w:ascii="Times New Roman"/>
                <w:sz w:val="18"/>
              </w:rPr>
              <w:t>916.69</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和减少资本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5,297,2</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37.50</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-15,297,</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737.50</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6"/>
              <w:ind w:left="107" w:right="0"/>
              <w:jc w:val="center"/>
              <w:rPr>
                <w:rFonts w:ascii="Times New Roman" w:hAnsi="Times New Roman" w:cs="Times New Roman" w:eastAsia="Times New Roman" w:hint="default"/>
                <w:sz w:val="18"/>
                <w:szCs w:val="18"/>
              </w:rPr>
            </w:pPr>
            <w:r>
              <w:rPr>
                <w:rFonts w:ascii="Times New Roman"/>
                <w:sz w:val="18"/>
              </w:rPr>
              <w:t>500.00</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5,297,2</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37.50</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-5,297,2</w:t>
            </w:r>
          </w:p>
          <w:p>
            <w:pPr>
              <w:pStyle w:val="TableParagraph"/>
              <w:spacing w:line="240" w:lineRule="auto" w:before="106"/>
              <w:ind w:left="216" w:right="0"/>
              <w:jc w:val="center"/>
              <w:rPr>
                <w:rFonts w:ascii="Times New Roman" w:hAnsi="Times New Roman" w:cs="Times New Roman" w:eastAsia="Times New Roman" w:hint="default"/>
                <w:sz w:val="18"/>
                <w:szCs w:val="18"/>
              </w:rPr>
            </w:pPr>
            <w:r>
              <w:rPr>
                <w:rFonts w:ascii="Times New Roman"/>
                <w:sz w:val="18"/>
              </w:rPr>
              <w:t>37.50</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500.00</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6"/>
              <w:ind w:left="107" w:right="0"/>
              <w:jc w:val="center"/>
              <w:rPr>
                <w:rFonts w:ascii="Times New Roman" w:hAnsi="Times New Roman" w:cs="Times New Roman" w:eastAsia="Times New Roman" w:hint="default"/>
                <w:sz w:val="18"/>
                <w:szCs w:val="18"/>
              </w:rPr>
            </w:pPr>
            <w:r>
              <w:rPr>
                <w:rFonts w:ascii="Times New Roman"/>
                <w:sz w:val="18"/>
              </w:rPr>
              <w:t>500.00</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0"/>
        <w:gridCol w:w="532"/>
        <w:gridCol w:w="530"/>
        <w:gridCol w:w="665"/>
        <w:gridCol w:w="665"/>
        <w:gridCol w:w="665"/>
        <w:gridCol w:w="665"/>
        <w:gridCol w:w="665"/>
        <w:gridCol w:w="665"/>
        <w:gridCol w:w="678"/>
        <w:gridCol w:w="652"/>
        <w:gridCol w:w="659"/>
      </w:tblGrid>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66,670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240,142</w:t>
            </w:r>
          </w:p>
          <w:p>
            <w:pPr>
              <w:pStyle w:val="TableParagraph"/>
              <w:spacing w:line="240" w:lineRule="auto" w:before="106"/>
              <w:ind w:left="92" w:right="0"/>
              <w:jc w:val="left"/>
              <w:rPr>
                <w:rFonts w:ascii="Times New Roman" w:hAnsi="Times New Roman" w:cs="Times New Roman" w:eastAsia="Times New Roman" w:hint="default"/>
                <w:sz w:val="18"/>
                <w:szCs w:val="18"/>
              </w:rPr>
            </w:pPr>
            <w:r>
              <w:rPr>
                <w:rFonts w:ascii="Times New Roman"/>
                <w:sz w:val="18"/>
              </w:rPr>
              <w:t>,564.59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35,546,</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762.21</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172,581</w:t>
            </w:r>
          </w:p>
          <w:p>
            <w:pPr>
              <w:pStyle w:val="TableParagraph"/>
              <w:spacing w:line="240" w:lineRule="auto" w:before="106"/>
              <w:ind w:left="104" w:right="0"/>
              <w:jc w:val="left"/>
              <w:rPr>
                <w:rFonts w:ascii="Times New Roman" w:hAnsi="Times New Roman" w:cs="Times New Roman" w:eastAsia="Times New Roman" w:hint="default"/>
                <w:sz w:val="18"/>
                <w:szCs w:val="18"/>
              </w:rPr>
            </w:pPr>
            <w:r>
              <w:rPr>
                <w:rFonts w:ascii="Times New Roman"/>
                <w:sz w:val="18"/>
              </w:rPr>
              <w:t>,152.44</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514,940</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,479.24</w:t>
            </w:r>
          </w:p>
        </w:tc>
      </w:tr>
    </w:tbl>
    <w:p>
      <w:pPr>
        <w:spacing w:line="240" w:lineRule="auto" w:before="10"/>
        <w:rPr>
          <w:rFonts w:ascii="Times New Roman" w:hAnsi="Times New Roman" w:cs="Times New Roman" w:eastAsia="Times New Roman" w:hint="default"/>
          <w:sz w:val="21"/>
          <w:szCs w:val="21"/>
        </w:rPr>
      </w:pPr>
    </w:p>
    <w:p>
      <w:pPr>
        <w:pStyle w:val="Heading5"/>
        <w:spacing w:line="240" w:lineRule="auto" w:before="35"/>
        <w:ind w:right="0"/>
        <w:jc w:val="left"/>
        <w:rPr>
          <w:b w:val="0"/>
          <w:bCs w:val="0"/>
        </w:rPr>
      </w:pPr>
      <w:bookmarkStart w:name="8、母公司所有者权益变动表" w:id="161"/>
      <w:bookmarkEnd w:id="161"/>
      <w:r>
        <w:rPr>
          <w:b w:val="0"/>
          <w:bCs w:val="0"/>
        </w:rPr>
      </w:r>
      <w:r>
        <w:rPr>
          <w:rFonts w:ascii="Times New Roman" w:hAnsi="Times New Roman" w:cs="Times New Roman" w:eastAsia="Times New Roman" w:hint="default"/>
        </w:rPr>
        <w:t>8</w:t>
      </w:r>
      <w:r>
        <w:rPr/>
        <w:t>、母公司所有者权益变动表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right="0"/>
        <w:jc w:val="left"/>
      </w:pPr>
      <w:r>
        <w:rPr/>
        <w:t>本期金额</w:t>
      </w:r>
    </w:p>
    <w:p>
      <w:pPr>
        <w:pStyle w:val="BodyText"/>
        <w:spacing w:line="240" w:lineRule="auto" w:before="117"/>
        <w:ind w:left="0" w:right="15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397" w:hRule="exact"/>
        </w:trPr>
        <w:tc>
          <w:tcPr>
            <w:tcW w:w="144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11" w:hRule="exact"/>
        </w:trPr>
        <w:tc>
          <w:tcPr>
            <w:tcW w:w="144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691"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304" w:right="31"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1" w:hRule="exact"/>
        </w:trPr>
        <w:tc>
          <w:tcPr>
            <w:tcW w:w="1442" w:type="dxa"/>
            <w:vMerge/>
            <w:tcBorders>
              <w:left w:val="single" w:sz="4" w:space="0" w:color="000000"/>
              <w:bottom w:val="nil" w:sz="6" w:space="0" w:color="auto"/>
              <w:right w:val="single" w:sz="4" w:space="0" w:color="000000"/>
            </w:tcBorders>
            <w:shd w:val="clear" w:color="auto" w:fill="D2D2D2"/>
          </w:tcPr>
          <w:p>
            <w:pPr/>
          </w:p>
        </w:tc>
        <w:tc>
          <w:tcPr>
            <w:tcW w:w="69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59"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2" w:hRule="exact"/>
        </w:trPr>
        <w:tc>
          <w:tcPr>
            <w:tcW w:w="1442" w:type="dxa"/>
            <w:vMerge w:val="restart"/>
            <w:tcBorders>
              <w:top w:val="nil" w:sz="6" w:space="0" w:color="auto"/>
              <w:left w:val="single" w:sz="4" w:space="0" w:color="000000"/>
              <w:right w:val="single" w:sz="4" w:space="0" w:color="000000"/>
            </w:tcBorders>
            <w:shd w:val="clear" w:color="auto" w:fill="D2D2D2"/>
          </w:tcPr>
          <w:p>
            <w:pPr/>
          </w:p>
        </w:tc>
        <w:tc>
          <w:tcPr>
            <w:tcW w:w="691"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5" w:hRule="exact"/>
        </w:trPr>
        <w:tc>
          <w:tcPr>
            <w:tcW w:w="1442" w:type="dxa"/>
            <w:vMerge/>
            <w:tcBorders>
              <w:left w:val="single" w:sz="4" w:space="0" w:color="000000"/>
              <w:bottom w:val="single" w:sz="4" w:space="0" w:color="000000"/>
              <w:right w:val="single" w:sz="4" w:space="0" w:color="000000"/>
            </w:tcBorders>
            <w:shd w:val="clear" w:color="auto" w:fill="D2D2D2"/>
          </w:tcPr>
          <w:p>
            <w:pPr/>
          </w:p>
        </w:tc>
        <w:tc>
          <w:tcPr>
            <w:tcW w:w="691"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442"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Style w:val="TableParagraph"/>
              <w:spacing w:line="240" w:lineRule="auto" w:before="91"/>
              <w:ind w:left="20" w:right="0"/>
              <w:jc w:val="left"/>
              <w:rPr>
                <w:rFonts w:ascii="Times New Roman" w:hAnsi="Times New Roman" w:cs="Times New Roman" w:eastAsia="Times New Roman" w:hint="default"/>
                <w:sz w:val="18"/>
                <w:szCs w:val="18"/>
              </w:rPr>
            </w:pPr>
            <w:r>
              <w:rPr>
                <w:rFonts w:ascii="Times New Roman"/>
                <w:sz w:val="18"/>
              </w:rPr>
              <w:t>66,670,0</w:t>
            </w:r>
          </w:p>
          <w:p>
            <w:pPr>
              <w:pStyle w:val="TableParagraph"/>
              <w:spacing w:line="240" w:lineRule="auto" w:before="106"/>
              <w:ind w:left="245" w:right="0"/>
              <w:jc w:val="left"/>
              <w:rPr>
                <w:rFonts w:ascii="Times New Roman" w:hAnsi="Times New Roman" w:cs="Times New Roman" w:eastAsia="Times New Roman" w:hint="default"/>
                <w:sz w:val="18"/>
                <w:szCs w:val="18"/>
              </w:rPr>
            </w:pPr>
            <w:r>
              <w:rPr>
                <w:rFonts w:ascii="Times New Roman"/>
                <w:sz w:val="18"/>
              </w:rPr>
              <w:t>00.00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240,142,5</w:t>
            </w:r>
          </w:p>
          <w:p>
            <w:pPr>
              <w:pStyle w:val="TableParagraph"/>
              <w:spacing w:line="240" w:lineRule="auto" w:before="106"/>
              <w:ind w:left="359" w:right="0"/>
              <w:jc w:val="left"/>
              <w:rPr>
                <w:rFonts w:ascii="Times New Roman" w:hAnsi="Times New Roman" w:cs="Times New Roman" w:eastAsia="Times New Roman" w:hint="default"/>
                <w:sz w:val="18"/>
                <w:szCs w:val="18"/>
              </w:rPr>
            </w:pPr>
            <w:r>
              <w:rPr>
                <w:rFonts w:ascii="Times New Roman"/>
                <w:sz w:val="18"/>
              </w:rPr>
              <w:t>64.59</w:t>
            </w:r>
          </w:p>
        </w:tc>
        <w:tc>
          <w:tcPr>
            <w:tcW w:w="798" w:type="dxa"/>
            <w:vMerge w:val="restart"/>
            <w:tcBorders>
              <w:top w:val="single" w:sz="22" w:space="0" w:color="D2D2D2"/>
              <w:left w:val="single" w:sz="4" w:space="0" w:color="000000"/>
              <w:right w:val="single" w:sz="4" w:space="0" w:color="000000"/>
            </w:tcBorders>
          </w:tcPr>
          <w:p>
            <w:pPr/>
          </w:p>
        </w:tc>
        <w:tc>
          <w:tcPr>
            <w:tcW w:w="798" w:type="dxa"/>
            <w:vMerge w:val="restart"/>
            <w:tcBorders>
              <w:top w:val="single" w:sz="22" w:space="0" w:color="D2D2D2"/>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35,546,76</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2.21</w:t>
            </w:r>
          </w:p>
        </w:tc>
        <w:tc>
          <w:tcPr>
            <w:tcW w:w="676" w:type="dxa"/>
            <w:vMerge w:val="restart"/>
            <w:tcBorders>
              <w:top w:val="single" w:sz="22" w:space="0" w:color="D2D2D2"/>
              <w:left w:val="single" w:sz="4" w:space="0" w:color="000000"/>
              <w:right w:val="single" w:sz="4" w:space="0" w:color="000000"/>
            </w:tcBorders>
          </w:tcPr>
          <w:p>
            <w:pPr>
              <w:pStyle w:val="TableParagraph"/>
              <w:spacing w:line="240" w:lineRule="auto" w:before="69"/>
              <w:ind w:left="58" w:right="0"/>
              <w:jc w:val="left"/>
              <w:rPr>
                <w:rFonts w:ascii="Times New Roman" w:hAnsi="Times New Roman" w:cs="Times New Roman" w:eastAsia="Times New Roman" w:hint="default"/>
                <w:sz w:val="18"/>
                <w:szCs w:val="18"/>
              </w:rPr>
            </w:pPr>
            <w:r>
              <w:rPr>
                <w:rFonts w:ascii="Times New Roman"/>
                <w:sz w:val="18"/>
              </w:rPr>
              <w:t>172,581</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,152.44</w:t>
            </w:r>
          </w:p>
        </w:tc>
        <w:tc>
          <w:tcPr>
            <w:tcW w:w="781" w:type="dxa"/>
            <w:vMerge w:val="restart"/>
            <w:tcBorders>
              <w:top w:val="single" w:sz="22" w:space="0" w:color="D2D2D2"/>
              <w:left w:val="single" w:sz="4" w:space="0" w:color="000000"/>
              <w:right w:val="single" w:sz="4" w:space="0" w:color="000000"/>
            </w:tcBorders>
          </w:tcPr>
          <w:p>
            <w:pPr>
              <w:pStyle w:val="TableParagraph"/>
              <w:spacing w:line="240" w:lineRule="auto" w:before="69"/>
              <w:ind w:left="27" w:right="0"/>
              <w:jc w:val="left"/>
              <w:rPr>
                <w:rFonts w:ascii="Times New Roman" w:hAnsi="Times New Roman" w:cs="Times New Roman" w:eastAsia="Times New Roman" w:hint="default"/>
                <w:sz w:val="18"/>
                <w:szCs w:val="18"/>
              </w:rPr>
            </w:pPr>
            <w:r>
              <w:rPr>
                <w:rFonts w:ascii="Times New Roman"/>
                <w:sz w:val="18"/>
              </w:rPr>
              <w:t>514,940,4</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79.24</w:t>
            </w:r>
          </w:p>
        </w:tc>
      </w:tr>
      <w:tr>
        <w:trPr>
          <w:trHeight w:val="392" w:hRule="exact"/>
        </w:trPr>
        <w:tc>
          <w:tcPr>
            <w:tcW w:w="144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42"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691"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8"/>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691"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442"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Style w:val="TableParagraph"/>
              <w:spacing w:line="240" w:lineRule="auto" w:before="91"/>
              <w:ind w:left="20" w:right="0"/>
              <w:jc w:val="left"/>
              <w:rPr>
                <w:rFonts w:ascii="Times New Roman" w:hAnsi="Times New Roman" w:cs="Times New Roman" w:eastAsia="Times New Roman" w:hint="default"/>
                <w:sz w:val="18"/>
                <w:szCs w:val="18"/>
              </w:rPr>
            </w:pPr>
            <w:r>
              <w:rPr>
                <w:rFonts w:ascii="Times New Roman"/>
                <w:sz w:val="18"/>
              </w:rPr>
              <w:t>66,670,0</w:t>
            </w:r>
          </w:p>
          <w:p>
            <w:pPr>
              <w:pStyle w:val="TableParagraph"/>
              <w:spacing w:line="240" w:lineRule="auto" w:before="106"/>
              <w:ind w:left="245" w:right="0"/>
              <w:jc w:val="left"/>
              <w:rPr>
                <w:rFonts w:ascii="Times New Roman" w:hAnsi="Times New Roman" w:cs="Times New Roman" w:eastAsia="Times New Roman" w:hint="default"/>
                <w:sz w:val="18"/>
                <w:szCs w:val="18"/>
              </w:rPr>
            </w:pPr>
            <w:r>
              <w:rPr>
                <w:rFonts w:ascii="Times New Roman"/>
                <w:sz w:val="18"/>
              </w:rPr>
              <w:t>00.00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240,142,5</w:t>
            </w:r>
          </w:p>
          <w:p>
            <w:pPr>
              <w:pStyle w:val="TableParagraph"/>
              <w:spacing w:line="240" w:lineRule="auto" w:before="106"/>
              <w:ind w:left="359" w:right="0"/>
              <w:jc w:val="left"/>
              <w:rPr>
                <w:rFonts w:ascii="Times New Roman" w:hAnsi="Times New Roman" w:cs="Times New Roman" w:eastAsia="Times New Roman" w:hint="default"/>
                <w:sz w:val="18"/>
                <w:szCs w:val="18"/>
              </w:rPr>
            </w:pPr>
            <w:r>
              <w:rPr>
                <w:rFonts w:ascii="Times New Roman"/>
                <w:sz w:val="18"/>
              </w:rPr>
              <w:t>64.59</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35,546,76</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2.21</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172,581</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,152.44</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514,940,4</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79.24</w:t>
            </w:r>
          </w:p>
        </w:tc>
      </w:tr>
      <w:tr>
        <w:trPr>
          <w:trHeight w:val="392" w:hRule="exact"/>
        </w:trPr>
        <w:tc>
          <w:tcPr>
            <w:tcW w:w="144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42"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1"/>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691"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3,244,899</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.56</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1" w:right="0"/>
              <w:jc w:val="center"/>
              <w:rPr>
                <w:rFonts w:ascii="Times New Roman" w:hAnsi="Times New Roman" w:cs="Times New Roman" w:eastAsia="Times New Roman" w:hint="default"/>
                <w:sz w:val="18"/>
                <w:szCs w:val="18"/>
              </w:rPr>
            </w:pPr>
            <w:r>
              <w:rPr>
                <w:rFonts w:ascii="Times New Roman"/>
                <w:sz w:val="18"/>
              </w:rPr>
              <w:t>8,387,2</w:t>
            </w:r>
          </w:p>
          <w:p>
            <w:pPr>
              <w:pStyle w:val="TableParagraph"/>
              <w:spacing w:line="240" w:lineRule="auto" w:before="106"/>
              <w:ind w:left="216" w:right="0"/>
              <w:jc w:val="center"/>
              <w:rPr>
                <w:rFonts w:ascii="Times New Roman" w:hAnsi="Times New Roman" w:cs="Times New Roman" w:eastAsia="Times New Roman" w:hint="default"/>
                <w:sz w:val="18"/>
                <w:szCs w:val="18"/>
              </w:rPr>
            </w:pPr>
            <w:r>
              <w:rPr>
                <w:rFonts w:ascii="Times New Roman"/>
                <w:sz w:val="18"/>
              </w:rPr>
              <w:t>64.14</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4" w:right="0"/>
              <w:jc w:val="left"/>
              <w:rPr>
                <w:rFonts w:ascii="Times New Roman" w:hAnsi="Times New Roman" w:cs="Times New Roman" w:eastAsia="Times New Roman" w:hint="default"/>
                <w:sz w:val="18"/>
                <w:szCs w:val="18"/>
              </w:rPr>
            </w:pPr>
            <w:r>
              <w:rPr>
                <w:rFonts w:ascii="Times New Roman"/>
                <w:sz w:val="18"/>
              </w:rPr>
              <w:t>11,632,16</w:t>
            </w:r>
          </w:p>
          <w:p>
            <w:pPr>
              <w:pStyle w:val="TableParagraph"/>
              <w:spacing w:line="240" w:lineRule="auto" w:before="106"/>
              <w:ind w:left="433" w:right="0"/>
              <w:jc w:val="left"/>
              <w:rPr>
                <w:rFonts w:ascii="Times New Roman" w:hAnsi="Times New Roman" w:cs="Times New Roman" w:eastAsia="Times New Roman" w:hint="default"/>
                <w:sz w:val="18"/>
                <w:szCs w:val="18"/>
              </w:rPr>
            </w:pPr>
            <w:r>
              <w:rPr>
                <w:rFonts w:ascii="Times New Roman"/>
                <w:sz w:val="18"/>
              </w:rPr>
              <w:t>3.70</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21,632,</w:t>
            </w:r>
          </w:p>
          <w:p>
            <w:pPr>
              <w:pStyle w:val="TableParagraph"/>
              <w:spacing w:line="240" w:lineRule="auto" w:before="106"/>
              <w:ind w:left="148" w:right="0"/>
              <w:jc w:val="left"/>
              <w:rPr>
                <w:rFonts w:ascii="Times New Roman" w:hAnsi="Times New Roman" w:cs="Times New Roman" w:eastAsia="Times New Roman" w:hint="default"/>
                <w:sz w:val="18"/>
                <w:szCs w:val="18"/>
              </w:rPr>
            </w:pPr>
            <w:r>
              <w:rPr>
                <w:rFonts w:ascii="Times New Roman"/>
                <w:sz w:val="18"/>
              </w:rPr>
              <w:t>663.70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21,632,66</w:t>
            </w:r>
          </w:p>
          <w:p>
            <w:pPr>
              <w:pStyle w:val="TableParagraph"/>
              <w:spacing w:line="240" w:lineRule="auto" w:before="106"/>
              <w:ind w:left="433" w:right="0"/>
              <w:jc w:val="left"/>
              <w:rPr>
                <w:rFonts w:ascii="Times New Roman" w:hAnsi="Times New Roman" w:cs="Times New Roman" w:eastAsia="Times New Roman" w:hint="default"/>
                <w:sz w:val="18"/>
                <w:szCs w:val="18"/>
              </w:rPr>
            </w:pPr>
            <w:r>
              <w:rPr>
                <w:rFonts w:ascii="Times New Roman"/>
                <w:sz w:val="18"/>
              </w:rPr>
              <w:t>3.70</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691"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3,244,899</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.56</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-13,245,</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399.56</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-10,000,5</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00.00</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3,244,899</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.56</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-3,244,8</w:t>
            </w:r>
          </w:p>
          <w:p>
            <w:pPr>
              <w:pStyle w:val="TableParagraph"/>
              <w:spacing w:line="240" w:lineRule="auto" w:before="106"/>
              <w:ind w:left="216" w:right="0"/>
              <w:jc w:val="center"/>
              <w:rPr>
                <w:rFonts w:ascii="Times New Roman" w:hAnsi="Times New Roman" w:cs="Times New Roman" w:eastAsia="Times New Roman" w:hint="default"/>
                <w:sz w:val="18"/>
                <w:szCs w:val="18"/>
              </w:rPr>
            </w:pPr>
            <w:r>
              <w:rPr>
                <w:rFonts w:ascii="Times New Roman"/>
                <w:sz w:val="18"/>
              </w:rPr>
              <w:t>99.56</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500.00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-10,000,5</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00.00</w:t>
            </w: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66,670,0</w:t>
            </w:r>
          </w:p>
          <w:p>
            <w:pPr>
              <w:pStyle w:val="TableParagraph"/>
              <w:spacing w:line="240" w:lineRule="auto" w:before="106"/>
              <w:ind w:left="253"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240,142,5</w:t>
            </w:r>
          </w:p>
          <w:p>
            <w:pPr>
              <w:pStyle w:val="TableParagraph"/>
              <w:spacing w:line="240" w:lineRule="auto" w:before="106"/>
              <w:ind w:left="359" w:right="0"/>
              <w:jc w:val="left"/>
              <w:rPr>
                <w:rFonts w:ascii="Times New Roman" w:hAnsi="Times New Roman" w:cs="Times New Roman" w:eastAsia="Times New Roman" w:hint="default"/>
                <w:sz w:val="18"/>
                <w:szCs w:val="18"/>
              </w:rPr>
            </w:pPr>
            <w:r>
              <w:rPr>
                <w:rFonts w:ascii="Times New Roman"/>
                <w:sz w:val="18"/>
              </w:rPr>
              <w:t>64.59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38,791,66</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1.77</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180,968</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,416.58</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526,572,6</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42.94</w:t>
            </w:r>
          </w:p>
        </w:tc>
      </w:tr>
    </w:tbl>
    <w:p>
      <w:pPr>
        <w:pStyle w:val="BodyText"/>
        <w:spacing w:line="240" w:lineRule="auto" w:before="51"/>
        <w:ind w:right="0"/>
        <w:jc w:val="left"/>
      </w:pPr>
      <w:r>
        <w:rPr/>
        <w:t>上期金额</w:t>
      </w:r>
    </w:p>
    <w:p>
      <w:pPr>
        <w:pStyle w:val="BodyText"/>
        <w:spacing w:line="240" w:lineRule="auto" w:before="117"/>
        <w:ind w:left="0" w:right="150"/>
        <w:jc w:val="right"/>
      </w:pPr>
      <w:r>
        <w:rPr/>
        <w:t>单位：元</w:t>
      </w: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418"/>
        <w:gridCol w:w="703"/>
        <w:gridCol w:w="665"/>
        <w:gridCol w:w="665"/>
        <w:gridCol w:w="665"/>
        <w:gridCol w:w="797"/>
        <w:gridCol w:w="798"/>
        <w:gridCol w:w="798"/>
        <w:gridCol w:w="798"/>
        <w:gridCol w:w="797"/>
        <w:gridCol w:w="676"/>
        <w:gridCol w:w="781"/>
      </w:tblGrid>
      <w:tr>
        <w:trPr>
          <w:trHeight w:val="397"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3"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11" w:hRule="exact"/>
        </w:trPr>
        <w:tc>
          <w:tcPr>
            <w:tcW w:w="141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0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7"/>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304" w:right="31"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3" w:hRule="exact"/>
        </w:trPr>
        <w:tc>
          <w:tcPr>
            <w:tcW w:w="1418" w:type="dxa"/>
            <w:vMerge/>
            <w:tcBorders>
              <w:left w:val="single" w:sz="4" w:space="0" w:color="000000"/>
              <w:bottom w:val="nil" w:sz="6" w:space="0" w:color="auto"/>
              <w:right w:val="single" w:sz="4" w:space="0" w:color="000000"/>
            </w:tcBorders>
            <w:shd w:val="clear" w:color="auto" w:fill="D2D2D2"/>
          </w:tcPr>
          <w:p>
            <w:pPr/>
          </w:p>
        </w:tc>
        <w:tc>
          <w:tcPr>
            <w:tcW w:w="70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199" w:hRule="exact"/>
        </w:trPr>
        <w:tc>
          <w:tcPr>
            <w:tcW w:w="1418" w:type="dxa"/>
            <w:vMerge w:val="restart"/>
            <w:tcBorders>
              <w:top w:val="nil" w:sz="6" w:space="0" w:color="auto"/>
              <w:left w:val="single" w:sz="4" w:space="0" w:color="000000"/>
              <w:right w:val="single" w:sz="4" w:space="0" w:color="000000"/>
            </w:tcBorders>
            <w:shd w:val="clear" w:color="auto" w:fill="D2D2D2"/>
          </w:tcPr>
          <w:p>
            <w:pPr/>
          </w:p>
        </w:tc>
        <w:tc>
          <w:tcPr>
            <w:tcW w:w="703"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5" w:hRule="exact"/>
        </w:trPr>
        <w:tc>
          <w:tcPr>
            <w:tcW w:w="1418" w:type="dxa"/>
            <w:vMerge/>
            <w:tcBorders>
              <w:left w:val="single" w:sz="4" w:space="0" w:color="000000"/>
              <w:bottom w:val="single" w:sz="4" w:space="0" w:color="000000"/>
              <w:right w:val="single" w:sz="4" w:space="0" w:color="000000"/>
            </w:tcBorders>
            <w:shd w:val="clear" w:color="auto" w:fill="D2D2D2"/>
          </w:tcPr>
          <w:p>
            <w:pPr/>
          </w:p>
        </w:tc>
        <w:tc>
          <w:tcPr>
            <w:tcW w:w="703"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162"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Style w:val="TableParagraph"/>
              <w:spacing w:line="240" w:lineRule="auto" w:before="92"/>
              <w:ind w:left="32" w:right="0"/>
              <w:jc w:val="left"/>
              <w:rPr>
                <w:rFonts w:ascii="Times New Roman" w:hAnsi="Times New Roman" w:cs="Times New Roman" w:eastAsia="Times New Roman" w:hint="default"/>
                <w:sz w:val="18"/>
                <w:szCs w:val="18"/>
              </w:rPr>
            </w:pPr>
            <w:r>
              <w:rPr>
                <w:rFonts w:ascii="Times New Roman"/>
                <w:sz w:val="18"/>
              </w:rPr>
              <w:t>66,670,0</w:t>
            </w:r>
          </w:p>
          <w:p>
            <w:pPr>
              <w:pStyle w:val="TableParagraph"/>
              <w:spacing w:line="240" w:lineRule="auto" w:before="105"/>
              <w:ind w:left="257" w:right="0"/>
              <w:jc w:val="left"/>
              <w:rPr>
                <w:rFonts w:ascii="Times New Roman" w:hAnsi="Times New Roman" w:cs="Times New Roman" w:eastAsia="Times New Roman" w:hint="default"/>
                <w:sz w:val="18"/>
                <w:szCs w:val="18"/>
              </w:rPr>
            </w:pPr>
            <w:r>
              <w:rPr>
                <w:rFonts w:ascii="Times New Roman"/>
                <w:sz w:val="18"/>
              </w:rPr>
              <w:t>00.00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240,142,5</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64.59</w:t>
            </w:r>
          </w:p>
        </w:tc>
        <w:tc>
          <w:tcPr>
            <w:tcW w:w="798" w:type="dxa"/>
            <w:vMerge w:val="restart"/>
            <w:tcBorders>
              <w:top w:val="single" w:sz="18" w:space="0" w:color="D2D2D2"/>
              <w:left w:val="single" w:sz="4" w:space="0" w:color="000000"/>
              <w:right w:val="single" w:sz="4" w:space="0" w:color="000000"/>
            </w:tcBorders>
          </w:tcPr>
          <w:p>
            <w:pPr/>
          </w:p>
        </w:tc>
        <w:tc>
          <w:tcPr>
            <w:tcW w:w="798" w:type="dxa"/>
            <w:vMerge w:val="restart"/>
            <w:tcBorders>
              <w:top w:val="single" w:sz="18" w:space="0" w:color="D2D2D2"/>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30,249,52</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4.71</w:t>
            </w:r>
          </w:p>
        </w:tc>
        <w:tc>
          <w:tcPr>
            <w:tcW w:w="676" w:type="dxa"/>
            <w:vMerge w:val="restart"/>
            <w:tcBorders>
              <w:top w:val="single" w:sz="18" w:space="0" w:color="D2D2D2"/>
              <w:left w:val="single" w:sz="4" w:space="0" w:color="000000"/>
              <w:right w:val="single" w:sz="4" w:space="0" w:color="000000"/>
            </w:tcBorders>
          </w:tcPr>
          <w:p>
            <w:pPr>
              <w:pStyle w:val="TableParagraph"/>
              <w:spacing w:line="240" w:lineRule="auto" w:before="75"/>
              <w:ind w:left="58" w:right="0"/>
              <w:jc w:val="left"/>
              <w:rPr>
                <w:rFonts w:ascii="Times New Roman" w:hAnsi="Times New Roman" w:cs="Times New Roman" w:eastAsia="Times New Roman" w:hint="default"/>
                <w:sz w:val="18"/>
                <w:szCs w:val="18"/>
              </w:rPr>
            </w:pPr>
            <w:r>
              <w:rPr>
                <w:rFonts w:ascii="Times New Roman"/>
                <w:sz w:val="18"/>
              </w:rPr>
              <w:t>152,563</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,973.25</w:t>
            </w:r>
          </w:p>
        </w:tc>
        <w:tc>
          <w:tcPr>
            <w:tcW w:w="781" w:type="dxa"/>
            <w:vMerge w:val="restart"/>
            <w:tcBorders>
              <w:top w:val="single" w:sz="18" w:space="0" w:color="D2D2D2"/>
              <w:left w:val="single" w:sz="4" w:space="0" w:color="000000"/>
              <w:right w:val="single" w:sz="4" w:space="0" w:color="000000"/>
            </w:tcBorders>
          </w:tcPr>
          <w:p>
            <w:pPr>
              <w:pStyle w:val="TableParagraph"/>
              <w:spacing w:line="240" w:lineRule="auto" w:before="75"/>
              <w:ind w:left="27" w:right="0"/>
              <w:jc w:val="left"/>
              <w:rPr>
                <w:rFonts w:ascii="Times New Roman" w:hAnsi="Times New Roman" w:cs="Times New Roman" w:eastAsia="Times New Roman" w:hint="default"/>
                <w:sz w:val="18"/>
                <w:szCs w:val="18"/>
              </w:rPr>
            </w:pPr>
            <w:r>
              <w:rPr>
                <w:rFonts w:ascii="Times New Roman"/>
                <w:sz w:val="18"/>
              </w:rPr>
              <w:t>489,626,0</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62.55</w:t>
            </w:r>
          </w:p>
        </w:tc>
      </w:tr>
      <w:tr>
        <w:trPr>
          <w:trHeight w:val="391"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right"/>
              <w:rPr>
                <w:rFonts w:ascii="宋体" w:hAnsi="宋体" w:cs="宋体" w:eastAsia="宋体" w:hint="default"/>
                <w:sz w:val="18"/>
                <w:szCs w:val="18"/>
              </w:rPr>
            </w:pPr>
            <w:r>
              <w:rPr>
                <w:rFonts w:ascii="宋体" w:hAnsi="宋体" w:cs="宋体" w:eastAsia="宋体" w:hint="default"/>
                <w:spacing w:val="-7"/>
                <w:w w:val="95"/>
                <w:sz w:val="18"/>
                <w:szCs w:val="18"/>
              </w:rPr>
              <w:t>一、上年期末余额</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0"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703"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703"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03"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62"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Style w:val="TableParagraph"/>
              <w:spacing w:line="240" w:lineRule="auto" w:before="92"/>
              <w:ind w:left="32" w:right="0"/>
              <w:jc w:val="left"/>
              <w:rPr>
                <w:rFonts w:ascii="Times New Roman" w:hAnsi="Times New Roman" w:cs="Times New Roman" w:eastAsia="Times New Roman" w:hint="default"/>
                <w:sz w:val="18"/>
                <w:szCs w:val="18"/>
              </w:rPr>
            </w:pPr>
            <w:r>
              <w:rPr>
                <w:rFonts w:ascii="Times New Roman"/>
                <w:sz w:val="18"/>
              </w:rPr>
              <w:t>66,670,0</w:t>
            </w:r>
          </w:p>
          <w:p>
            <w:pPr>
              <w:pStyle w:val="TableParagraph"/>
              <w:spacing w:line="240" w:lineRule="auto" w:before="105"/>
              <w:ind w:left="257" w:right="0"/>
              <w:jc w:val="left"/>
              <w:rPr>
                <w:rFonts w:ascii="Times New Roman" w:hAnsi="Times New Roman" w:cs="Times New Roman" w:eastAsia="Times New Roman" w:hint="default"/>
                <w:sz w:val="18"/>
                <w:szCs w:val="18"/>
              </w:rPr>
            </w:pPr>
            <w:r>
              <w:rPr>
                <w:rFonts w:ascii="Times New Roman"/>
                <w:sz w:val="18"/>
              </w:rPr>
              <w:t>00.00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240,142,5</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64.59</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30,249,52</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4.71</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2"/>
              <w:ind w:left="58" w:right="0"/>
              <w:jc w:val="left"/>
              <w:rPr>
                <w:rFonts w:ascii="Times New Roman" w:hAnsi="Times New Roman" w:cs="Times New Roman" w:eastAsia="Times New Roman" w:hint="default"/>
                <w:sz w:val="18"/>
                <w:szCs w:val="18"/>
              </w:rPr>
            </w:pPr>
            <w:r>
              <w:rPr>
                <w:rFonts w:ascii="Times New Roman"/>
                <w:sz w:val="18"/>
              </w:rPr>
              <w:t>152,563</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,973.25</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92"/>
              <w:ind w:left="27" w:right="0"/>
              <w:jc w:val="left"/>
              <w:rPr>
                <w:rFonts w:ascii="Times New Roman" w:hAnsi="Times New Roman" w:cs="Times New Roman" w:eastAsia="Times New Roman" w:hint="default"/>
                <w:sz w:val="18"/>
                <w:szCs w:val="18"/>
              </w:rPr>
            </w:pPr>
            <w:r>
              <w:rPr>
                <w:rFonts w:ascii="Times New Roman"/>
                <w:sz w:val="18"/>
              </w:rPr>
              <w:t>489,626,0</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62.55</w:t>
            </w:r>
          </w:p>
        </w:tc>
      </w:tr>
      <w:tr>
        <w:trPr>
          <w:trHeight w:val="391"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right"/>
              <w:rPr>
                <w:rFonts w:ascii="宋体" w:hAnsi="宋体" w:cs="宋体" w:eastAsia="宋体" w:hint="default"/>
                <w:sz w:val="18"/>
                <w:szCs w:val="18"/>
              </w:rPr>
            </w:pPr>
            <w:r>
              <w:rPr>
                <w:rFonts w:ascii="宋体" w:hAnsi="宋体" w:cs="宋体" w:eastAsia="宋体" w:hint="default"/>
                <w:spacing w:val="-7"/>
                <w:w w:val="95"/>
                <w:sz w:val="18"/>
                <w:szCs w:val="18"/>
              </w:rPr>
              <w:t>二、本年期初余额</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403"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right="10"/>
              <w:jc w:val="right"/>
              <w:rPr>
                <w:rFonts w:ascii="宋体" w:hAnsi="宋体" w:cs="宋体" w:eastAsia="宋体" w:hint="default"/>
                <w:sz w:val="18"/>
                <w:szCs w:val="18"/>
              </w:rPr>
            </w:pPr>
            <w:r>
              <w:rPr>
                <w:rFonts w:ascii="宋体" w:hAnsi="宋体" w:cs="宋体" w:eastAsia="宋体" w:hint="default"/>
                <w:spacing w:val="-7"/>
                <w:w w:val="95"/>
                <w:sz w:val="18"/>
                <w:szCs w:val="18"/>
              </w:rPr>
              <w:t>三、本期增减变动</w:t>
            </w:r>
          </w:p>
        </w:tc>
        <w:tc>
          <w:tcPr>
            <w:tcW w:w="703"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44" w:right="0"/>
              <w:jc w:val="left"/>
              <w:rPr>
                <w:rFonts w:ascii="Times New Roman" w:hAnsi="Times New Roman" w:cs="Times New Roman" w:eastAsia="Times New Roman" w:hint="default"/>
                <w:sz w:val="18"/>
                <w:szCs w:val="18"/>
              </w:rPr>
            </w:pPr>
            <w:r>
              <w:rPr>
                <w:rFonts w:ascii="Times New Roman"/>
                <w:sz w:val="18"/>
              </w:rPr>
              <w:t>5,297,237</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03" w:right="0"/>
              <w:jc w:val="left"/>
              <w:rPr>
                <w:rFonts w:ascii="Times New Roman" w:hAnsi="Times New Roman" w:cs="Times New Roman" w:eastAsia="Times New Roman" w:hint="default"/>
                <w:sz w:val="18"/>
                <w:szCs w:val="18"/>
              </w:rPr>
            </w:pPr>
            <w:r>
              <w:rPr>
                <w:rFonts w:ascii="Times New Roman"/>
                <w:sz w:val="18"/>
              </w:rPr>
              <w:t>20,017,</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7" w:right="0"/>
              <w:jc w:val="left"/>
              <w:rPr>
                <w:rFonts w:ascii="Times New Roman" w:hAnsi="Times New Roman" w:cs="Times New Roman" w:eastAsia="Times New Roman" w:hint="default"/>
                <w:sz w:val="18"/>
                <w:szCs w:val="18"/>
              </w:rPr>
            </w:pPr>
            <w:r>
              <w:rPr>
                <w:rFonts w:ascii="Times New Roman"/>
                <w:sz w:val="18"/>
              </w:rPr>
              <w:t>25,314,41</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67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10"/>
              <w:ind w:left="22" w:right="21"/>
              <w:jc w:val="left"/>
              <w:rPr>
                <w:rFonts w:ascii="宋体" w:hAnsi="宋体" w:cs="宋体" w:eastAsia="宋体" w:hint="default"/>
                <w:sz w:val="18"/>
                <w:szCs w:val="18"/>
              </w:rPr>
            </w:pP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z w:val="18"/>
              </w:rPr>
              <w:t>.50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48" w:right="0"/>
              <w:jc w:val="left"/>
              <w:rPr>
                <w:rFonts w:ascii="Times New Roman" w:hAnsi="Times New Roman" w:cs="Times New Roman" w:eastAsia="Times New Roman" w:hint="default"/>
                <w:sz w:val="18"/>
                <w:szCs w:val="18"/>
              </w:rPr>
            </w:pPr>
            <w:r>
              <w:rPr>
                <w:rFonts w:ascii="Times New Roman"/>
                <w:sz w:val="18"/>
              </w:rPr>
              <w:t>179.19</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33" w:right="0"/>
              <w:jc w:val="left"/>
              <w:rPr>
                <w:rFonts w:ascii="Times New Roman" w:hAnsi="Times New Roman" w:cs="Times New Roman" w:eastAsia="Times New Roman" w:hint="default"/>
                <w:sz w:val="18"/>
                <w:szCs w:val="18"/>
              </w:rPr>
            </w:pPr>
            <w:r>
              <w:rPr>
                <w:rFonts w:ascii="Times New Roman"/>
                <w:sz w:val="18"/>
              </w:rPr>
              <w:t>6.69</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35,314,</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916.69</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35,314,91</w:t>
            </w:r>
          </w:p>
          <w:p>
            <w:pPr>
              <w:pStyle w:val="TableParagraph"/>
              <w:spacing w:line="240" w:lineRule="auto" w:before="105"/>
              <w:ind w:left="433" w:right="0"/>
              <w:jc w:val="left"/>
              <w:rPr>
                <w:rFonts w:ascii="Times New Roman" w:hAnsi="Times New Roman" w:cs="Times New Roman" w:eastAsia="Times New Roman" w:hint="default"/>
                <w:sz w:val="18"/>
                <w:szCs w:val="18"/>
              </w:rPr>
            </w:pPr>
            <w:r>
              <w:rPr>
                <w:rFonts w:ascii="Times New Roman"/>
                <w:sz w:val="18"/>
              </w:rPr>
              <w:t>6.69</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5,297,237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-15,297,</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737.50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-10,000,5</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00.00</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5,297,237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-5,297,2</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37.50</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500.00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-10,000,5</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00.00</w:t>
            </w: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66,670,0</w:t>
            </w:r>
          </w:p>
          <w:p>
            <w:pPr>
              <w:pStyle w:val="TableParagraph"/>
              <w:spacing w:line="240" w:lineRule="auto" w:before="105"/>
              <w:ind w:left="253"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240,142,5</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64.59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35,546,76</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2.21</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172,581</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,152.44</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514,940,4</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79.24</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980"/>
        </w:sectPr>
      </w:pPr>
    </w:p>
    <w:p>
      <w:pPr>
        <w:spacing w:line="240" w:lineRule="auto" w:before="11"/>
        <w:rPr>
          <w:rFonts w:ascii="Times New Roman" w:hAnsi="Times New Roman" w:cs="Times New Roman" w:eastAsia="Times New Roman" w:hint="default"/>
          <w:sz w:val="26"/>
          <w:szCs w:val="26"/>
        </w:rPr>
      </w:pPr>
    </w:p>
    <w:p>
      <w:pPr>
        <w:pStyle w:val="Heading2"/>
        <w:spacing w:line="240" w:lineRule="auto" w:before="26"/>
        <w:ind w:right="0"/>
        <w:jc w:val="left"/>
        <w:rPr>
          <w:b w:val="0"/>
          <w:bCs w:val="0"/>
        </w:rPr>
      </w:pPr>
      <w:bookmarkStart w:name="三、公司基本情况" w:id="162"/>
      <w:bookmarkEnd w:id="162"/>
      <w:r>
        <w:rPr>
          <w:b w:val="0"/>
          <w:bCs w:val="0"/>
        </w:rPr>
      </w:r>
      <w:r>
        <w:rPr/>
        <w:t>三、公司基本情况</w:t>
      </w:r>
      <w:r>
        <w:rPr>
          <w:b w:val="0"/>
          <w:bCs w:val="0"/>
        </w:rPr>
      </w:r>
    </w:p>
    <w:p>
      <w:pPr>
        <w:spacing w:line="240" w:lineRule="auto" w:before="7"/>
        <w:rPr>
          <w:rFonts w:ascii="宋体" w:hAnsi="宋体" w:cs="宋体" w:eastAsia="宋体" w:hint="default"/>
          <w:b/>
          <w:bCs/>
          <w:sz w:val="24"/>
          <w:szCs w:val="24"/>
        </w:rPr>
      </w:pPr>
    </w:p>
    <w:p>
      <w:pPr>
        <w:pStyle w:val="Heading6"/>
        <w:spacing w:line="256" w:lineRule="auto"/>
        <w:ind w:right="146" w:firstLine="420"/>
        <w:jc w:val="both"/>
      </w:pPr>
      <w:r>
        <w:rPr>
          <w:spacing w:val="3"/>
        </w:rPr>
        <w:t>杭州高新橡塑材料股份有限公司</w:t>
      </w:r>
      <w:r>
        <w:rPr>
          <w:rFonts w:ascii="Times New Roman" w:hAnsi="Times New Roman" w:cs="Times New Roman" w:eastAsia="Times New Roman" w:hint="default"/>
          <w:spacing w:val="3"/>
        </w:rPr>
        <w:t>(</w:t>
      </w:r>
      <w:r>
        <w:rPr>
          <w:spacing w:val="3"/>
        </w:rPr>
        <w:t>以下简称公司或本公司</w:t>
      </w:r>
      <w:r>
        <w:rPr>
          <w:rFonts w:ascii="Times New Roman" w:hAnsi="Times New Roman" w:cs="Times New Roman" w:eastAsia="Times New Roman" w:hint="default"/>
          <w:spacing w:val="3"/>
        </w:rPr>
        <w:t>)</w:t>
      </w:r>
      <w:r>
        <w:rPr>
          <w:spacing w:val="3"/>
        </w:rPr>
        <w:t>之前身杭州高新绝缘材料有限公司</w:t>
      </w:r>
      <w:r>
        <w:rPr>
          <w:rFonts w:ascii="Times New Roman" w:hAnsi="Times New Roman" w:cs="Times New Roman" w:eastAsia="Times New Roman" w:hint="default"/>
          <w:spacing w:val="3"/>
        </w:rPr>
        <w:t>(</w:t>
      </w:r>
      <w:r>
        <w:rPr>
          <w:spacing w:val="3"/>
        </w:rPr>
        <w:t>以下简 </w:t>
      </w:r>
      <w:r>
        <w:rPr>
          <w:spacing w:val="2"/>
        </w:rPr>
        <w:t>称高新绝缘材料公司</w:t>
      </w:r>
      <w:r>
        <w:rPr>
          <w:rFonts w:ascii="Times New Roman" w:hAnsi="Times New Roman" w:cs="Times New Roman" w:eastAsia="Times New Roman" w:hint="default"/>
          <w:spacing w:val="2"/>
        </w:rPr>
        <w:t>)</w:t>
      </w:r>
      <w:r>
        <w:rPr>
          <w:spacing w:val="2"/>
        </w:rPr>
        <w:t>。高新绝缘材料公司系经杭州市余杭区对外贸易经济合作局余外经贸资〔</w:t>
      </w:r>
      <w:r>
        <w:rPr>
          <w:rFonts w:ascii="Times New Roman" w:hAnsi="Times New Roman" w:cs="Times New Roman" w:eastAsia="Times New Roman" w:hint="default"/>
          <w:spacing w:val="2"/>
        </w:rPr>
        <w:t>2004</w:t>
      </w:r>
      <w:r>
        <w:rPr>
          <w:spacing w:val="2"/>
        </w:rPr>
        <w:t>〕</w:t>
      </w:r>
      <w:r>
        <w:rPr>
          <w:rFonts w:ascii="Times New Roman" w:hAnsi="Times New Roman" w:cs="Times New Roman" w:eastAsia="Times New Roman" w:hint="default"/>
          <w:spacing w:val="2"/>
        </w:rPr>
        <w:t>88</w:t>
      </w:r>
      <w:r>
        <w:rPr>
          <w:rFonts w:ascii="Times New Roman" w:hAnsi="Times New Roman" w:cs="Times New Roman" w:eastAsia="Times New Roman" w:hint="default"/>
          <w:spacing w:val="-40"/>
        </w:rPr>
        <w:t> </w:t>
      </w:r>
      <w:r>
        <w:rPr/>
        <w:t>号文件批准，由杭州高新塑料厂与中国双帆投资控股集团</w:t>
      </w:r>
      <w:r>
        <w:rPr>
          <w:rFonts w:ascii="Times New Roman" w:hAnsi="Times New Roman" w:cs="Times New Roman" w:eastAsia="Times New Roman" w:hint="default"/>
        </w:rPr>
        <w:t>(</w:t>
      </w:r>
      <w:r>
        <w:rPr/>
        <w:t>香港</w:t>
      </w:r>
      <w:r>
        <w:rPr>
          <w:rFonts w:ascii="Times New Roman" w:hAnsi="Times New Roman" w:cs="Times New Roman" w:eastAsia="Times New Roman" w:hint="default"/>
        </w:rPr>
        <w:t>)</w:t>
      </w:r>
      <w:r>
        <w:rPr/>
        <w:t>有限公司共同投资设立的中外合资企业，</w:t>
      </w:r>
      <w:r>
        <w:rPr>
          <w:spacing w:val="-63"/>
        </w:rPr>
        <w:t> </w:t>
      </w:r>
      <w:r>
        <w:rPr>
          <w:spacing w:val="-63"/>
        </w:rPr>
      </w:r>
      <w:r>
        <w:rPr>
          <w:spacing w:val="-1"/>
        </w:rPr>
        <w:t>于</w:t>
      </w:r>
      <w:r>
        <w:rPr>
          <w:rFonts w:ascii="Times New Roman" w:hAnsi="Times New Roman" w:cs="Times New Roman" w:eastAsia="Times New Roman" w:hint="default"/>
          <w:spacing w:val="-1"/>
        </w:rPr>
        <w:t>2004</w:t>
      </w:r>
      <w:r>
        <w:rPr>
          <w:spacing w:val="-1"/>
        </w:rPr>
        <w:t>年</w:t>
      </w:r>
      <w:r>
        <w:rPr>
          <w:rFonts w:ascii="Times New Roman" w:hAnsi="Times New Roman" w:cs="Times New Roman" w:eastAsia="Times New Roman" w:hint="default"/>
          <w:spacing w:val="-1"/>
        </w:rPr>
        <w:t>11</w:t>
      </w:r>
      <w:r>
        <w:rPr>
          <w:spacing w:val="-1"/>
        </w:rPr>
        <w:t>月</w:t>
      </w:r>
      <w:r>
        <w:rPr>
          <w:rFonts w:ascii="Times New Roman" w:hAnsi="Times New Roman" w:cs="Times New Roman" w:eastAsia="Times New Roman" w:hint="default"/>
          <w:spacing w:val="-1"/>
        </w:rPr>
        <w:t>26</w:t>
      </w:r>
      <w:r>
        <w:rPr>
          <w:spacing w:val="-1"/>
        </w:rPr>
        <w:t>日在杭州市工商行政管理局登记注册。高新绝缘材料公司以</w:t>
      </w:r>
      <w:r>
        <w:rPr>
          <w:rFonts w:ascii="Times New Roman" w:hAnsi="Times New Roman" w:cs="Times New Roman" w:eastAsia="Times New Roman" w:hint="default"/>
          <w:spacing w:val="-1"/>
        </w:rPr>
        <w:t>2010</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日为基准日，整</w:t>
      </w:r>
      <w:r>
        <w:rPr>
          <w:spacing w:val="-81"/>
        </w:rPr>
        <w:t> </w:t>
      </w:r>
      <w:r>
        <w:rPr>
          <w:spacing w:val="-81"/>
        </w:rPr>
      </w:r>
      <w:r>
        <w:rPr/>
        <w:t>体变更为股份有限公司，于</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6</w:t>
      </w:r>
      <w:r>
        <w:rPr/>
        <w:t>日在杭州市工商行政管理局登记注册，总部位于浙江省杭州市。</w:t>
      </w:r>
      <w:r>
        <w:rPr>
          <w:spacing w:val="-33"/>
        </w:rPr>
        <w:t> </w:t>
      </w:r>
      <w:r>
        <w:rPr>
          <w:spacing w:val="-33"/>
        </w:rPr>
      </w:r>
      <w:r>
        <w:rPr>
          <w:spacing w:val="-4"/>
        </w:rPr>
        <w:t>公司现持有统一社会信用代码为</w:t>
      </w:r>
      <w:r>
        <w:rPr>
          <w:rFonts w:ascii="Times New Roman" w:hAnsi="Times New Roman" w:cs="Times New Roman" w:eastAsia="Times New Roman" w:hint="default"/>
          <w:spacing w:val="-4"/>
        </w:rPr>
        <w:t>913300007682195527</w:t>
      </w:r>
      <w:r>
        <w:rPr>
          <w:spacing w:val="-4"/>
        </w:rPr>
        <w:t>营业执照，注册资本</w:t>
      </w:r>
      <w:r>
        <w:rPr>
          <w:rFonts w:ascii="Times New Roman" w:hAnsi="Times New Roman" w:cs="Times New Roman" w:eastAsia="Times New Roman" w:hint="default"/>
          <w:spacing w:val="-4"/>
        </w:rPr>
        <w:t>6,667</w:t>
      </w:r>
      <w:r>
        <w:rPr>
          <w:spacing w:val="-4"/>
        </w:rPr>
        <w:t>万元，股份总数</w:t>
      </w:r>
      <w:r>
        <w:rPr>
          <w:rFonts w:ascii="Times New Roman" w:hAnsi="Times New Roman" w:cs="Times New Roman" w:eastAsia="Times New Roman" w:hint="default"/>
          <w:spacing w:val="-4"/>
        </w:rPr>
        <w:t>6,667</w:t>
      </w:r>
      <w:r>
        <w:rPr>
          <w:spacing w:val="-4"/>
        </w:rPr>
        <w:t>万股</w:t>
      </w:r>
      <w:r>
        <w:rPr>
          <w:rFonts w:ascii="Times New Roman" w:hAnsi="Times New Roman" w:cs="Times New Roman" w:eastAsia="Times New Roman" w:hint="default"/>
          <w:spacing w:val="-4"/>
        </w:rPr>
        <w:t>(</w:t>
      </w:r>
      <w:r>
        <w:rPr>
          <w:spacing w:val="-4"/>
        </w:rPr>
        <w:t>每</w:t>
      </w:r>
      <w:r>
        <w:rPr>
          <w:spacing w:val="-61"/>
        </w:rPr>
        <w:t> </w:t>
      </w:r>
      <w:r>
        <w:rPr/>
        <w:t>股面值</w:t>
      </w:r>
      <w:r>
        <w:rPr>
          <w:rFonts w:ascii="Times New Roman" w:hAnsi="Times New Roman" w:cs="Times New Roman" w:eastAsia="Times New Roman" w:hint="default"/>
        </w:rPr>
        <w:t>1</w:t>
      </w:r>
      <w:r>
        <w:rPr/>
        <w:t>元</w:t>
      </w:r>
      <w:r>
        <w:rPr>
          <w:rFonts w:ascii="Times New Roman" w:hAnsi="Times New Roman" w:cs="Times New Roman" w:eastAsia="Times New Roman" w:hint="default"/>
        </w:rPr>
        <w:t>)</w:t>
      </w:r>
      <w:r>
        <w:rPr/>
        <w:t>。其中，有限售条件的流通股份</w:t>
      </w:r>
      <w:r>
        <w:rPr>
          <w:rFonts w:ascii="Times New Roman" w:hAnsi="Times New Roman" w:cs="Times New Roman" w:eastAsia="Times New Roman" w:hint="default"/>
        </w:rPr>
        <w:t>A</w:t>
      </w:r>
      <w:r>
        <w:rPr/>
        <w:t>股</w:t>
      </w:r>
      <w:r>
        <w:rPr>
          <w:rFonts w:ascii="Times New Roman" w:hAnsi="Times New Roman" w:cs="Times New Roman" w:eastAsia="Times New Roman" w:hint="default"/>
        </w:rPr>
        <w:t>4,250</w:t>
      </w:r>
      <w:r>
        <w:rPr/>
        <w:t>万股；无限售条件的流通股份</w:t>
      </w:r>
      <w:r>
        <w:rPr>
          <w:rFonts w:ascii="Times New Roman" w:hAnsi="Times New Roman" w:cs="Times New Roman" w:eastAsia="Times New Roman" w:hint="default"/>
        </w:rPr>
        <w:t>A</w:t>
      </w:r>
      <w:r>
        <w:rPr/>
        <w:t>股</w:t>
      </w:r>
      <w:r>
        <w:rPr>
          <w:rFonts w:ascii="Times New Roman" w:hAnsi="Times New Roman" w:cs="Times New Roman" w:eastAsia="Times New Roman" w:hint="default"/>
        </w:rPr>
        <w:t>2,417</w:t>
      </w:r>
      <w:r>
        <w:rPr/>
        <w:t>万股。公司股</w:t>
      </w:r>
      <w:r>
        <w:rPr>
          <w:spacing w:val="-89"/>
        </w:rPr>
        <w:t> </w:t>
      </w:r>
      <w:r>
        <w:rPr/>
        <w:t>票已于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10</w:t>
      </w:r>
      <w:r>
        <w:rPr/>
        <w:t>日在深圳证券交易所挂牌交易。</w:t>
      </w:r>
    </w:p>
    <w:p>
      <w:pPr>
        <w:pStyle w:val="Heading6"/>
        <w:spacing w:line="273" w:lineRule="auto" w:before="5"/>
        <w:ind w:right="151" w:firstLine="420"/>
        <w:jc w:val="both"/>
      </w:pPr>
      <w:r>
        <w:rPr>
          <w:spacing w:val="-1"/>
        </w:rPr>
        <w:t>本公司属高分子橡塑电缆料制造行业。主要经营活动为高分子橡塑材料的的研发、生产和销售。产品</w:t>
      </w:r>
      <w:r>
        <w:rPr/>
        <w:t> </w:t>
      </w:r>
      <w:r>
        <w:rPr>
          <w:spacing w:val="-1"/>
        </w:rPr>
        <w:t>主要有：特种聚氯乙烯电缆料、特种聚乙烯及交联聚乙烯电缆料、无卤低烟阻燃电缆料、橡胶电缆料、橡</w:t>
      </w:r>
      <w:r>
        <w:rPr>
          <w:spacing w:val="-83"/>
        </w:rPr>
        <w:t> </w:t>
      </w:r>
      <w:r>
        <w:rPr>
          <w:spacing w:val="-83"/>
        </w:rPr>
      </w:r>
      <w:r>
        <w:rPr/>
        <w:t>塑改性弹性体和通用聚氯乙烯电缆料。</w:t>
      </w:r>
    </w:p>
    <w:p>
      <w:pPr>
        <w:pStyle w:val="Heading6"/>
        <w:spacing w:line="240" w:lineRule="auto" w:before="7"/>
        <w:ind w:left="574" w:right="0"/>
        <w:jc w:val="left"/>
      </w:pPr>
      <w:r>
        <w:rPr/>
        <w:t>本财务报表业经公司</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18</w:t>
      </w:r>
      <w:r>
        <w:rPr/>
        <w:t>日三届二次董事会批准对外报出。</w:t>
      </w:r>
    </w:p>
    <w:p>
      <w:pPr>
        <w:spacing w:line="240" w:lineRule="auto" w:before="0"/>
        <w:rPr>
          <w:rFonts w:ascii="宋体" w:hAnsi="宋体" w:cs="宋体" w:eastAsia="宋体" w:hint="default"/>
          <w:sz w:val="22"/>
          <w:szCs w:val="22"/>
        </w:rPr>
      </w:pPr>
    </w:p>
    <w:p>
      <w:pPr>
        <w:spacing w:line="240" w:lineRule="auto" w:before="4"/>
        <w:rPr>
          <w:rFonts w:ascii="宋体" w:hAnsi="宋体" w:cs="宋体" w:eastAsia="宋体" w:hint="default"/>
          <w:sz w:val="27"/>
          <w:szCs w:val="27"/>
        </w:rPr>
      </w:pPr>
    </w:p>
    <w:p>
      <w:pPr>
        <w:pStyle w:val="Heading6"/>
        <w:spacing w:line="264" w:lineRule="auto"/>
        <w:ind w:right="0" w:firstLine="336"/>
        <w:jc w:val="left"/>
      </w:pPr>
      <w:r>
        <w:rPr/>
        <w:t>本公司将杭州奥能电源设备有限公司</w:t>
      </w:r>
      <w:r>
        <w:rPr>
          <w:rFonts w:ascii="Times New Roman" w:hAnsi="Times New Roman" w:cs="Times New Roman" w:eastAsia="Times New Roman" w:hint="default"/>
        </w:rPr>
        <w:t>(</w:t>
      </w:r>
      <w:r>
        <w:rPr/>
        <w:t>以下简称奥能电源公司</w:t>
      </w:r>
      <w:r>
        <w:rPr>
          <w:rFonts w:ascii="Times New Roman" w:hAnsi="Times New Roman" w:cs="Times New Roman" w:eastAsia="Times New Roman" w:hint="default"/>
        </w:rPr>
        <w:t>)</w:t>
      </w:r>
      <w:r>
        <w:rPr/>
        <w:t>和福建南平太阳高新材料有限公司两家 </w:t>
      </w:r>
      <w:r>
        <w:rPr>
          <w:spacing w:val="-1"/>
        </w:rPr>
        <w:t>子公司纳入本期合并财务报表范围，情况详见本财务报表附注合并范围的变更和在其他主体中的权益之说</w:t>
      </w:r>
      <w:r>
        <w:rPr>
          <w:spacing w:val="-81"/>
        </w:rPr>
        <w:t> </w:t>
      </w:r>
      <w:r>
        <w:rPr>
          <w:spacing w:val="-81"/>
        </w:rPr>
      </w:r>
      <w:r>
        <w:rPr/>
        <w:t>明。</w:t>
      </w:r>
    </w:p>
    <w:p>
      <w:pPr>
        <w:spacing w:line="240" w:lineRule="auto" w:before="6"/>
        <w:rPr>
          <w:rFonts w:ascii="宋体" w:hAnsi="宋体" w:cs="宋体" w:eastAsia="宋体" w:hint="default"/>
          <w:sz w:val="22"/>
          <w:szCs w:val="22"/>
        </w:rPr>
      </w:pPr>
    </w:p>
    <w:p>
      <w:pPr>
        <w:pStyle w:val="Heading2"/>
        <w:spacing w:line="240" w:lineRule="auto"/>
        <w:ind w:right="0"/>
        <w:jc w:val="left"/>
        <w:rPr>
          <w:b w:val="0"/>
          <w:bCs w:val="0"/>
        </w:rPr>
      </w:pPr>
      <w:bookmarkStart w:name="四、财务报表的编制基础" w:id="163"/>
      <w:bookmarkEnd w:id="163"/>
      <w:r>
        <w:rPr>
          <w:b w:val="0"/>
          <w:bCs w:val="0"/>
        </w:rPr>
      </w:r>
      <w:r>
        <w:rPr/>
        <w:t>四、财务报表的编制基础</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right="0"/>
        <w:jc w:val="left"/>
        <w:rPr>
          <w:b w:val="0"/>
          <w:bCs w:val="0"/>
        </w:rPr>
      </w:pPr>
      <w:bookmarkStart w:name="1、编制基础" w:id="164"/>
      <w:bookmarkEnd w:id="164"/>
      <w:r>
        <w:rPr>
          <w:b w:val="0"/>
          <w:bCs w:val="0"/>
        </w:rPr>
      </w:r>
      <w:r>
        <w:rPr>
          <w:rFonts w:ascii="Times New Roman" w:hAnsi="Times New Roman" w:cs="Times New Roman" w:eastAsia="Times New Roman" w:hint="default"/>
        </w:rPr>
        <w:t>1</w:t>
      </w:r>
      <w:r>
        <w:rPr/>
        <w:t>、编制基础</w:t>
      </w:r>
      <w:r>
        <w:rPr>
          <w:b w:val="0"/>
          <w:bCs w:val="0"/>
        </w:rPr>
      </w:r>
    </w:p>
    <w:p>
      <w:pPr>
        <w:spacing w:line="240" w:lineRule="auto" w:before="7"/>
        <w:rPr>
          <w:rFonts w:ascii="宋体" w:hAnsi="宋体" w:cs="宋体" w:eastAsia="宋体" w:hint="default"/>
          <w:b/>
          <w:bCs/>
          <w:sz w:val="24"/>
          <w:szCs w:val="24"/>
        </w:rPr>
      </w:pPr>
    </w:p>
    <w:p>
      <w:pPr>
        <w:pStyle w:val="Heading6"/>
        <w:spacing w:line="240" w:lineRule="auto"/>
        <w:ind w:left="574" w:right="0"/>
        <w:jc w:val="left"/>
      </w:pPr>
      <w:r>
        <w:rPr/>
        <w:t>本公司财务报表以持续经营为编制基础。</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9"/>
          <w:szCs w:val="29"/>
        </w:rPr>
      </w:pPr>
    </w:p>
    <w:p>
      <w:pPr>
        <w:pStyle w:val="Heading6"/>
        <w:spacing w:line="506" w:lineRule="auto"/>
        <w:ind w:left="405" w:right="1541" w:hanging="252"/>
        <w:jc w:val="left"/>
      </w:pPr>
      <w:bookmarkStart w:name="2、持续经营" w:id="165"/>
      <w:bookmarkEnd w:id="165"/>
      <w:r>
        <w:rPr/>
      </w:r>
      <w:r>
        <w:rPr>
          <w:rFonts w:ascii="Times New Roman" w:hAnsi="Times New Roman" w:cs="Times New Roman" w:eastAsia="Times New Roman" w:hint="default"/>
          <w:b/>
          <w:bCs/>
        </w:rPr>
        <w:t>2</w:t>
      </w:r>
      <w:r>
        <w:rPr>
          <w:rFonts w:ascii="宋体" w:hAnsi="宋体" w:cs="宋体" w:eastAsia="宋体" w:hint="default"/>
          <w:b/>
          <w:bCs/>
        </w:rPr>
        <w:t>、持续经营</w:t>
      </w:r>
      <w:r>
        <w:rPr>
          <w:rFonts w:ascii="宋体" w:hAnsi="宋体" w:cs="宋体" w:eastAsia="宋体" w:hint="default"/>
          <w:b/>
          <w:bCs/>
          <w:w w:val="99"/>
        </w:rPr>
        <w:t> </w:t>
      </w:r>
      <w:r>
        <w:rPr/>
        <w:t>本公司不存在导致对报告期末起</w:t>
      </w:r>
      <w:r>
        <w:rPr>
          <w:rFonts w:ascii="Times New Roman" w:hAnsi="Times New Roman" w:cs="Times New Roman" w:eastAsia="Times New Roman" w:hint="default"/>
        </w:rPr>
        <w:t>12</w:t>
      </w:r>
      <w:r>
        <w:rPr/>
        <w:t>个月内的持续经营假设产生重大疑虑的事项或情况。</w:t>
      </w:r>
    </w:p>
    <w:p>
      <w:pPr>
        <w:pStyle w:val="Heading2"/>
        <w:spacing w:line="240" w:lineRule="auto" w:before="41"/>
        <w:ind w:right="0"/>
        <w:jc w:val="left"/>
        <w:rPr>
          <w:b w:val="0"/>
          <w:bCs w:val="0"/>
        </w:rPr>
      </w:pPr>
      <w:bookmarkStart w:name="五、重要会计政策及会计估计" w:id="166"/>
      <w:bookmarkEnd w:id="166"/>
      <w:r>
        <w:rPr>
          <w:b w:val="0"/>
          <w:bCs w:val="0"/>
        </w:rPr>
      </w:r>
      <w:r>
        <w:rPr/>
        <w:t>五、重要会计政策及会计估计</w:t>
      </w:r>
      <w:r>
        <w:rPr>
          <w:b w:val="0"/>
          <w:bCs w:val="0"/>
        </w:rPr>
      </w:r>
    </w:p>
    <w:p>
      <w:pPr>
        <w:spacing w:line="240" w:lineRule="auto" w:before="7"/>
        <w:rPr>
          <w:rFonts w:ascii="宋体" w:hAnsi="宋体" w:cs="宋体" w:eastAsia="宋体" w:hint="default"/>
          <w:b/>
          <w:bCs/>
          <w:sz w:val="26"/>
          <w:szCs w:val="26"/>
        </w:rPr>
      </w:pPr>
    </w:p>
    <w:p>
      <w:pPr>
        <w:pStyle w:val="BodyText"/>
        <w:spacing w:line="360" w:lineRule="auto" w:before="0"/>
        <w:ind w:right="6712"/>
        <w:jc w:val="left"/>
      </w:pPr>
      <w:r>
        <w:rPr/>
        <w:t>公司是否需要遵守特殊行业的披露要求 否</w:t>
      </w:r>
    </w:p>
    <w:p>
      <w:pPr>
        <w:pStyle w:val="BodyText"/>
        <w:spacing w:line="240" w:lineRule="auto" w:before="26"/>
        <w:ind w:right="0"/>
        <w:jc w:val="left"/>
      </w:pPr>
      <w:r>
        <w:rPr/>
        <w:t>具体会计政策和会计估计提示：</w:t>
      </w:r>
    </w:p>
    <w:p>
      <w:pPr>
        <w:spacing w:line="590" w:lineRule="atLeast" w:before="50"/>
        <w:ind w:left="574" w:right="0" w:hanging="420"/>
        <w:jc w:val="left"/>
        <w:rPr>
          <w:rFonts w:ascii="宋体" w:hAnsi="宋体" w:cs="宋体" w:eastAsia="宋体" w:hint="default"/>
          <w:sz w:val="21"/>
          <w:szCs w:val="21"/>
        </w:rPr>
      </w:pPr>
      <w:bookmarkStart w:name="1、遵循企业会计准则的声明" w:id="167"/>
      <w:bookmarkEnd w:id="167"/>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、遵循企业会计准则的声明</w:t>
      </w:r>
      <w:r>
        <w:rPr>
          <w:rFonts w:ascii="宋体" w:hAnsi="宋体" w:cs="宋体" w:eastAsia="宋体" w:hint="default"/>
          <w:b/>
          <w:bCs/>
          <w:w w:val="99"/>
          <w:sz w:val="21"/>
          <w:szCs w:val="21"/>
        </w:rPr>
        <w:t> </w:t>
      </w:r>
      <w:r>
        <w:rPr>
          <w:rFonts w:ascii="宋体" w:hAnsi="宋体" w:cs="宋体" w:eastAsia="宋体" w:hint="default"/>
          <w:spacing w:val="-1"/>
          <w:sz w:val="21"/>
          <w:szCs w:val="21"/>
        </w:rPr>
        <w:t>本公司所编制的财务报表符合企业会计准则的要求，真实、完整地反映了公司的财务状况、经营成果</w:t>
      </w:r>
    </w:p>
    <w:p>
      <w:pPr>
        <w:pStyle w:val="Heading6"/>
        <w:spacing w:line="240" w:lineRule="auto" w:before="37"/>
        <w:ind w:right="0"/>
        <w:jc w:val="left"/>
      </w:pPr>
      <w:r>
        <w:rPr/>
        <w:t>和现金流量等有关信息。</w:t>
      </w:r>
    </w:p>
    <w:p>
      <w:pPr>
        <w:spacing w:after="0" w:line="240" w:lineRule="auto"/>
        <w:jc w:val="left"/>
        <w:sectPr>
          <w:pgSz w:w="11910" w:h="16840"/>
          <w:pgMar w:header="747" w:footer="979" w:top="1060" w:bottom="1160" w:left="980" w:right="980"/>
        </w:sectPr>
      </w:pPr>
    </w:p>
    <w:p>
      <w:pPr>
        <w:spacing w:line="240" w:lineRule="auto" w:before="10"/>
        <w:rPr>
          <w:rFonts w:ascii="宋体" w:hAnsi="宋体" w:cs="宋体" w:eastAsia="宋体" w:hint="default"/>
          <w:sz w:val="24"/>
          <w:szCs w:val="24"/>
        </w:rPr>
      </w:pPr>
    </w:p>
    <w:p>
      <w:pPr>
        <w:spacing w:line="506" w:lineRule="auto" w:before="35"/>
        <w:ind w:left="154" w:right="5992" w:firstLine="0"/>
        <w:jc w:val="left"/>
        <w:rPr>
          <w:rFonts w:ascii="宋体" w:hAnsi="宋体" w:cs="宋体" w:eastAsia="宋体" w:hint="default"/>
          <w:sz w:val="21"/>
          <w:szCs w:val="21"/>
        </w:rPr>
      </w:pPr>
      <w:bookmarkStart w:name="2、会计期间" w:id="168"/>
      <w:bookmarkEnd w:id="168"/>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、会计期间</w:t>
      </w:r>
      <w:r>
        <w:rPr>
          <w:rFonts w:ascii="宋体" w:hAnsi="宋体" w:cs="宋体" w:eastAsia="宋体" w:hint="default"/>
          <w:b/>
          <w:bCs/>
          <w:w w:val="99"/>
          <w:sz w:val="21"/>
          <w:szCs w:val="21"/>
        </w:rPr>
        <w:t> </w:t>
      </w:r>
      <w:r>
        <w:rPr>
          <w:rFonts w:ascii="宋体" w:hAnsi="宋体" w:cs="宋体" w:eastAsia="宋体" w:hint="default"/>
          <w:sz w:val="21"/>
          <w:szCs w:val="21"/>
        </w:rPr>
        <w:t>会计年度自公历</w:t>
      </w:r>
      <w:r>
        <w:rPr>
          <w:rFonts w:ascii="Times New Roman" w:hAnsi="Times New Roman" w:cs="Times New Roman" w:eastAsia="Times New Roman" w:hint="default"/>
          <w:sz w:val="21"/>
          <w:szCs w:val="21"/>
        </w:rPr>
        <w:t>1</w:t>
      </w:r>
      <w:r>
        <w:rPr>
          <w:rFonts w:ascii="宋体" w:hAnsi="宋体" w:cs="宋体" w:eastAsia="宋体" w:hint="default"/>
          <w:sz w:val="21"/>
          <w:szCs w:val="21"/>
        </w:rPr>
        <w:t>月</w:t>
      </w:r>
      <w:r>
        <w:rPr>
          <w:rFonts w:ascii="Times New Roman" w:hAnsi="Times New Roman" w:cs="Times New Roman" w:eastAsia="Times New Roman" w:hint="default"/>
          <w:sz w:val="21"/>
          <w:szCs w:val="21"/>
        </w:rPr>
        <w:t>1</w:t>
      </w:r>
      <w:r>
        <w:rPr>
          <w:rFonts w:ascii="宋体" w:hAnsi="宋体" w:cs="宋体" w:eastAsia="宋体" w:hint="default"/>
          <w:sz w:val="21"/>
          <w:szCs w:val="21"/>
        </w:rPr>
        <w:t>日起至</w:t>
      </w:r>
      <w:r>
        <w:rPr>
          <w:rFonts w:ascii="Times New Roman" w:hAnsi="Times New Roman" w:cs="Times New Roman" w:eastAsia="Times New Roman" w:hint="default"/>
          <w:sz w:val="21"/>
          <w:szCs w:val="21"/>
        </w:rPr>
        <w:t>12</w:t>
      </w:r>
      <w:r>
        <w:rPr>
          <w:rFonts w:ascii="宋体" w:hAnsi="宋体" w:cs="宋体" w:eastAsia="宋体" w:hint="default"/>
          <w:sz w:val="21"/>
          <w:szCs w:val="21"/>
        </w:rPr>
        <w:t>月</w:t>
      </w:r>
      <w:r>
        <w:rPr>
          <w:rFonts w:ascii="Times New Roman" w:hAnsi="Times New Roman" w:cs="Times New Roman" w:eastAsia="Times New Roman" w:hint="default"/>
          <w:sz w:val="21"/>
          <w:szCs w:val="21"/>
        </w:rPr>
        <w:t>31</w:t>
      </w:r>
      <w:r>
        <w:rPr>
          <w:rFonts w:ascii="宋体" w:hAnsi="宋体" w:cs="宋体" w:eastAsia="宋体" w:hint="default"/>
          <w:sz w:val="21"/>
          <w:szCs w:val="21"/>
        </w:rPr>
        <w:t>日止。 </w:t>
      </w:r>
      <w:bookmarkStart w:name="3、营业周期" w:id="169"/>
      <w:bookmarkEnd w:id="169"/>
      <w:r>
        <w:rPr>
          <w:rFonts w:ascii="宋体" w:hAnsi="宋体" w:cs="宋体" w:eastAsia="宋体" w:hint="default"/>
          <w:sz w:val="21"/>
          <w:szCs w:val="21"/>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、营业周期</w:t>
      </w:r>
      <w:r>
        <w:rPr>
          <w:rFonts w:ascii="宋体" w:hAnsi="宋体" w:cs="宋体" w:eastAsia="宋体" w:hint="default"/>
          <w:sz w:val="21"/>
          <w:szCs w:val="21"/>
        </w:rPr>
      </w:r>
    </w:p>
    <w:p>
      <w:pPr>
        <w:pStyle w:val="Heading6"/>
        <w:spacing w:line="240" w:lineRule="auto" w:before="63"/>
        <w:ind w:right="0"/>
        <w:jc w:val="left"/>
      </w:pPr>
      <w:r>
        <w:rPr/>
        <w:t>公司经营业务的营业周期较短，以</w:t>
      </w:r>
      <w:r>
        <w:rPr>
          <w:rFonts w:ascii="Times New Roman" w:hAnsi="Times New Roman" w:cs="Times New Roman" w:eastAsia="Times New Roman" w:hint="default"/>
        </w:rPr>
        <w:t>12</w:t>
      </w:r>
      <w:r>
        <w:rPr/>
        <w:t>个月作为资产和负债的流动性划分标准。</w:t>
      </w:r>
    </w:p>
    <w:p>
      <w:pPr>
        <w:spacing w:line="240" w:lineRule="auto" w:before="8"/>
        <w:rPr>
          <w:rFonts w:ascii="宋体" w:hAnsi="宋体" w:cs="宋体" w:eastAsia="宋体" w:hint="default"/>
          <w:sz w:val="24"/>
          <w:szCs w:val="24"/>
        </w:rPr>
      </w:pPr>
    </w:p>
    <w:p>
      <w:pPr>
        <w:pStyle w:val="Heading5"/>
        <w:spacing w:line="240" w:lineRule="auto"/>
        <w:ind w:right="0"/>
        <w:jc w:val="left"/>
        <w:rPr>
          <w:b w:val="0"/>
          <w:bCs w:val="0"/>
        </w:rPr>
      </w:pPr>
      <w:bookmarkStart w:name="4、记账本位币" w:id="170"/>
      <w:bookmarkEnd w:id="170"/>
      <w:r>
        <w:rPr>
          <w:b w:val="0"/>
          <w:bCs w:val="0"/>
        </w:rPr>
      </w:r>
      <w:r>
        <w:rPr>
          <w:rFonts w:ascii="Times New Roman" w:hAnsi="Times New Roman" w:cs="Times New Roman" w:eastAsia="Times New Roman" w:hint="default"/>
        </w:rPr>
        <w:t>4</w:t>
      </w:r>
      <w:r>
        <w:rPr/>
        <w:t>、记账本位币</w:t>
      </w:r>
      <w:r>
        <w:rPr>
          <w:b w:val="0"/>
          <w:bCs w:val="0"/>
        </w:rPr>
      </w:r>
    </w:p>
    <w:p>
      <w:pPr>
        <w:spacing w:line="240" w:lineRule="auto" w:before="7"/>
        <w:rPr>
          <w:rFonts w:ascii="宋体" w:hAnsi="宋体" w:cs="宋体" w:eastAsia="宋体" w:hint="default"/>
          <w:b/>
          <w:bCs/>
          <w:sz w:val="24"/>
          <w:szCs w:val="24"/>
        </w:rPr>
      </w:pPr>
    </w:p>
    <w:p>
      <w:pPr>
        <w:pStyle w:val="Heading6"/>
        <w:spacing w:line="240" w:lineRule="auto"/>
        <w:ind w:left="574" w:right="0"/>
        <w:jc w:val="left"/>
      </w:pPr>
      <w:r>
        <w:rPr/>
        <w:t>采用人民币为记账本位币。</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9"/>
          <w:szCs w:val="29"/>
        </w:rPr>
      </w:pPr>
    </w:p>
    <w:p>
      <w:pPr>
        <w:pStyle w:val="Heading5"/>
        <w:spacing w:line="240" w:lineRule="auto"/>
        <w:ind w:right="0"/>
        <w:jc w:val="left"/>
        <w:rPr>
          <w:b w:val="0"/>
          <w:bCs w:val="0"/>
        </w:rPr>
      </w:pPr>
      <w:bookmarkStart w:name="5、同一控制下和非同一控制下企业合并的会计处理方法" w:id="171"/>
      <w:bookmarkEnd w:id="171"/>
      <w:r>
        <w:rPr>
          <w:b w:val="0"/>
          <w:bCs w:val="0"/>
        </w:rPr>
      </w: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7"/>
        <w:rPr>
          <w:rFonts w:ascii="宋体" w:hAnsi="宋体" w:cs="宋体" w:eastAsia="宋体" w:hint="default"/>
          <w:b/>
          <w:bCs/>
          <w:sz w:val="24"/>
          <w:szCs w:val="24"/>
        </w:rPr>
      </w:pPr>
    </w:p>
    <w:p>
      <w:pPr>
        <w:pStyle w:val="Heading6"/>
        <w:spacing w:line="256" w:lineRule="auto"/>
        <w:ind w:left="574"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32"/>
        </w:rPr>
        <w:t> </w:t>
      </w:r>
      <w:r>
        <w:rPr/>
        <w:t>同一控制下企业合并的会计处理方法 </w:t>
      </w:r>
      <w:r>
        <w:rPr>
          <w:spacing w:val="-1"/>
        </w:rPr>
        <w:t>公司在企业合并中取得的资产和负债，按照合并日被合并方在最终控制方合并财务报表中的账面价值</w:t>
      </w:r>
    </w:p>
    <w:p>
      <w:pPr>
        <w:pStyle w:val="Heading6"/>
        <w:spacing w:line="273" w:lineRule="auto" w:before="22"/>
        <w:ind w:right="0"/>
        <w:jc w:val="left"/>
      </w:pPr>
      <w:r>
        <w:rPr>
          <w:spacing w:val="-1"/>
        </w:rPr>
        <w:t>计量。公司按照被合并方所有者权益在最终控制方合并财务报表中的账面价值份额与支付的合并对价账面</w:t>
      </w:r>
      <w:r>
        <w:rPr>
          <w:spacing w:val="-81"/>
        </w:rPr>
        <w:t> </w:t>
      </w:r>
      <w:r>
        <w:rPr>
          <w:spacing w:val="-81"/>
        </w:rPr>
      </w:r>
      <w:r>
        <w:rPr/>
        <w:t>价值或发行股份面值总额的差额，调整资本公积；资本公积不足冲减的，调整留存收益。</w:t>
      </w:r>
    </w:p>
    <w:p>
      <w:pPr>
        <w:pStyle w:val="Heading6"/>
        <w:spacing w:line="256" w:lineRule="auto" w:before="7"/>
        <w:ind w:left="574"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32"/>
        </w:rPr>
        <w:t> </w:t>
      </w:r>
      <w:r>
        <w:rPr/>
        <w:t>非同一控制下企业合并的会计处理方法 </w:t>
      </w:r>
      <w:r>
        <w:rPr>
          <w:spacing w:val="3"/>
        </w:rPr>
        <w:t>公司在购买日对合并成本大于合并中取得的被购买方可辨认净资产公允价值份额的差额，确认为商</w:t>
      </w:r>
    </w:p>
    <w:p>
      <w:pPr>
        <w:pStyle w:val="Heading6"/>
        <w:spacing w:line="273" w:lineRule="auto" w:before="22"/>
        <w:ind w:right="151"/>
        <w:jc w:val="both"/>
      </w:pPr>
      <w:r>
        <w:rPr>
          <w:spacing w:val="-1"/>
        </w:rPr>
        <w:t>誉；如果合并成本小于合并中取得的被购买方可辨认净资产公允价值份额，首先对取得的被购买方各项可</w:t>
      </w:r>
      <w:r>
        <w:rPr>
          <w:spacing w:val="-81"/>
        </w:rPr>
        <w:t> </w:t>
      </w:r>
      <w:r>
        <w:rPr>
          <w:spacing w:val="-81"/>
        </w:rPr>
      </w:r>
      <w:r>
        <w:rPr>
          <w:spacing w:val="-1"/>
        </w:rPr>
        <w:t>辨认资产、负债及或有负债的公允价值以及合并成本的计量进行复核，经复核后合并成本仍小于合并中取</w:t>
      </w:r>
      <w:r>
        <w:rPr>
          <w:spacing w:val="-81"/>
        </w:rPr>
        <w:t> </w:t>
      </w:r>
      <w:r>
        <w:rPr>
          <w:spacing w:val="-81"/>
        </w:rPr>
      </w:r>
      <w:r>
        <w:rPr/>
        <w:t>得的被购买方可辨认净资产公允价值份额的，其差额计入当期损益。</w:t>
      </w:r>
    </w:p>
    <w:p>
      <w:pPr>
        <w:spacing w:line="240" w:lineRule="auto" w:before="8"/>
        <w:rPr>
          <w:rFonts w:ascii="宋体" w:hAnsi="宋体" w:cs="宋体" w:eastAsia="宋体" w:hint="default"/>
          <w:sz w:val="24"/>
          <w:szCs w:val="24"/>
        </w:rPr>
      </w:pPr>
    </w:p>
    <w:p>
      <w:pPr>
        <w:spacing w:line="590" w:lineRule="atLeast" w:before="0"/>
        <w:ind w:left="574" w:right="0" w:hanging="420"/>
        <w:jc w:val="left"/>
        <w:rPr>
          <w:rFonts w:ascii="宋体" w:hAnsi="宋体" w:cs="宋体" w:eastAsia="宋体" w:hint="default"/>
          <w:sz w:val="21"/>
          <w:szCs w:val="21"/>
        </w:rPr>
      </w:pPr>
      <w:bookmarkStart w:name="6、合并财务报表的编制方法" w:id="172"/>
      <w:bookmarkEnd w:id="172"/>
      <w:r>
        <w:rPr/>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、合并财务报表的编制方法</w:t>
      </w:r>
      <w:r>
        <w:rPr>
          <w:rFonts w:ascii="宋体" w:hAnsi="宋体" w:cs="宋体" w:eastAsia="宋体" w:hint="default"/>
          <w:b/>
          <w:bCs/>
          <w:w w:val="99"/>
          <w:sz w:val="21"/>
          <w:szCs w:val="21"/>
        </w:rPr>
        <w:t> </w:t>
      </w:r>
      <w:r>
        <w:rPr>
          <w:rFonts w:ascii="宋体" w:hAnsi="宋体" w:cs="宋体" w:eastAsia="宋体" w:hint="default"/>
          <w:spacing w:val="-1"/>
          <w:sz w:val="21"/>
          <w:szCs w:val="21"/>
        </w:rPr>
        <w:t>母公司将其控制的所有子公司纳入合并财务报表的合并范围。合并财务报表以母公司及其子公司的财</w:t>
      </w:r>
    </w:p>
    <w:p>
      <w:pPr>
        <w:pStyle w:val="Heading6"/>
        <w:spacing w:line="240" w:lineRule="auto" w:before="37"/>
        <w:ind w:right="0"/>
        <w:jc w:val="left"/>
      </w:pPr>
      <w:r>
        <w:rPr/>
        <w:t>务报表为基础，根据其他有关资料，由母公司按照《企业会计准则第</w:t>
      </w:r>
      <w:r>
        <w:rPr>
          <w:rFonts w:ascii="Times New Roman" w:hAnsi="Times New Roman" w:cs="Times New Roman" w:eastAsia="Times New Roman" w:hint="default"/>
        </w:rPr>
        <w:t>33</w:t>
      </w:r>
      <w:r>
        <w:rPr/>
        <w:t>号</w:t>
      </w:r>
      <w:r>
        <w:rPr>
          <w:rFonts w:ascii="Times New Roman" w:hAnsi="Times New Roman" w:cs="Times New Roman" w:eastAsia="Times New Roman" w:hint="default"/>
        </w:rPr>
        <w:t>——</w:t>
      </w:r>
      <w:r>
        <w:rPr/>
        <w:t>合并财务报表》编制。</w:t>
      </w:r>
    </w:p>
    <w:p>
      <w:pPr>
        <w:spacing w:line="240" w:lineRule="auto" w:before="0"/>
        <w:rPr>
          <w:rFonts w:ascii="宋体" w:hAnsi="宋体" w:cs="宋体" w:eastAsia="宋体" w:hint="default"/>
          <w:sz w:val="22"/>
          <w:szCs w:val="22"/>
        </w:rPr>
      </w:pPr>
    </w:p>
    <w:p>
      <w:pPr>
        <w:spacing w:line="240" w:lineRule="auto" w:before="6"/>
        <w:rPr>
          <w:rFonts w:ascii="宋体" w:hAnsi="宋体" w:cs="宋体" w:eastAsia="宋体" w:hint="default"/>
          <w:sz w:val="26"/>
          <w:szCs w:val="26"/>
        </w:rPr>
      </w:pPr>
    </w:p>
    <w:p>
      <w:pPr>
        <w:pStyle w:val="Heading5"/>
        <w:spacing w:line="240" w:lineRule="auto"/>
        <w:ind w:right="0"/>
        <w:jc w:val="left"/>
        <w:rPr>
          <w:b w:val="0"/>
          <w:bCs w:val="0"/>
        </w:rPr>
      </w:pPr>
      <w:bookmarkStart w:name="7、合营安排分类及共同经营会计处理方法" w:id="173"/>
      <w:bookmarkEnd w:id="173"/>
      <w:r>
        <w:rPr>
          <w:b w:val="0"/>
          <w:bCs w:val="0"/>
        </w:rPr>
      </w:r>
      <w:r>
        <w:rPr>
          <w:rFonts w:ascii="Times New Roman" w:hAnsi="Times New Roman" w:cs="Times New Roman" w:eastAsia="Times New Roman" w:hint="default"/>
        </w:rPr>
        <w:t>7</w:t>
      </w:r>
      <w:r>
        <w:rPr/>
        <w:t>、合营安排分类及共同经营会计处理方法</w:t>
      </w:r>
      <w:r>
        <w:rPr>
          <w:b w:val="0"/>
          <w:bCs w:val="0"/>
        </w:rPr>
      </w:r>
    </w:p>
    <w:p>
      <w:pPr>
        <w:spacing w:line="590" w:lineRule="atLeast" w:before="23"/>
        <w:ind w:left="574" w:right="0" w:hanging="420"/>
        <w:jc w:val="left"/>
        <w:rPr>
          <w:rFonts w:ascii="宋体" w:hAnsi="宋体" w:cs="宋体" w:eastAsia="宋体" w:hint="default"/>
          <w:sz w:val="21"/>
          <w:szCs w:val="21"/>
        </w:rPr>
      </w:pPr>
      <w:bookmarkStart w:name="8、现金及现金等价物的确定标准" w:id="174"/>
      <w:bookmarkEnd w:id="174"/>
      <w:r>
        <w:rPr/>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、现金及现金等价物的确定标准</w:t>
      </w:r>
      <w:r>
        <w:rPr>
          <w:rFonts w:ascii="宋体" w:hAnsi="宋体" w:cs="宋体" w:eastAsia="宋体" w:hint="default"/>
          <w:b/>
          <w:bCs/>
          <w:w w:val="99"/>
          <w:sz w:val="21"/>
          <w:szCs w:val="21"/>
        </w:rPr>
        <w:t> </w:t>
      </w:r>
      <w:r>
        <w:rPr>
          <w:rFonts w:ascii="宋体" w:hAnsi="宋体" w:cs="宋体" w:eastAsia="宋体" w:hint="default"/>
          <w:spacing w:val="-1"/>
          <w:sz w:val="21"/>
          <w:szCs w:val="21"/>
        </w:rPr>
        <w:t>列示于现金流量表中的现金是指库存现金以及可以随时用于支付的存款。现金等价物是指企业持有的</w:t>
      </w:r>
    </w:p>
    <w:p>
      <w:pPr>
        <w:pStyle w:val="Heading6"/>
        <w:spacing w:line="240" w:lineRule="auto" w:before="37"/>
        <w:ind w:right="0"/>
        <w:jc w:val="left"/>
      </w:pPr>
      <w:r>
        <w:rPr/>
        <w:t>期限短、流动性强、易于转换为已知金额现金、价值变动风险很小的投资。</w:t>
      </w:r>
    </w:p>
    <w:p>
      <w:pPr>
        <w:spacing w:line="240" w:lineRule="auto" w:before="11"/>
        <w:rPr>
          <w:rFonts w:ascii="宋体" w:hAnsi="宋体" w:cs="宋体" w:eastAsia="宋体" w:hint="default"/>
          <w:sz w:val="26"/>
          <w:szCs w:val="26"/>
        </w:rPr>
      </w:pPr>
    </w:p>
    <w:p>
      <w:pPr>
        <w:spacing w:line="590" w:lineRule="atLeast" w:before="0"/>
        <w:ind w:left="574" w:right="0" w:hanging="420"/>
        <w:jc w:val="left"/>
        <w:rPr>
          <w:rFonts w:ascii="宋体" w:hAnsi="宋体" w:cs="宋体" w:eastAsia="宋体" w:hint="default"/>
          <w:sz w:val="21"/>
          <w:szCs w:val="21"/>
        </w:rPr>
      </w:pPr>
      <w:bookmarkStart w:name="9、外币业务和外币报表折算" w:id="175"/>
      <w:bookmarkEnd w:id="175"/>
      <w:r>
        <w:rPr/>
      </w:r>
      <w:r>
        <w:rPr>
          <w:rFonts w:ascii="Times New Roman" w:hAnsi="Times New Roman" w:cs="Times New Roman" w:eastAsia="Times New Roman" w:hint="default"/>
          <w:b/>
          <w:bCs/>
          <w:sz w:val="21"/>
          <w:szCs w:val="21"/>
        </w:rPr>
        <w:t>9</w:t>
      </w:r>
      <w:r>
        <w:rPr>
          <w:rFonts w:ascii="宋体" w:hAnsi="宋体" w:cs="宋体" w:eastAsia="宋体" w:hint="default"/>
          <w:b/>
          <w:bCs/>
          <w:sz w:val="21"/>
          <w:szCs w:val="21"/>
        </w:rPr>
        <w:t>、外币业务和外币报表折算</w:t>
      </w:r>
      <w:r>
        <w:rPr>
          <w:rFonts w:ascii="宋体" w:hAnsi="宋体" w:cs="宋体" w:eastAsia="宋体" w:hint="default"/>
          <w:b/>
          <w:bCs/>
          <w:w w:val="99"/>
          <w:sz w:val="21"/>
          <w:szCs w:val="21"/>
        </w:rPr>
        <w:t> </w:t>
      </w:r>
      <w:r>
        <w:rPr>
          <w:rFonts w:ascii="宋体" w:hAnsi="宋体" w:cs="宋体" w:eastAsia="宋体" w:hint="default"/>
          <w:spacing w:val="-1"/>
          <w:sz w:val="21"/>
          <w:szCs w:val="21"/>
        </w:rPr>
        <w:t>外币交易在初始确认时，采用交易发生日的即期汇率折算为人民币金额。资产负债表日，外币货币性</w:t>
      </w:r>
    </w:p>
    <w:p>
      <w:pPr>
        <w:pStyle w:val="Heading6"/>
        <w:spacing w:line="273" w:lineRule="auto" w:before="37"/>
        <w:ind w:right="0"/>
        <w:jc w:val="left"/>
      </w:pPr>
      <w:r>
        <w:rPr>
          <w:spacing w:val="-1"/>
        </w:rPr>
        <w:t>项目采用资产负债表日即期汇率折算，因汇率不同而产生的汇兑差额，除与购建符合资本化条件资产有关</w:t>
      </w:r>
      <w:r>
        <w:rPr>
          <w:spacing w:val="-81"/>
        </w:rPr>
        <w:t> </w:t>
      </w:r>
      <w:r>
        <w:rPr>
          <w:spacing w:val="-81"/>
        </w:rPr>
      </w:r>
      <w:r>
        <w:rPr>
          <w:spacing w:val="-1"/>
        </w:rPr>
        <w:t>的外币专门借款本金及利息的汇兑差额外，计入当期损益；以历史成本计量的外币非货币性项目仍采用交</w:t>
      </w:r>
    </w:p>
    <w:p>
      <w:pPr>
        <w:spacing w:after="0" w:line="273" w:lineRule="auto"/>
        <w:jc w:val="left"/>
        <w:sectPr>
          <w:pgSz w:w="11910" w:h="16840"/>
          <w:pgMar w:header="747" w:footer="979" w:top="1060" w:bottom="1160" w:left="980" w:right="980"/>
        </w:sectPr>
      </w:pPr>
    </w:p>
    <w:p>
      <w:pPr>
        <w:spacing w:line="240" w:lineRule="auto" w:before="9"/>
        <w:rPr>
          <w:rFonts w:ascii="宋体" w:hAnsi="宋体" w:cs="宋体" w:eastAsia="宋体" w:hint="default"/>
          <w:sz w:val="24"/>
          <w:szCs w:val="24"/>
        </w:rPr>
      </w:pPr>
    </w:p>
    <w:p>
      <w:pPr>
        <w:pStyle w:val="Heading6"/>
        <w:spacing w:line="273" w:lineRule="auto" w:before="35"/>
        <w:ind w:right="191"/>
        <w:jc w:val="both"/>
      </w:pPr>
      <w:r>
        <w:rPr>
          <w:spacing w:val="-1"/>
        </w:rPr>
        <w:t>易发生日的即期汇率折算，不改变其人民币金额；以公允价值计量的外币非货币性项目，采用公允价值确</w:t>
      </w:r>
      <w:r>
        <w:rPr>
          <w:spacing w:val="-83"/>
        </w:rPr>
        <w:t> </w:t>
      </w:r>
      <w:r>
        <w:rPr>
          <w:spacing w:val="-83"/>
        </w:rPr>
      </w:r>
      <w:r>
        <w:rPr/>
        <w:t>定日的即期汇率折算，差额计入当期损益或其他综合收益。</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7"/>
          <w:szCs w:val="27"/>
        </w:rPr>
      </w:pPr>
    </w:p>
    <w:p>
      <w:pPr>
        <w:pStyle w:val="Heading5"/>
        <w:spacing w:line="240" w:lineRule="auto"/>
        <w:ind w:right="0"/>
        <w:jc w:val="both"/>
        <w:rPr>
          <w:b w:val="0"/>
          <w:bCs w:val="0"/>
        </w:rPr>
      </w:pPr>
      <w:bookmarkStart w:name="10、金融工具" w:id="176"/>
      <w:bookmarkEnd w:id="176"/>
      <w:r>
        <w:rPr>
          <w:b w:val="0"/>
          <w:bCs w:val="0"/>
        </w:rPr>
      </w:r>
      <w:r>
        <w:rPr>
          <w:rFonts w:ascii="Times New Roman" w:hAnsi="Times New Roman" w:cs="Times New Roman" w:eastAsia="Times New Roman" w:hint="default"/>
        </w:rPr>
        <w:t>10</w:t>
      </w:r>
      <w:r>
        <w:rPr/>
        <w:t>、金融工具</w:t>
      </w:r>
      <w:r>
        <w:rPr>
          <w:b w:val="0"/>
          <w:bCs w:val="0"/>
        </w:rPr>
      </w:r>
    </w:p>
    <w:p>
      <w:pPr>
        <w:spacing w:line="240" w:lineRule="auto" w:before="7"/>
        <w:rPr>
          <w:rFonts w:ascii="宋体" w:hAnsi="宋体" w:cs="宋体" w:eastAsia="宋体" w:hint="default"/>
          <w:b/>
          <w:bCs/>
          <w:sz w:val="24"/>
          <w:szCs w:val="24"/>
        </w:rPr>
      </w:pPr>
    </w:p>
    <w:p>
      <w:pPr>
        <w:pStyle w:val="Heading6"/>
        <w:spacing w:line="256" w:lineRule="auto"/>
        <w:ind w:left="574" w:right="92"/>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32"/>
        </w:rPr>
        <w:t> </w:t>
      </w:r>
      <w:r>
        <w:rPr/>
        <w:t>金融资产和金融负债的分类 </w:t>
      </w:r>
      <w:r>
        <w:rPr>
          <w:spacing w:val="-3"/>
        </w:rPr>
        <w:t>金融资产在初始确认时划分为以下四类：以公允价值计量且其变动计入当期损益的金融资产</w:t>
      </w:r>
      <w:r>
        <w:rPr>
          <w:rFonts w:ascii="Times New Roman" w:hAnsi="Times New Roman" w:cs="Times New Roman" w:eastAsia="Times New Roman" w:hint="default"/>
          <w:spacing w:val="-3"/>
        </w:rPr>
        <w:t>(</w:t>
      </w:r>
      <w:r>
        <w:rPr>
          <w:spacing w:val="-3"/>
        </w:rPr>
        <w:t>包括交易</w:t>
      </w:r>
    </w:p>
    <w:p>
      <w:pPr>
        <w:pStyle w:val="Heading6"/>
        <w:spacing w:line="256" w:lineRule="auto" w:before="5"/>
        <w:ind w:right="99"/>
        <w:jc w:val="both"/>
      </w:pPr>
      <w:r>
        <w:rPr/>
        <w:t>性金融资产和在初始确认时指定为以公允价值计量且其变动计入当期损益的金融资产</w:t>
      </w:r>
      <w:r>
        <w:rPr>
          <w:rFonts w:ascii="Times New Roman" w:hAnsi="Times New Roman" w:cs="Times New Roman" w:eastAsia="Times New Roman" w:hint="default"/>
        </w:rPr>
        <w:t>)</w:t>
      </w:r>
      <w:r>
        <w:rPr/>
        <w:t>、持有至到期投资、 贷款和应收款项、可供出售金融资产。</w:t>
      </w:r>
    </w:p>
    <w:p>
      <w:pPr>
        <w:pStyle w:val="Heading6"/>
        <w:spacing w:line="256" w:lineRule="auto" w:before="22"/>
        <w:ind w:right="192" w:firstLine="420"/>
        <w:jc w:val="both"/>
      </w:pPr>
      <w:r>
        <w:rPr>
          <w:spacing w:val="-3"/>
        </w:rPr>
        <w:t>金融负债在初始确认时划分为以下两类：以公允价值计量且其变动计入当期损益的金融负债</w:t>
      </w:r>
      <w:r>
        <w:rPr>
          <w:rFonts w:ascii="Times New Roman" w:hAnsi="Times New Roman" w:cs="Times New Roman" w:eastAsia="Times New Roman" w:hint="default"/>
          <w:spacing w:val="-3"/>
        </w:rPr>
        <w:t>(</w:t>
      </w:r>
      <w:r>
        <w:rPr>
          <w:spacing w:val="-3"/>
        </w:rPr>
        <w:t>包括交易</w:t>
      </w:r>
      <w:r>
        <w:rPr/>
        <w:t> 性金融负债和在初始确认时指定为以公允价值计量且其变动计入当期损益的金融负债</w:t>
      </w:r>
      <w:r>
        <w:rPr>
          <w:rFonts w:ascii="Times New Roman" w:hAnsi="Times New Roman" w:cs="Times New Roman" w:eastAsia="Times New Roman" w:hint="default"/>
        </w:rPr>
        <w:t>)</w:t>
      </w:r>
      <w:r>
        <w:rPr/>
        <w:t>、其他金融负债。</w:t>
      </w:r>
    </w:p>
    <w:p>
      <w:pPr>
        <w:pStyle w:val="Heading6"/>
        <w:spacing w:line="256" w:lineRule="auto" w:before="5"/>
        <w:ind w:left="574" w:right="152"/>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32"/>
        </w:rPr>
        <w:t> </w:t>
      </w:r>
      <w:r>
        <w:rPr/>
        <w:t>金融资产和金融负债的确认依据、计量方法和终止确认条件 公司成为金融工具合同的一方时，确认一项金融资产或金融负债。初始确认金融资产或金融负债时，</w:t>
      </w:r>
    </w:p>
    <w:p>
      <w:pPr>
        <w:pStyle w:val="Heading6"/>
        <w:spacing w:line="273" w:lineRule="auto" w:before="22"/>
        <w:ind w:right="191"/>
        <w:jc w:val="both"/>
      </w:pPr>
      <w:r>
        <w:rPr>
          <w:spacing w:val="-1"/>
        </w:rPr>
        <w:t>按照公允价值计量；对于以公允价值计量且其变动计入当期损益的金融资产和金融负债，相关交易费用直</w:t>
      </w:r>
      <w:r>
        <w:rPr>
          <w:spacing w:val="-81"/>
        </w:rPr>
        <w:t> </w:t>
      </w:r>
      <w:r>
        <w:rPr>
          <w:spacing w:val="-81"/>
        </w:rPr>
      </w:r>
      <w:r>
        <w:rPr/>
        <w:t>接计入当期损益；对于其他类别的金融资产或金融负债，相关交易费用计入初始确认金额。</w:t>
      </w:r>
    </w:p>
    <w:p>
      <w:pPr>
        <w:pStyle w:val="Heading6"/>
        <w:spacing w:line="266" w:lineRule="auto" w:before="7"/>
        <w:ind w:right="171" w:firstLine="420"/>
        <w:jc w:val="both"/>
      </w:pPr>
      <w:r>
        <w:rPr/>
        <w:t>公司按照公允价值对金融资产进行后续计量，且不扣除将来处置该金融资产时可能发生的交易费用， 但下列情况除外：</w:t>
      </w:r>
      <w:r>
        <w:rPr>
          <w:rFonts w:ascii="Times New Roman" w:hAnsi="Times New Roman" w:cs="Times New Roman" w:eastAsia="Times New Roman" w:hint="default"/>
        </w:rPr>
        <w:t>(1) </w:t>
      </w:r>
      <w:r>
        <w:rPr/>
        <w:t>持有至到期投资以及贷款和应收款项采用实际利率法，按摊余成本计量；</w:t>
      </w:r>
      <w:r>
        <w:rPr>
          <w:rFonts w:ascii="Times New Roman" w:hAnsi="Times New Roman" w:cs="Times New Roman" w:eastAsia="Times New Roman" w:hint="default"/>
        </w:rPr>
        <w:t>(2)</w:t>
      </w:r>
      <w:r>
        <w:rPr>
          <w:rFonts w:ascii="Times New Roman" w:hAnsi="Times New Roman" w:cs="Times New Roman" w:eastAsia="Times New Roman" w:hint="default"/>
          <w:spacing w:val="18"/>
        </w:rPr>
        <w:t> </w:t>
      </w:r>
      <w:r>
        <w:rPr/>
        <w:t>在活跃 </w:t>
      </w:r>
      <w:r>
        <w:rPr>
          <w:spacing w:val="-1"/>
        </w:rPr>
        <w:t>市场中没有报价且其公允价值不能可靠计量的权益工具投资，以及与该权益工具挂钩并须通过交付该权益</w:t>
      </w:r>
      <w:r>
        <w:rPr>
          <w:spacing w:val="-81"/>
        </w:rPr>
        <w:t> </w:t>
      </w:r>
      <w:r>
        <w:rPr>
          <w:spacing w:val="-81"/>
        </w:rPr>
      </w:r>
      <w:r>
        <w:rPr/>
        <w:t>工具结算的衍生金融资产，按照成本计量。</w:t>
      </w:r>
    </w:p>
    <w:p>
      <w:pPr>
        <w:pStyle w:val="Heading6"/>
        <w:spacing w:line="261" w:lineRule="auto" w:before="14"/>
        <w:ind w:right="189" w:firstLine="420"/>
        <w:jc w:val="both"/>
      </w:pPr>
      <w:r>
        <w:rPr/>
        <w:t>公司采用实际利率法，按摊余成本对金融负债进行后续计量，但下列情况除外：</w:t>
      </w:r>
      <w:r>
        <w:rPr>
          <w:rFonts w:ascii="Times New Roman" w:hAnsi="Times New Roman" w:cs="Times New Roman" w:eastAsia="Times New Roman" w:hint="default"/>
        </w:rPr>
        <w:t>(1)</w:t>
      </w:r>
      <w:r>
        <w:rPr>
          <w:rFonts w:ascii="Times New Roman" w:hAnsi="Times New Roman" w:cs="Times New Roman" w:eastAsia="Times New Roman" w:hint="default"/>
          <w:spacing w:val="35"/>
        </w:rPr>
        <w:t> </w:t>
      </w:r>
      <w:r>
        <w:rPr/>
        <w:t>以公允价值计量 </w:t>
      </w:r>
      <w:r>
        <w:rPr>
          <w:spacing w:val="-1"/>
        </w:rPr>
        <w:t>且其变动计入当期损益的金融负债，按照公允价值计量，且不扣除将来结清金融负债时可能发生的交易费</w:t>
      </w:r>
      <w:r>
        <w:rPr>
          <w:spacing w:val="-81"/>
        </w:rPr>
        <w:t> </w:t>
      </w:r>
      <w:r>
        <w:rPr>
          <w:spacing w:val="-81"/>
        </w:rPr>
      </w:r>
      <w:r>
        <w:rPr/>
        <w:t>用；</w:t>
      </w:r>
      <w:r>
        <w:rPr>
          <w:rFonts w:ascii="Times New Roman" w:hAnsi="Times New Roman" w:cs="Times New Roman" w:eastAsia="Times New Roman" w:hint="default"/>
        </w:rPr>
        <w:t>(2)</w:t>
      </w:r>
      <w:r>
        <w:rPr>
          <w:rFonts w:ascii="Times New Roman" w:hAnsi="Times New Roman" w:cs="Times New Roman" w:eastAsia="Times New Roman" w:hint="default"/>
          <w:spacing w:val="26"/>
        </w:rPr>
        <w:t> </w:t>
      </w:r>
      <w:r>
        <w:rPr/>
        <w:t>与在活跃市场中没有报价、公允价值不能可靠计量的权益工具挂钩并须通过交付该权益工具结算</w:t>
      </w:r>
      <w:r>
        <w:rPr>
          <w:spacing w:val="-95"/>
        </w:rPr>
        <w:t> </w:t>
      </w:r>
      <w:r>
        <w:rPr>
          <w:spacing w:val="-95"/>
        </w:rPr>
      </w:r>
      <w:r>
        <w:rPr/>
        <w:t>的衍生金融负债，按照成本计量；</w:t>
      </w:r>
      <w:r>
        <w:rPr>
          <w:rFonts w:ascii="Times New Roman" w:hAnsi="Times New Roman" w:cs="Times New Roman" w:eastAsia="Times New Roman" w:hint="default"/>
        </w:rPr>
        <w:t>(3)</w:t>
      </w:r>
      <w:r>
        <w:rPr>
          <w:rFonts w:ascii="Times New Roman" w:hAnsi="Times New Roman" w:cs="Times New Roman" w:eastAsia="Times New Roman" w:hint="default"/>
          <w:spacing w:val="26"/>
        </w:rPr>
        <w:t> </w:t>
      </w:r>
      <w:r>
        <w:rPr/>
        <w:t>不属于指定为以公允价值计量且其变动计入当期损益的金融负债的</w:t>
      </w:r>
      <w:r>
        <w:rPr>
          <w:spacing w:val="-95"/>
        </w:rPr>
        <w:t> </w:t>
      </w:r>
      <w:r>
        <w:rPr>
          <w:spacing w:val="-95"/>
        </w:rPr>
      </w:r>
      <w:r>
        <w:rPr>
          <w:spacing w:val="3"/>
        </w:rPr>
        <w:t>财务担保合同，或没有指定为以公允价值计量且其变动计入当期损益并将以低于市场利率贷款的贷款承</w:t>
      </w:r>
      <w:r>
        <w:rPr>
          <w:spacing w:val="-82"/>
        </w:rPr>
        <w:t> </w:t>
      </w:r>
      <w:r>
        <w:rPr>
          <w:spacing w:val="-82"/>
        </w:rPr>
      </w:r>
      <w:r>
        <w:rPr>
          <w:spacing w:val="-2"/>
        </w:rPr>
        <w:t>诺，在初始确认后按照下列两项金额之中的较高者进行后续计量：</w:t>
      </w:r>
      <w:r>
        <w:rPr>
          <w:rFonts w:ascii="Times New Roman" w:hAnsi="Times New Roman" w:cs="Times New Roman" w:eastAsia="Times New Roman" w:hint="default"/>
          <w:spacing w:val="-2"/>
        </w:rPr>
        <w:t>1)</w:t>
      </w:r>
      <w:r>
        <w:rPr>
          <w:rFonts w:ascii="Times New Roman" w:hAnsi="Times New Roman" w:cs="Times New Roman" w:eastAsia="Times New Roman" w:hint="default"/>
        </w:rPr>
        <w:t> </w:t>
      </w:r>
      <w:r>
        <w:rPr>
          <w:spacing w:val="-2"/>
        </w:rPr>
        <w:t>按照《企业会计准则第</w:t>
      </w:r>
      <w:r>
        <w:rPr>
          <w:rFonts w:ascii="Times New Roman" w:hAnsi="Times New Roman" w:cs="Times New Roman" w:eastAsia="Times New Roman" w:hint="default"/>
          <w:spacing w:val="-2"/>
        </w:rPr>
        <w:t>13</w:t>
      </w:r>
      <w:r>
        <w:rPr>
          <w:spacing w:val="-2"/>
        </w:rPr>
        <w:t>号</w:t>
      </w:r>
      <w:r>
        <w:rPr>
          <w:rFonts w:ascii="Times New Roman" w:hAnsi="Times New Roman" w:cs="Times New Roman" w:eastAsia="Times New Roman" w:hint="default"/>
          <w:spacing w:val="-2"/>
        </w:rPr>
        <w:t>——</w:t>
      </w:r>
      <w:r>
        <w:rPr>
          <w:spacing w:val="-2"/>
        </w:rPr>
        <w:t>或有</w:t>
      </w:r>
      <w:r>
        <w:rPr>
          <w:spacing w:val="-101"/>
        </w:rPr>
        <w:t> </w:t>
      </w:r>
      <w:r>
        <w:rPr>
          <w:spacing w:val="-4"/>
        </w:rPr>
        <w:t>事项》确定的金额；</w:t>
      </w:r>
      <w:r>
        <w:rPr>
          <w:rFonts w:ascii="Times New Roman" w:hAnsi="Times New Roman" w:cs="Times New Roman" w:eastAsia="Times New Roman" w:hint="default"/>
          <w:spacing w:val="-4"/>
        </w:rPr>
        <w:t>2)</w:t>
      </w:r>
      <w:r>
        <w:rPr>
          <w:rFonts w:ascii="Times New Roman" w:hAnsi="Times New Roman" w:cs="Times New Roman" w:eastAsia="Times New Roman" w:hint="default"/>
          <w:spacing w:val="3"/>
        </w:rPr>
        <w:t> </w:t>
      </w:r>
      <w:r>
        <w:rPr/>
        <w:t>初始确认金额扣除按照《企业会计准则第</w:t>
      </w:r>
      <w:r>
        <w:rPr>
          <w:rFonts w:ascii="Times New Roman" w:hAnsi="Times New Roman" w:cs="Times New Roman" w:eastAsia="Times New Roman" w:hint="default"/>
        </w:rPr>
        <w:t>14</w:t>
      </w:r>
      <w:r>
        <w:rPr/>
        <w:t>号</w:t>
      </w:r>
      <w:r>
        <w:rPr>
          <w:rFonts w:ascii="Times New Roman" w:hAnsi="Times New Roman" w:cs="Times New Roman" w:eastAsia="Times New Roman" w:hint="default"/>
        </w:rPr>
        <w:t>——</w:t>
      </w:r>
      <w:r>
        <w:rPr/>
        <w:t>收入》的原则确定的累积摊销额 后的余额。</w:t>
      </w:r>
    </w:p>
    <w:p>
      <w:pPr>
        <w:pStyle w:val="Heading6"/>
        <w:spacing w:line="266" w:lineRule="auto" w:before="18"/>
        <w:ind w:right="191" w:firstLine="420"/>
        <w:jc w:val="both"/>
      </w:pPr>
      <w:r>
        <w:rPr>
          <w:spacing w:val="-2"/>
        </w:rPr>
        <w:t>金融资产或金融负债公允价值变动形成的利得或损失，除与套期保值有关外，按照如下方法处理：</w:t>
      </w:r>
      <w:r>
        <w:rPr>
          <w:rFonts w:ascii="Times New Roman" w:hAnsi="Times New Roman" w:cs="Times New Roman" w:eastAsia="Times New Roman" w:hint="default"/>
          <w:spacing w:val="-2"/>
        </w:rPr>
        <w:t>(1)</w:t>
      </w:r>
      <w:r>
        <w:rPr>
          <w:rFonts w:ascii="Times New Roman" w:hAnsi="Times New Roman" w:cs="Times New Roman" w:eastAsia="Times New Roman" w:hint="default"/>
        </w:rPr>
        <w:t> </w:t>
      </w:r>
      <w:r>
        <w:rPr>
          <w:spacing w:val="-1"/>
        </w:rPr>
        <w:t>以公允价值计量且其变动计入当期损益的金融资产或金融负债公允价值变动形成的利得或损失，计入公允</w:t>
      </w:r>
      <w:r>
        <w:rPr>
          <w:spacing w:val="-81"/>
        </w:rPr>
        <w:t> </w:t>
      </w:r>
      <w:r>
        <w:rPr>
          <w:spacing w:val="-81"/>
        </w:rPr>
      </w:r>
      <w:r>
        <w:rPr>
          <w:spacing w:val="-1"/>
        </w:rPr>
        <w:t>价值变动收益；在资产持有期间所取得的利息或现金股利，确认为投资收益；处置时，将实际收到的金额</w:t>
      </w:r>
      <w:r>
        <w:rPr>
          <w:spacing w:val="-86"/>
        </w:rPr>
        <w:t> </w:t>
      </w:r>
      <w:r>
        <w:rPr>
          <w:spacing w:val="-86"/>
        </w:rPr>
      </w:r>
      <w:r>
        <w:rPr/>
        <w:t>与初始入账金额之间的差额确认为投资收益，同时调整公允价值变动收益。</w:t>
      </w:r>
      <w:r>
        <w:rPr>
          <w:rFonts w:ascii="Times New Roman" w:hAnsi="Times New Roman" w:cs="Times New Roman" w:eastAsia="Times New Roman" w:hint="default"/>
        </w:rPr>
        <w:t>(2)</w:t>
      </w:r>
      <w:r>
        <w:rPr>
          <w:rFonts w:ascii="Times New Roman" w:hAnsi="Times New Roman" w:cs="Times New Roman" w:eastAsia="Times New Roman" w:hint="default"/>
          <w:spacing w:val="32"/>
        </w:rPr>
        <w:t> </w:t>
      </w:r>
      <w:r>
        <w:rPr/>
        <w:t>可供出售金融资产的公允</w:t>
      </w:r>
      <w:r>
        <w:rPr>
          <w:spacing w:val="-97"/>
        </w:rPr>
        <w:t> </w:t>
      </w:r>
      <w:r>
        <w:rPr>
          <w:spacing w:val="-97"/>
        </w:rPr>
      </w:r>
      <w:r>
        <w:rPr>
          <w:spacing w:val="-1"/>
        </w:rPr>
        <w:t>价值变动计入其他综合收益；持有期间按实际利率法计算的利息，计入投资收益；可供出售权益工具投资</w:t>
      </w:r>
      <w:r>
        <w:rPr>
          <w:spacing w:val="-83"/>
        </w:rPr>
        <w:t> </w:t>
      </w:r>
      <w:r>
        <w:rPr>
          <w:spacing w:val="-83"/>
        </w:rPr>
      </w:r>
      <w:r>
        <w:rPr>
          <w:spacing w:val="-1"/>
        </w:rPr>
        <w:t>的现金股利，于被投资单位宣告发放股利时计入投资收益；处置时，将实际收到的金额与账面价值扣除原</w:t>
      </w:r>
      <w:r>
        <w:rPr>
          <w:spacing w:val="-83"/>
        </w:rPr>
        <w:t> </w:t>
      </w:r>
      <w:r>
        <w:rPr>
          <w:spacing w:val="-83"/>
        </w:rPr>
      </w:r>
      <w:r>
        <w:rPr/>
        <w:t>直接计入其他综合收益的公允价值变动累计额之后的差额确认为投资收益。</w:t>
      </w:r>
    </w:p>
    <w:p>
      <w:pPr>
        <w:pStyle w:val="Heading6"/>
        <w:spacing w:line="273" w:lineRule="auto" w:before="14"/>
        <w:ind w:right="191" w:firstLine="420"/>
        <w:jc w:val="both"/>
      </w:pPr>
      <w:r>
        <w:rPr>
          <w:spacing w:val="3"/>
        </w:rPr>
        <w:t>当收取某项金融资产现金流量的合同权利已终止或该金融资产所有权上几乎所有的风险和报酬已转</w:t>
      </w:r>
      <w:r>
        <w:rPr/>
        <w:t> </w:t>
      </w:r>
      <w:r>
        <w:rPr>
          <w:spacing w:val="-1"/>
        </w:rPr>
        <w:t>移时，终止确认该金融资产；当金融负债的现时义务全部或部分解除时，相应终止确认该金融负债或其一</w:t>
      </w:r>
      <w:r>
        <w:rPr>
          <w:spacing w:val="-83"/>
        </w:rPr>
        <w:t> </w:t>
      </w:r>
      <w:r>
        <w:rPr>
          <w:spacing w:val="-83"/>
        </w:rPr>
      </w:r>
      <w:r>
        <w:rPr/>
        <w:t>部分。</w:t>
      </w:r>
    </w:p>
    <w:p>
      <w:pPr>
        <w:pStyle w:val="Heading6"/>
        <w:spacing w:line="256" w:lineRule="auto" w:before="7"/>
        <w:ind w:left="574" w:right="92"/>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32"/>
        </w:rPr>
        <w:t> </w:t>
      </w:r>
      <w:r>
        <w:rPr/>
        <w:t>金融资产转移的确认依据和计量方法 </w:t>
      </w:r>
      <w:r>
        <w:rPr>
          <w:spacing w:val="-1"/>
        </w:rPr>
        <w:t>公司已将金融资产所有权上几乎所有的风险和报酬转移给了转入方的，终止确认该金融资产；保留了</w:t>
      </w:r>
    </w:p>
    <w:p>
      <w:pPr>
        <w:pStyle w:val="Heading6"/>
        <w:spacing w:line="261" w:lineRule="auto" w:before="23"/>
        <w:ind w:right="191"/>
        <w:jc w:val="both"/>
      </w:pPr>
      <w:r>
        <w:rPr>
          <w:spacing w:val="-1"/>
        </w:rPr>
        <w:t>金融资产所有权上几乎所有的风险和报酬的，继续确认所转移的金融资产，并将收到的对价确认为一项金</w:t>
      </w:r>
      <w:r>
        <w:rPr>
          <w:spacing w:val="-81"/>
        </w:rPr>
        <w:t> </w:t>
      </w:r>
      <w:r>
        <w:rPr>
          <w:spacing w:val="-81"/>
        </w:rPr>
      </w:r>
      <w:r>
        <w:rPr>
          <w:spacing w:val="-2"/>
        </w:rPr>
        <w:t>融负债。公司既没有转移也没有保留金融资产所有权上几乎所有的风险和报酬的，分别下列情况处理：</w:t>
      </w:r>
      <w:r>
        <w:rPr>
          <w:rFonts w:ascii="Times New Roman" w:hAnsi="Times New Roman" w:cs="Times New Roman" w:eastAsia="Times New Roman" w:hint="default"/>
          <w:spacing w:val="-2"/>
        </w:rPr>
        <w:t>(1)</w:t>
      </w:r>
      <w:r>
        <w:rPr>
          <w:rFonts w:ascii="Times New Roman" w:hAnsi="Times New Roman" w:cs="Times New Roman" w:eastAsia="Times New Roman" w:hint="default"/>
          <w:spacing w:val="-16"/>
        </w:rPr>
        <w:t> </w:t>
      </w:r>
      <w:r>
        <w:rPr/>
        <w:t>放弃了对该金融资产控制的，终止确认该金融资产；</w:t>
      </w:r>
      <w:r>
        <w:rPr>
          <w:rFonts w:ascii="Times New Roman" w:hAnsi="Times New Roman" w:cs="Times New Roman" w:eastAsia="Times New Roman" w:hint="default"/>
        </w:rPr>
        <w:t>(2)</w:t>
      </w:r>
      <w:r>
        <w:rPr>
          <w:rFonts w:ascii="Times New Roman" w:hAnsi="Times New Roman" w:cs="Times New Roman" w:eastAsia="Times New Roman" w:hint="default"/>
          <w:spacing w:val="29"/>
        </w:rPr>
        <w:t> </w:t>
      </w:r>
      <w:r>
        <w:rPr/>
        <w:t>未放弃对该金融资产控制的，按照继续涉入所转</w:t>
      </w:r>
      <w:r>
        <w:rPr>
          <w:spacing w:val="-96"/>
        </w:rPr>
        <w:t> </w:t>
      </w:r>
      <w:r>
        <w:rPr>
          <w:spacing w:val="-96"/>
        </w:rPr>
      </w:r>
      <w:r>
        <w:rPr/>
        <w:t>移金融资产的程度确认有关金融资产，并相应确认有关负债。</w:t>
      </w:r>
    </w:p>
    <w:p>
      <w:pPr>
        <w:spacing w:after="0" w:line="261" w:lineRule="auto"/>
        <w:jc w:val="both"/>
        <w:sectPr>
          <w:pgSz w:w="11910" w:h="16840"/>
          <w:pgMar w:header="747" w:footer="979" w:top="1060" w:bottom="1160" w:left="980" w:right="940"/>
        </w:sectPr>
      </w:pPr>
    </w:p>
    <w:p>
      <w:pPr>
        <w:spacing w:line="240" w:lineRule="auto" w:before="9"/>
        <w:rPr>
          <w:rFonts w:ascii="宋体" w:hAnsi="宋体" w:cs="宋体" w:eastAsia="宋体" w:hint="default"/>
          <w:sz w:val="24"/>
          <w:szCs w:val="24"/>
        </w:rPr>
      </w:pPr>
    </w:p>
    <w:p>
      <w:pPr>
        <w:pStyle w:val="Heading6"/>
        <w:spacing w:line="261" w:lineRule="auto" w:before="35"/>
        <w:ind w:right="211" w:firstLine="420"/>
        <w:jc w:val="both"/>
      </w:pPr>
      <w:r>
        <w:rPr/>
        <w:t>金融资产整体转移满足终止确认条件的，将下列两项金额的差额计入当期损益：</w:t>
      </w:r>
      <w:r>
        <w:rPr>
          <w:rFonts w:ascii="Times New Roman" w:hAnsi="Times New Roman" w:cs="Times New Roman" w:eastAsia="Times New Roman" w:hint="default"/>
        </w:rPr>
        <w:t>(1)</w:t>
      </w:r>
      <w:r>
        <w:rPr>
          <w:rFonts w:ascii="Times New Roman" w:hAnsi="Times New Roman" w:cs="Times New Roman" w:eastAsia="Times New Roman" w:hint="default"/>
          <w:spacing w:val="36"/>
        </w:rPr>
        <w:t> </w:t>
      </w:r>
      <w:r>
        <w:rPr/>
        <w:t>所转移金融资产 的账面价值；</w:t>
      </w:r>
      <w:r>
        <w:rPr>
          <w:rFonts w:ascii="Times New Roman" w:hAnsi="Times New Roman" w:cs="Times New Roman" w:eastAsia="Times New Roman" w:hint="default"/>
        </w:rPr>
        <w:t>(2)</w:t>
      </w:r>
      <w:r>
        <w:rPr>
          <w:rFonts w:ascii="Times New Roman" w:hAnsi="Times New Roman" w:cs="Times New Roman" w:eastAsia="Times New Roman" w:hint="default"/>
          <w:spacing w:val="25"/>
        </w:rPr>
        <w:t> </w:t>
      </w:r>
      <w:r>
        <w:rPr/>
        <w:t>因转移而收到的对价，与原直接计入所有者权益的公允价值变动累计额之和。金融资产</w:t>
      </w:r>
      <w:r>
        <w:rPr>
          <w:spacing w:val="-95"/>
        </w:rPr>
        <w:t> </w:t>
      </w:r>
      <w:r>
        <w:rPr>
          <w:spacing w:val="-95"/>
        </w:rPr>
      </w:r>
      <w:r>
        <w:rPr>
          <w:spacing w:val="-1"/>
        </w:rPr>
        <w:t>部分转移满足终止确认条件的，将所转移金融资产整体的账面价值，在终止确认部分和未终止确认部分之</w:t>
      </w:r>
      <w:r>
        <w:rPr>
          <w:spacing w:val="-81"/>
        </w:rPr>
        <w:t> </w:t>
      </w:r>
      <w:r>
        <w:rPr>
          <w:spacing w:val="-81"/>
        </w:rPr>
      </w:r>
      <w:r>
        <w:rPr/>
        <w:t>间，按照各自的相对公允价值进行分摊，并将下列两项金额的差额计入当期损益：</w:t>
      </w:r>
      <w:r>
        <w:rPr>
          <w:rFonts w:ascii="Times New Roman" w:hAnsi="Times New Roman" w:cs="Times New Roman" w:eastAsia="Times New Roman" w:hint="default"/>
        </w:rPr>
        <w:t>(1)</w:t>
      </w:r>
      <w:r>
        <w:rPr>
          <w:rFonts w:ascii="Times New Roman" w:hAnsi="Times New Roman" w:cs="Times New Roman" w:eastAsia="Times New Roman" w:hint="default"/>
          <w:spacing w:val="33"/>
        </w:rPr>
        <w:t> </w:t>
      </w:r>
      <w:r>
        <w:rPr/>
        <w:t>终止确认部分的账</w:t>
      </w:r>
      <w:r>
        <w:rPr>
          <w:spacing w:val="-97"/>
        </w:rPr>
        <w:t> </w:t>
      </w:r>
      <w:r>
        <w:rPr>
          <w:spacing w:val="-97"/>
        </w:rPr>
      </w:r>
      <w:r>
        <w:rPr/>
        <w:t>面价值；</w:t>
      </w:r>
      <w:r>
        <w:rPr>
          <w:rFonts w:ascii="Times New Roman" w:hAnsi="Times New Roman" w:cs="Times New Roman" w:eastAsia="Times New Roman" w:hint="default"/>
        </w:rPr>
        <w:t>(2)</w:t>
      </w:r>
      <w:r>
        <w:rPr>
          <w:rFonts w:ascii="Times New Roman" w:hAnsi="Times New Roman" w:cs="Times New Roman" w:eastAsia="Times New Roman" w:hint="default"/>
          <w:spacing w:val="24"/>
        </w:rPr>
        <w:t> </w:t>
      </w:r>
      <w:r>
        <w:rPr/>
        <w:t>终止确认部分的对价，与原直接计入所有者权益的公允价值变动累计额中对应终止确认部分</w:t>
      </w:r>
      <w:r>
        <w:rPr>
          <w:spacing w:val="-95"/>
        </w:rPr>
        <w:t> </w:t>
      </w:r>
      <w:r>
        <w:rPr>
          <w:spacing w:val="-95"/>
        </w:rPr>
      </w:r>
      <w:r>
        <w:rPr/>
        <w:t>的金额之和。</w:t>
      </w:r>
    </w:p>
    <w:p>
      <w:pPr>
        <w:pStyle w:val="Heading6"/>
        <w:spacing w:line="256" w:lineRule="auto" w:before="18"/>
        <w:ind w:left="574" w:right="103"/>
        <w:jc w:val="left"/>
      </w:pPr>
      <w:r>
        <w:rPr>
          <w:rFonts w:ascii="Times New Roman" w:hAnsi="Times New Roman" w:cs="Times New Roman" w:eastAsia="Times New Roman" w:hint="default"/>
        </w:rPr>
        <w:t>4.</w:t>
      </w:r>
      <w:r>
        <w:rPr>
          <w:rFonts w:ascii="Times New Roman" w:hAnsi="Times New Roman" w:cs="Times New Roman" w:eastAsia="Times New Roman" w:hint="default"/>
          <w:spacing w:val="32"/>
        </w:rPr>
        <w:t> </w:t>
      </w:r>
      <w:r>
        <w:rPr/>
        <w:t>金融资产和金融负债的公允价值确定方法 </w:t>
      </w:r>
      <w:r>
        <w:rPr>
          <w:spacing w:val="3"/>
        </w:rPr>
        <w:t>公司采用在当前情况下适用并且有足够可利用数据和其他信息支持的估值技术确定相关金融资产和</w:t>
      </w:r>
    </w:p>
    <w:p>
      <w:pPr>
        <w:pStyle w:val="Heading6"/>
        <w:spacing w:line="240" w:lineRule="auto" w:before="22"/>
        <w:ind w:right="103"/>
        <w:jc w:val="left"/>
      </w:pPr>
      <w:r>
        <w:rPr/>
        <w:t>金融负债的公允价值。公司将估值技术使用的输入值分以下层级，并依次使用：</w:t>
      </w:r>
    </w:p>
    <w:p>
      <w:pPr>
        <w:pStyle w:val="Heading6"/>
        <w:spacing w:line="240" w:lineRule="auto" w:before="37"/>
        <w:ind w:left="574" w:right="103"/>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31"/>
        </w:rPr>
        <w:t> </w:t>
      </w:r>
      <w:r>
        <w:rPr/>
        <w:t>第一层次输入值是在计量日能够取得的相同资产或负债在活跃市场上未经调整的报价；</w:t>
      </w:r>
    </w:p>
    <w:p>
      <w:pPr>
        <w:pStyle w:val="Heading6"/>
        <w:spacing w:line="264" w:lineRule="auto" w:before="21"/>
        <w:ind w:right="211" w:firstLine="420"/>
        <w:jc w:val="both"/>
      </w:pPr>
      <w:r>
        <w:rPr>
          <w:rFonts w:ascii="Times New Roman" w:hAnsi="Times New Roman" w:cs="Times New Roman" w:eastAsia="Times New Roman" w:hint="default"/>
        </w:rPr>
        <w:t>(2)</w:t>
      </w:r>
      <w:r>
        <w:rPr>
          <w:rFonts w:ascii="Times New Roman" w:hAnsi="Times New Roman" w:cs="Times New Roman" w:eastAsia="Times New Roman" w:hint="default"/>
          <w:spacing w:val="32"/>
        </w:rPr>
        <w:t> </w:t>
      </w:r>
      <w:r>
        <w:rPr/>
        <w:t>第二层次输入值是除第一层次输入值外相关资产或负债直接或间接可观察的输入值，包括：活跃</w:t>
      </w:r>
      <w:r>
        <w:rPr>
          <w:w w:val="99"/>
        </w:rPr>
        <w:t> </w:t>
      </w:r>
      <w:r>
        <w:rPr>
          <w:spacing w:val="-1"/>
        </w:rPr>
        <w:t>市场中类似资产或负债的报价；非活跃市场中相同或类似资产或负债的报价；除报价以外的其他可观察输</w:t>
      </w:r>
      <w:r>
        <w:rPr>
          <w:spacing w:val="-82"/>
        </w:rPr>
        <w:t> </w:t>
      </w:r>
      <w:r>
        <w:rPr>
          <w:spacing w:val="-82"/>
        </w:rPr>
      </w:r>
      <w:r>
        <w:rPr/>
        <w:t>入值，如在正常报价间隔期间可观察的利率和收益率曲线等；市场验证的输入值等；</w:t>
      </w:r>
    </w:p>
    <w:p>
      <w:pPr>
        <w:pStyle w:val="Heading6"/>
        <w:spacing w:line="264" w:lineRule="auto" w:before="16"/>
        <w:ind w:right="211" w:firstLine="420"/>
        <w:jc w:val="both"/>
      </w:pPr>
      <w:r>
        <w:rPr>
          <w:rFonts w:ascii="Times New Roman" w:hAnsi="Times New Roman" w:cs="Times New Roman" w:eastAsia="Times New Roman" w:hint="default"/>
        </w:rPr>
        <w:t>(3)</w:t>
      </w:r>
      <w:r>
        <w:rPr>
          <w:rFonts w:ascii="Times New Roman" w:hAnsi="Times New Roman" w:cs="Times New Roman" w:eastAsia="Times New Roman" w:hint="default"/>
          <w:spacing w:val="26"/>
        </w:rPr>
        <w:t> </w:t>
      </w:r>
      <w:r>
        <w:rPr/>
        <w:t>第三层次输入值是相关资产或负债的不可观察输入值，包括不能直接观察或无法由可观察市场数</w:t>
      </w:r>
      <w:r>
        <w:rPr>
          <w:w w:val="99"/>
        </w:rPr>
        <w:t> </w:t>
      </w:r>
      <w:r>
        <w:rPr>
          <w:spacing w:val="-1"/>
        </w:rPr>
        <w:t>据验证的利率、股票波动率、企业合并中承担的弃置义务的未来现金流量、使用自身数据作出的财务预测</w:t>
      </w:r>
      <w:r>
        <w:rPr>
          <w:spacing w:val="-84"/>
        </w:rPr>
        <w:t> </w:t>
      </w:r>
      <w:r>
        <w:rPr>
          <w:spacing w:val="-84"/>
        </w:rPr>
      </w:r>
      <w:r>
        <w:rPr/>
        <w:t>等。</w:t>
      </w:r>
    </w:p>
    <w:p>
      <w:pPr>
        <w:pStyle w:val="Heading6"/>
        <w:spacing w:line="240" w:lineRule="auto" w:before="16"/>
        <w:ind w:left="574" w:right="103"/>
        <w:jc w:val="left"/>
      </w:pPr>
      <w:r>
        <w:rPr>
          <w:rFonts w:ascii="Times New Roman" w:hAnsi="Times New Roman" w:cs="Times New Roman" w:eastAsia="Times New Roman" w:hint="default"/>
        </w:rPr>
        <w:t>5.</w:t>
      </w:r>
      <w:r>
        <w:rPr>
          <w:rFonts w:ascii="Times New Roman" w:hAnsi="Times New Roman" w:cs="Times New Roman" w:eastAsia="Times New Roman" w:hint="default"/>
          <w:spacing w:val="30"/>
        </w:rPr>
        <w:t> </w:t>
      </w:r>
      <w:r>
        <w:rPr/>
        <w:t>金融资产的减值测试和减值准备计提方法</w:t>
      </w:r>
    </w:p>
    <w:p>
      <w:pPr>
        <w:pStyle w:val="Heading6"/>
        <w:spacing w:line="256" w:lineRule="auto" w:before="21"/>
        <w:ind w:right="213" w:firstLine="420"/>
        <w:jc w:val="both"/>
      </w:pPr>
      <w:r>
        <w:rPr>
          <w:rFonts w:ascii="Times New Roman" w:hAnsi="Times New Roman" w:cs="Times New Roman" w:eastAsia="Times New Roman" w:hint="default"/>
        </w:rPr>
        <w:t>(1)</w:t>
      </w:r>
      <w:r>
        <w:rPr>
          <w:rFonts w:ascii="Times New Roman" w:hAnsi="Times New Roman" w:cs="Times New Roman" w:eastAsia="Times New Roman" w:hint="default"/>
          <w:spacing w:val="35"/>
        </w:rPr>
        <w:t> </w:t>
      </w:r>
      <w:r>
        <w:rPr/>
        <w:t>资产负债表日对以公允价值计量且其变动计入当期损益的金融资产以外的金融资产的账面价值进</w:t>
      </w:r>
      <w:r>
        <w:rPr>
          <w:w w:val="99"/>
        </w:rPr>
        <w:t> </w:t>
      </w:r>
      <w:r>
        <w:rPr/>
        <w:t>行检查，如有客观证据表明该金融资产发生减值的，计提减值准备。</w:t>
      </w:r>
    </w:p>
    <w:p>
      <w:pPr>
        <w:pStyle w:val="Heading6"/>
        <w:spacing w:line="264" w:lineRule="auto" w:before="22"/>
        <w:ind w:right="103" w:firstLine="42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31"/>
        </w:rPr>
        <w:t> </w:t>
      </w:r>
      <w:r>
        <w:rPr/>
        <w:t>对于持有至到期投资、贷款和应收款，先将单项金额重大的金融资产区分开来，单独进行减值测</w:t>
      </w:r>
      <w:r>
        <w:rPr>
          <w:w w:val="99"/>
        </w:rPr>
        <w:t> </w:t>
      </w:r>
      <w:r>
        <w:rPr>
          <w:spacing w:val="-1"/>
        </w:rPr>
        <w:t>试；对单项金额不重大的金融资产，可以单独进行减值测试，或包括在具有类似信用风险特征的金融资产</w:t>
      </w:r>
      <w:r>
        <w:rPr>
          <w:spacing w:val="-84"/>
        </w:rPr>
        <w:t> </w:t>
      </w:r>
      <w:r>
        <w:rPr>
          <w:spacing w:val="-84"/>
        </w:rPr>
      </w:r>
      <w:r>
        <w:rPr/>
        <w:t>组合中进行减值测试；单独测试未发生减值的金融资产</w:t>
      </w:r>
      <w:r>
        <w:rPr>
          <w:rFonts w:ascii="Times New Roman" w:hAnsi="Times New Roman" w:cs="Times New Roman" w:eastAsia="Times New Roman" w:hint="default"/>
        </w:rPr>
        <w:t>(</w:t>
      </w:r>
      <w:r>
        <w:rPr/>
        <w:t>包括单项金额重大和不重大的金融资产</w:t>
      </w:r>
      <w:r>
        <w:rPr>
          <w:rFonts w:ascii="Times New Roman" w:hAnsi="Times New Roman" w:cs="Times New Roman" w:eastAsia="Times New Roman" w:hint="default"/>
        </w:rPr>
        <w:t>)</w:t>
      </w:r>
      <w:r>
        <w:rPr/>
        <w:t>，包括在</w:t>
      </w:r>
      <w:r>
        <w:rPr>
          <w:w w:val="99"/>
        </w:rPr>
        <w:t> </w:t>
      </w:r>
      <w:r>
        <w:rPr>
          <w:spacing w:val="-1"/>
        </w:rPr>
        <w:t>具有类似信用风险特征的金融资产组合中再进行减值测试。测试结果表明其发生了减值的，根据其账面价</w:t>
      </w:r>
      <w:r>
        <w:rPr>
          <w:spacing w:val="-82"/>
        </w:rPr>
        <w:t> </w:t>
      </w:r>
      <w:r>
        <w:rPr>
          <w:spacing w:val="-82"/>
        </w:rPr>
      </w:r>
      <w:r>
        <w:rPr/>
        <w:t>值高于预计未来现金流量现值的差额确认减值损失。</w:t>
      </w:r>
    </w:p>
    <w:p>
      <w:pPr>
        <w:pStyle w:val="Heading6"/>
        <w:spacing w:line="240" w:lineRule="auto" w:before="16"/>
        <w:ind w:left="574" w:right="103"/>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31"/>
        </w:rPr>
        <w:t> </w:t>
      </w:r>
      <w:r>
        <w:rPr/>
        <w:t>可供出售金融资产</w:t>
      </w:r>
    </w:p>
    <w:p>
      <w:pPr>
        <w:pStyle w:val="Heading6"/>
        <w:spacing w:line="240" w:lineRule="auto" w:before="21"/>
        <w:ind w:left="574" w:right="103"/>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31"/>
        </w:rPr>
        <w:t> </w:t>
      </w:r>
      <w:r>
        <w:rPr/>
        <w:t>表明可供出售债务工具投资发生减值的客观证据包括：</w:t>
      </w:r>
    </w:p>
    <w:p>
      <w:pPr>
        <w:pStyle w:val="Heading6"/>
        <w:spacing w:line="240" w:lineRule="auto" w:before="21"/>
        <w:ind w:left="574" w:right="103"/>
        <w:jc w:val="left"/>
      </w:pPr>
      <w:r>
        <w:rPr/>
        <w:t>①</w:t>
      </w:r>
      <w:r>
        <w:rPr>
          <w:spacing w:val="-21"/>
        </w:rPr>
        <w:t> </w:t>
      </w:r>
      <w:r>
        <w:rPr/>
        <w:t>债务人发生严重财务困难；</w:t>
      </w:r>
    </w:p>
    <w:p>
      <w:pPr>
        <w:pStyle w:val="Heading6"/>
        <w:spacing w:line="240" w:lineRule="auto" w:before="37"/>
        <w:ind w:left="574" w:right="103"/>
        <w:jc w:val="left"/>
      </w:pPr>
      <w:r>
        <w:rPr/>
        <w:t>②</w:t>
      </w:r>
      <w:r>
        <w:rPr>
          <w:spacing w:val="-21"/>
        </w:rPr>
        <w:t> </w:t>
      </w:r>
      <w:r>
        <w:rPr/>
        <w:t>债务人违反了合同条款，如偿付利息或本金发生违约或逾期；</w:t>
      </w:r>
    </w:p>
    <w:p>
      <w:pPr>
        <w:pStyle w:val="Heading6"/>
        <w:spacing w:line="240" w:lineRule="auto" w:before="37"/>
        <w:ind w:left="574" w:right="103"/>
        <w:jc w:val="left"/>
      </w:pPr>
      <w:r>
        <w:rPr/>
        <w:t>③</w:t>
      </w:r>
      <w:r>
        <w:rPr>
          <w:spacing w:val="-21"/>
        </w:rPr>
        <w:t> </w:t>
      </w:r>
      <w:r>
        <w:rPr/>
        <w:t>公司出于经济或法律等方面因素的考虑，对发生财务困难的债务人作出让步；</w:t>
      </w:r>
    </w:p>
    <w:p>
      <w:pPr>
        <w:pStyle w:val="Heading6"/>
        <w:spacing w:line="240" w:lineRule="auto" w:before="37"/>
        <w:ind w:left="574" w:right="103"/>
        <w:jc w:val="left"/>
      </w:pPr>
      <w:r>
        <w:rPr/>
        <w:t>④</w:t>
      </w:r>
      <w:r>
        <w:rPr>
          <w:spacing w:val="-21"/>
        </w:rPr>
        <w:t> </w:t>
      </w:r>
      <w:r>
        <w:rPr/>
        <w:t>债务人很可能倒闭或进行其他财务重组；</w:t>
      </w:r>
    </w:p>
    <w:p>
      <w:pPr>
        <w:pStyle w:val="Heading6"/>
        <w:spacing w:line="240" w:lineRule="auto" w:before="37"/>
        <w:ind w:left="574" w:right="103"/>
        <w:jc w:val="left"/>
      </w:pPr>
      <w:r>
        <w:rPr/>
        <w:t>⑤</w:t>
      </w:r>
      <w:r>
        <w:rPr>
          <w:spacing w:val="-21"/>
        </w:rPr>
        <w:t> </w:t>
      </w:r>
      <w:r>
        <w:rPr/>
        <w:t>因债务人发生重大财务困难，该债务工具无法在活跃市场继续交易；</w:t>
      </w:r>
    </w:p>
    <w:p>
      <w:pPr>
        <w:pStyle w:val="Heading6"/>
        <w:spacing w:line="240" w:lineRule="auto" w:before="37"/>
        <w:ind w:left="574" w:right="103"/>
        <w:jc w:val="left"/>
      </w:pPr>
      <w:r>
        <w:rPr/>
        <w:t>⑥</w:t>
      </w:r>
      <w:r>
        <w:rPr>
          <w:spacing w:val="-21"/>
        </w:rPr>
        <w:t> </w:t>
      </w:r>
      <w:r>
        <w:rPr/>
        <w:t>其他表明可供出售债务工具已经发生减值的情况。</w:t>
      </w:r>
    </w:p>
    <w:p>
      <w:pPr>
        <w:pStyle w:val="Heading6"/>
        <w:spacing w:line="264" w:lineRule="auto" w:before="37"/>
        <w:ind w:right="211" w:firstLine="420"/>
        <w:jc w:val="both"/>
      </w:pPr>
      <w:r>
        <w:rPr>
          <w:rFonts w:ascii="Times New Roman" w:hAnsi="Times New Roman" w:cs="Times New Roman" w:eastAsia="Times New Roman" w:hint="default"/>
        </w:rPr>
        <w:t>2)</w:t>
      </w:r>
      <w:r>
        <w:rPr>
          <w:rFonts w:ascii="Times New Roman" w:hAnsi="Times New Roman" w:cs="Times New Roman" w:eastAsia="Times New Roman" w:hint="default"/>
          <w:spacing w:val="6"/>
        </w:rPr>
        <w:t> </w:t>
      </w:r>
      <w:r>
        <w:rPr>
          <w:spacing w:val="2"/>
        </w:rPr>
        <w:t>表明可供出售权益工具投资发生减值的客观证据包括权益工具投资的公允价值发生严重或非暂时</w:t>
      </w:r>
      <w:r>
        <w:rPr>
          <w:w w:val="99"/>
        </w:rPr>
        <w:t> </w:t>
      </w:r>
      <w:r>
        <w:rPr>
          <w:spacing w:val="-1"/>
        </w:rPr>
        <w:t>性下跌，以及被投资单位经营所处的技术、市场、经济或法律环境等发生重大不利变化使公司可能无法收</w:t>
      </w:r>
      <w:r>
        <w:rPr>
          <w:spacing w:val="-84"/>
        </w:rPr>
        <w:t> </w:t>
      </w:r>
      <w:r>
        <w:rPr>
          <w:spacing w:val="-84"/>
        </w:rPr>
      </w:r>
      <w:r>
        <w:rPr/>
        <w:t>回投资成本。</w:t>
      </w:r>
    </w:p>
    <w:p>
      <w:pPr>
        <w:pStyle w:val="Heading6"/>
        <w:spacing w:line="264" w:lineRule="auto" w:before="16"/>
        <w:ind w:right="208" w:firstLine="420"/>
        <w:jc w:val="both"/>
      </w:pPr>
      <w:r>
        <w:rPr>
          <w:spacing w:val="-1"/>
        </w:rPr>
        <w:t>本公司于资产负债表日对各项可供出售权益工具投资单独进行检查。对于以公允价值计量的权益工具</w:t>
      </w:r>
      <w:r>
        <w:rPr/>
        <w:t> 投资，若其于资产负债表日的公允价值低于其成本超过</w:t>
      </w:r>
      <w:r>
        <w:rPr>
          <w:rFonts w:ascii="Times New Roman" w:hAnsi="Times New Roman" w:cs="Times New Roman" w:eastAsia="Times New Roman" w:hint="default"/>
        </w:rPr>
        <w:t>50%(</w:t>
      </w:r>
      <w:r>
        <w:rPr/>
        <w:t>含</w:t>
      </w:r>
      <w:r>
        <w:rPr>
          <w:rFonts w:ascii="Times New Roman" w:hAnsi="Times New Roman" w:cs="Times New Roman" w:eastAsia="Times New Roman" w:hint="default"/>
        </w:rPr>
        <w:t>50%)</w:t>
      </w:r>
      <w:r>
        <w:rPr/>
        <w:t>或低于其成本持续时间超过</w:t>
      </w:r>
      <w:r>
        <w:rPr>
          <w:rFonts w:ascii="Times New Roman" w:hAnsi="Times New Roman" w:cs="Times New Roman" w:eastAsia="Times New Roman" w:hint="default"/>
        </w:rPr>
        <w:t>12</w:t>
      </w:r>
      <w:r>
        <w:rPr/>
        <w:t>个月</w:t>
      </w:r>
      <w:r>
        <w:rPr>
          <w:rFonts w:ascii="Times New Roman" w:hAnsi="Times New Roman" w:cs="Times New Roman" w:eastAsia="Times New Roman" w:hint="default"/>
        </w:rPr>
        <w:t>(</w:t>
      </w:r>
      <w:r>
        <w:rPr/>
        <w:t>含</w:t>
      </w:r>
      <w:r>
        <w:rPr>
          <w:spacing w:val="-62"/>
        </w:rPr>
        <w:t> </w:t>
      </w:r>
      <w:r>
        <w:rPr>
          <w:rFonts w:ascii="Times New Roman" w:hAnsi="Times New Roman" w:cs="Times New Roman" w:eastAsia="Times New Roman" w:hint="default"/>
        </w:rPr>
        <w:t>12</w:t>
      </w:r>
      <w:r>
        <w:rPr/>
        <w:t>个月</w:t>
      </w:r>
      <w:r>
        <w:rPr>
          <w:rFonts w:ascii="Times New Roman" w:hAnsi="Times New Roman" w:cs="Times New Roman" w:eastAsia="Times New Roman" w:hint="default"/>
        </w:rPr>
        <w:t>)</w:t>
      </w:r>
      <w:r>
        <w:rPr/>
        <w:t>的，则表明其发生减值；若其于资产负债表日的公允价值低于其成本超过</w:t>
      </w:r>
      <w:r>
        <w:rPr>
          <w:rFonts w:ascii="Times New Roman" w:hAnsi="Times New Roman" w:cs="Times New Roman" w:eastAsia="Times New Roman" w:hint="default"/>
        </w:rPr>
        <w:t>20%(</w:t>
      </w:r>
      <w:r>
        <w:rPr/>
        <w:t>含</w:t>
      </w:r>
      <w:r>
        <w:rPr>
          <w:rFonts w:ascii="Times New Roman" w:hAnsi="Times New Roman" w:cs="Times New Roman" w:eastAsia="Times New Roman" w:hint="default"/>
        </w:rPr>
        <w:t>20%)</w:t>
      </w:r>
      <w:r>
        <w:rPr/>
        <w:t>但尚未达到</w:t>
      </w:r>
    </w:p>
    <w:p>
      <w:pPr>
        <w:pStyle w:val="Heading6"/>
        <w:spacing w:line="268" w:lineRule="auto"/>
        <w:ind w:right="103"/>
        <w:jc w:val="left"/>
      </w:pPr>
      <w:r>
        <w:rPr>
          <w:rFonts w:ascii="Times New Roman" w:hAnsi="Times New Roman" w:cs="Times New Roman" w:eastAsia="Times New Roman" w:hint="default"/>
          <w:spacing w:val="-1"/>
        </w:rPr>
        <w:t>50%</w:t>
      </w:r>
      <w:r>
        <w:rPr>
          <w:spacing w:val="-1"/>
        </w:rPr>
        <w:t>的，或低于其成本持续时间超过</w:t>
      </w:r>
      <w:r>
        <w:rPr>
          <w:rFonts w:ascii="Times New Roman" w:hAnsi="Times New Roman" w:cs="Times New Roman" w:eastAsia="Times New Roman" w:hint="default"/>
          <w:spacing w:val="-1"/>
        </w:rPr>
        <w:t>6</w:t>
      </w:r>
      <w:r>
        <w:rPr>
          <w:spacing w:val="-1"/>
        </w:rPr>
        <w:t>个月</w:t>
      </w:r>
      <w:r>
        <w:rPr>
          <w:rFonts w:ascii="Times New Roman" w:hAnsi="Times New Roman" w:cs="Times New Roman" w:eastAsia="Times New Roman" w:hint="default"/>
          <w:spacing w:val="-1"/>
        </w:rPr>
        <w:t>(</w:t>
      </w:r>
      <w:r>
        <w:rPr>
          <w:spacing w:val="-1"/>
        </w:rPr>
        <w:t>含</w:t>
      </w:r>
      <w:r>
        <w:rPr>
          <w:rFonts w:ascii="Times New Roman" w:hAnsi="Times New Roman" w:cs="Times New Roman" w:eastAsia="Times New Roman" w:hint="default"/>
          <w:spacing w:val="-1"/>
        </w:rPr>
        <w:t>6</w:t>
      </w:r>
      <w:r>
        <w:rPr>
          <w:spacing w:val="-1"/>
        </w:rPr>
        <w:t>个月</w:t>
      </w:r>
      <w:r>
        <w:rPr>
          <w:rFonts w:ascii="Times New Roman" w:hAnsi="Times New Roman" w:cs="Times New Roman" w:eastAsia="Times New Roman" w:hint="default"/>
          <w:spacing w:val="-1"/>
        </w:rPr>
        <w:t>)</w:t>
      </w:r>
      <w:r>
        <w:rPr>
          <w:spacing w:val="-1"/>
        </w:rPr>
        <w:t>但未超过</w:t>
      </w:r>
      <w:r>
        <w:rPr>
          <w:rFonts w:ascii="Times New Roman" w:hAnsi="Times New Roman" w:cs="Times New Roman" w:eastAsia="Times New Roman" w:hint="default"/>
          <w:spacing w:val="-1"/>
        </w:rPr>
        <w:t>12</w:t>
      </w:r>
      <w:r>
        <w:rPr>
          <w:spacing w:val="-1"/>
        </w:rPr>
        <w:t>个月的，本公司会综合考虑其他相关因素，</w:t>
      </w:r>
      <w:r>
        <w:rPr>
          <w:spacing w:val="-83"/>
        </w:rPr>
        <w:t> </w:t>
      </w:r>
      <w:r>
        <w:rPr>
          <w:spacing w:val="-83"/>
        </w:rPr>
      </w:r>
      <w:r>
        <w:rPr/>
        <w:t>诸如价格波动率等，判断该权益工具投资是否发生减值。对于以成本计量的权益工具投资，公司综合考虑</w:t>
      </w:r>
      <w:r>
        <w:rPr>
          <w:w w:val="99"/>
        </w:rPr>
        <w:t> </w:t>
      </w:r>
      <w:r>
        <w:rPr/>
        <w:t>被投资单位经营所处的技术、市场、经济或法律环境等是否发生重大不利变化，判断该权益工具是否发生</w:t>
      </w:r>
      <w:r>
        <w:rPr>
          <w:w w:val="99"/>
        </w:rPr>
        <w:t> </w:t>
      </w:r>
      <w:r>
        <w:rPr/>
        <w:t>减值。</w:t>
      </w:r>
    </w:p>
    <w:p>
      <w:pPr>
        <w:pStyle w:val="Heading6"/>
        <w:spacing w:line="273" w:lineRule="auto" w:before="12"/>
        <w:ind w:right="211" w:firstLine="420"/>
        <w:jc w:val="both"/>
      </w:pPr>
      <w:r>
        <w:rPr>
          <w:spacing w:val="-1"/>
        </w:rPr>
        <w:t>以公允价值计量的可供出售金融资产发生减值时，原直接计入其他综合收益的因公允价值下降形成的</w:t>
      </w:r>
      <w:r>
        <w:rPr/>
        <w:t> </w:t>
      </w:r>
      <w:r>
        <w:rPr>
          <w:spacing w:val="-1"/>
        </w:rPr>
        <w:t>累计损失予以转出并计入减值损失。对已确认减值损失的可供出售债务工具投资，在期后公允价值回升且</w:t>
      </w:r>
    </w:p>
    <w:p>
      <w:pPr>
        <w:spacing w:after="0" w:line="273" w:lineRule="auto"/>
        <w:jc w:val="both"/>
        <w:sectPr>
          <w:pgSz w:w="11910" w:h="16840"/>
          <w:pgMar w:header="747" w:footer="979" w:top="1060" w:bottom="1160" w:left="980" w:right="920"/>
        </w:sectPr>
      </w:pPr>
    </w:p>
    <w:p>
      <w:pPr>
        <w:spacing w:line="240" w:lineRule="auto" w:before="9"/>
        <w:rPr>
          <w:rFonts w:ascii="宋体" w:hAnsi="宋体" w:cs="宋体" w:eastAsia="宋体" w:hint="default"/>
          <w:sz w:val="24"/>
          <w:szCs w:val="24"/>
        </w:rPr>
      </w:pPr>
    </w:p>
    <w:p>
      <w:pPr>
        <w:pStyle w:val="Heading6"/>
        <w:spacing w:line="273" w:lineRule="auto" w:before="35"/>
        <w:ind w:right="0"/>
        <w:jc w:val="left"/>
      </w:pPr>
      <w:r>
        <w:rPr>
          <w:spacing w:val="-1"/>
        </w:rPr>
        <w:t>客观上与确认原减值损失后发生的事项有关的，原确认的减值损失予以转回并计入当期损益。对已确认减</w:t>
      </w:r>
      <w:r>
        <w:rPr>
          <w:spacing w:val="-81"/>
        </w:rPr>
        <w:t> </w:t>
      </w:r>
      <w:r>
        <w:rPr>
          <w:spacing w:val="-81"/>
        </w:rPr>
      </w:r>
      <w:r>
        <w:rPr/>
        <w:t>值损失的可供出售权益工具投资，期后公允价值回升直接计入其他综合收益。</w:t>
      </w:r>
    </w:p>
    <w:p>
      <w:pPr>
        <w:pStyle w:val="Heading6"/>
        <w:spacing w:line="273" w:lineRule="auto" w:before="7"/>
        <w:ind w:right="151" w:firstLine="420"/>
        <w:jc w:val="both"/>
      </w:pPr>
      <w:r>
        <w:rPr>
          <w:spacing w:val="-1"/>
        </w:rPr>
        <w:t>以成本计量的可供出售权益工具发生减值时，将该权益工具投资的账面价值，与按照类似金融资产当</w:t>
      </w:r>
      <w:r>
        <w:rPr/>
        <w:t> </w:t>
      </w:r>
      <w:r>
        <w:rPr>
          <w:spacing w:val="-1"/>
        </w:rPr>
        <w:t>时市场收益率对未来现金流量折现确定的现值之间的差额，确认为减值损失，计入当期损益，发生的减值</w:t>
      </w:r>
      <w:r>
        <w:rPr>
          <w:spacing w:val="-83"/>
        </w:rPr>
        <w:t> </w:t>
      </w:r>
      <w:r>
        <w:rPr>
          <w:spacing w:val="-83"/>
        </w:rPr>
      </w:r>
      <w:r>
        <w:rPr/>
        <w:t>损失一经确认，不予转回。</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7"/>
          <w:szCs w:val="27"/>
        </w:rPr>
      </w:pPr>
    </w:p>
    <w:p>
      <w:pPr>
        <w:pStyle w:val="Heading5"/>
        <w:spacing w:line="240" w:lineRule="auto"/>
        <w:ind w:right="0"/>
        <w:jc w:val="left"/>
        <w:rPr>
          <w:b w:val="0"/>
          <w:bCs w:val="0"/>
        </w:rPr>
      </w:pPr>
      <w:bookmarkStart w:name="11、应收款项" w:id="177"/>
      <w:bookmarkEnd w:id="177"/>
      <w:r>
        <w:rPr>
          <w:b w:val="0"/>
          <w:bCs w:val="0"/>
        </w:rPr>
      </w:r>
      <w:r>
        <w:rPr>
          <w:rFonts w:ascii="Times New Roman" w:hAnsi="Times New Roman" w:cs="Times New Roman" w:eastAsia="Times New Roman" w:hint="default"/>
        </w:rPr>
        <w:t>11</w:t>
      </w:r>
      <w:r>
        <w:rPr/>
        <w:t>、应收款项</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bookmarkStart w:name="（1）单项金额重大并单独计提坏账准备的应收款项" w:id="178"/>
      <w:bookmarkEnd w:id="178"/>
      <w:r>
        <w:rPr>
          <w:b w:val="0"/>
          <w:bCs w:val="0"/>
        </w:rPr>
      </w:r>
      <w:r>
        <w:rPr/>
        <w:t>（</w:t>
      </w:r>
      <w:r>
        <w:rPr>
          <w:rFonts w:ascii="Times New Roman" w:hAnsi="Times New Roman" w:cs="Times New Roman" w:eastAsia="Times New Roman" w:hint="default"/>
        </w:rPr>
        <w:t>1</w:t>
      </w:r>
      <w:r>
        <w:rPr/>
        <w:t>）单项金额重大并单独计提坏账准备的应收款项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占应收款项账面余额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以上的款项</w:t>
            </w:r>
          </w:p>
        </w:tc>
      </w:tr>
      <w:tr>
        <w:trPr>
          <w:trHeight w:val="71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69"/>
              <w:jc w:val="left"/>
              <w:rPr>
                <w:rFonts w:ascii="宋体" w:hAnsi="宋体" w:cs="宋体" w:eastAsia="宋体" w:hint="default"/>
                <w:sz w:val="18"/>
                <w:szCs w:val="18"/>
              </w:rPr>
            </w:pPr>
            <w:r>
              <w:rPr>
                <w:rFonts w:ascii="宋体" w:hAnsi="宋体" w:cs="宋体" w:eastAsia="宋体" w:hint="default"/>
                <w:sz w:val="18"/>
                <w:szCs w:val="18"/>
              </w:rPr>
              <w:t>单独进行减值测试，根据其未来现金流量现值低于其账面价 值的差额计提坏账准备</w:t>
            </w:r>
          </w:p>
        </w:tc>
      </w:tr>
    </w:tbl>
    <w:p>
      <w:pPr>
        <w:spacing w:line="240" w:lineRule="auto" w:before="2"/>
        <w:rPr>
          <w:rFonts w:ascii="宋体" w:hAnsi="宋体" w:cs="宋体" w:eastAsia="宋体" w:hint="default"/>
          <w:b/>
          <w:bCs/>
          <w:sz w:val="19"/>
          <w:szCs w:val="19"/>
        </w:rPr>
      </w:pPr>
    </w:p>
    <w:p>
      <w:pPr>
        <w:pStyle w:val="Heading5"/>
        <w:spacing w:line="240" w:lineRule="auto" w:before="35"/>
        <w:ind w:right="0"/>
        <w:jc w:val="left"/>
        <w:rPr>
          <w:b w:val="0"/>
          <w:bCs w:val="0"/>
        </w:rPr>
      </w:pPr>
      <w:bookmarkStart w:name="（2）按信用风险特征组合计提坏账准备的应收款项" w:id="179"/>
      <w:bookmarkEnd w:id="179"/>
      <w:r>
        <w:rPr>
          <w:b w:val="0"/>
          <w:bCs w:val="0"/>
        </w:rPr>
      </w:r>
      <w:r>
        <w:rPr/>
        <w:t>（</w:t>
      </w:r>
      <w:r>
        <w:rPr>
          <w:rFonts w:ascii="Times New Roman" w:hAnsi="Times New Roman" w:cs="Times New Roman" w:eastAsia="Times New Roman" w:hint="default"/>
        </w:rPr>
        <w:t>2</w:t>
      </w:r>
      <w:r>
        <w:rPr/>
        <w:t>）按信用风险特征组合计提坏账准备的应收款项</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bl>
    <w:p>
      <w:pPr>
        <w:pStyle w:val="BodyText"/>
        <w:spacing w:line="240" w:lineRule="auto" w:before="51"/>
        <w:ind w:right="0"/>
        <w:jc w:val="left"/>
      </w:pPr>
      <w:r>
        <w:rPr/>
        <w:t>组合中，采用账龄分析法计提坏账准备的：</w:t>
      </w:r>
    </w:p>
    <w:p>
      <w:pPr>
        <w:pStyle w:val="BodyText"/>
        <w:spacing w:line="240" w:lineRule="auto" w:before="117"/>
        <w:ind w:right="0"/>
        <w:jc w:val="left"/>
      </w:pPr>
      <w:r>
        <w:rPr/>
        <w:t>√ 适用 □ 不适用</w:t>
      </w: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82"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bl>
    <w:p>
      <w:pPr>
        <w:pStyle w:val="BodyText"/>
        <w:spacing w:line="240" w:lineRule="auto" w:before="51"/>
        <w:ind w:right="0"/>
        <w:jc w:val="left"/>
      </w:pPr>
      <w:r>
        <w:rPr/>
        <w:t>组合中，采用余额百分比法计提坏账准备的：</w:t>
      </w:r>
    </w:p>
    <w:p>
      <w:pPr>
        <w:pStyle w:val="BodyText"/>
        <w:spacing w:line="357" w:lineRule="auto" w:before="117"/>
        <w:ind w:right="6532"/>
        <w:jc w:val="left"/>
      </w:pPr>
      <w:r>
        <w:rPr/>
        <w:t>□ 适用 √ 不适用 组合中，采用其他方法计提坏账准备的：</w:t>
      </w:r>
    </w:p>
    <w:p>
      <w:pPr>
        <w:pStyle w:val="BodyText"/>
        <w:spacing w:line="240" w:lineRule="auto" w:before="29"/>
        <w:ind w:right="0"/>
        <w:jc w:val="left"/>
      </w:pPr>
      <w:r>
        <w:rPr/>
        <w:t>□ 适用 √ 不适用</w:t>
      </w:r>
    </w:p>
    <w:p>
      <w:pPr>
        <w:spacing w:line="240" w:lineRule="auto" w:before="10"/>
        <w:rPr>
          <w:rFonts w:ascii="宋体" w:hAnsi="宋体" w:cs="宋体" w:eastAsia="宋体" w:hint="default"/>
          <w:sz w:val="26"/>
          <w:szCs w:val="26"/>
        </w:rPr>
      </w:pPr>
    </w:p>
    <w:p>
      <w:pPr>
        <w:pStyle w:val="Heading5"/>
        <w:spacing w:line="240" w:lineRule="auto"/>
        <w:ind w:right="0"/>
        <w:jc w:val="left"/>
        <w:rPr>
          <w:b w:val="0"/>
          <w:bCs w:val="0"/>
        </w:rPr>
      </w:pPr>
      <w:bookmarkStart w:name="（3）单项金额不重大但单独计提坏账准备的应收款项" w:id="180"/>
      <w:bookmarkEnd w:id="180"/>
      <w:r>
        <w:rPr>
          <w:b w:val="0"/>
          <w:bCs w:val="0"/>
        </w:rPr>
      </w:r>
      <w:r>
        <w:rPr/>
        <w:t>（</w:t>
      </w:r>
      <w:r>
        <w:rPr>
          <w:rFonts w:ascii="Times New Roman" w:hAnsi="Times New Roman" w:cs="Times New Roman" w:eastAsia="Times New Roman" w:hint="default"/>
        </w:rPr>
        <w:t>3</w:t>
      </w:r>
      <w:r>
        <w:rPr/>
        <w:t>）单项金额不重大但单独计提坏账准备的应收款项</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71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69"/>
              <w:jc w:val="left"/>
              <w:rPr>
                <w:rFonts w:ascii="宋体" w:hAnsi="宋体" w:cs="宋体" w:eastAsia="宋体" w:hint="default"/>
                <w:sz w:val="18"/>
                <w:szCs w:val="18"/>
              </w:rPr>
            </w:pPr>
            <w:r>
              <w:rPr>
                <w:rFonts w:ascii="宋体" w:hAnsi="宋体" w:cs="宋体" w:eastAsia="宋体" w:hint="default"/>
                <w:sz w:val="18"/>
                <w:szCs w:val="18"/>
              </w:rPr>
              <w:t>应收款项的未来现金流量现值与以账龄为信用风险特征的应 收款项组合的未来现金流量现值存在显著差异。</w:t>
            </w:r>
          </w:p>
        </w:tc>
      </w:tr>
      <w:tr>
        <w:trPr>
          <w:trHeight w:val="71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69"/>
              <w:jc w:val="left"/>
              <w:rPr>
                <w:rFonts w:ascii="宋体" w:hAnsi="宋体" w:cs="宋体" w:eastAsia="宋体" w:hint="default"/>
                <w:sz w:val="18"/>
                <w:szCs w:val="18"/>
              </w:rPr>
            </w:pPr>
            <w:r>
              <w:rPr>
                <w:rFonts w:ascii="宋体" w:hAnsi="宋体" w:cs="宋体" w:eastAsia="宋体" w:hint="default"/>
                <w:sz w:val="18"/>
                <w:szCs w:val="18"/>
              </w:rPr>
              <w:t>单独进行减值测试，根据其未来现金流量现值低于其账面价 值的差额计提坏账准备。</w:t>
            </w:r>
          </w:p>
        </w:tc>
      </w:tr>
    </w:tbl>
    <w:p>
      <w:pPr>
        <w:spacing w:after="0" w:line="319"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10"/>
        <w:rPr>
          <w:rFonts w:ascii="宋体" w:hAnsi="宋体" w:cs="宋体" w:eastAsia="宋体" w:hint="default"/>
          <w:b/>
          <w:bCs/>
          <w:sz w:val="24"/>
          <w:szCs w:val="24"/>
        </w:rPr>
      </w:pPr>
    </w:p>
    <w:p>
      <w:pPr>
        <w:pStyle w:val="Heading5"/>
        <w:spacing w:line="240" w:lineRule="auto" w:before="35"/>
        <w:ind w:right="103"/>
        <w:jc w:val="left"/>
        <w:rPr>
          <w:b w:val="0"/>
          <w:bCs w:val="0"/>
        </w:rPr>
      </w:pPr>
      <w:bookmarkStart w:name="12、存货" w:id="181"/>
      <w:bookmarkEnd w:id="181"/>
      <w:r>
        <w:rPr>
          <w:b w:val="0"/>
          <w:bCs w:val="0"/>
        </w:rPr>
      </w:r>
      <w:r>
        <w:rPr>
          <w:rFonts w:ascii="Times New Roman" w:hAnsi="Times New Roman" w:cs="Times New Roman" w:eastAsia="Times New Roman" w:hint="default"/>
        </w:rPr>
        <w:t>12</w:t>
      </w:r>
      <w:r>
        <w:rPr/>
        <w:t>、存货</w:t>
      </w:r>
      <w:r>
        <w:rPr>
          <w:b w:val="0"/>
          <w:bCs w:val="0"/>
        </w:rPr>
      </w:r>
    </w:p>
    <w:p>
      <w:pPr>
        <w:spacing w:line="240" w:lineRule="auto" w:before="8"/>
        <w:rPr>
          <w:rFonts w:ascii="宋体" w:hAnsi="宋体" w:cs="宋体" w:eastAsia="宋体" w:hint="default"/>
          <w:b/>
          <w:bCs/>
          <w:sz w:val="26"/>
          <w:szCs w:val="26"/>
        </w:rPr>
      </w:pPr>
    </w:p>
    <w:p>
      <w:pPr>
        <w:pStyle w:val="BodyText"/>
        <w:spacing w:line="357" w:lineRule="auto" w:before="0"/>
        <w:ind w:right="6772"/>
        <w:jc w:val="left"/>
      </w:pPr>
      <w:r>
        <w:rPr/>
        <w:t>公司是否需要遵守特殊行业的披露要求 否</w:t>
      </w:r>
    </w:p>
    <w:p>
      <w:pPr>
        <w:pStyle w:val="Heading6"/>
        <w:spacing w:line="256" w:lineRule="auto" w:before="3"/>
        <w:ind w:left="574" w:right="103"/>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32"/>
        </w:rPr>
        <w:t> </w:t>
      </w:r>
      <w:r>
        <w:rPr/>
        <w:t>存货的分类 </w:t>
      </w:r>
      <w:r>
        <w:rPr>
          <w:spacing w:val="-1"/>
        </w:rPr>
        <w:t>存货包括在日常活动中持有以备出售的产成品或商品、处在生产过程中的在产品、在生产过程或提供</w:t>
      </w:r>
    </w:p>
    <w:p>
      <w:pPr>
        <w:pStyle w:val="Heading6"/>
        <w:spacing w:line="240" w:lineRule="auto" w:before="22"/>
        <w:ind w:right="103"/>
        <w:jc w:val="left"/>
      </w:pPr>
      <w:r>
        <w:rPr/>
        <w:t>劳务过程中耗用的材料和物料等。</w:t>
      </w:r>
    </w:p>
    <w:p>
      <w:pPr>
        <w:pStyle w:val="Heading6"/>
        <w:spacing w:line="264" w:lineRule="auto" w:before="37"/>
        <w:ind w:left="574" w:right="6052"/>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32"/>
        </w:rPr>
        <w:t> </w:t>
      </w:r>
      <w:r>
        <w:rPr/>
        <w:t>发出存货的计价方法 发出存货采用月末一次加权平均法。 </w:t>
      </w:r>
      <w:r>
        <w:rPr>
          <w:rFonts w:ascii="Times New Roman" w:hAnsi="Times New Roman" w:cs="Times New Roman" w:eastAsia="Times New Roman" w:hint="default"/>
        </w:rPr>
        <w:t>3.</w:t>
      </w:r>
      <w:r>
        <w:rPr>
          <w:rFonts w:ascii="Times New Roman" w:hAnsi="Times New Roman" w:cs="Times New Roman" w:eastAsia="Times New Roman" w:hint="default"/>
          <w:spacing w:val="30"/>
        </w:rPr>
        <w:t> </w:t>
      </w:r>
      <w:r>
        <w:rPr/>
        <w:t>存货可变现净值的确定依据</w:t>
      </w:r>
    </w:p>
    <w:p>
      <w:pPr>
        <w:pStyle w:val="Heading6"/>
        <w:spacing w:line="273" w:lineRule="auto"/>
        <w:ind w:right="103" w:firstLine="420"/>
        <w:jc w:val="left"/>
      </w:pPr>
      <w:r>
        <w:rPr/>
        <w:t>资产负债表日，存货采用成本与可变现净值孰低计量，按照单个存货成本高于可变现净值的差额计提 存货跌价准备。直接用于出售的存货，在正常生产经营过程中以该存货的估计售价减去估计的销售费用和 相关税费后的金额确定其可变现净值；需要经过加工的存货，在正常生产经营过程中以所生产的产成品的 估计售价减去至完工时估计将要发生的成本、估计的销售费用和相关税费后的金额确定其可变现净值；资 </w:t>
      </w:r>
      <w:r>
        <w:rPr>
          <w:spacing w:val="-3"/>
        </w:rPr>
        <w:t>产负债表日，同一项存货中一部分有合同价格约定、其他部分不存在合同价格的，分别确定其可变现净值，</w:t>
      </w:r>
      <w:r>
        <w:rPr>
          <w:spacing w:val="-90"/>
        </w:rPr>
        <w:t> </w:t>
      </w:r>
      <w:r>
        <w:rPr>
          <w:spacing w:val="-90"/>
        </w:rPr>
      </w:r>
      <w:r>
        <w:rPr/>
        <w:t>并与其对应的成本进行比较，分别确定存货跌价准备的计提或转回的金额。</w:t>
      </w:r>
    </w:p>
    <w:p>
      <w:pPr>
        <w:pStyle w:val="Heading6"/>
        <w:spacing w:line="256" w:lineRule="auto" w:before="7"/>
        <w:ind w:left="574" w:right="6682"/>
        <w:jc w:val="left"/>
      </w:pPr>
      <w:r>
        <w:rPr>
          <w:rFonts w:ascii="Times New Roman" w:hAnsi="Times New Roman" w:cs="Times New Roman" w:eastAsia="Times New Roman" w:hint="default"/>
        </w:rPr>
        <w:t>4.</w:t>
      </w:r>
      <w:r>
        <w:rPr>
          <w:rFonts w:ascii="Times New Roman" w:hAnsi="Times New Roman" w:cs="Times New Roman" w:eastAsia="Times New Roman" w:hint="default"/>
          <w:spacing w:val="32"/>
        </w:rPr>
        <w:t> </w:t>
      </w:r>
      <w:r>
        <w:rPr/>
        <w:t>存货的盘存制度 存货的盘存制度为永续盘存。</w:t>
      </w:r>
    </w:p>
    <w:p>
      <w:pPr>
        <w:pStyle w:val="Heading6"/>
        <w:spacing w:line="240" w:lineRule="auto" w:before="22"/>
        <w:ind w:left="574" w:right="103"/>
        <w:jc w:val="left"/>
      </w:pPr>
      <w:r>
        <w:rPr>
          <w:rFonts w:ascii="Times New Roman" w:hAnsi="Times New Roman" w:cs="Times New Roman" w:eastAsia="Times New Roman" w:hint="default"/>
        </w:rPr>
        <w:t>5.</w:t>
      </w:r>
      <w:r>
        <w:rPr>
          <w:rFonts w:ascii="Times New Roman" w:hAnsi="Times New Roman" w:cs="Times New Roman" w:eastAsia="Times New Roman" w:hint="default"/>
          <w:spacing w:val="30"/>
        </w:rPr>
        <w:t> </w:t>
      </w:r>
      <w:r>
        <w:rPr/>
        <w:t>低值易耗品和包装物的摊销方法</w:t>
      </w:r>
    </w:p>
    <w:p>
      <w:pPr>
        <w:pStyle w:val="Heading6"/>
        <w:spacing w:line="261" w:lineRule="auto" w:before="21"/>
        <w:ind w:left="574" w:right="6892"/>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31"/>
        </w:rPr>
        <w:t> </w:t>
      </w:r>
      <w:r>
        <w:rPr/>
        <w:t>低值易耗品</w:t>
      </w:r>
      <w:r>
        <w:rPr>
          <w:w w:val="99"/>
        </w:rPr>
        <w:t> </w:t>
      </w:r>
      <w:r>
        <w:rPr/>
        <w:t>按照一次转销法进行摊销。</w:t>
      </w:r>
      <w:r>
        <w:rPr>
          <w:w w:val="99"/>
        </w:rPr>
        <w:t> </w:t>
      </w:r>
      <w:r>
        <w:rPr>
          <w:rFonts w:ascii="Times New Roman" w:hAnsi="Times New Roman" w:cs="Times New Roman" w:eastAsia="Times New Roman" w:hint="default"/>
        </w:rPr>
        <w:t>(2)</w:t>
      </w:r>
      <w:r>
        <w:rPr>
          <w:rFonts w:ascii="Times New Roman" w:hAnsi="Times New Roman" w:cs="Times New Roman" w:eastAsia="Times New Roman" w:hint="default"/>
          <w:spacing w:val="31"/>
        </w:rPr>
        <w:t> </w:t>
      </w:r>
      <w:r>
        <w:rPr/>
        <w:t>包装物</w:t>
      </w:r>
      <w:r>
        <w:rPr>
          <w:w w:val="99"/>
        </w:rPr>
        <w:t> </w:t>
      </w:r>
      <w:r>
        <w:rPr/>
        <w:t>按照一次转销法进行摊销。</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8"/>
          <w:szCs w:val="28"/>
        </w:rPr>
      </w:pPr>
    </w:p>
    <w:p>
      <w:pPr>
        <w:pStyle w:val="Heading5"/>
        <w:spacing w:line="240" w:lineRule="auto"/>
        <w:ind w:right="103"/>
        <w:jc w:val="left"/>
        <w:rPr>
          <w:b w:val="0"/>
          <w:bCs w:val="0"/>
        </w:rPr>
      </w:pPr>
      <w:bookmarkStart w:name="13、持有待售资产" w:id="182"/>
      <w:bookmarkEnd w:id="182"/>
      <w:r>
        <w:rPr>
          <w:b w:val="0"/>
          <w:bCs w:val="0"/>
        </w:rPr>
      </w:r>
      <w:r>
        <w:rPr>
          <w:rFonts w:ascii="Times New Roman" w:hAnsi="Times New Roman" w:cs="Times New Roman" w:eastAsia="Times New Roman" w:hint="default"/>
        </w:rPr>
        <w:t>13</w:t>
      </w:r>
      <w:r>
        <w:rPr/>
        <w:t>、持有待售资产</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103"/>
        <w:jc w:val="left"/>
        <w:rPr>
          <w:b w:val="0"/>
          <w:bCs w:val="0"/>
        </w:rPr>
      </w:pPr>
      <w:bookmarkStart w:name="14、长期股权投资" w:id="183"/>
      <w:bookmarkEnd w:id="183"/>
      <w:r>
        <w:rPr>
          <w:b w:val="0"/>
          <w:bCs w:val="0"/>
        </w:rPr>
      </w:r>
      <w:r>
        <w:rPr>
          <w:rFonts w:ascii="Times New Roman" w:hAnsi="Times New Roman" w:cs="Times New Roman" w:eastAsia="Times New Roman" w:hint="default"/>
        </w:rPr>
        <w:t>14</w:t>
      </w:r>
      <w:r>
        <w:rPr/>
        <w:t>、长期股权投资</w:t>
      </w:r>
      <w:r>
        <w:rPr>
          <w:b w:val="0"/>
          <w:bCs w:val="0"/>
        </w:rPr>
      </w:r>
    </w:p>
    <w:p>
      <w:pPr>
        <w:spacing w:line="240" w:lineRule="auto" w:before="7"/>
        <w:rPr>
          <w:rFonts w:ascii="宋体" w:hAnsi="宋体" w:cs="宋体" w:eastAsia="宋体" w:hint="default"/>
          <w:b/>
          <w:bCs/>
          <w:sz w:val="24"/>
          <w:szCs w:val="24"/>
        </w:rPr>
      </w:pPr>
    </w:p>
    <w:p>
      <w:pPr>
        <w:pStyle w:val="Heading6"/>
        <w:spacing w:line="256" w:lineRule="auto"/>
        <w:ind w:left="574" w:right="103"/>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32"/>
        </w:rPr>
        <w:t> </w:t>
      </w:r>
      <w:r>
        <w:rPr/>
        <w:t>共同控制、重要影响的判断 </w:t>
      </w:r>
      <w:r>
        <w:rPr>
          <w:spacing w:val="-1"/>
        </w:rPr>
        <w:t>按照相关约定对某项安排存在共有的控制，并且该安排的相关活动必须经过分享控制权的参与方一致</w:t>
      </w:r>
    </w:p>
    <w:p>
      <w:pPr>
        <w:pStyle w:val="Heading6"/>
        <w:spacing w:line="273" w:lineRule="auto" w:before="22"/>
        <w:ind w:right="103"/>
        <w:jc w:val="left"/>
      </w:pPr>
      <w:r>
        <w:rPr>
          <w:spacing w:val="-1"/>
        </w:rPr>
        <w:t>同意后才能决策，认定为共同控制。对被投资单位的财务和经营政策有参与决策的权力，但并不能够控制</w:t>
      </w:r>
      <w:r>
        <w:rPr>
          <w:spacing w:val="-83"/>
        </w:rPr>
        <w:t> </w:t>
      </w:r>
      <w:r>
        <w:rPr>
          <w:spacing w:val="-83"/>
        </w:rPr>
      </w:r>
      <w:r>
        <w:rPr/>
        <w:t>或者与其他方一起共同控制这些政策的制定，认定为重大影响。</w:t>
      </w:r>
    </w:p>
    <w:p>
      <w:pPr>
        <w:pStyle w:val="Heading6"/>
        <w:spacing w:line="240" w:lineRule="auto" w:before="7"/>
        <w:ind w:left="574" w:right="103"/>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30"/>
        </w:rPr>
        <w:t> </w:t>
      </w:r>
      <w:r>
        <w:rPr/>
        <w:t>投资成本的确定</w:t>
      </w:r>
    </w:p>
    <w:p>
      <w:pPr>
        <w:pStyle w:val="Heading6"/>
        <w:spacing w:line="266" w:lineRule="auto" w:before="21"/>
        <w:ind w:right="212" w:firstLine="420"/>
        <w:jc w:val="both"/>
      </w:pPr>
      <w:r>
        <w:rPr>
          <w:rFonts w:ascii="Times New Roman" w:hAnsi="Times New Roman" w:cs="Times New Roman" w:eastAsia="Times New Roman" w:hint="default"/>
        </w:rPr>
        <w:t>(1)</w:t>
      </w:r>
      <w:r>
        <w:rPr>
          <w:rFonts w:ascii="Times New Roman" w:hAnsi="Times New Roman" w:cs="Times New Roman" w:eastAsia="Times New Roman" w:hint="default"/>
          <w:spacing w:val="27"/>
        </w:rPr>
        <w:t> </w:t>
      </w:r>
      <w:r>
        <w:rPr/>
        <w:t>同一控制下的企业合并形成的，合并方以支付现金、转让非现金资产、承担债务或发行权益性证</w:t>
      </w:r>
      <w:r>
        <w:rPr>
          <w:w w:val="99"/>
        </w:rPr>
        <w:t> </w:t>
      </w:r>
      <w:r>
        <w:rPr>
          <w:spacing w:val="-1"/>
        </w:rPr>
        <w:t>券作为合并对价的，在合并日按照取得被合并方所有者权益在最终控制方合并财务报表中的账面价值的份</w:t>
      </w:r>
      <w:r>
        <w:rPr>
          <w:spacing w:val="-82"/>
        </w:rPr>
        <w:t> </w:t>
      </w:r>
      <w:r>
        <w:rPr>
          <w:spacing w:val="-82"/>
        </w:rPr>
      </w:r>
      <w:r>
        <w:rPr>
          <w:spacing w:val="-1"/>
        </w:rPr>
        <w:t>额作为其初始投资成本。长期股权投资初始投资成本与支付的合并对价的账面价值或发行股份的面值总额</w:t>
      </w:r>
      <w:r>
        <w:rPr>
          <w:spacing w:val="-82"/>
        </w:rPr>
        <w:t> </w:t>
      </w:r>
      <w:r>
        <w:rPr>
          <w:spacing w:val="-82"/>
        </w:rPr>
      </w:r>
      <w:r>
        <w:rPr/>
        <w:t>之间的差额调整资本公积；资本公积不足冲减的，调整留存收益。</w:t>
      </w:r>
    </w:p>
    <w:p>
      <w:pPr>
        <w:pStyle w:val="Heading6"/>
        <w:spacing w:line="264" w:lineRule="auto" w:before="14"/>
        <w:ind w:right="211" w:firstLine="420"/>
        <w:jc w:val="both"/>
      </w:pPr>
      <w:r>
        <w:rPr/>
        <w:t>公司通过多次交易分步实现同一控制下企业合并形成的长期股权投资，判断是否属于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 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的，把各项交易作为一项取得控制权的交易进行会计处理。不属于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的，在</w:t>
      </w:r>
      <w:r>
        <w:rPr>
          <w:spacing w:val="-84"/>
        </w:rPr>
        <w:t> </w:t>
      </w:r>
      <w:r>
        <w:rPr>
          <w:spacing w:val="-1"/>
        </w:rPr>
        <w:t>合并日，根据合并后应享有被合并方净资产在最终控制方合并财务报表中的账面价值的份额确定初始投资</w:t>
      </w:r>
      <w:r>
        <w:rPr>
          <w:spacing w:val="-81"/>
        </w:rPr>
        <w:t> </w:t>
      </w:r>
      <w:r>
        <w:rPr>
          <w:spacing w:val="-81"/>
        </w:rPr>
      </w:r>
      <w:r>
        <w:rPr>
          <w:spacing w:val="-1"/>
        </w:rPr>
        <w:t>成本。合并日长期股权投资的初始投资成本，与达到合并前的长期股权投资账面价值加上合并日进一步取</w:t>
      </w:r>
      <w:r>
        <w:rPr>
          <w:spacing w:val="-81"/>
        </w:rPr>
        <w:t> </w:t>
      </w:r>
      <w:r>
        <w:rPr>
          <w:spacing w:val="-81"/>
        </w:rPr>
      </w:r>
      <w:r>
        <w:rPr/>
        <w:t>得股份新支付对价的账面价值之和的差额，调整资本公积；资本公积不足冲减的，调整留存收益。</w:t>
      </w:r>
    </w:p>
    <w:p>
      <w:pPr>
        <w:pStyle w:val="Heading6"/>
        <w:spacing w:line="240" w:lineRule="auto" w:before="16"/>
        <w:ind w:left="574"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5"/>
        </w:rPr>
        <w:t> </w:t>
      </w:r>
      <w:r>
        <w:rPr/>
        <w:t>非同一控制下的企业合并形成的，在购买日按照支付的合并对价的公允价值作为其初始投资成本。</w:t>
      </w:r>
    </w:p>
    <w:p>
      <w:pPr>
        <w:spacing w:after="0" w:line="240" w:lineRule="auto"/>
        <w:jc w:val="left"/>
        <w:sectPr>
          <w:pgSz w:w="11910" w:h="16840"/>
          <w:pgMar w:header="747" w:footer="979" w:top="1060" w:bottom="1160" w:left="980" w:right="920"/>
        </w:sectPr>
      </w:pPr>
    </w:p>
    <w:p>
      <w:pPr>
        <w:spacing w:line="240" w:lineRule="auto" w:before="9"/>
        <w:rPr>
          <w:rFonts w:ascii="宋体" w:hAnsi="宋体" w:cs="宋体" w:eastAsia="宋体" w:hint="default"/>
          <w:sz w:val="24"/>
          <w:szCs w:val="24"/>
        </w:rPr>
      </w:pPr>
    </w:p>
    <w:p>
      <w:pPr>
        <w:pStyle w:val="Heading6"/>
        <w:spacing w:line="273" w:lineRule="auto" w:before="35"/>
        <w:ind w:right="152" w:firstLine="420"/>
        <w:jc w:val="both"/>
      </w:pPr>
      <w:r>
        <w:rPr>
          <w:spacing w:val="-1"/>
        </w:rPr>
        <w:t>公司通过多次交易分步实现非同一控制下企业合并形成的长期股权投资，区分个别财务报表和合并财</w:t>
      </w:r>
      <w:r>
        <w:rPr/>
        <w:t> 务报表进行相关会计处理：</w:t>
      </w:r>
    </w:p>
    <w:p>
      <w:pPr>
        <w:pStyle w:val="Heading6"/>
        <w:spacing w:line="256" w:lineRule="auto" w:before="7"/>
        <w:ind w:right="152" w:firstLine="420"/>
        <w:jc w:val="both"/>
      </w:pPr>
      <w:r>
        <w:rPr>
          <w:rFonts w:ascii="Times New Roman" w:hAnsi="Times New Roman" w:cs="Times New Roman" w:eastAsia="Times New Roman" w:hint="default"/>
        </w:rPr>
        <w:t>1)</w:t>
      </w:r>
      <w:r>
        <w:rPr>
          <w:rFonts w:ascii="Times New Roman" w:hAnsi="Times New Roman" w:cs="Times New Roman" w:eastAsia="Times New Roman" w:hint="default"/>
          <w:spacing w:val="44"/>
        </w:rPr>
        <w:t> </w:t>
      </w:r>
      <w:r>
        <w:rPr>
          <w:spacing w:val="-2"/>
        </w:rPr>
        <w:t>在个别财务报表中，按照原持有的股权投资的账面价值加上新增投资成本之和，作为改按成本法核</w:t>
      </w:r>
      <w:r>
        <w:rPr>
          <w:w w:val="99"/>
        </w:rPr>
        <w:t> </w:t>
      </w:r>
      <w:r>
        <w:rPr/>
        <w:t>算的初始投资成本。</w:t>
      </w:r>
    </w:p>
    <w:p>
      <w:pPr>
        <w:pStyle w:val="Heading6"/>
        <w:spacing w:line="264" w:lineRule="auto" w:before="23"/>
        <w:ind w:right="151" w:firstLine="420"/>
        <w:jc w:val="both"/>
      </w:pPr>
      <w:r>
        <w:rPr>
          <w:rFonts w:ascii="Times New Roman" w:hAnsi="Times New Roman" w:cs="Times New Roman" w:eastAsia="Times New Roman" w:hint="default"/>
        </w:rPr>
        <w:t>2)</w:t>
      </w:r>
      <w:r>
        <w:rPr>
          <w:rFonts w:ascii="Times New Roman" w:hAnsi="Times New Roman" w:cs="Times New Roman" w:eastAsia="Times New Roman" w:hint="default"/>
          <w:spacing w:val="7"/>
        </w:rPr>
        <w:t> </w:t>
      </w:r>
      <w:r>
        <w:rPr/>
        <w:t>在合并财务报表中，判断是否属于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的，把各项交易作为一项取得 控制权的交易进行会计处理。不属于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的，对于购买日之前持有的被购买方的股权，按照该股 </w:t>
      </w:r>
      <w:r>
        <w:rPr>
          <w:spacing w:val="-1"/>
        </w:rPr>
        <w:t>权在购买日的公允价值进行重新计量，公允价值与其账面价值的差额计入当期投资收益；购买日之前持有</w:t>
      </w:r>
      <w:r>
        <w:rPr>
          <w:spacing w:val="-81"/>
        </w:rPr>
        <w:t> </w:t>
      </w:r>
      <w:r>
        <w:rPr>
          <w:spacing w:val="-81"/>
        </w:rPr>
      </w:r>
      <w:r>
        <w:rPr>
          <w:spacing w:val="-1"/>
        </w:rPr>
        <w:t>的被购买方的股权涉及权益法核算下的其他综合收益等的，与其相关的其他综合收益等转为购买日所属当</w:t>
      </w:r>
      <w:r>
        <w:rPr>
          <w:spacing w:val="-81"/>
        </w:rPr>
        <w:t> </w:t>
      </w:r>
      <w:r>
        <w:rPr>
          <w:spacing w:val="-81"/>
        </w:rPr>
      </w:r>
      <w:r>
        <w:rPr/>
        <w:t>期收益。但由于被投资方重新计量设定受益计划净负债或净资产变动而产生的其他综合收益除外。</w:t>
      </w:r>
    </w:p>
    <w:p>
      <w:pPr>
        <w:pStyle w:val="Heading6"/>
        <w:spacing w:line="261" w:lineRule="auto" w:before="16"/>
        <w:ind w:right="130" w:firstLine="420"/>
        <w:jc w:val="both"/>
      </w:pPr>
      <w:r>
        <w:rPr>
          <w:rFonts w:ascii="Times New Roman" w:hAnsi="Times New Roman" w:cs="Times New Roman" w:eastAsia="Times New Roman" w:hint="default"/>
        </w:rPr>
        <w:t>(3)</w:t>
      </w:r>
      <w:r>
        <w:rPr>
          <w:rFonts w:ascii="Times New Roman" w:hAnsi="Times New Roman" w:cs="Times New Roman" w:eastAsia="Times New Roman" w:hint="default"/>
          <w:spacing w:val="19"/>
        </w:rPr>
        <w:t> </w:t>
      </w:r>
      <w:r>
        <w:rPr/>
        <w:t>除企业合并形成以外的：以支付现金取得的，按照实际支付的购买价款作为其初始投资成本；以</w:t>
      </w:r>
      <w:r>
        <w:rPr>
          <w:w w:val="99"/>
        </w:rPr>
        <w:t> </w:t>
      </w:r>
      <w:r>
        <w:rPr/>
        <w:t>发行权益性证券取得的，按照发行权益性证券的公允价值作为其初始投资成本；以债务重组方式取得的，</w:t>
      </w:r>
      <w:r>
        <w:rPr>
          <w:w w:val="99"/>
        </w:rPr>
        <w:t> </w:t>
      </w:r>
      <w:r>
        <w:rPr>
          <w:spacing w:val="-1"/>
        </w:rPr>
        <w:t>按《企业会计准则第</w:t>
      </w:r>
      <w:r>
        <w:rPr>
          <w:rFonts w:ascii="Times New Roman" w:hAnsi="Times New Roman" w:cs="Times New Roman" w:eastAsia="Times New Roman" w:hint="default"/>
          <w:spacing w:val="-1"/>
        </w:rPr>
        <w:t>12</w:t>
      </w:r>
      <w:r>
        <w:rPr>
          <w:spacing w:val="-1"/>
        </w:rPr>
        <w:t>号</w:t>
      </w:r>
      <w:r>
        <w:rPr>
          <w:rFonts w:ascii="Times New Roman" w:hAnsi="Times New Roman" w:cs="Times New Roman" w:eastAsia="Times New Roman" w:hint="default"/>
          <w:spacing w:val="-1"/>
        </w:rPr>
        <w:t>——</w:t>
      </w:r>
      <w:r>
        <w:rPr>
          <w:spacing w:val="-1"/>
        </w:rPr>
        <w:t>债务重组》确定其初始投资成本；以非货币性资产交换取得的，按《企业会</w:t>
      </w:r>
      <w:r>
        <w:rPr>
          <w:spacing w:val="-84"/>
        </w:rPr>
        <w:t> </w:t>
      </w:r>
      <w:r>
        <w:rPr>
          <w:spacing w:val="-84"/>
        </w:rPr>
      </w:r>
      <w:r>
        <w:rPr/>
        <w:t>计准则第</w:t>
      </w:r>
      <w:r>
        <w:rPr>
          <w:rFonts w:ascii="Times New Roman" w:hAnsi="Times New Roman" w:cs="Times New Roman" w:eastAsia="Times New Roman" w:hint="default"/>
        </w:rPr>
        <w:t>7</w:t>
      </w:r>
      <w:r>
        <w:rPr/>
        <w:t>号</w:t>
      </w:r>
      <w:r>
        <w:rPr>
          <w:rFonts w:ascii="Times New Roman" w:hAnsi="Times New Roman" w:cs="Times New Roman" w:eastAsia="Times New Roman" w:hint="default"/>
        </w:rPr>
        <w:t>——</w:t>
      </w:r>
      <w:r>
        <w:rPr/>
        <w:t>非货币性资产交换》确定其初始投资成本。</w:t>
      </w:r>
    </w:p>
    <w:p>
      <w:pPr>
        <w:pStyle w:val="Heading6"/>
        <w:spacing w:line="256" w:lineRule="auto"/>
        <w:ind w:left="574" w:right="0"/>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32"/>
        </w:rPr>
        <w:t> </w:t>
      </w:r>
      <w:r>
        <w:rPr/>
        <w:t>后续计量及损益确认方法 </w:t>
      </w:r>
      <w:r>
        <w:rPr>
          <w:spacing w:val="-1"/>
        </w:rPr>
        <w:t>对被投资单位实施控制的长期股权投资采用成本法核算；对联营企业和合营企业的长期股权投资，采</w:t>
      </w:r>
    </w:p>
    <w:p>
      <w:pPr>
        <w:pStyle w:val="Heading6"/>
        <w:spacing w:line="240" w:lineRule="auto" w:before="22"/>
        <w:ind w:right="0"/>
        <w:jc w:val="both"/>
      </w:pPr>
      <w:r>
        <w:rPr/>
        <w:t>用权益法核算。</w:t>
      </w:r>
    </w:p>
    <w:p>
      <w:pPr>
        <w:pStyle w:val="Heading6"/>
        <w:spacing w:line="240" w:lineRule="auto" w:before="37"/>
        <w:ind w:left="574" w:right="0"/>
        <w:jc w:val="left"/>
      </w:pPr>
      <w:r>
        <w:rPr>
          <w:rFonts w:ascii="Times New Roman" w:hAnsi="Times New Roman" w:cs="Times New Roman" w:eastAsia="Times New Roman" w:hint="default"/>
        </w:rPr>
        <w:t>4.</w:t>
      </w:r>
      <w:r>
        <w:rPr>
          <w:rFonts w:ascii="Times New Roman" w:hAnsi="Times New Roman" w:cs="Times New Roman" w:eastAsia="Times New Roman" w:hint="default"/>
          <w:spacing w:val="30"/>
        </w:rPr>
        <w:t> </w:t>
      </w:r>
      <w:r>
        <w:rPr/>
        <w:t>通过多次交易分步处置对子公司投资至丧失控制权的处理方法</w:t>
      </w:r>
    </w:p>
    <w:p>
      <w:pPr>
        <w:pStyle w:val="Heading6"/>
        <w:spacing w:line="256" w:lineRule="auto" w:before="21"/>
        <w:ind w:left="574"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31"/>
        </w:rPr>
        <w:t> </w:t>
      </w:r>
      <w:r>
        <w:rPr/>
        <w:t>个别财务报表</w:t>
      </w:r>
      <w:r>
        <w:rPr>
          <w:w w:val="99"/>
        </w:rPr>
        <w:t> </w:t>
      </w:r>
      <w:r>
        <w:rPr>
          <w:spacing w:val="-1"/>
        </w:rPr>
        <w:t>对处置的股权，其账面价值与实际取得价款之间的差额，计入当期损益。对于剩余股权，对被投资单</w:t>
      </w:r>
    </w:p>
    <w:p>
      <w:pPr>
        <w:pStyle w:val="Heading6"/>
        <w:spacing w:line="264" w:lineRule="auto" w:before="22"/>
        <w:ind w:right="130"/>
        <w:jc w:val="both"/>
      </w:pPr>
      <w:r>
        <w:rPr/>
        <w:t>位仍具有重大影响或者与其他方一起实施共同控制的，转为权益法核算；不能再对被投资单位实施控制、 </w:t>
      </w:r>
      <w:r>
        <w:rPr>
          <w:spacing w:val="-1"/>
        </w:rPr>
        <w:t>共同控制或重大影响的，确认为金融资产，按照《企业会计准则第</w:t>
      </w:r>
      <w:r>
        <w:rPr>
          <w:rFonts w:ascii="Times New Roman" w:hAnsi="Times New Roman" w:cs="Times New Roman" w:eastAsia="Times New Roman" w:hint="default"/>
          <w:spacing w:val="-1"/>
        </w:rPr>
        <w:t>22</w:t>
      </w:r>
      <w:r>
        <w:rPr>
          <w:spacing w:val="-1"/>
        </w:rPr>
        <w:t>号</w:t>
      </w:r>
      <w:r>
        <w:rPr>
          <w:rFonts w:ascii="Times New Roman" w:hAnsi="Times New Roman" w:cs="Times New Roman" w:eastAsia="Times New Roman" w:hint="default"/>
          <w:spacing w:val="-1"/>
        </w:rPr>
        <w:t>——</w:t>
      </w:r>
      <w:r>
        <w:rPr>
          <w:spacing w:val="-1"/>
        </w:rPr>
        <w:t>金融工具确认和计量》的相关</w:t>
      </w:r>
      <w:r>
        <w:rPr>
          <w:spacing w:val="-85"/>
        </w:rPr>
        <w:t> </w:t>
      </w:r>
      <w:r>
        <w:rPr>
          <w:spacing w:val="-85"/>
        </w:rPr>
      </w:r>
      <w:r>
        <w:rPr/>
        <w:t>规定进行核算。</w:t>
      </w:r>
    </w:p>
    <w:p>
      <w:pPr>
        <w:pStyle w:val="Heading6"/>
        <w:spacing w:line="240" w:lineRule="auto" w:before="16"/>
        <w:ind w:left="574"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31"/>
        </w:rPr>
        <w:t> </w:t>
      </w:r>
      <w:r>
        <w:rPr/>
        <w:t>合并财务报表</w:t>
      </w:r>
    </w:p>
    <w:p>
      <w:pPr>
        <w:pStyle w:val="Heading6"/>
        <w:spacing w:line="256" w:lineRule="auto" w:before="21"/>
        <w:ind w:left="574"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31"/>
        </w:rPr>
        <w:t> </w:t>
      </w:r>
      <w:r>
        <w:rPr/>
        <w:t>通过多次交易分步处置对子公司投资至丧失控制权，且不属于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 </w:t>
      </w:r>
      <w:r>
        <w:rPr>
          <w:spacing w:val="-1"/>
        </w:rPr>
        <w:t>在丧失控制权之前，处置价款与处置长期股权投资相对应享有子公司自购买日或合并日开始持续计算</w:t>
      </w:r>
    </w:p>
    <w:p>
      <w:pPr>
        <w:pStyle w:val="Heading6"/>
        <w:spacing w:line="256" w:lineRule="auto" w:before="22"/>
        <w:ind w:left="574" w:right="0" w:hanging="420"/>
        <w:jc w:val="left"/>
      </w:pPr>
      <w:r>
        <w:rPr/>
        <w:t>的净资产份额之间的差额，调整资本公积</w:t>
      </w:r>
      <w:r>
        <w:rPr>
          <w:rFonts w:ascii="Times New Roman" w:hAnsi="Times New Roman" w:cs="Times New Roman" w:eastAsia="Times New Roman" w:hint="default"/>
        </w:rPr>
        <w:t>(</w:t>
      </w:r>
      <w:r>
        <w:rPr/>
        <w:t>资本溢价</w:t>
      </w:r>
      <w:r>
        <w:rPr>
          <w:rFonts w:ascii="Times New Roman" w:hAnsi="Times New Roman" w:cs="Times New Roman" w:eastAsia="Times New Roman" w:hint="default"/>
        </w:rPr>
        <w:t>)</w:t>
      </w:r>
      <w:r>
        <w:rPr/>
        <w:t>，资本溢价不足冲减的，冲减留存收益。 </w:t>
      </w:r>
      <w:r>
        <w:rPr>
          <w:spacing w:val="-1"/>
        </w:rPr>
        <w:t>丧失对原子公司控制权时，对于剩余股权，按照其在丧失控制权日的公允价值进行重新计量。处置股</w:t>
      </w:r>
    </w:p>
    <w:p>
      <w:pPr>
        <w:pStyle w:val="Heading6"/>
        <w:spacing w:line="273" w:lineRule="auto" w:before="22"/>
        <w:ind w:right="151"/>
        <w:jc w:val="both"/>
      </w:pPr>
      <w:r>
        <w:rPr>
          <w:spacing w:val="-1"/>
        </w:rPr>
        <w:t>权取得的对价与剩余股权公允价值之和，减去按原持股比例计算应享有原有子公司自购买日或合并日开始</w:t>
      </w:r>
      <w:r>
        <w:rPr>
          <w:spacing w:val="-81"/>
        </w:rPr>
        <w:t> </w:t>
      </w:r>
      <w:r>
        <w:rPr>
          <w:spacing w:val="-81"/>
        </w:rPr>
      </w:r>
      <w:r>
        <w:rPr>
          <w:spacing w:val="-1"/>
        </w:rPr>
        <w:t>持续计算的净资产的份额之间的差额，计入丧失控制权当期的投资收益，同时冲减商誉。与原有子公司股</w:t>
      </w:r>
      <w:r>
        <w:rPr>
          <w:spacing w:val="-83"/>
        </w:rPr>
        <w:t> </w:t>
      </w:r>
      <w:r>
        <w:rPr>
          <w:spacing w:val="-83"/>
        </w:rPr>
      </w:r>
      <w:r>
        <w:rPr/>
        <w:t>权投资相关的其他综合收益等，应当在丧失控制权时转为当期投资收益。</w:t>
      </w:r>
    </w:p>
    <w:p>
      <w:pPr>
        <w:pStyle w:val="Heading6"/>
        <w:spacing w:line="256" w:lineRule="auto" w:before="7"/>
        <w:ind w:left="574"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31"/>
        </w:rPr>
        <w:t> </w:t>
      </w:r>
      <w:r>
        <w:rPr/>
        <w:t>通过多次交易分步处置对子公司投资至丧失控制权，且属于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 </w:t>
      </w:r>
      <w:r>
        <w:rPr>
          <w:spacing w:val="-1"/>
        </w:rPr>
        <w:t>将各项交易作为一项处置子公司并丧失控制权的交易进行会计处理。但是，在丧失控制权之前每一次</w:t>
      </w:r>
    </w:p>
    <w:p>
      <w:pPr>
        <w:pStyle w:val="Heading6"/>
        <w:spacing w:line="273" w:lineRule="auto" w:before="22"/>
        <w:ind w:right="151"/>
        <w:jc w:val="both"/>
      </w:pPr>
      <w:r>
        <w:rPr>
          <w:spacing w:val="-1"/>
        </w:rPr>
        <w:t>处置价款与处置投资对应的享有该子公司净资产份额的差额，在合并财务报表中确认为其他综合收益，在</w:t>
      </w:r>
      <w:r>
        <w:rPr>
          <w:spacing w:val="-81"/>
        </w:rPr>
        <w:t> </w:t>
      </w:r>
      <w:r>
        <w:rPr>
          <w:spacing w:val="-81"/>
        </w:rPr>
      </w:r>
      <w:r>
        <w:rPr/>
        <w:t>丧失控制权时一并转入丧失控制权当期的损益。</w:t>
      </w:r>
    </w:p>
    <w:p>
      <w:pPr>
        <w:pStyle w:val="Heading6"/>
        <w:spacing w:line="240" w:lineRule="auto" w:before="7"/>
        <w:ind w:left="574" w:right="0"/>
        <w:jc w:val="left"/>
      </w:pPr>
      <w:r>
        <w:rPr>
          <w:rFonts w:ascii="Times New Roman" w:hAnsi="Times New Roman" w:cs="Times New Roman" w:eastAsia="Times New Roman" w:hint="default"/>
        </w:rPr>
        <w:t>(</w:t>
      </w:r>
      <w:r>
        <w:rPr/>
        <w:t>十三</w:t>
      </w:r>
      <w:r>
        <w:rPr>
          <w:rFonts w:ascii="Times New Roman" w:hAnsi="Times New Roman" w:cs="Times New Roman" w:eastAsia="Times New Roman" w:hint="default"/>
        </w:rPr>
        <w:t>)</w:t>
      </w:r>
      <w:r>
        <w:rPr>
          <w:rFonts w:ascii="Times New Roman" w:hAnsi="Times New Roman" w:cs="Times New Roman" w:eastAsia="Times New Roman" w:hint="default"/>
          <w:spacing w:val="31"/>
        </w:rPr>
        <w:t> </w:t>
      </w:r>
      <w:r>
        <w:rPr/>
        <w:t>投资性房地产</w:t>
      </w:r>
    </w:p>
    <w:p>
      <w:pPr>
        <w:spacing w:line="240" w:lineRule="auto" w:before="0"/>
        <w:rPr>
          <w:rFonts w:ascii="宋体" w:hAnsi="宋体" w:cs="宋体" w:eastAsia="宋体" w:hint="default"/>
          <w:sz w:val="22"/>
          <w:szCs w:val="22"/>
        </w:rPr>
      </w:pPr>
    </w:p>
    <w:p>
      <w:pPr>
        <w:spacing w:line="240" w:lineRule="auto" w:before="6"/>
        <w:rPr>
          <w:rFonts w:ascii="宋体" w:hAnsi="宋体" w:cs="宋体" w:eastAsia="宋体" w:hint="default"/>
          <w:sz w:val="26"/>
          <w:szCs w:val="26"/>
        </w:rPr>
      </w:pPr>
    </w:p>
    <w:p>
      <w:pPr>
        <w:pStyle w:val="Heading5"/>
        <w:spacing w:line="240" w:lineRule="auto"/>
        <w:ind w:right="0"/>
        <w:jc w:val="both"/>
        <w:rPr>
          <w:b w:val="0"/>
          <w:bCs w:val="0"/>
        </w:rPr>
      </w:pPr>
      <w:bookmarkStart w:name="15、投资性房地产" w:id="184"/>
      <w:bookmarkEnd w:id="184"/>
      <w:r>
        <w:rPr>
          <w:b w:val="0"/>
          <w:bCs w:val="0"/>
        </w:rPr>
      </w:r>
      <w:r>
        <w:rPr>
          <w:rFonts w:ascii="Times New Roman" w:hAnsi="Times New Roman" w:cs="Times New Roman" w:eastAsia="Times New Roman" w:hint="default"/>
        </w:rPr>
        <w:t>15</w:t>
      </w:r>
      <w:r>
        <w:rPr/>
        <w:t>、投资性房地产</w:t>
      </w:r>
      <w:r>
        <w:rPr>
          <w:b w:val="0"/>
          <w:bCs w:val="0"/>
        </w:rPr>
      </w:r>
    </w:p>
    <w:p>
      <w:pPr>
        <w:spacing w:line="240" w:lineRule="auto" w:before="8"/>
        <w:rPr>
          <w:rFonts w:ascii="宋体" w:hAnsi="宋体" w:cs="宋体" w:eastAsia="宋体" w:hint="default"/>
          <w:b/>
          <w:bCs/>
          <w:sz w:val="26"/>
          <w:szCs w:val="26"/>
        </w:rPr>
      </w:pPr>
    </w:p>
    <w:p>
      <w:pPr>
        <w:pStyle w:val="BodyText"/>
        <w:spacing w:line="360" w:lineRule="auto" w:before="0"/>
        <w:ind w:right="7972"/>
        <w:jc w:val="left"/>
      </w:pPr>
      <w:r>
        <w:rPr/>
        <w:t>投资性房地产计量模式 成本法计量 折旧或摊销方法</w:t>
      </w:r>
    </w:p>
    <w:p>
      <w:pPr>
        <w:pStyle w:val="Heading6"/>
        <w:spacing w:line="290" w:lineRule="exact"/>
        <w:ind w:left="574"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30"/>
        </w:rPr>
        <w:t> </w:t>
      </w:r>
      <w:r>
        <w:rPr/>
        <w:t>投资性房地产包括已出租的土地使用权、持有并准备增值后转让的土地使用权和已出租的建筑物。</w:t>
      </w:r>
    </w:p>
    <w:p>
      <w:pPr>
        <w:pStyle w:val="Heading6"/>
        <w:spacing w:line="240" w:lineRule="auto" w:before="21"/>
        <w:ind w:left="574"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4"/>
        </w:rPr>
        <w:t> </w:t>
      </w:r>
      <w:r>
        <w:rPr/>
        <w:t>投资性房地产按照成本进行初始计量，采用成本模式进行后续计量，并采用与固定资产和无形资产</w:t>
      </w:r>
    </w:p>
    <w:p>
      <w:pPr>
        <w:spacing w:after="0" w:line="240" w:lineRule="auto"/>
        <w:jc w:val="left"/>
        <w:sectPr>
          <w:pgSz w:w="11910" w:h="16840"/>
          <w:pgMar w:header="747" w:footer="979" w:top="1060" w:bottom="1160" w:left="980" w:right="980"/>
        </w:sectPr>
      </w:pPr>
    </w:p>
    <w:p>
      <w:pPr>
        <w:spacing w:line="240" w:lineRule="auto" w:before="9"/>
        <w:rPr>
          <w:rFonts w:ascii="宋体" w:hAnsi="宋体" w:cs="宋体" w:eastAsia="宋体" w:hint="default"/>
          <w:sz w:val="24"/>
          <w:szCs w:val="24"/>
        </w:rPr>
      </w:pPr>
    </w:p>
    <w:p>
      <w:pPr>
        <w:pStyle w:val="Heading6"/>
        <w:spacing w:line="240" w:lineRule="auto" w:before="35"/>
        <w:ind w:right="103"/>
        <w:jc w:val="left"/>
      </w:pPr>
      <w:r>
        <w:rPr/>
        <w:t>相同的方法计提折旧或进行摊销。</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9"/>
          <w:szCs w:val="29"/>
        </w:rPr>
      </w:pPr>
    </w:p>
    <w:p>
      <w:pPr>
        <w:pStyle w:val="Heading5"/>
        <w:spacing w:line="240" w:lineRule="auto"/>
        <w:ind w:right="103"/>
        <w:jc w:val="left"/>
        <w:rPr>
          <w:b w:val="0"/>
          <w:bCs w:val="0"/>
        </w:rPr>
      </w:pPr>
      <w:bookmarkStart w:name="16、固定资产" w:id="185"/>
      <w:bookmarkEnd w:id="185"/>
      <w:r>
        <w:rPr>
          <w:b w:val="0"/>
          <w:bCs w:val="0"/>
        </w:rPr>
      </w:r>
      <w:r>
        <w:rPr>
          <w:rFonts w:ascii="Times New Roman" w:hAnsi="Times New Roman" w:cs="Times New Roman" w:eastAsia="Times New Roman" w:hint="default"/>
        </w:rPr>
        <w:t>16</w:t>
      </w:r>
      <w:r>
        <w:rPr/>
        <w:t>、固定资产</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right="103"/>
        <w:jc w:val="left"/>
        <w:rPr>
          <w:b w:val="0"/>
          <w:bCs w:val="0"/>
        </w:rPr>
      </w:pPr>
      <w:bookmarkStart w:name="（1）确认条件" w:id="186"/>
      <w:bookmarkEnd w:id="186"/>
      <w:r>
        <w:rPr>
          <w:b w:val="0"/>
          <w:bCs w:val="0"/>
        </w:rPr>
      </w:r>
      <w:r>
        <w:rPr/>
        <w:t>（</w:t>
      </w:r>
      <w:r>
        <w:rPr>
          <w:rFonts w:ascii="Times New Roman" w:hAnsi="Times New Roman" w:cs="Times New Roman" w:eastAsia="Times New Roman" w:hint="default"/>
        </w:rPr>
        <w:t>1</w:t>
      </w:r>
      <w:r>
        <w:rPr/>
        <w:t>）确认条件</w:t>
      </w:r>
      <w:r>
        <w:rPr>
          <w:b w:val="0"/>
          <w:bCs w:val="0"/>
        </w:rPr>
      </w:r>
    </w:p>
    <w:p>
      <w:pPr>
        <w:spacing w:line="240" w:lineRule="auto" w:before="7"/>
        <w:rPr>
          <w:rFonts w:ascii="宋体" w:hAnsi="宋体" w:cs="宋体" w:eastAsia="宋体" w:hint="default"/>
          <w:b/>
          <w:bCs/>
          <w:sz w:val="26"/>
          <w:szCs w:val="26"/>
        </w:rPr>
      </w:pPr>
    </w:p>
    <w:p>
      <w:pPr>
        <w:pStyle w:val="BodyText"/>
        <w:spacing w:line="319" w:lineRule="auto" w:before="0"/>
        <w:ind w:right="103"/>
        <w:jc w:val="left"/>
      </w:pPr>
      <w:r>
        <w:rPr>
          <w:spacing w:val="-2"/>
        </w:rPr>
        <w:t>固定资产是指为生产商品、提供劳务、出租或经营管理而持有的，使用年限超过一个会计年度的有形资产。固定资产在同时</w:t>
      </w:r>
      <w:r>
        <w:rPr>
          <w:spacing w:val="-66"/>
        </w:rPr>
        <w:t> </w:t>
      </w:r>
      <w:r>
        <w:rPr>
          <w:spacing w:val="-66"/>
        </w:rPr>
      </w:r>
      <w:r>
        <w:rPr/>
        <w:t>满足经济利益很可能流入、成本能够可靠计量时予以确认。</w:t>
      </w:r>
    </w:p>
    <w:p>
      <w:pPr>
        <w:spacing w:line="240" w:lineRule="auto" w:before="3"/>
        <w:rPr>
          <w:rFonts w:ascii="宋体" w:hAnsi="宋体" w:cs="宋体" w:eastAsia="宋体" w:hint="default"/>
          <w:sz w:val="22"/>
          <w:szCs w:val="22"/>
        </w:rPr>
      </w:pPr>
    </w:p>
    <w:p>
      <w:pPr>
        <w:pStyle w:val="Heading5"/>
        <w:spacing w:line="240" w:lineRule="auto"/>
        <w:ind w:right="103"/>
        <w:jc w:val="left"/>
        <w:rPr>
          <w:b w:val="0"/>
          <w:bCs w:val="0"/>
        </w:rPr>
      </w:pPr>
      <w:bookmarkStart w:name="（2）折旧方法" w:id="187"/>
      <w:bookmarkEnd w:id="187"/>
      <w:r>
        <w:rPr>
          <w:b w:val="0"/>
          <w:bCs w:val="0"/>
        </w:rPr>
      </w:r>
      <w:r>
        <w:rPr/>
        <w:t>（</w:t>
      </w:r>
      <w:r>
        <w:rPr>
          <w:rFonts w:ascii="Times New Roman" w:hAnsi="Times New Roman" w:cs="Times New Roman" w:eastAsia="Times New Roman" w:hint="default"/>
        </w:rPr>
        <w:t>2</w:t>
      </w:r>
      <w:r>
        <w:rPr/>
        <w:t>）折旧方法</w:t>
      </w:r>
      <w:r>
        <w:rPr>
          <w:b w:val="0"/>
          <w:bCs w:val="0"/>
        </w:rPr>
      </w:r>
    </w:p>
    <w:p>
      <w:pPr>
        <w:spacing w:line="240" w:lineRule="auto" w:before="11"/>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10-20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9.50-4.75%</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通用设备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3-5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31.67-19.00</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专用设备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3-10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31.67-9.50</w:t>
            </w: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3-5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31.67-19.00</w:t>
            </w:r>
          </w:p>
        </w:tc>
      </w:tr>
    </w:tbl>
    <w:p>
      <w:pPr>
        <w:spacing w:line="240" w:lineRule="auto" w:before="2"/>
        <w:rPr>
          <w:rFonts w:ascii="宋体" w:hAnsi="宋体" w:cs="宋体" w:eastAsia="宋体" w:hint="default"/>
          <w:b/>
          <w:bCs/>
          <w:sz w:val="19"/>
          <w:szCs w:val="19"/>
        </w:rPr>
      </w:pPr>
    </w:p>
    <w:p>
      <w:pPr>
        <w:pStyle w:val="Heading5"/>
        <w:spacing w:line="240" w:lineRule="auto" w:before="35"/>
        <w:ind w:right="103"/>
        <w:jc w:val="left"/>
        <w:rPr>
          <w:b w:val="0"/>
          <w:bCs w:val="0"/>
        </w:rPr>
      </w:pPr>
      <w:bookmarkStart w:name="（3）融资租入固定资产的认定依据、计价和折旧方法" w:id="188"/>
      <w:bookmarkEnd w:id="188"/>
      <w:r>
        <w:rPr>
          <w:b w:val="0"/>
          <w:bCs w:val="0"/>
        </w:rPr>
      </w:r>
      <w:r>
        <w:rPr/>
        <w:t>（</w:t>
      </w:r>
      <w:r>
        <w:rPr>
          <w:rFonts w:ascii="Times New Roman" w:hAnsi="Times New Roman" w:cs="Times New Roman" w:eastAsia="Times New Roman" w:hint="default"/>
        </w:rPr>
        <w:t>3</w:t>
      </w:r>
      <w:r>
        <w:rPr/>
        <w:t>）融资租入固定资产的认定依据、计价和折旧方法</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103"/>
        <w:jc w:val="left"/>
        <w:rPr>
          <w:b w:val="0"/>
          <w:bCs w:val="0"/>
        </w:rPr>
      </w:pPr>
      <w:bookmarkStart w:name="17、在建工程" w:id="189"/>
      <w:bookmarkEnd w:id="189"/>
      <w:r>
        <w:rPr>
          <w:b w:val="0"/>
          <w:bCs w:val="0"/>
        </w:rPr>
      </w:r>
      <w:r>
        <w:rPr>
          <w:rFonts w:ascii="Times New Roman" w:hAnsi="Times New Roman" w:cs="Times New Roman" w:eastAsia="Times New Roman" w:hint="default"/>
        </w:rPr>
        <w:t>17</w:t>
      </w:r>
      <w:r>
        <w:rPr/>
        <w:t>、在建工程</w:t>
      </w:r>
      <w:r>
        <w:rPr>
          <w:b w:val="0"/>
          <w:bCs w:val="0"/>
        </w:rPr>
      </w:r>
    </w:p>
    <w:p>
      <w:pPr>
        <w:spacing w:line="240" w:lineRule="auto" w:before="8"/>
        <w:rPr>
          <w:rFonts w:ascii="宋体" w:hAnsi="宋体" w:cs="宋体" w:eastAsia="宋体" w:hint="default"/>
          <w:b/>
          <w:bCs/>
          <w:sz w:val="26"/>
          <w:szCs w:val="26"/>
        </w:rPr>
      </w:pPr>
    </w:p>
    <w:p>
      <w:pPr>
        <w:pStyle w:val="BodyText"/>
        <w:spacing w:line="357" w:lineRule="auto" w:before="0"/>
        <w:ind w:right="6772"/>
        <w:jc w:val="left"/>
      </w:pPr>
      <w:r>
        <w:rPr/>
        <w:t>公司是否需要遵守特殊行业的披露要求 否</w:t>
      </w:r>
    </w:p>
    <w:p>
      <w:pPr>
        <w:pStyle w:val="Heading6"/>
        <w:spacing w:line="256" w:lineRule="auto" w:before="1"/>
        <w:ind w:right="211" w:firstLine="420"/>
        <w:jc w:val="both"/>
      </w:pPr>
      <w:r>
        <w:rPr>
          <w:rFonts w:ascii="Times New Roman" w:hAnsi="Times New Roman" w:cs="Times New Roman" w:eastAsia="Times New Roman" w:hint="default"/>
        </w:rPr>
        <w:t>1.</w:t>
      </w:r>
      <w:r>
        <w:rPr>
          <w:rFonts w:ascii="Times New Roman" w:hAnsi="Times New Roman" w:cs="Times New Roman" w:eastAsia="Times New Roman" w:hint="default"/>
          <w:spacing w:val="-19"/>
        </w:rPr>
        <w:t> </w:t>
      </w:r>
      <w:r>
        <w:rPr/>
        <w:t>在建工程同时满足经济利益很可能流入、成本能够可靠计量则予以确认。在建工程按建造该项资产 达到预定可使用状态前所发生的实际成本计量。</w:t>
      </w:r>
    </w:p>
    <w:p>
      <w:pPr>
        <w:pStyle w:val="Heading6"/>
        <w:spacing w:line="264" w:lineRule="auto" w:before="22"/>
        <w:ind w:right="211" w:firstLine="420"/>
        <w:jc w:val="both"/>
      </w:pPr>
      <w:r>
        <w:rPr>
          <w:rFonts w:ascii="Times New Roman" w:hAnsi="Times New Roman" w:cs="Times New Roman" w:eastAsia="Times New Roman" w:hint="default"/>
        </w:rPr>
        <w:t>2.</w:t>
      </w:r>
      <w:r>
        <w:rPr>
          <w:rFonts w:ascii="Times New Roman" w:hAnsi="Times New Roman" w:cs="Times New Roman" w:eastAsia="Times New Roman" w:hint="default"/>
          <w:spacing w:val="-19"/>
        </w:rPr>
        <w:t> </w:t>
      </w:r>
      <w:r>
        <w:rPr/>
        <w:t>在建工程达到预定可使用状态时，按工程实际成本转入固定资产。已达到预定可使用状态但尚未办 </w:t>
      </w:r>
      <w:r>
        <w:rPr>
          <w:spacing w:val="-1"/>
        </w:rPr>
        <w:t>理竣工决算的，先按估计价值转入固定资产，待办理竣工决算后再按实际成本调整原暂估价值，但不再调</w:t>
      </w:r>
      <w:r>
        <w:rPr>
          <w:spacing w:val="-83"/>
        </w:rPr>
        <w:t> </w:t>
      </w:r>
      <w:r>
        <w:rPr>
          <w:spacing w:val="-83"/>
        </w:rPr>
      </w:r>
      <w:r>
        <w:rPr/>
        <w:t>整原已计提的折旧。</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8"/>
          <w:szCs w:val="28"/>
        </w:rPr>
      </w:pPr>
    </w:p>
    <w:p>
      <w:pPr>
        <w:pStyle w:val="Heading5"/>
        <w:spacing w:line="240" w:lineRule="auto"/>
        <w:ind w:right="103"/>
        <w:jc w:val="left"/>
        <w:rPr>
          <w:b w:val="0"/>
          <w:bCs w:val="0"/>
        </w:rPr>
      </w:pPr>
      <w:bookmarkStart w:name="18、借款费用" w:id="190"/>
      <w:bookmarkEnd w:id="190"/>
      <w:r>
        <w:rPr>
          <w:b w:val="0"/>
          <w:bCs w:val="0"/>
        </w:rPr>
      </w:r>
      <w:r>
        <w:rPr>
          <w:rFonts w:ascii="Times New Roman" w:hAnsi="Times New Roman" w:cs="Times New Roman" w:eastAsia="Times New Roman" w:hint="default"/>
        </w:rPr>
        <w:t>18</w:t>
      </w:r>
      <w:r>
        <w:rPr/>
        <w:t>、借款费用</w:t>
      </w:r>
      <w:r>
        <w:rPr>
          <w:b w:val="0"/>
          <w:bCs w:val="0"/>
        </w:rPr>
      </w:r>
    </w:p>
    <w:p>
      <w:pPr>
        <w:spacing w:line="240" w:lineRule="auto" w:before="7"/>
        <w:rPr>
          <w:rFonts w:ascii="宋体" w:hAnsi="宋体" w:cs="宋体" w:eastAsia="宋体" w:hint="default"/>
          <w:b/>
          <w:bCs/>
          <w:sz w:val="24"/>
          <w:szCs w:val="24"/>
        </w:rPr>
      </w:pPr>
    </w:p>
    <w:p>
      <w:pPr>
        <w:pStyle w:val="Heading6"/>
        <w:spacing w:line="256" w:lineRule="auto"/>
        <w:ind w:left="574" w:right="103"/>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32"/>
        </w:rPr>
        <w:t> </w:t>
      </w:r>
      <w:r>
        <w:rPr/>
        <w:t>借款费用资本化的确认原则 </w:t>
      </w:r>
      <w:r>
        <w:rPr>
          <w:spacing w:val="-1"/>
        </w:rPr>
        <w:t>公司发生的借款费用，可直接归属于符合资本化条件的资产的购建或者生产的，予以资本化，计入相</w:t>
      </w:r>
    </w:p>
    <w:p>
      <w:pPr>
        <w:pStyle w:val="Heading6"/>
        <w:spacing w:line="240" w:lineRule="auto" w:before="22"/>
        <w:ind w:right="103"/>
        <w:jc w:val="left"/>
      </w:pPr>
      <w:r>
        <w:rPr/>
        <w:t>关资产成本；其他借款费用，在发生时确认为费用，计入当期损益。</w:t>
      </w:r>
    </w:p>
    <w:p>
      <w:pPr>
        <w:pStyle w:val="Heading6"/>
        <w:spacing w:line="240" w:lineRule="auto" w:before="37"/>
        <w:ind w:left="574" w:right="103"/>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30"/>
        </w:rPr>
        <w:t> </w:t>
      </w:r>
      <w:r>
        <w:rPr/>
        <w:t>借款费用资本化期间</w:t>
      </w:r>
    </w:p>
    <w:p>
      <w:pPr>
        <w:pStyle w:val="Heading6"/>
        <w:spacing w:line="256" w:lineRule="auto" w:before="21"/>
        <w:ind w:right="210" w:firstLine="420"/>
        <w:jc w:val="both"/>
      </w:pPr>
      <w:r>
        <w:rPr>
          <w:rFonts w:ascii="Times New Roman" w:hAnsi="Times New Roman" w:cs="Times New Roman" w:eastAsia="Times New Roman" w:hint="default"/>
        </w:rPr>
        <w:t>(1) </w:t>
      </w:r>
      <w:r>
        <w:rPr>
          <w:spacing w:val="-7"/>
        </w:rPr>
        <w:t>当借款费用同时满足下列条件时，开始资本化：</w:t>
      </w:r>
      <w:r>
        <w:rPr>
          <w:rFonts w:ascii="Times New Roman" w:hAnsi="Times New Roman" w:cs="Times New Roman" w:eastAsia="Times New Roman" w:hint="default"/>
          <w:spacing w:val="-7"/>
        </w:rPr>
        <w:t>1) </w:t>
      </w:r>
      <w:r>
        <w:rPr>
          <w:spacing w:val="-7"/>
        </w:rPr>
        <w:t>资产支出已经发生；</w:t>
      </w:r>
      <w:r>
        <w:rPr>
          <w:rFonts w:ascii="Times New Roman" w:hAnsi="Times New Roman" w:cs="Times New Roman" w:eastAsia="Times New Roman" w:hint="default"/>
          <w:spacing w:val="-7"/>
        </w:rPr>
        <w:t>2) </w:t>
      </w:r>
      <w:r>
        <w:rPr>
          <w:spacing w:val="-7"/>
        </w:rPr>
        <w:t>借款费用已经发生；</w:t>
      </w:r>
      <w:r>
        <w:rPr>
          <w:rFonts w:ascii="Times New Roman" w:hAnsi="Times New Roman" w:cs="Times New Roman" w:eastAsia="Times New Roman" w:hint="default"/>
          <w:spacing w:val="-7"/>
        </w:rPr>
        <w:t>3)</w:t>
      </w:r>
      <w:r>
        <w:rPr>
          <w:rFonts w:ascii="Times New Roman" w:hAnsi="Times New Roman" w:cs="Times New Roman" w:eastAsia="Times New Roman" w:hint="default"/>
          <w:spacing w:val="21"/>
        </w:rPr>
        <w:t> </w:t>
      </w:r>
      <w:r>
        <w:rPr/>
        <w:t>为</w:t>
      </w:r>
      <w:r>
        <w:rPr>
          <w:w w:val="99"/>
        </w:rPr>
        <w:t> </w:t>
      </w:r>
      <w:r>
        <w:rPr/>
        <w:t>使资产达到预定可使用或可销售状态所必要的购建或者生产活动已经开始。</w:t>
      </w:r>
    </w:p>
    <w:p>
      <w:pPr>
        <w:pStyle w:val="Heading6"/>
        <w:spacing w:line="264" w:lineRule="auto" w:before="23"/>
        <w:ind w:right="176" w:firstLine="420"/>
        <w:jc w:val="both"/>
      </w:pPr>
      <w:r>
        <w:rPr>
          <w:rFonts w:ascii="Times New Roman" w:hAnsi="Times New Roman" w:cs="Times New Roman" w:eastAsia="Times New Roman" w:hint="default"/>
        </w:rPr>
        <w:t>(2)</w:t>
      </w:r>
      <w:r>
        <w:rPr>
          <w:rFonts w:ascii="Times New Roman" w:hAnsi="Times New Roman" w:cs="Times New Roman" w:eastAsia="Times New Roman" w:hint="default"/>
          <w:spacing w:val="30"/>
        </w:rPr>
        <w:t> </w:t>
      </w:r>
      <w:r>
        <w:rPr/>
        <w:t>若符合资本化条件的资产在购建或者生产过程中发生非正常中断，并且中断时间连续超过</w:t>
      </w:r>
      <w:r>
        <w:rPr>
          <w:rFonts w:ascii="Times New Roman" w:hAnsi="Times New Roman" w:cs="Times New Roman" w:eastAsia="Times New Roman" w:hint="default"/>
        </w:rPr>
        <w:t>3</w:t>
      </w:r>
      <w:r>
        <w:rPr/>
        <w:t>个月，</w:t>
      </w:r>
      <w:r>
        <w:rPr>
          <w:w w:val="99"/>
        </w:rPr>
        <w:t> </w:t>
      </w:r>
      <w:r>
        <w:rPr/>
        <w:t>暂停借款费用的资本化；中断期间发生的借款费用确认为当期费用，直至资产的购建或者生产活动重新开</w:t>
      </w:r>
      <w:r>
        <w:rPr>
          <w:w w:val="99"/>
        </w:rPr>
        <w:t> </w:t>
      </w:r>
      <w:r>
        <w:rPr/>
        <w:t>始。</w:t>
      </w:r>
    </w:p>
    <w:p>
      <w:pPr>
        <w:pStyle w:val="Heading6"/>
        <w:spacing w:line="240" w:lineRule="auto" w:before="16"/>
        <w:ind w:left="574" w:right="0"/>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5"/>
        </w:rPr>
        <w:t> </w:t>
      </w:r>
      <w:r>
        <w:rPr/>
        <w:t>当所购建或者生产符合资本化条件的资产达到预定可使用或可销售状态时，借款费用停止资本化。</w:t>
      </w:r>
    </w:p>
    <w:p>
      <w:pPr>
        <w:spacing w:after="0" w:line="240" w:lineRule="auto"/>
        <w:jc w:val="left"/>
        <w:sectPr>
          <w:pgSz w:w="11910" w:h="16840"/>
          <w:pgMar w:header="747" w:footer="979" w:top="1060" w:bottom="1160" w:left="980" w:right="920"/>
        </w:sectPr>
      </w:pPr>
    </w:p>
    <w:p>
      <w:pPr>
        <w:spacing w:line="240" w:lineRule="auto" w:before="9"/>
        <w:rPr>
          <w:rFonts w:ascii="宋体" w:hAnsi="宋体" w:cs="宋体" w:eastAsia="宋体" w:hint="default"/>
          <w:sz w:val="24"/>
          <w:szCs w:val="24"/>
        </w:rPr>
      </w:pPr>
    </w:p>
    <w:p>
      <w:pPr>
        <w:pStyle w:val="Heading6"/>
        <w:spacing w:line="256" w:lineRule="auto" w:before="35"/>
        <w:ind w:left="574" w:right="0"/>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32"/>
        </w:rPr>
        <w:t> </w:t>
      </w:r>
      <w:r>
        <w:rPr/>
        <w:t>借款费用资本化率以及资本化金额 </w:t>
      </w:r>
      <w:r>
        <w:rPr>
          <w:spacing w:val="-3"/>
        </w:rPr>
        <w:t>为购建或者生产符合资本化条件的资产而借入专门借款的，以专门借款当期实际发生的利息费用</w:t>
      </w:r>
      <w:r>
        <w:rPr>
          <w:rFonts w:ascii="Times New Roman" w:hAnsi="Times New Roman" w:cs="Times New Roman" w:eastAsia="Times New Roman" w:hint="default"/>
          <w:spacing w:val="-3"/>
        </w:rPr>
        <w:t>(</w:t>
      </w:r>
      <w:r>
        <w:rPr>
          <w:spacing w:val="-3"/>
        </w:rPr>
        <w:t>包括</w:t>
      </w:r>
    </w:p>
    <w:p>
      <w:pPr>
        <w:pStyle w:val="Heading6"/>
        <w:spacing w:line="268" w:lineRule="auto" w:before="5"/>
        <w:ind w:right="151"/>
        <w:jc w:val="both"/>
      </w:pPr>
      <w:r>
        <w:rPr>
          <w:spacing w:val="-2"/>
        </w:rPr>
        <w:t>按照实际利率法确定的折价或溢价的摊销</w:t>
      </w:r>
      <w:r>
        <w:rPr>
          <w:rFonts w:ascii="Times New Roman" w:hAnsi="Times New Roman" w:cs="Times New Roman" w:eastAsia="Times New Roman" w:hint="default"/>
          <w:spacing w:val="-2"/>
        </w:rPr>
        <w:t>)</w:t>
      </w:r>
      <w:r>
        <w:rPr>
          <w:spacing w:val="-2"/>
        </w:rPr>
        <w:t>，减去将尚未动用的借款资金存入银行取得的利息收入或进行暂</w:t>
      </w:r>
      <w:r>
        <w:rPr/>
        <w:t> </w:t>
      </w:r>
      <w:r>
        <w:rPr>
          <w:spacing w:val="-1"/>
        </w:rPr>
        <w:t>时性投资取得的投资收益后的金额，确定应予资本化的利息金额；为购建或者生产符合资本化条件的资产</w:t>
      </w:r>
      <w:r>
        <w:rPr>
          <w:spacing w:val="-81"/>
        </w:rPr>
        <w:t> </w:t>
      </w:r>
      <w:r>
        <w:rPr>
          <w:spacing w:val="-81"/>
        </w:rPr>
      </w:r>
      <w:r>
        <w:rPr>
          <w:spacing w:val="3"/>
        </w:rPr>
        <w:t>占用了一般借款的，根据累计资产支出超过专门借款的资产支出加权平均数乘以占用一般借款的资本化</w:t>
      </w:r>
      <w:r>
        <w:rPr>
          <w:spacing w:val="-77"/>
        </w:rPr>
        <w:t> </w:t>
      </w:r>
      <w:r>
        <w:rPr>
          <w:spacing w:val="-77"/>
        </w:rPr>
      </w:r>
      <w:r>
        <w:rPr/>
        <w:t>率，计算确定一般借款应予资本化的利息金额。</w:t>
      </w:r>
    </w:p>
    <w:p>
      <w:pPr>
        <w:spacing w:line="240" w:lineRule="auto" w:before="12"/>
        <w:rPr>
          <w:rFonts w:ascii="宋体" w:hAnsi="宋体" w:cs="宋体" w:eastAsia="宋体" w:hint="default"/>
          <w:sz w:val="23"/>
          <w:szCs w:val="23"/>
        </w:rPr>
      </w:pPr>
    </w:p>
    <w:p>
      <w:pPr>
        <w:pStyle w:val="Heading5"/>
        <w:spacing w:line="240" w:lineRule="auto"/>
        <w:ind w:right="0"/>
        <w:jc w:val="both"/>
        <w:rPr>
          <w:b w:val="0"/>
          <w:bCs w:val="0"/>
        </w:rPr>
      </w:pPr>
      <w:bookmarkStart w:name="19、生物资产" w:id="191"/>
      <w:bookmarkEnd w:id="191"/>
      <w:r>
        <w:rPr>
          <w:b w:val="0"/>
          <w:bCs w:val="0"/>
        </w:rPr>
      </w:r>
      <w:r>
        <w:rPr>
          <w:rFonts w:ascii="Times New Roman" w:hAnsi="Times New Roman" w:cs="Times New Roman" w:eastAsia="Times New Roman" w:hint="default"/>
        </w:rPr>
        <w:t>19</w:t>
      </w:r>
      <w:r>
        <w:rPr/>
        <w:t>、生物资产</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both"/>
        <w:rPr>
          <w:b w:val="0"/>
          <w:bCs w:val="0"/>
        </w:rPr>
      </w:pPr>
      <w:bookmarkStart w:name="20、油气资产" w:id="192"/>
      <w:bookmarkEnd w:id="192"/>
      <w:r>
        <w:rPr>
          <w:b w:val="0"/>
          <w:bCs w:val="0"/>
        </w:rPr>
      </w:r>
      <w:r>
        <w:rPr>
          <w:rFonts w:ascii="Times New Roman" w:hAnsi="Times New Roman" w:cs="Times New Roman" w:eastAsia="Times New Roman" w:hint="default"/>
        </w:rPr>
        <w:t>20</w:t>
      </w:r>
      <w:r>
        <w:rPr/>
        <w:t>、油气资产</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both"/>
        <w:rPr>
          <w:b w:val="0"/>
          <w:bCs w:val="0"/>
        </w:rPr>
      </w:pPr>
      <w:bookmarkStart w:name="21、无形资产" w:id="193"/>
      <w:bookmarkEnd w:id="193"/>
      <w:r>
        <w:rPr>
          <w:b w:val="0"/>
          <w:bCs w:val="0"/>
        </w:rPr>
      </w:r>
      <w:r>
        <w:rPr>
          <w:rFonts w:ascii="Times New Roman" w:hAnsi="Times New Roman" w:cs="Times New Roman" w:eastAsia="Times New Roman" w:hint="default"/>
        </w:rPr>
        <w:t>21</w:t>
      </w:r>
      <w:r>
        <w:rPr/>
        <w:t>、无形资产</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both"/>
        <w:rPr>
          <w:b w:val="0"/>
          <w:bCs w:val="0"/>
        </w:rPr>
      </w:pPr>
      <w:bookmarkStart w:name="（1）计价方法、使用寿命、减值测试" w:id="194"/>
      <w:bookmarkEnd w:id="194"/>
      <w:r>
        <w:rPr>
          <w:b w:val="0"/>
          <w:bCs w:val="0"/>
        </w:rPr>
      </w:r>
      <w:r>
        <w:rPr/>
        <w:t>（</w:t>
      </w:r>
      <w:r>
        <w:rPr>
          <w:rFonts w:ascii="Times New Roman" w:hAnsi="Times New Roman" w:cs="Times New Roman" w:eastAsia="Times New Roman" w:hint="default"/>
        </w:rPr>
        <w:t>1</w:t>
      </w:r>
      <w:r>
        <w:rPr/>
        <w:t>）计价方法、使用寿命、减值测试</w:t>
      </w:r>
      <w:r>
        <w:rPr>
          <w:b w:val="0"/>
          <w:bCs w:val="0"/>
        </w:rPr>
      </w:r>
    </w:p>
    <w:p>
      <w:pPr>
        <w:spacing w:line="240" w:lineRule="auto" w:before="8"/>
        <w:rPr>
          <w:rFonts w:ascii="宋体" w:hAnsi="宋体" w:cs="宋体" w:eastAsia="宋体" w:hint="default"/>
          <w:b/>
          <w:bCs/>
          <w:sz w:val="26"/>
          <w:szCs w:val="26"/>
        </w:rPr>
      </w:pPr>
    </w:p>
    <w:p>
      <w:pPr>
        <w:pStyle w:val="BodyText"/>
        <w:spacing w:line="360" w:lineRule="auto" w:before="0"/>
        <w:ind w:right="6712"/>
        <w:jc w:val="left"/>
      </w:pPr>
      <w:r>
        <w:rPr/>
        <w:t>公司是否需要遵守特殊行业的披露要求 否</w:t>
      </w:r>
    </w:p>
    <w:p>
      <w:pPr>
        <w:pStyle w:val="Heading4"/>
        <w:spacing w:line="290" w:lineRule="exact"/>
        <w:ind w:left="574" w:right="0"/>
        <w:jc w:val="left"/>
        <w:rPr>
          <w:i w:val="0"/>
        </w:rPr>
      </w:pPr>
      <w:r>
        <w:rPr>
          <w:rFonts w:ascii="Times New Roman" w:hAnsi="Times New Roman" w:cs="Times New Roman" w:eastAsia="Times New Roman" w:hint="default"/>
          <w:i/>
          <w:w w:val="95"/>
          <w:sz w:val="21"/>
          <w:szCs w:val="21"/>
        </w:rPr>
        <w:t>1. </w:t>
      </w:r>
      <w:r>
        <w:rPr>
          <w:rFonts w:ascii="Times New Roman" w:hAnsi="Times New Roman" w:cs="Times New Roman" w:eastAsia="Times New Roman" w:hint="default"/>
          <w:i/>
          <w:spacing w:val="25"/>
          <w:w w:val="95"/>
          <w:sz w:val="21"/>
          <w:szCs w:val="21"/>
        </w:rPr>
        <w:t> </w:t>
      </w:r>
      <w:r>
        <w:rPr>
          <w:w w:val="95"/>
        </w:rPr>
        <w:t>无形资产包括土地使用权、专利权及非专利技术等，按成本进行初始计量。</w:t>
      </w:r>
      <w:r>
        <w:rPr>
          <w:i w:val="0"/>
        </w:rPr>
      </w:r>
    </w:p>
    <w:p>
      <w:pPr>
        <w:pStyle w:val="Heading6"/>
        <w:spacing w:line="256" w:lineRule="auto" w:before="21"/>
        <w:ind w:right="413" w:firstLine="42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19"/>
        </w:rPr>
        <w:t> </w:t>
      </w:r>
      <w:r>
        <w:rPr/>
        <w:t>使用寿命有限的无形资产，在使用寿命内按照与该项无形资产有关的经济利益的预期实现方式系统 合理地摊销，无法可靠确定预期实现方式的，采用直线法摊销。具体年限如下：</w:t>
      </w:r>
    </w:p>
    <w:p>
      <w:pPr>
        <w:spacing w:line="240" w:lineRule="auto" w:before="11"/>
        <w:rPr>
          <w:rFonts w:ascii="宋体" w:hAnsi="宋体" w:cs="宋体" w:eastAsia="宋体" w:hint="default"/>
          <w:sz w:val="2"/>
          <w:szCs w:val="2"/>
        </w:rPr>
      </w:pPr>
    </w:p>
    <w:tbl>
      <w:tblPr>
        <w:tblW w:w="0" w:type="auto"/>
        <w:jc w:val="left"/>
        <w:tblInd w:w="506" w:type="dxa"/>
        <w:tblLayout w:type="fixed"/>
        <w:tblCellMar>
          <w:top w:w="0" w:type="dxa"/>
          <w:left w:w="0" w:type="dxa"/>
          <w:bottom w:w="0" w:type="dxa"/>
          <w:right w:w="0" w:type="dxa"/>
        </w:tblCellMar>
        <w:tblLook w:val="01E0"/>
      </w:tblPr>
      <w:tblGrid>
        <w:gridCol w:w="2160"/>
        <w:gridCol w:w="2160"/>
      </w:tblGrid>
      <w:tr>
        <w:trPr>
          <w:trHeight w:val="347" w:hRule="exact"/>
        </w:trPr>
        <w:tc>
          <w:tcPr>
            <w:tcW w:w="2160"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12" w:right="0"/>
              <w:jc w:val="left"/>
              <w:rPr>
                <w:rFonts w:ascii="宋体" w:hAnsi="宋体" w:cs="宋体" w:eastAsia="宋体" w:hint="default"/>
                <w:sz w:val="21"/>
                <w:szCs w:val="21"/>
              </w:rPr>
            </w:pPr>
            <w:r>
              <w:rPr>
                <w:rFonts w:ascii="宋体" w:hAnsi="宋体" w:cs="宋体" w:eastAsia="宋体" w:hint="default"/>
                <w:sz w:val="21"/>
                <w:szCs w:val="21"/>
              </w:rPr>
              <w:t>项</w:t>
            </w:r>
            <w:r>
              <w:rPr>
                <w:rFonts w:ascii="宋体" w:hAnsi="宋体" w:cs="宋体" w:eastAsia="宋体" w:hint="default"/>
                <w:spacing w:val="63"/>
                <w:sz w:val="21"/>
                <w:szCs w:val="21"/>
              </w:rPr>
              <w:t> </w:t>
            </w:r>
            <w:r>
              <w:rPr>
                <w:rFonts w:ascii="宋体" w:hAnsi="宋体" w:cs="宋体" w:eastAsia="宋体" w:hint="default"/>
                <w:sz w:val="21"/>
                <w:szCs w:val="21"/>
              </w:rPr>
              <w:t>目</w:t>
            </w:r>
          </w:p>
        </w:tc>
        <w:tc>
          <w:tcPr>
            <w:tcW w:w="2160" w:type="dxa"/>
            <w:tcBorders>
              <w:top w:val="single" w:sz="6" w:space="0" w:color="000000"/>
              <w:left w:val="single" w:sz="6" w:space="0" w:color="000000"/>
              <w:bottom w:val="single" w:sz="6" w:space="0" w:color="000000"/>
              <w:right w:val="nil" w:sz="6" w:space="0" w:color="auto"/>
            </w:tcBorders>
          </w:tcPr>
          <w:p>
            <w:pPr>
              <w:pStyle w:val="TableParagraph"/>
              <w:spacing w:line="287" w:lineRule="exact"/>
              <w:ind w:right="8"/>
              <w:jc w:val="center"/>
              <w:rPr>
                <w:rFonts w:ascii="Times New Roman" w:hAnsi="Times New Roman" w:cs="Times New Roman" w:eastAsia="Times New Roman" w:hint="default"/>
                <w:sz w:val="21"/>
                <w:szCs w:val="21"/>
              </w:rPr>
            </w:pPr>
            <w:r>
              <w:rPr>
                <w:rFonts w:ascii="宋体" w:hAnsi="宋体" w:cs="宋体" w:eastAsia="宋体" w:hint="default"/>
                <w:sz w:val="21"/>
                <w:szCs w:val="21"/>
              </w:rPr>
              <w:t>摊销年限</w:t>
            </w:r>
            <w:r>
              <w:rPr>
                <w:rFonts w:ascii="Times New Roman" w:hAnsi="Times New Roman" w:cs="Times New Roman" w:eastAsia="Times New Roman" w:hint="default"/>
                <w:sz w:val="21"/>
                <w:szCs w:val="21"/>
              </w:rPr>
              <w:t>(</w:t>
            </w:r>
            <w:r>
              <w:rPr>
                <w:rFonts w:ascii="宋体" w:hAnsi="宋体" w:cs="宋体" w:eastAsia="宋体" w:hint="default"/>
                <w:sz w:val="21"/>
                <w:szCs w:val="21"/>
              </w:rPr>
              <w:t>年</w:t>
            </w:r>
            <w:r>
              <w:rPr>
                <w:rFonts w:ascii="Times New Roman" w:hAnsi="Times New Roman" w:cs="Times New Roman" w:eastAsia="Times New Roman" w:hint="default"/>
                <w:sz w:val="21"/>
                <w:szCs w:val="21"/>
              </w:rPr>
              <w:t>)</w:t>
            </w:r>
          </w:p>
        </w:tc>
      </w:tr>
      <w:tr>
        <w:trPr>
          <w:trHeight w:val="347" w:hRule="exact"/>
        </w:trPr>
        <w:tc>
          <w:tcPr>
            <w:tcW w:w="2160"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216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5"/>
              <w:ind w:right="5"/>
              <w:jc w:val="center"/>
              <w:rPr>
                <w:rFonts w:ascii="Times New Roman" w:hAnsi="Times New Roman" w:cs="Times New Roman" w:eastAsia="Times New Roman" w:hint="default"/>
                <w:sz w:val="21"/>
                <w:szCs w:val="21"/>
              </w:rPr>
            </w:pPr>
            <w:r>
              <w:rPr>
                <w:rFonts w:ascii="Times New Roman"/>
                <w:sz w:val="21"/>
              </w:rPr>
              <w:t>50</w:t>
            </w:r>
          </w:p>
        </w:tc>
      </w:tr>
      <w:tr>
        <w:trPr>
          <w:trHeight w:val="347" w:hRule="exact"/>
        </w:trPr>
        <w:tc>
          <w:tcPr>
            <w:tcW w:w="2160"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软件</w:t>
            </w:r>
          </w:p>
        </w:tc>
        <w:tc>
          <w:tcPr>
            <w:tcW w:w="216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5"/>
              <w:ind w:right="6"/>
              <w:jc w:val="center"/>
              <w:rPr>
                <w:rFonts w:ascii="Times New Roman" w:hAnsi="Times New Roman" w:cs="Times New Roman" w:eastAsia="Times New Roman" w:hint="default"/>
                <w:sz w:val="21"/>
                <w:szCs w:val="21"/>
              </w:rPr>
            </w:pPr>
            <w:r>
              <w:rPr>
                <w:rFonts w:ascii="Times New Roman"/>
                <w:sz w:val="21"/>
              </w:rPr>
              <w:t>5</w:t>
            </w:r>
          </w:p>
        </w:tc>
      </w:tr>
      <w:tr>
        <w:trPr>
          <w:trHeight w:val="348" w:hRule="exact"/>
        </w:trPr>
        <w:tc>
          <w:tcPr>
            <w:tcW w:w="2160"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专利、商标和著作权</w:t>
            </w:r>
          </w:p>
        </w:tc>
        <w:tc>
          <w:tcPr>
            <w:tcW w:w="216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5"/>
              <w:ind w:right="5"/>
              <w:jc w:val="center"/>
              <w:rPr>
                <w:rFonts w:ascii="Times New Roman" w:hAnsi="Times New Roman" w:cs="Times New Roman" w:eastAsia="Times New Roman" w:hint="default"/>
                <w:sz w:val="21"/>
                <w:szCs w:val="21"/>
              </w:rPr>
            </w:pPr>
            <w:r>
              <w:rPr>
                <w:rFonts w:ascii="Times New Roman"/>
                <w:sz w:val="21"/>
              </w:rPr>
              <w:t>10</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3"/>
          <w:szCs w:val="23"/>
        </w:rPr>
      </w:pPr>
    </w:p>
    <w:p>
      <w:pPr>
        <w:pStyle w:val="Heading5"/>
        <w:spacing w:line="240" w:lineRule="auto" w:before="35"/>
        <w:ind w:right="0"/>
        <w:jc w:val="both"/>
        <w:rPr>
          <w:b w:val="0"/>
          <w:bCs w:val="0"/>
        </w:rPr>
      </w:pPr>
      <w:bookmarkStart w:name="（2）内部研究开发支出会计政策" w:id="195"/>
      <w:bookmarkEnd w:id="195"/>
      <w:r>
        <w:rPr>
          <w:b w:val="0"/>
          <w:bCs w:val="0"/>
        </w:rPr>
      </w:r>
      <w:r>
        <w:rPr/>
        <w:t>（</w:t>
      </w:r>
      <w:r>
        <w:rPr>
          <w:rFonts w:ascii="Times New Roman" w:hAnsi="Times New Roman" w:cs="Times New Roman" w:eastAsia="Times New Roman" w:hint="default"/>
        </w:rPr>
        <w:t>2</w:t>
      </w:r>
      <w:r>
        <w:rPr/>
        <w:t>）内部研究开发支出会计政策</w:t>
      </w:r>
      <w:r>
        <w:rPr>
          <w:b w:val="0"/>
          <w:bCs w:val="0"/>
        </w:rPr>
      </w:r>
    </w:p>
    <w:p>
      <w:pPr>
        <w:spacing w:line="240" w:lineRule="auto" w:before="7"/>
        <w:rPr>
          <w:rFonts w:ascii="宋体" w:hAnsi="宋体" w:cs="宋体" w:eastAsia="宋体" w:hint="default"/>
          <w:b/>
          <w:bCs/>
          <w:sz w:val="24"/>
          <w:szCs w:val="24"/>
        </w:rPr>
      </w:pPr>
    </w:p>
    <w:p>
      <w:pPr>
        <w:pStyle w:val="Heading6"/>
        <w:spacing w:line="261" w:lineRule="auto"/>
        <w:ind w:right="150" w:firstLine="420"/>
        <w:jc w:val="both"/>
      </w:pPr>
      <w:r>
        <w:rPr>
          <w:spacing w:val="-1"/>
        </w:rPr>
        <w:t>内部研究开发项目研究阶段的支出，于发生时计入当期损益。内部研究开发项目开发阶段的支出，同</w:t>
      </w:r>
      <w:r>
        <w:rPr/>
        <w:t> 时满足下列条件的，确认为无形资产：</w:t>
      </w:r>
      <w:r>
        <w:rPr>
          <w:rFonts w:ascii="Times New Roman" w:hAnsi="Times New Roman" w:cs="Times New Roman" w:eastAsia="Times New Roman" w:hint="default"/>
        </w:rPr>
        <w:t>(1)</w:t>
      </w:r>
      <w:r>
        <w:rPr>
          <w:rFonts w:ascii="Times New Roman" w:hAnsi="Times New Roman" w:cs="Times New Roman" w:eastAsia="Times New Roman" w:hint="default"/>
          <w:spacing w:val="27"/>
        </w:rPr>
        <w:t> </w:t>
      </w:r>
      <w:r>
        <w:rPr/>
        <w:t>完成该无形资产以使其能够使用或出售在技术上具有可行性；</w:t>
      </w:r>
      <w:r>
        <w:rPr>
          <w:spacing w:val="-95"/>
        </w:rPr>
        <w:t> </w:t>
      </w:r>
      <w:r>
        <w:rPr>
          <w:spacing w:val="-95"/>
        </w:rPr>
      </w:r>
      <w:r>
        <w:rPr>
          <w:rFonts w:ascii="Times New Roman" w:hAnsi="Times New Roman" w:cs="Times New Roman" w:eastAsia="Times New Roman" w:hint="default"/>
        </w:rPr>
        <w:t>(2) </w:t>
      </w:r>
      <w:r>
        <w:rPr/>
        <w:t>具有完成该无形资产并使用或出售的意图；</w:t>
      </w:r>
      <w:r>
        <w:rPr>
          <w:rFonts w:ascii="Times New Roman" w:hAnsi="Times New Roman" w:cs="Times New Roman" w:eastAsia="Times New Roman" w:hint="default"/>
        </w:rPr>
        <w:t>(3)</w:t>
      </w:r>
      <w:r>
        <w:rPr>
          <w:rFonts w:ascii="Times New Roman" w:hAnsi="Times New Roman" w:cs="Times New Roman" w:eastAsia="Times New Roman" w:hint="default"/>
          <w:spacing w:val="13"/>
        </w:rPr>
        <w:t> </w:t>
      </w:r>
      <w:r>
        <w:rPr/>
        <w:t>无形资产产生经济利益的方式，包括能够证明运用该无 </w:t>
      </w:r>
      <w:r>
        <w:rPr>
          <w:spacing w:val="-3"/>
        </w:rPr>
        <w:t>形资产生产的产品存在市场或无形资产自身存在市场，无形资产将在内部使用的，能证明其有用性；</w:t>
      </w:r>
      <w:r>
        <w:rPr>
          <w:rFonts w:ascii="Times New Roman" w:hAnsi="Times New Roman" w:cs="Times New Roman" w:eastAsia="Times New Roman" w:hint="default"/>
          <w:spacing w:val="-3"/>
        </w:rPr>
        <w:t>(4)</w:t>
      </w:r>
      <w:r>
        <w:rPr>
          <w:rFonts w:ascii="Times New Roman" w:hAnsi="Times New Roman" w:cs="Times New Roman" w:eastAsia="Times New Roman" w:hint="default"/>
          <w:spacing w:val="31"/>
        </w:rPr>
        <w:t> </w:t>
      </w:r>
      <w:r>
        <w:rPr/>
        <w:t>有 </w:t>
      </w:r>
      <w:r>
        <w:rPr>
          <w:spacing w:val="-2"/>
        </w:rPr>
        <w:t>足够的技术、财务资源和其他资源支持，以完成该无形资产的开发，并有能力使用或出售该无形资产；</w:t>
      </w:r>
      <w:r>
        <w:rPr>
          <w:rFonts w:ascii="Times New Roman" w:hAnsi="Times New Roman" w:cs="Times New Roman" w:eastAsia="Times New Roman" w:hint="default"/>
          <w:spacing w:val="-2"/>
        </w:rPr>
        <w:t>(5)</w:t>
      </w:r>
      <w:r>
        <w:rPr>
          <w:rFonts w:ascii="Times New Roman" w:hAnsi="Times New Roman" w:cs="Times New Roman" w:eastAsia="Times New Roman" w:hint="default"/>
          <w:spacing w:val="-15"/>
        </w:rPr>
        <w:t> </w:t>
      </w:r>
      <w:r>
        <w:rPr/>
        <w:t>归属于该无形资产开发阶段的支出能够可靠地计量。</w:t>
      </w:r>
    </w:p>
    <w:p>
      <w:pPr>
        <w:pStyle w:val="Heading6"/>
        <w:spacing w:line="590" w:lineRule="atLeast" w:before="20"/>
        <w:ind w:left="574" w:right="0" w:hanging="420"/>
        <w:jc w:val="left"/>
      </w:pPr>
      <w:bookmarkStart w:name="22、长期资产减值" w:id="196"/>
      <w:bookmarkEnd w:id="196"/>
      <w:r>
        <w:rPr/>
      </w:r>
      <w:r>
        <w:rPr>
          <w:rFonts w:ascii="Times New Roman" w:hAnsi="Times New Roman" w:cs="Times New Roman" w:eastAsia="Times New Roman" w:hint="default"/>
          <w:b/>
          <w:bCs/>
        </w:rPr>
        <w:t>22</w:t>
      </w:r>
      <w:r>
        <w:rPr>
          <w:rFonts w:ascii="宋体" w:hAnsi="宋体" w:cs="宋体" w:eastAsia="宋体" w:hint="default"/>
          <w:b/>
          <w:bCs/>
        </w:rPr>
        <w:t>、长期资产减值</w:t>
      </w:r>
      <w:r>
        <w:rPr>
          <w:rFonts w:ascii="宋体" w:hAnsi="宋体" w:cs="宋体" w:eastAsia="宋体" w:hint="default"/>
          <w:b/>
          <w:bCs/>
          <w:w w:val="99"/>
        </w:rPr>
        <w:t> </w:t>
      </w:r>
      <w:r>
        <w:rPr>
          <w:spacing w:val="-1"/>
        </w:rPr>
        <w:t>对长期股权投资、采用成本模式计量的投资性房地产、固定资产、在建工程、使用寿命有限的无形资</w:t>
      </w:r>
    </w:p>
    <w:p>
      <w:pPr>
        <w:pStyle w:val="Heading6"/>
        <w:spacing w:line="266" w:lineRule="auto" w:before="37"/>
        <w:ind w:right="151"/>
        <w:jc w:val="both"/>
      </w:pPr>
      <w:r>
        <w:rPr>
          <w:spacing w:val="-2"/>
        </w:rPr>
        <w:t>产等长期资产</w:t>
      </w:r>
      <w:r>
        <w:rPr>
          <w:rFonts w:ascii="Times New Roman" w:hAnsi="Times New Roman" w:cs="Times New Roman" w:eastAsia="Times New Roman" w:hint="default"/>
          <w:spacing w:val="-2"/>
        </w:rPr>
        <w:t>,</w:t>
      </w:r>
      <w:r>
        <w:rPr>
          <w:spacing w:val="-2"/>
        </w:rPr>
        <w:t>在资产负债表日有迹象表明发生减值的，估计其可收回金额。对因企业合并所形成的商誉和</w:t>
      </w:r>
      <w:r>
        <w:rPr>
          <w:spacing w:val="-87"/>
        </w:rPr>
        <w:t> </w:t>
      </w:r>
      <w:r>
        <w:rPr>
          <w:spacing w:val="-87"/>
        </w:rPr>
      </w:r>
      <w:r>
        <w:rPr>
          <w:spacing w:val="-1"/>
        </w:rPr>
        <w:t>使用寿命不确定的无形资产，无论是否存在减值迹象，每年都进行减值测试。商誉结合与其相关的资产组</w:t>
      </w:r>
      <w:r>
        <w:rPr>
          <w:spacing w:val="-83"/>
        </w:rPr>
        <w:t> </w:t>
      </w:r>
      <w:r>
        <w:rPr>
          <w:spacing w:val="-83"/>
        </w:rPr>
      </w:r>
      <w:r>
        <w:rPr/>
        <w:t>或者资产组组合进行减值测试。</w:t>
      </w:r>
    </w:p>
    <w:p>
      <w:pPr>
        <w:pStyle w:val="Heading6"/>
        <w:spacing w:line="240" w:lineRule="auto" w:before="14"/>
        <w:ind w:left="574" w:right="0"/>
        <w:jc w:val="left"/>
      </w:pPr>
      <w:r>
        <w:rPr/>
        <w:t>若上述长期资产的可收回金额低于其账面价值的，按其差额确认资产减值准备并计入当期损益。</w:t>
      </w:r>
    </w:p>
    <w:p>
      <w:pPr>
        <w:spacing w:after="0" w:line="240" w:lineRule="auto"/>
        <w:jc w:val="left"/>
        <w:sectPr>
          <w:pgSz w:w="11910" w:h="16840"/>
          <w:pgMar w:header="747" w:footer="979" w:top="1060" w:bottom="1160" w:left="980" w:right="980"/>
        </w:sectPr>
      </w:pPr>
    </w:p>
    <w:p>
      <w:pPr>
        <w:spacing w:line="240" w:lineRule="auto" w:before="10"/>
        <w:rPr>
          <w:rFonts w:ascii="宋体" w:hAnsi="宋体" w:cs="宋体" w:eastAsia="宋体" w:hint="default"/>
          <w:sz w:val="24"/>
          <w:szCs w:val="24"/>
        </w:rPr>
      </w:pPr>
    </w:p>
    <w:p>
      <w:pPr>
        <w:pStyle w:val="Heading5"/>
        <w:spacing w:line="240" w:lineRule="auto" w:before="35"/>
        <w:ind w:right="103"/>
        <w:jc w:val="left"/>
        <w:rPr>
          <w:b w:val="0"/>
          <w:bCs w:val="0"/>
        </w:rPr>
      </w:pPr>
      <w:bookmarkStart w:name="23、长期待摊费用" w:id="197"/>
      <w:bookmarkEnd w:id="197"/>
      <w:r>
        <w:rPr>
          <w:b w:val="0"/>
          <w:bCs w:val="0"/>
        </w:rPr>
      </w:r>
      <w:r>
        <w:rPr>
          <w:rFonts w:ascii="Times New Roman" w:hAnsi="Times New Roman" w:cs="Times New Roman" w:eastAsia="Times New Roman" w:hint="default"/>
        </w:rPr>
        <w:t>23</w:t>
      </w:r>
      <w:r>
        <w:rPr/>
        <w:t>、长期待摊费用</w:t>
      </w:r>
      <w:r>
        <w:rPr>
          <w:b w:val="0"/>
          <w:bCs w:val="0"/>
        </w:rPr>
      </w:r>
    </w:p>
    <w:p>
      <w:pPr>
        <w:spacing w:line="240" w:lineRule="auto" w:before="7"/>
        <w:rPr>
          <w:rFonts w:ascii="宋体" w:hAnsi="宋体" w:cs="宋体" w:eastAsia="宋体" w:hint="default"/>
          <w:b/>
          <w:bCs/>
          <w:sz w:val="24"/>
          <w:szCs w:val="24"/>
        </w:rPr>
      </w:pPr>
    </w:p>
    <w:p>
      <w:pPr>
        <w:pStyle w:val="Heading6"/>
        <w:spacing w:line="266" w:lineRule="auto"/>
        <w:ind w:right="211" w:firstLine="420"/>
        <w:jc w:val="both"/>
      </w:pPr>
      <w:r>
        <w:rPr/>
        <w:t>长期待摊费用核算已经支出，摊销期限在</w:t>
      </w:r>
      <w:r>
        <w:rPr>
          <w:rFonts w:ascii="Times New Roman" w:hAnsi="Times New Roman" w:cs="Times New Roman" w:eastAsia="Times New Roman" w:hint="default"/>
        </w:rPr>
        <w:t>1</w:t>
      </w:r>
      <w:r>
        <w:rPr/>
        <w:t>年以上</w:t>
      </w:r>
      <w:r>
        <w:rPr>
          <w:rFonts w:ascii="Times New Roman" w:hAnsi="Times New Roman" w:cs="Times New Roman" w:eastAsia="Times New Roman" w:hint="default"/>
        </w:rPr>
        <w:t>(</w:t>
      </w:r>
      <w:r>
        <w:rPr/>
        <w:t>不含</w:t>
      </w:r>
      <w:r>
        <w:rPr>
          <w:rFonts w:ascii="Times New Roman" w:hAnsi="Times New Roman" w:cs="Times New Roman" w:eastAsia="Times New Roman" w:hint="default"/>
        </w:rPr>
        <w:t>1</w:t>
      </w:r>
      <w:r>
        <w:rPr/>
        <w:t>年</w:t>
      </w:r>
      <w:r>
        <w:rPr>
          <w:rFonts w:ascii="Times New Roman" w:hAnsi="Times New Roman" w:cs="Times New Roman" w:eastAsia="Times New Roman" w:hint="default"/>
        </w:rPr>
        <w:t>)</w:t>
      </w:r>
      <w:r>
        <w:rPr/>
        <w:t>的各项费用。长期待摊费用按实际发生额 </w:t>
      </w:r>
      <w:r>
        <w:rPr>
          <w:spacing w:val="-1"/>
        </w:rPr>
        <w:t>入账，在受益期或规定的期限内分期平均摊销。如果长期待摊的费用项目不能使以后会计期间受益则将尚</w:t>
      </w:r>
      <w:r>
        <w:rPr>
          <w:spacing w:val="-81"/>
        </w:rPr>
        <w:t> </w:t>
      </w:r>
      <w:r>
        <w:rPr>
          <w:spacing w:val="-81"/>
        </w:rPr>
      </w:r>
      <w:r>
        <w:rPr/>
        <w:t>未摊销的该项目的摊余价值全部转入当期损益。</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7"/>
          <w:szCs w:val="27"/>
        </w:rPr>
      </w:pPr>
    </w:p>
    <w:p>
      <w:pPr>
        <w:pStyle w:val="Heading5"/>
        <w:spacing w:line="240" w:lineRule="auto"/>
        <w:ind w:right="103"/>
        <w:jc w:val="left"/>
        <w:rPr>
          <w:b w:val="0"/>
          <w:bCs w:val="0"/>
        </w:rPr>
      </w:pPr>
      <w:bookmarkStart w:name="24、职工薪酬" w:id="198"/>
      <w:bookmarkEnd w:id="198"/>
      <w:r>
        <w:rPr>
          <w:b w:val="0"/>
          <w:bCs w:val="0"/>
        </w:rPr>
      </w:r>
      <w:r>
        <w:rPr>
          <w:rFonts w:ascii="Times New Roman" w:hAnsi="Times New Roman" w:cs="Times New Roman" w:eastAsia="Times New Roman" w:hint="default"/>
        </w:rPr>
        <w:t>24</w:t>
      </w:r>
      <w:r>
        <w:rPr/>
        <w:t>、职工薪酬</w:t>
      </w:r>
      <w:r>
        <w:rPr>
          <w:b w:val="0"/>
          <w:bCs w:val="0"/>
        </w:rPr>
      </w:r>
    </w:p>
    <w:p>
      <w:pPr>
        <w:spacing w:line="590" w:lineRule="atLeast" w:before="23"/>
        <w:ind w:left="574" w:right="103" w:hanging="420"/>
        <w:jc w:val="left"/>
        <w:rPr>
          <w:rFonts w:ascii="宋体" w:hAnsi="宋体" w:cs="宋体" w:eastAsia="宋体" w:hint="default"/>
          <w:sz w:val="21"/>
          <w:szCs w:val="21"/>
        </w:rPr>
      </w:pPr>
      <w:bookmarkStart w:name="（1）短期薪酬的会计处理方法" w:id="199"/>
      <w:bookmarkEnd w:id="199"/>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）短期薪酬的会计处理方法</w:t>
      </w:r>
      <w:r>
        <w:rPr>
          <w:rFonts w:ascii="宋体" w:hAnsi="宋体" w:cs="宋体" w:eastAsia="宋体" w:hint="default"/>
          <w:b/>
          <w:bCs/>
          <w:w w:val="99"/>
          <w:sz w:val="21"/>
          <w:szCs w:val="21"/>
        </w:rPr>
        <w:t> </w:t>
      </w:r>
      <w:r>
        <w:rPr>
          <w:rFonts w:ascii="宋体" w:hAnsi="宋体" w:cs="宋体" w:eastAsia="宋体" w:hint="default"/>
          <w:spacing w:val="-1"/>
          <w:sz w:val="21"/>
          <w:szCs w:val="21"/>
        </w:rPr>
        <w:t>在职工为公司提供服务的会计期间，将实际发生的短期薪酬确认为负债，并计入当期损益或相关资产</w:t>
      </w:r>
    </w:p>
    <w:p>
      <w:pPr>
        <w:pStyle w:val="Heading6"/>
        <w:spacing w:line="240" w:lineRule="auto" w:before="37"/>
        <w:ind w:right="103"/>
        <w:jc w:val="left"/>
      </w:pPr>
      <w:r>
        <w:rPr/>
        <w:t>成本。</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9"/>
          <w:szCs w:val="29"/>
        </w:rPr>
      </w:pPr>
    </w:p>
    <w:p>
      <w:pPr>
        <w:pStyle w:val="Heading5"/>
        <w:spacing w:line="240" w:lineRule="auto"/>
        <w:ind w:right="103"/>
        <w:jc w:val="left"/>
        <w:rPr>
          <w:b w:val="0"/>
          <w:bCs w:val="0"/>
        </w:rPr>
      </w:pPr>
      <w:bookmarkStart w:name="（2）离职后福利的会计处理方法" w:id="200"/>
      <w:bookmarkEnd w:id="200"/>
      <w:r>
        <w:rPr>
          <w:b w:val="0"/>
          <w:bCs w:val="0"/>
        </w:rPr>
      </w:r>
      <w:r>
        <w:rPr/>
        <w:t>（</w:t>
      </w:r>
      <w:r>
        <w:rPr>
          <w:rFonts w:ascii="Times New Roman" w:hAnsi="Times New Roman" w:cs="Times New Roman" w:eastAsia="Times New Roman" w:hint="default"/>
        </w:rPr>
        <w:t>2</w:t>
      </w:r>
      <w:r>
        <w:rPr/>
        <w:t>）离职后福利的会计处理方法</w:t>
      </w:r>
      <w:r>
        <w:rPr>
          <w:b w:val="0"/>
          <w:bCs w:val="0"/>
        </w:rPr>
      </w:r>
    </w:p>
    <w:p>
      <w:pPr>
        <w:spacing w:line="240" w:lineRule="auto" w:before="0"/>
        <w:rPr>
          <w:rFonts w:ascii="宋体" w:hAnsi="宋体" w:cs="宋体" w:eastAsia="宋体" w:hint="default"/>
          <w:b/>
          <w:bCs/>
          <w:sz w:val="22"/>
          <w:szCs w:val="22"/>
        </w:rPr>
      </w:pPr>
    </w:p>
    <w:p>
      <w:pPr>
        <w:spacing w:line="240" w:lineRule="auto" w:before="5"/>
        <w:rPr>
          <w:rFonts w:ascii="宋体" w:hAnsi="宋体" w:cs="宋体" w:eastAsia="宋体" w:hint="default"/>
          <w:b/>
          <w:bCs/>
          <w:sz w:val="26"/>
          <w:szCs w:val="26"/>
        </w:rPr>
      </w:pPr>
    </w:p>
    <w:p>
      <w:pPr>
        <w:pStyle w:val="Heading6"/>
        <w:spacing w:line="256" w:lineRule="auto"/>
        <w:ind w:right="221" w:firstLine="420"/>
        <w:jc w:val="both"/>
      </w:pPr>
      <w:r>
        <w:rPr>
          <w:rFonts w:ascii="Times New Roman" w:hAnsi="Times New Roman" w:cs="Times New Roman" w:eastAsia="Times New Roman" w:hint="default"/>
        </w:rPr>
        <w:t>(1)</w:t>
      </w:r>
      <w:r>
        <w:rPr>
          <w:rFonts w:ascii="Times New Roman" w:hAnsi="Times New Roman" w:cs="Times New Roman" w:eastAsia="Times New Roman" w:hint="default"/>
          <w:spacing w:val="31"/>
        </w:rPr>
        <w:t> </w:t>
      </w:r>
      <w:r>
        <w:rPr/>
        <w:t>在职工为公司提供服务的会计期间，根据设定提存计划计算的应缴存金额确认为负债，并计入当</w:t>
      </w:r>
      <w:r>
        <w:rPr>
          <w:w w:val="99"/>
        </w:rPr>
        <w:t> </w:t>
      </w:r>
      <w:r>
        <w:rPr/>
        <w:t>期损益或相关资产成本。</w:t>
      </w:r>
    </w:p>
    <w:p>
      <w:pPr>
        <w:pStyle w:val="Heading6"/>
        <w:spacing w:line="240" w:lineRule="auto" w:before="22"/>
        <w:ind w:left="574" w:right="103"/>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31"/>
        </w:rPr>
        <w:t> </w:t>
      </w:r>
      <w:r>
        <w:rPr/>
        <w:t>对设定受益计划的会计处理通常包括下列步骤：</w:t>
      </w:r>
    </w:p>
    <w:p>
      <w:pPr>
        <w:pStyle w:val="Heading6"/>
        <w:spacing w:line="266" w:lineRule="auto" w:before="21"/>
        <w:ind w:right="211" w:firstLine="420"/>
        <w:jc w:val="both"/>
      </w:pPr>
      <w:r>
        <w:rPr>
          <w:rFonts w:ascii="Times New Roman" w:hAnsi="Times New Roman" w:cs="Times New Roman" w:eastAsia="Times New Roman" w:hint="default"/>
        </w:rPr>
        <w:t>1)</w:t>
      </w:r>
      <w:r>
        <w:rPr>
          <w:rFonts w:ascii="Times New Roman" w:hAnsi="Times New Roman" w:cs="Times New Roman" w:eastAsia="Times New Roman" w:hint="default"/>
          <w:spacing w:val="45"/>
        </w:rPr>
        <w:t> </w:t>
      </w:r>
      <w:r>
        <w:rPr>
          <w:spacing w:val="-2"/>
        </w:rPr>
        <w:t>根据预期累计福利单位法，采用无偏且相互一致的精算假设对有关人口统计变量和财务变量等作出</w:t>
      </w:r>
      <w:r>
        <w:rPr>
          <w:w w:val="99"/>
        </w:rPr>
        <w:t> </w:t>
      </w:r>
      <w:r>
        <w:rPr>
          <w:spacing w:val="-1"/>
        </w:rPr>
        <w:t>估计，计量设定受益计划所产生的义务，并确定相关义务的所属期间。同时，对设定受益计划所产生的义</w:t>
      </w:r>
      <w:r>
        <w:rPr>
          <w:spacing w:val="-87"/>
        </w:rPr>
        <w:t> </w:t>
      </w:r>
      <w:r>
        <w:rPr>
          <w:spacing w:val="-87"/>
        </w:rPr>
      </w:r>
      <w:r>
        <w:rPr/>
        <w:t>务予以折现，以确定设定受益计划义务的现值和当期服务成本；</w:t>
      </w:r>
    </w:p>
    <w:p>
      <w:pPr>
        <w:pStyle w:val="Heading6"/>
        <w:spacing w:line="264" w:lineRule="auto" w:before="14"/>
        <w:ind w:right="211" w:firstLine="420"/>
        <w:jc w:val="both"/>
      </w:pPr>
      <w:r>
        <w:rPr>
          <w:rFonts w:ascii="Times New Roman" w:hAnsi="Times New Roman" w:cs="Times New Roman" w:eastAsia="Times New Roman" w:hint="default"/>
        </w:rPr>
        <w:t>2)</w:t>
      </w:r>
      <w:r>
        <w:rPr>
          <w:rFonts w:ascii="Times New Roman" w:hAnsi="Times New Roman" w:cs="Times New Roman" w:eastAsia="Times New Roman" w:hint="default"/>
          <w:spacing w:val="45"/>
        </w:rPr>
        <w:t> </w:t>
      </w:r>
      <w:r>
        <w:rPr>
          <w:spacing w:val="-2"/>
        </w:rPr>
        <w:t>设定受益计划存在资产的，将设定受益计划义务现值减去设定受益计划资产公允价值所形成的赤字</w:t>
      </w:r>
      <w:r>
        <w:rPr>
          <w:w w:val="99"/>
        </w:rPr>
        <w:t> </w:t>
      </w:r>
      <w:r>
        <w:rPr>
          <w:spacing w:val="-1"/>
        </w:rPr>
        <w:t>或盈余确认为一项设定受益计划净负债或净资产。设定受益计划存在盈余的，以设定受益计划的盈余和资</w:t>
      </w:r>
      <w:r>
        <w:rPr>
          <w:spacing w:val="-82"/>
        </w:rPr>
        <w:t> </w:t>
      </w:r>
      <w:r>
        <w:rPr>
          <w:spacing w:val="-82"/>
        </w:rPr>
      </w:r>
      <w:r>
        <w:rPr/>
        <w:t>产上限两项的孰低者计量设定受益计划净资产；</w:t>
      </w:r>
    </w:p>
    <w:p>
      <w:pPr>
        <w:pStyle w:val="Heading6"/>
        <w:spacing w:line="268" w:lineRule="auto" w:before="16"/>
        <w:ind w:right="211" w:firstLine="420"/>
        <w:jc w:val="both"/>
      </w:pPr>
      <w:r>
        <w:rPr>
          <w:rFonts w:ascii="Times New Roman" w:hAnsi="Times New Roman" w:cs="Times New Roman" w:eastAsia="Times New Roman" w:hint="default"/>
        </w:rPr>
        <w:t>3)</w:t>
      </w:r>
      <w:r>
        <w:rPr>
          <w:rFonts w:ascii="Times New Roman" w:hAnsi="Times New Roman" w:cs="Times New Roman" w:eastAsia="Times New Roman" w:hint="default"/>
          <w:spacing w:val="44"/>
        </w:rPr>
        <w:t> </w:t>
      </w:r>
      <w:r>
        <w:rPr>
          <w:spacing w:val="-2"/>
        </w:rPr>
        <w:t>期末，将设定受益计划产生的职工薪酬成本确认为服务成本、设定受益计划净负债或净资产的利息</w:t>
      </w:r>
      <w:r>
        <w:rPr>
          <w:w w:val="99"/>
        </w:rPr>
        <w:t> </w:t>
      </w:r>
      <w:r>
        <w:rPr>
          <w:spacing w:val="-1"/>
        </w:rPr>
        <w:t>净额以及重新计量设定受益计划净负债或净资产所产生的变动等三部分，其中服务成本和设定受益计划净</w:t>
      </w:r>
      <w:r>
        <w:rPr>
          <w:spacing w:val="-82"/>
        </w:rPr>
        <w:t> </w:t>
      </w:r>
      <w:r>
        <w:rPr>
          <w:spacing w:val="-82"/>
        </w:rPr>
      </w:r>
      <w:r>
        <w:rPr>
          <w:spacing w:val="-1"/>
        </w:rPr>
        <w:t>负债或净资产的利息净额计入当期损益或相关资产成本，重新计量设定受益计划净负债或净资产所产生的</w:t>
      </w:r>
      <w:r>
        <w:rPr>
          <w:spacing w:val="-82"/>
        </w:rPr>
        <w:t> </w:t>
      </w:r>
      <w:r>
        <w:rPr>
          <w:spacing w:val="-82"/>
        </w:rPr>
      </w:r>
      <w:r>
        <w:rPr>
          <w:spacing w:val="-1"/>
        </w:rPr>
        <w:t>变动计入其他综合收益，并且在后续会计期间不允许转回至损益，但可以在权益范围内转移这些在其他综</w:t>
      </w:r>
      <w:r>
        <w:rPr>
          <w:spacing w:val="-82"/>
        </w:rPr>
        <w:t> </w:t>
      </w:r>
      <w:r>
        <w:rPr>
          <w:spacing w:val="-82"/>
        </w:rPr>
      </w:r>
      <w:r>
        <w:rPr/>
        <w:t>合收益确认的金额。</w:t>
      </w:r>
    </w:p>
    <w:p>
      <w:pPr>
        <w:spacing w:line="240" w:lineRule="auto" w:before="5"/>
        <w:rPr>
          <w:rFonts w:ascii="宋体" w:hAnsi="宋体" w:cs="宋体" w:eastAsia="宋体" w:hint="default"/>
          <w:sz w:val="23"/>
          <w:szCs w:val="23"/>
        </w:rPr>
      </w:pPr>
    </w:p>
    <w:p>
      <w:pPr>
        <w:spacing w:line="610" w:lineRule="atLeast" w:before="0"/>
        <w:ind w:left="574" w:right="103" w:hanging="420"/>
        <w:jc w:val="left"/>
        <w:rPr>
          <w:rFonts w:ascii="Times New Roman" w:hAnsi="Times New Roman" w:cs="Times New Roman" w:eastAsia="Times New Roman" w:hint="default"/>
          <w:sz w:val="21"/>
          <w:szCs w:val="21"/>
        </w:rPr>
      </w:pPr>
      <w:bookmarkStart w:name="（3）辞退福利的会计处理方法" w:id="201"/>
      <w:bookmarkEnd w:id="201"/>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）辞退福利的会计处理方法</w:t>
      </w:r>
      <w:r>
        <w:rPr>
          <w:rFonts w:ascii="宋体" w:hAnsi="宋体" w:cs="宋体" w:eastAsia="宋体" w:hint="default"/>
          <w:b/>
          <w:bCs/>
          <w:w w:val="99"/>
          <w:sz w:val="21"/>
          <w:szCs w:val="21"/>
        </w:rPr>
        <w:t> </w:t>
      </w:r>
      <w:r>
        <w:rPr>
          <w:rFonts w:ascii="宋体" w:hAnsi="宋体" w:cs="宋体" w:eastAsia="宋体" w:hint="default"/>
          <w:spacing w:val="-2"/>
          <w:sz w:val="21"/>
          <w:szCs w:val="21"/>
        </w:rPr>
        <w:t>向职工提供的辞退福利，在下列两者孰早日确认辞退福利产生的职工薪酬负债，并计入当期损益：</w:t>
      </w:r>
      <w:r>
        <w:rPr>
          <w:rFonts w:ascii="Times New Roman" w:hAnsi="Times New Roman" w:cs="Times New Roman" w:eastAsia="Times New Roman" w:hint="default"/>
          <w:spacing w:val="-2"/>
          <w:sz w:val="21"/>
          <w:szCs w:val="21"/>
        </w:rPr>
        <w:t>(1)</w:t>
      </w:r>
    </w:p>
    <w:p>
      <w:pPr>
        <w:pStyle w:val="Heading6"/>
        <w:spacing w:line="256" w:lineRule="auto" w:before="21"/>
        <w:ind w:right="103"/>
        <w:jc w:val="left"/>
      </w:pPr>
      <w:r>
        <w:rPr/>
        <w:t>公司不能单方面撤回因解除劳动关系计划或裁减建议所提供的辞退福利时；</w:t>
      </w:r>
      <w:r>
        <w:rPr>
          <w:rFonts w:ascii="Times New Roman" w:hAnsi="Times New Roman" w:cs="Times New Roman" w:eastAsia="Times New Roman" w:hint="default"/>
        </w:rPr>
        <w:t>(2)</w:t>
      </w:r>
      <w:r>
        <w:rPr>
          <w:rFonts w:ascii="Times New Roman" w:hAnsi="Times New Roman" w:cs="Times New Roman" w:eastAsia="Times New Roman" w:hint="default"/>
          <w:spacing w:val="34"/>
        </w:rPr>
        <w:t> </w:t>
      </w:r>
      <w:r>
        <w:rPr/>
        <w:t>公司确认与涉及支付辞退</w:t>
      </w:r>
      <w:r>
        <w:rPr>
          <w:spacing w:val="-99"/>
        </w:rPr>
        <w:t> </w:t>
      </w:r>
      <w:r>
        <w:rPr>
          <w:spacing w:val="-99"/>
        </w:rPr>
      </w:r>
      <w:r>
        <w:rPr/>
        <w:t>福利的重组相关的成本或费用时。</w:t>
      </w:r>
    </w:p>
    <w:p>
      <w:pPr>
        <w:spacing w:line="240" w:lineRule="auto" w:before="10"/>
        <w:rPr>
          <w:rFonts w:ascii="宋体" w:hAnsi="宋体" w:cs="宋体" w:eastAsia="宋体" w:hint="default"/>
          <w:sz w:val="25"/>
          <w:szCs w:val="25"/>
        </w:rPr>
      </w:pPr>
    </w:p>
    <w:p>
      <w:pPr>
        <w:spacing w:line="590" w:lineRule="atLeast" w:before="0"/>
        <w:ind w:left="574" w:right="97" w:hanging="420"/>
        <w:jc w:val="left"/>
        <w:rPr>
          <w:rFonts w:ascii="宋体" w:hAnsi="宋体" w:cs="宋体" w:eastAsia="宋体" w:hint="default"/>
          <w:sz w:val="21"/>
          <w:szCs w:val="21"/>
        </w:rPr>
      </w:pPr>
      <w:bookmarkStart w:name="（4）其他长期职工福利的会计处理方法" w:id="202"/>
      <w:bookmarkEnd w:id="20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）其他长期职工福利的会计处理方法</w:t>
      </w:r>
      <w:r>
        <w:rPr>
          <w:rFonts w:ascii="宋体" w:hAnsi="宋体" w:cs="宋体" w:eastAsia="宋体" w:hint="default"/>
          <w:b/>
          <w:bCs/>
          <w:w w:val="99"/>
          <w:sz w:val="21"/>
          <w:szCs w:val="21"/>
        </w:rPr>
        <w:t> </w:t>
      </w:r>
      <w:r>
        <w:rPr>
          <w:rFonts w:ascii="宋体" w:hAnsi="宋体" w:cs="宋体" w:eastAsia="宋体" w:hint="default"/>
          <w:spacing w:val="-3"/>
          <w:sz w:val="21"/>
          <w:szCs w:val="21"/>
        </w:rPr>
        <w:t>向职工提供的其他长期福利，符合设定提存计划条件的，按照设定提存计划的有关规定进行会计处理；</w:t>
      </w:r>
    </w:p>
    <w:p>
      <w:pPr>
        <w:pStyle w:val="Heading6"/>
        <w:spacing w:line="240" w:lineRule="auto" w:before="37"/>
        <w:ind w:right="103"/>
        <w:jc w:val="left"/>
      </w:pPr>
      <w:r>
        <w:rPr/>
        <w:t>除此之外的其他长期福利，按照设定受益计划的有关规定进行会计处理，为简化相关会计处理，将其产生</w:t>
      </w:r>
    </w:p>
    <w:p>
      <w:pPr>
        <w:spacing w:after="0" w:line="240" w:lineRule="auto"/>
        <w:jc w:val="left"/>
        <w:sectPr>
          <w:footerReference w:type="default" r:id="rId13"/>
          <w:pgSz w:w="11910" w:h="16840"/>
          <w:pgMar w:footer="979" w:header="747" w:top="1060" w:bottom="1160" w:left="980" w:right="920"/>
        </w:sectPr>
      </w:pPr>
    </w:p>
    <w:p>
      <w:pPr>
        <w:spacing w:line="240" w:lineRule="auto" w:before="9"/>
        <w:rPr>
          <w:rFonts w:ascii="宋体" w:hAnsi="宋体" w:cs="宋体" w:eastAsia="宋体" w:hint="default"/>
          <w:sz w:val="24"/>
          <w:szCs w:val="24"/>
        </w:rPr>
      </w:pPr>
    </w:p>
    <w:p>
      <w:pPr>
        <w:pStyle w:val="Heading6"/>
        <w:spacing w:line="273" w:lineRule="auto" w:before="35"/>
        <w:ind w:right="0"/>
        <w:jc w:val="left"/>
      </w:pPr>
      <w:r>
        <w:rPr>
          <w:spacing w:val="-1"/>
        </w:rPr>
        <w:t>的职工薪酬成本确认为服务成本、其他长期职工福利净负债或净资产的利息净额以及重新计量其他长期职</w:t>
      </w:r>
      <w:r>
        <w:rPr>
          <w:spacing w:val="-81"/>
        </w:rPr>
        <w:t> </w:t>
      </w:r>
      <w:r>
        <w:rPr>
          <w:spacing w:val="-81"/>
        </w:rPr>
      </w:r>
      <w:r>
        <w:rPr/>
        <w:t>工福利净负债或净资产所产生的变动等组成项目的总净额计入当期损益或相关资产成本。</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7"/>
          <w:szCs w:val="27"/>
        </w:rPr>
      </w:pPr>
    </w:p>
    <w:p>
      <w:pPr>
        <w:pStyle w:val="Heading5"/>
        <w:spacing w:line="240" w:lineRule="auto"/>
        <w:ind w:right="0"/>
        <w:jc w:val="left"/>
        <w:rPr>
          <w:b w:val="0"/>
          <w:bCs w:val="0"/>
        </w:rPr>
      </w:pPr>
      <w:bookmarkStart w:name="25、预计负债" w:id="203"/>
      <w:bookmarkEnd w:id="203"/>
      <w:r>
        <w:rPr>
          <w:b w:val="0"/>
          <w:bCs w:val="0"/>
        </w:rPr>
      </w:r>
      <w:r>
        <w:rPr>
          <w:rFonts w:ascii="Times New Roman" w:hAnsi="Times New Roman" w:cs="Times New Roman" w:eastAsia="Times New Roman" w:hint="default"/>
        </w:rPr>
        <w:t>25</w:t>
      </w:r>
      <w:r>
        <w:rPr/>
        <w:t>、预计负债</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bookmarkStart w:name="26、股份支付" w:id="204"/>
      <w:bookmarkEnd w:id="204"/>
      <w:r>
        <w:rPr>
          <w:b w:val="0"/>
          <w:bCs w:val="0"/>
        </w:rPr>
      </w:r>
      <w:r>
        <w:rPr>
          <w:rFonts w:ascii="Times New Roman" w:hAnsi="Times New Roman" w:cs="Times New Roman" w:eastAsia="Times New Roman" w:hint="default"/>
        </w:rPr>
        <w:t>26</w:t>
      </w:r>
      <w:r>
        <w:rPr/>
        <w:t>、股份支付</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bookmarkStart w:name="27、优先股、永续债等其他金融工具" w:id="205"/>
      <w:bookmarkEnd w:id="205"/>
      <w:r>
        <w:rPr>
          <w:b w:val="0"/>
          <w:bCs w:val="0"/>
        </w:rPr>
      </w:r>
      <w:r>
        <w:rPr>
          <w:rFonts w:ascii="Times New Roman" w:hAnsi="Times New Roman" w:cs="Times New Roman" w:eastAsia="Times New Roman" w:hint="default"/>
        </w:rPr>
        <w:t>27</w:t>
      </w:r>
      <w:r>
        <w:rPr/>
        <w:t>、优先股、永续债等其他金融工具</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bookmarkStart w:name="28、收入" w:id="206"/>
      <w:bookmarkEnd w:id="206"/>
      <w:r>
        <w:rPr>
          <w:b w:val="0"/>
          <w:bCs w:val="0"/>
        </w:rPr>
      </w:r>
      <w:r>
        <w:rPr>
          <w:rFonts w:ascii="Times New Roman" w:hAnsi="Times New Roman" w:cs="Times New Roman" w:eastAsia="Times New Roman" w:hint="default"/>
        </w:rPr>
        <w:t>28</w:t>
      </w:r>
      <w:r>
        <w:rPr/>
        <w:t>、收入</w:t>
      </w:r>
      <w:r>
        <w:rPr>
          <w:b w:val="0"/>
          <w:bCs w:val="0"/>
        </w:rPr>
      </w:r>
    </w:p>
    <w:p>
      <w:pPr>
        <w:spacing w:line="240" w:lineRule="auto" w:before="8"/>
        <w:rPr>
          <w:rFonts w:ascii="宋体" w:hAnsi="宋体" w:cs="宋体" w:eastAsia="宋体" w:hint="default"/>
          <w:b/>
          <w:bCs/>
          <w:sz w:val="26"/>
          <w:szCs w:val="26"/>
        </w:rPr>
      </w:pPr>
    </w:p>
    <w:p>
      <w:pPr>
        <w:pStyle w:val="BodyText"/>
        <w:spacing w:line="360" w:lineRule="auto" w:before="0"/>
        <w:ind w:right="6732"/>
        <w:jc w:val="left"/>
      </w:pPr>
      <w:r>
        <w:rPr/>
        <w:t>公司是否需要遵守特殊行业的披露要求 否</w:t>
      </w:r>
    </w:p>
    <w:p>
      <w:pPr>
        <w:pStyle w:val="Heading6"/>
        <w:spacing w:line="290" w:lineRule="exact"/>
        <w:ind w:left="574"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30"/>
        </w:rPr>
        <w:t> </w:t>
      </w:r>
      <w:r>
        <w:rPr/>
        <w:t>收入确认原则</w:t>
      </w:r>
    </w:p>
    <w:p>
      <w:pPr>
        <w:pStyle w:val="Heading6"/>
        <w:spacing w:line="240" w:lineRule="auto" w:before="21"/>
        <w:ind w:left="574"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31"/>
        </w:rPr>
        <w:t> </w:t>
      </w:r>
      <w:r>
        <w:rPr/>
        <w:t>销售商品</w:t>
      </w:r>
    </w:p>
    <w:p>
      <w:pPr>
        <w:pStyle w:val="Heading6"/>
        <w:spacing w:line="256" w:lineRule="auto" w:before="21"/>
        <w:ind w:right="100" w:firstLine="420"/>
        <w:jc w:val="both"/>
      </w:pPr>
      <w:r>
        <w:rPr/>
        <w:t>销售商品收入在同时满足下列条件时予以确认：</w:t>
      </w:r>
      <w:r>
        <w:rPr>
          <w:rFonts w:ascii="Times New Roman" w:hAnsi="Times New Roman" w:cs="Times New Roman" w:eastAsia="Times New Roman" w:hint="default"/>
        </w:rPr>
        <w:t>1)</w:t>
      </w:r>
      <w:r>
        <w:rPr>
          <w:rFonts w:ascii="Times New Roman" w:hAnsi="Times New Roman" w:cs="Times New Roman" w:eastAsia="Times New Roman" w:hint="default"/>
          <w:spacing w:val="31"/>
        </w:rPr>
        <w:t> </w:t>
      </w:r>
      <w:r>
        <w:rPr/>
        <w:t>将商品所有权上的主要风险和报酬转移给购货方； </w:t>
      </w:r>
      <w:r>
        <w:rPr>
          <w:rFonts w:ascii="Times New Roman" w:hAnsi="Times New Roman" w:cs="Times New Roman" w:eastAsia="Times New Roman" w:hint="default"/>
        </w:rPr>
        <w:t>2) </w:t>
      </w:r>
      <w:r>
        <w:rPr/>
        <w:t>公司不再保留通常与所有权相联系的继续管理权，也不再对已售出的商品实施有效控制；</w:t>
      </w:r>
      <w:r>
        <w:rPr>
          <w:rFonts w:ascii="Times New Roman" w:hAnsi="Times New Roman" w:cs="Times New Roman" w:eastAsia="Times New Roman" w:hint="default"/>
        </w:rPr>
        <w:t>3) </w:t>
      </w:r>
      <w:r>
        <w:rPr>
          <w:spacing w:val="3"/>
        </w:rPr>
        <w:t>收入的金</w:t>
      </w:r>
      <w:r>
        <w:rPr>
          <w:spacing w:val="-72"/>
        </w:rPr>
        <w:t> </w:t>
      </w:r>
      <w:r>
        <w:rPr/>
        <w:t>额能够可靠地计量；</w:t>
      </w:r>
      <w:r>
        <w:rPr>
          <w:rFonts w:ascii="Times New Roman" w:hAnsi="Times New Roman" w:cs="Times New Roman" w:eastAsia="Times New Roman" w:hint="default"/>
        </w:rPr>
        <w:t>4)  </w:t>
      </w:r>
      <w:r>
        <w:rPr/>
        <w:t>相关的经济利益很可能流入；</w:t>
      </w:r>
      <w:r>
        <w:rPr>
          <w:rFonts w:ascii="Times New Roman" w:hAnsi="Times New Roman" w:cs="Times New Roman" w:eastAsia="Times New Roman" w:hint="default"/>
        </w:rPr>
        <w:t>5)</w:t>
      </w:r>
      <w:r>
        <w:rPr>
          <w:rFonts w:ascii="Times New Roman" w:hAnsi="Times New Roman" w:cs="Times New Roman" w:eastAsia="Times New Roman" w:hint="default"/>
          <w:spacing w:val="10"/>
        </w:rPr>
        <w:t> </w:t>
      </w:r>
      <w:r>
        <w:rPr/>
        <w:t>相关的已发生或将发生的成本能够可靠地计量。</w:t>
      </w:r>
    </w:p>
    <w:p>
      <w:pPr>
        <w:pStyle w:val="Heading6"/>
        <w:spacing w:line="256" w:lineRule="auto" w:before="5"/>
        <w:ind w:left="574"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31"/>
        </w:rPr>
        <w:t> </w:t>
      </w:r>
      <w:r>
        <w:rPr/>
        <w:t>提供劳务</w:t>
      </w:r>
      <w:r>
        <w:rPr>
          <w:w w:val="99"/>
        </w:rPr>
        <w:t> </w:t>
      </w:r>
      <w:r>
        <w:rPr>
          <w:spacing w:val="-3"/>
          <w:w w:val="99"/>
        </w:rPr>
        <w:t>提供劳务交易的结果在资产负债表日能够可靠估计的</w:t>
      </w:r>
      <w:r>
        <w:rPr>
          <w:rFonts w:ascii="Times New Roman" w:hAnsi="Times New Roman" w:cs="Times New Roman" w:eastAsia="Times New Roman" w:hint="default"/>
          <w:spacing w:val="-3"/>
          <w:w w:val="99"/>
        </w:rPr>
        <w:t>(</w:t>
      </w:r>
      <w:r>
        <w:rPr>
          <w:spacing w:val="-3"/>
          <w:w w:val="99"/>
        </w:rPr>
        <w:t>同时满足收入的金额能够可靠地计量、相关经济</w:t>
      </w:r>
      <w:r>
        <w:rPr>
          <w:spacing w:val="-3"/>
        </w:rPr>
      </w:r>
    </w:p>
    <w:p>
      <w:pPr>
        <w:pStyle w:val="Heading6"/>
        <w:spacing w:line="268" w:lineRule="auto" w:before="5"/>
        <w:ind w:right="150"/>
        <w:jc w:val="both"/>
      </w:pPr>
      <w:r>
        <w:rPr>
          <w:spacing w:val="-3"/>
        </w:rPr>
        <w:t>利益很可能流入、交易的完工进度能够可靠地确定、交易中已发生和将发生的成本能够可靠地计量</w:t>
      </w:r>
      <w:r>
        <w:rPr>
          <w:rFonts w:ascii="Times New Roman" w:hAnsi="Times New Roman" w:cs="Times New Roman" w:eastAsia="Times New Roman" w:hint="default"/>
          <w:spacing w:val="-3"/>
        </w:rPr>
        <w:t>)</w:t>
      </w:r>
      <w:r>
        <w:rPr>
          <w:spacing w:val="-3"/>
        </w:rPr>
        <w:t>，采用</w:t>
      </w:r>
      <w:r>
        <w:rPr>
          <w:spacing w:val="-59"/>
        </w:rPr>
        <w:t> </w:t>
      </w:r>
      <w:r>
        <w:rPr>
          <w:spacing w:val="-59"/>
        </w:rPr>
      </w:r>
      <w:r>
        <w:rPr>
          <w:spacing w:val="-1"/>
        </w:rPr>
        <w:t>完工百分比法确认提供劳务的收入，并按已经发生的成本占估计总成本的比例确定提供劳务交易的完工进</w:t>
      </w:r>
      <w:r>
        <w:rPr>
          <w:spacing w:val="-81"/>
        </w:rPr>
        <w:t> </w:t>
      </w:r>
      <w:r>
        <w:rPr>
          <w:spacing w:val="-81"/>
        </w:rPr>
      </w:r>
      <w:r>
        <w:rPr/>
        <w:t>度。提供劳务交易的结果在资产负债表日不能够可靠估计的，若已经发生的劳务成本预计能够得到补偿， </w:t>
      </w:r>
      <w:r>
        <w:rPr>
          <w:spacing w:val="-1"/>
        </w:rPr>
        <w:t>按已经发生的劳务成本金额确认提供劳务收入，并按相同金额结转劳务成本；若已经发生的劳务成本预计</w:t>
      </w:r>
      <w:r>
        <w:rPr>
          <w:spacing w:val="-81"/>
        </w:rPr>
        <w:t> </w:t>
      </w:r>
      <w:r>
        <w:rPr>
          <w:spacing w:val="-81"/>
        </w:rPr>
      </w:r>
      <w:r>
        <w:rPr/>
        <w:t>不能够得到补偿，将已经发生的劳务成本计入当期损益，不确认劳务收入。</w:t>
      </w:r>
    </w:p>
    <w:p>
      <w:pPr>
        <w:pStyle w:val="Heading6"/>
        <w:spacing w:line="256" w:lineRule="auto" w:before="12"/>
        <w:ind w:left="574" w:right="0"/>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31"/>
        </w:rPr>
        <w:t> </w:t>
      </w:r>
      <w:r>
        <w:rPr/>
        <w:t>让渡资产使用权</w:t>
      </w:r>
      <w:r>
        <w:rPr>
          <w:w w:val="99"/>
        </w:rPr>
        <w:t> </w:t>
      </w:r>
      <w:r>
        <w:rPr>
          <w:spacing w:val="-1"/>
        </w:rPr>
        <w:t>让渡资产使用权在同时满足相关的经济利益很可能流入、收入金额能够可靠计量时，确认让渡资产使</w:t>
      </w:r>
    </w:p>
    <w:p>
      <w:pPr>
        <w:pStyle w:val="Heading6"/>
        <w:spacing w:line="273" w:lineRule="auto" w:before="22"/>
        <w:ind w:right="171"/>
        <w:jc w:val="both"/>
      </w:pPr>
      <w:r>
        <w:rPr>
          <w:spacing w:val="-1"/>
        </w:rPr>
        <w:t>用权的收入。利息收入按照他人使用本公司货币资金的时间和实际利率计算确定；使用费收入按有关合同</w:t>
      </w:r>
      <w:r>
        <w:rPr>
          <w:spacing w:val="-81"/>
        </w:rPr>
        <w:t> </w:t>
      </w:r>
      <w:r>
        <w:rPr>
          <w:spacing w:val="-81"/>
        </w:rPr>
      </w:r>
      <w:r>
        <w:rPr/>
        <w:t>或协议约定的收费时间和方法计算确定。</w:t>
      </w:r>
    </w:p>
    <w:p>
      <w:pPr>
        <w:pStyle w:val="Heading6"/>
        <w:spacing w:line="256" w:lineRule="auto" w:before="7"/>
        <w:ind w:left="574"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32"/>
        </w:rPr>
        <w:t> </w:t>
      </w:r>
      <w:r>
        <w:rPr/>
        <w:t>收入确认的具体方法 </w:t>
      </w:r>
      <w:r>
        <w:rPr>
          <w:spacing w:val="-1"/>
        </w:rPr>
        <w:t>公司主要销售电线电缆用高分子材料和电源设备及充电桩。内销产品收入确认需满足以下条件：公司</w:t>
      </w:r>
    </w:p>
    <w:p>
      <w:pPr>
        <w:pStyle w:val="Heading6"/>
        <w:spacing w:line="268" w:lineRule="auto" w:before="22"/>
        <w:ind w:right="171"/>
        <w:jc w:val="both"/>
      </w:pPr>
      <w:r>
        <w:rPr/>
        <w:t>已根据合同约定将产品交付给购货方</w:t>
      </w:r>
      <w:r>
        <w:rPr>
          <w:rFonts w:ascii="Times New Roman" w:hAnsi="Times New Roman" w:cs="Times New Roman" w:eastAsia="Times New Roman" w:hint="default"/>
        </w:rPr>
        <w:t>(</w:t>
      </w:r>
      <w:r>
        <w:rPr/>
        <w:t>涉及安装调试的产品以完成安装调试工作作为交付完成</w:t>
      </w:r>
      <w:r>
        <w:rPr>
          <w:rFonts w:ascii="Times New Roman" w:hAnsi="Times New Roman" w:cs="Times New Roman" w:eastAsia="Times New Roman" w:hint="default"/>
        </w:rPr>
        <w:t>)</w:t>
      </w:r>
      <w:r>
        <w:rPr/>
        <w:t>，且产品销</w:t>
      </w:r>
      <w:r>
        <w:rPr>
          <w:spacing w:val="-62"/>
        </w:rPr>
        <w:t> </w:t>
      </w:r>
      <w:r>
        <w:rPr>
          <w:spacing w:val="-62"/>
        </w:rPr>
      </w:r>
      <w:r>
        <w:rPr>
          <w:spacing w:val="-1"/>
        </w:rPr>
        <w:t>售收入金额已确定，已经收回货款或取得了收款凭证且相关的经济利益很可能流入，产品相关的成本能够</w:t>
      </w:r>
      <w:r>
        <w:rPr>
          <w:spacing w:val="-81"/>
        </w:rPr>
        <w:t> </w:t>
      </w:r>
      <w:r>
        <w:rPr>
          <w:spacing w:val="-81"/>
        </w:rPr>
      </w:r>
      <w:r>
        <w:rPr>
          <w:spacing w:val="-1"/>
        </w:rPr>
        <w:t>可靠地计量。外销产品收入确认需满足以下条件：公司已根据合同约定将产品报关，取得提单，且产品销</w:t>
      </w:r>
      <w:r>
        <w:rPr>
          <w:spacing w:val="-86"/>
        </w:rPr>
        <w:t> </w:t>
      </w:r>
      <w:r>
        <w:rPr>
          <w:spacing w:val="-86"/>
        </w:rPr>
      </w:r>
      <w:r>
        <w:rPr>
          <w:spacing w:val="-1"/>
        </w:rPr>
        <w:t>售收入金额已确定，已经收回货款或取得了收款凭证且相关的经济利益很可能流入，产品相关的成本能够</w:t>
      </w:r>
      <w:r>
        <w:rPr>
          <w:spacing w:val="-81"/>
        </w:rPr>
        <w:t> </w:t>
      </w:r>
      <w:r>
        <w:rPr>
          <w:spacing w:val="-81"/>
        </w:rPr>
      </w:r>
      <w:r>
        <w:rPr/>
        <w:t>可靠地计量。</w:t>
      </w:r>
    </w:p>
    <w:p>
      <w:pPr>
        <w:spacing w:line="240" w:lineRule="auto" w:before="12"/>
        <w:rPr>
          <w:rFonts w:ascii="宋体" w:hAnsi="宋体" w:cs="宋体" w:eastAsia="宋体" w:hint="default"/>
          <w:sz w:val="23"/>
          <w:szCs w:val="23"/>
        </w:rPr>
      </w:pPr>
    </w:p>
    <w:p>
      <w:pPr>
        <w:pStyle w:val="Heading5"/>
        <w:spacing w:line="240" w:lineRule="auto"/>
        <w:ind w:right="0"/>
        <w:jc w:val="both"/>
        <w:rPr>
          <w:b w:val="0"/>
          <w:bCs w:val="0"/>
        </w:rPr>
      </w:pPr>
      <w:bookmarkStart w:name="29、政府补助" w:id="207"/>
      <w:bookmarkEnd w:id="207"/>
      <w:r>
        <w:rPr>
          <w:b w:val="0"/>
          <w:bCs w:val="0"/>
        </w:rPr>
      </w:r>
      <w:r>
        <w:rPr>
          <w:rFonts w:ascii="Times New Roman" w:hAnsi="Times New Roman" w:cs="Times New Roman" w:eastAsia="Times New Roman" w:hint="default"/>
        </w:rPr>
        <w:t>29</w:t>
      </w:r>
      <w:r>
        <w:rPr/>
        <w:t>、政府补助</w:t>
      </w:r>
      <w:r>
        <w:rPr>
          <w:b w:val="0"/>
          <w:bCs w:val="0"/>
        </w:rPr>
      </w:r>
    </w:p>
    <w:p>
      <w:pPr>
        <w:spacing w:line="590" w:lineRule="atLeast" w:before="23"/>
        <w:ind w:left="574" w:right="0" w:hanging="420"/>
        <w:jc w:val="left"/>
        <w:rPr>
          <w:rFonts w:ascii="宋体" w:hAnsi="宋体" w:cs="宋体" w:eastAsia="宋体" w:hint="default"/>
          <w:sz w:val="21"/>
          <w:szCs w:val="21"/>
        </w:rPr>
      </w:pPr>
      <w:bookmarkStart w:name="（1）与资产相关的政府补助判断依据及会计处理方法" w:id="208"/>
      <w:bookmarkEnd w:id="208"/>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）与资产相关的政府补助判断依据及会计处理方法</w:t>
      </w:r>
      <w:r>
        <w:rPr>
          <w:rFonts w:ascii="宋体" w:hAnsi="宋体" w:cs="宋体" w:eastAsia="宋体" w:hint="default"/>
          <w:b/>
          <w:bCs/>
          <w:w w:val="99"/>
          <w:sz w:val="21"/>
          <w:szCs w:val="21"/>
        </w:rPr>
        <w:t> </w:t>
      </w:r>
      <w:r>
        <w:rPr>
          <w:rFonts w:ascii="宋体" w:hAnsi="宋体" w:cs="宋体" w:eastAsia="宋体" w:hint="default"/>
          <w:spacing w:val="-1"/>
          <w:sz w:val="21"/>
          <w:szCs w:val="21"/>
        </w:rPr>
        <w:t>公司取得的、用于购建或以其他方式形成长期资产的政府补助划分为与资产相关的政府补助。与资产</w:t>
      </w:r>
    </w:p>
    <w:p>
      <w:pPr>
        <w:pStyle w:val="Heading6"/>
        <w:spacing w:line="240" w:lineRule="auto" w:before="37"/>
        <w:ind w:right="0"/>
        <w:jc w:val="both"/>
      </w:pPr>
      <w:r>
        <w:rPr/>
        <w:t>相关的政府补助，冲减相关资产的账面价值或确认为递延收益。与资产相关补助确认为递延收益的，在相</w:t>
      </w:r>
    </w:p>
    <w:p>
      <w:pPr>
        <w:spacing w:after="0" w:line="240" w:lineRule="auto"/>
        <w:jc w:val="both"/>
        <w:sectPr>
          <w:footerReference w:type="default" r:id="rId14"/>
          <w:pgSz w:w="11910" w:h="16840"/>
          <w:pgMar w:footer="979" w:header="747" w:top="1060" w:bottom="1160" w:left="980" w:right="960"/>
          <w:pgNumType w:start="101"/>
        </w:sectPr>
      </w:pPr>
    </w:p>
    <w:p>
      <w:pPr>
        <w:spacing w:line="240" w:lineRule="auto" w:before="9"/>
        <w:rPr>
          <w:rFonts w:ascii="宋体" w:hAnsi="宋体" w:cs="宋体" w:eastAsia="宋体" w:hint="default"/>
          <w:sz w:val="24"/>
          <w:szCs w:val="24"/>
        </w:rPr>
      </w:pPr>
    </w:p>
    <w:p>
      <w:pPr>
        <w:pStyle w:val="Heading6"/>
        <w:spacing w:line="273" w:lineRule="auto" w:before="35"/>
        <w:ind w:right="151"/>
        <w:jc w:val="both"/>
      </w:pPr>
      <w:r>
        <w:rPr>
          <w:spacing w:val="-1"/>
        </w:rPr>
        <w:t>关资产使用寿命内按照合理、系统的方法分期计入损益。按照名义金额计量的政府补助，直接计入当期损</w:t>
      </w:r>
      <w:r>
        <w:rPr>
          <w:spacing w:val="-83"/>
        </w:rPr>
        <w:t> </w:t>
      </w:r>
      <w:r>
        <w:rPr>
          <w:spacing w:val="-83"/>
        </w:rPr>
      </w:r>
      <w:r>
        <w:rPr>
          <w:spacing w:val="-1"/>
        </w:rPr>
        <w:t>益。相关资产在使用寿命结束前被出售、转让、报废或发生毁损的，将尚未分配的相关递延收益余额转入</w:t>
      </w:r>
      <w:r>
        <w:rPr>
          <w:spacing w:val="-86"/>
        </w:rPr>
        <w:t> </w:t>
      </w:r>
      <w:r>
        <w:rPr>
          <w:spacing w:val="-86"/>
        </w:rPr>
      </w:r>
      <w:r>
        <w:rPr/>
        <w:t>资产处置当期的损益。</w:t>
      </w:r>
    </w:p>
    <w:p>
      <w:pPr>
        <w:spacing w:line="590" w:lineRule="atLeast" w:before="10"/>
        <w:ind w:left="574" w:right="0" w:hanging="420"/>
        <w:jc w:val="left"/>
        <w:rPr>
          <w:rFonts w:ascii="宋体" w:hAnsi="宋体" w:cs="宋体" w:eastAsia="宋体" w:hint="default"/>
          <w:sz w:val="21"/>
          <w:szCs w:val="21"/>
        </w:rPr>
      </w:pPr>
      <w:bookmarkStart w:name="（2）与收益相关的政府补助判断依据及会计处理方法" w:id="209"/>
      <w:bookmarkEnd w:id="209"/>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）与收益相关的政府补助判断依据及会计处理方法</w:t>
      </w:r>
      <w:r>
        <w:rPr>
          <w:rFonts w:ascii="宋体" w:hAnsi="宋体" w:cs="宋体" w:eastAsia="宋体" w:hint="default"/>
          <w:b/>
          <w:bCs/>
          <w:w w:val="99"/>
          <w:sz w:val="21"/>
          <w:szCs w:val="21"/>
        </w:rPr>
        <w:t> </w:t>
      </w:r>
      <w:r>
        <w:rPr>
          <w:rFonts w:ascii="宋体" w:hAnsi="宋体" w:cs="宋体" w:eastAsia="宋体" w:hint="default"/>
          <w:spacing w:val="-1"/>
          <w:sz w:val="21"/>
          <w:szCs w:val="21"/>
        </w:rPr>
        <w:t>除与资产相关的政府补助之外的政府补助划分为与收益相关的政府补助。对于同时包含与资产相关部</w:t>
      </w:r>
    </w:p>
    <w:p>
      <w:pPr>
        <w:pStyle w:val="Heading6"/>
        <w:spacing w:line="273" w:lineRule="auto" w:before="37"/>
        <w:ind w:right="151"/>
        <w:jc w:val="both"/>
      </w:pPr>
      <w:r>
        <w:rPr>
          <w:spacing w:val="-1"/>
        </w:rPr>
        <w:t>分和与收益相关部分的政府补助，难以区分与资产相关或与收益相关的，整体归类为与收益相关的政府补</w:t>
      </w:r>
      <w:r>
        <w:rPr>
          <w:spacing w:val="-81"/>
        </w:rPr>
        <w:t> </w:t>
      </w:r>
      <w:r>
        <w:rPr>
          <w:spacing w:val="-81"/>
        </w:rPr>
      </w:r>
      <w:r>
        <w:rPr>
          <w:spacing w:val="-1"/>
        </w:rPr>
        <w:t>助。与收益相关的政府补助，用于补偿以后期间的相关成本费用或损失的，确认为递延收益，在确认相关</w:t>
      </w:r>
      <w:r>
        <w:rPr>
          <w:spacing w:val="-86"/>
        </w:rPr>
        <w:t> </w:t>
      </w:r>
      <w:r>
        <w:rPr>
          <w:spacing w:val="-86"/>
        </w:rPr>
      </w:r>
      <w:r>
        <w:rPr>
          <w:spacing w:val="-1"/>
        </w:rPr>
        <w:t>成本费用或损失的期间，计入当期损益或冲减相关成本；用于补偿已发生的相关成本费用或损失的，直接</w:t>
      </w:r>
      <w:r>
        <w:rPr>
          <w:spacing w:val="-83"/>
        </w:rPr>
        <w:t> </w:t>
      </w:r>
      <w:r>
        <w:rPr>
          <w:spacing w:val="-83"/>
        </w:rPr>
      </w:r>
      <w:r>
        <w:rPr/>
        <w:t>计入当期损益或冲减相关成本。</w:t>
      </w:r>
    </w:p>
    <w:p>
      <w:pPr>
        <w:pStyle w:val="Heading6"/>
        <w:spacing w:line="273" w:lineRule="auto" w:before="7"/>
        <w:ind w:right="151" w:firstLine="420"/>
        <w:jc w:val="both"/>
      </w:pPr>
      <w:r>
        <w:rPr>
          <w:spacing w:val="-1"/>
        </w:rPr>
        <w:t>与公司日常经营活动相关的政府补助，按照经济业务实质，计入其他收益或冲减相关成本费用。与公</w:t>
      </w:r>
      <w:r>
        <w:rPr/>
        <w:t> 司日常活动无关的政府补助，计入营业外收支。</w:t>
      </w:r>
    </w:p>
    <w:p>
      <w:pPr>
        <w:pStyle w:val="Heading6"/>
        <w:spacing w:line="240" w:lineRule="auto" w:before="7"/>
        <w:ind w:left="574" w:right="0"/>
        <w:jc w:val="left"/>
      </w:pPr>
      <w:r>
        <w:rPr/>
        <w:t>政策性优惠贷款贴息的会计处理方法</w:t>
      </w:r>
    </w:p>
    <w:p>
      <w:pPr>
        <w:pStyle w:val="Heading6"/>
        <w:spacing w:line="256" w:lineRule="auto" w:before="37"/>
        <w:ind w:right="161" w:firstLine="420"/>
        <w:jc w:val="both"/>
      </w:pPr>
      <w:r>
        <w:rPr>
          <w:rFonts w:ascii="Times New Roman" w:hAnsi="Times New Roman" w:cs="Times New Roman" w:eastAsia="Times New Roman" w:hint="default"/>
        </w:rPr>
        <w:t>(1)</w:t>
      </w:r>
      <w:r>
        <w:rPr>
          <w:rFonts w:ascii="Times New Roman" w:hAnsi="Times New Roman" w:cs="Times New Roman" w:eastAsia="Times New Roman" w:hint="default"/>
          <w:spacing w:val="31"/>
        </w:rPr>
        <w:t> </w:t>
      </w:r>
      <w:r>
        <w:rPr/>
        <w:t>财政将贴息资金拨付给贷款银行，由贷款银行以政策性优惠利率向公司提供贷款的，以实际收到</w:t>
      </w:r>
      <w:r>
        <w:rPr>
          <w:w w:val="99"/>
        </w:rPr>
        <w:t> </w:t>
      </w:r>
      <w:r>
        <w:rPr/>
        <w:t>的借款金额作为借款的入账价值，按照借款本金和该政策性优惠利率计算相关借款费用。</w:t>
      </w:r>
    </w:p>
    <w:p>
      <w:pPr>
        <w:pStyle w:val="Heading6"/>
        <w:spacing w:line="240" w:lineRule="auto" w:before="22"/>
        <w:ind w:left="574"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31"/>
        </w:rPr>
        <w:t> </w:t>
      </w:r>
      <w:r>
        <w:rPr/>
        <w:t>财政将贴息资金直接拨付给公司的，将对应的贴息冲减相关借款费用。</w:t>
      </w:r>
    </w:p>
    <w:p>
      <w:pPr>
        <w:spacing w:line="240" w:lineRule="auto" w:before="8"/>
        <w:rPr>
          <w:rFonts w:ascii="宋体" w:hAnsi="宋体" w:cs="宋体" w:eastAsia="宋体" w:hint="default"/>
          <w:sz w:val="24"/>
          <w:szCs w:val="24"/>
        </w:rPr>
      </w:pPr>
    </w:p>
    <w:p>
      <w:pPr>
        <w:pStyle w:val="Heading5"/>
        <w:spacing w:line="240" w:lineRule="auto"/>
        <w:ind w:right="0"/>
        <w:jc w:val="left"/>
        <w:rPr>
          <w:b w:val="0"/>
          <w:bCs w:val="0"/>
        </w:rPr>
      </w:pPr>
      <w:bookmarkStart w:name="30、递延所得税资产/递延所得税负债" w:id="210"/>
      <w:bookmarkEnd w:id="210"/>
      <w:r>
        <w:rPr>
          <w:b w:val="0"/>
          <w:bCs w:val="0"/>
        </w:rPr>
      </w:r>
      <w:r>
        <w:rPr>
          <w:rFonts w:ascii="Times New Roman" w:hAnsi="Times New Roman" w:cs="Times New Roman" w:eastAsia="Times New Roman" w:hint="default"/>
        </w:rPr>
        <w:t>30</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7"/>
        <w:rPr>
          <w:rFonts w:ascii="宋体" w:hAnsi="宋体" w:cs="宋体" w:eastAsia="宋体" w:hint="default"/>
          <w:b/>
          <w:bCs/>
          <w:sz w:val="24"/>
          <w:szCs w:val="24"/>
        </w:rPr>
      </w:pPr>
    </w:p>
    <w:p>
      <w:pPr>
        <w:pStyle w:val="Heading6"/>
        <w:spacing w:line="256" w:lineRule="auto"/>
        <w:ind w:right="151" w:firstLine="420"/>
        <w:jc w:val="both"/>
      </w:pPr>
      <w:r>
        <w:rPr>
          <w:rFonts w:ascii="Times New Roman" w:hAnsi="Times New Roman" w:cs="Times New Roman" w:eastAsia="Times New Roman" w:hint="default"/>
        </w:rPr>
        <w:t>1.</w:t>
      </w:r>
      <w:r>
        <w:rPr>
          <w:rFonts w:ascii="Times New Roman" w:hAnsi="Times New Roman" w:cs="Times New Roman" w:eastAsia="Times New Roman" w:hint="default"/>
          <w:spacing w:val="45"/>
        </w:rPr>
        <w:t> </w:t>
      </w:r>
      <w:r>
        <w:rPr/>
        <w:t>根据资产、负债的账面价值与其计税基础之间的差额</w:t>
      </w:r>
      <w:r>
        <w:rPr>
          <w:rFonts w:ascii="Times New Roman" w:hAnsi="Times New Roman" w:cs="Times New Roman" w:eastAsia="Times New Roman" w:hint="default"/>
        </w:rPr>
        <w:t>(</w:t>
      </w:r>
      <w:r>
        <w:rPr/>
        <w:t>未作为资产和负债确认的项目按照税法规定 </w:t>
      </w:r>
      <w:r>
        <w:rPr>
          <w:spacing w:val="-2"/>
        </w:rPr>
        <w:t>可以确定其计税基础的，该计税基础与其账面数之间的差额</w:t>
      </w:r>
      <w:r>
        <w:rPr>
          <w:rFonts w:ascii="Times New Roman" w:hAnsi="Times New Roman" w:cs="Times New Roman" w:eastAsia="Times New Roman" w:hint="default"/>
          <w:spacing w:val="-2"/>
        </w:rPr>
        <w:t>)</w:t>
      </w:r>
      <w:r>
        <w:rPr>
          <w:spacing w:val="-2"/>
        </w:rPr>
        <w:t>，按照预期收回该资产或清偿该负债期间的适</w:t>
      </w:r>
      <w:r>
        <w:rPr/>
        <w:t> 用税率计算确认递延所得税资产或递延所得税负债。</w:t>
      </w:r>
    </w:p>
    <w:p>
      <w:pPr>
        <w:pStyle w:val="Heading6"/>
        <w:spacing w:line="264" w:lineRule="auto" w:before="22"/>
        <w:ind w:right="151" w:firstLine="420"/>
        <w:jc w:val="both"/>
      </w:pPr>
      <w:r>
        <w:rPr>
          <w:rFonts w:ascii="Times New Roman" w:hAnsi="Times New Roman" w:cs="Times New Roman" w:eastAsia="Times New Roman" w:hint="default"/>
        </w:rPr>
        <w:t>2.</w:t>
      </w:r>
      <w:r>
        <w:rPr>
          <w:rFonts w:ascii="Times New Roman" w:hAnsi="Times New Roman" w:cs="Times New Roman" w:eastAsia="Times New Roman" w:hint="default"/>
          <w:spacing w:val="14"/>
        </w:rPr>
        <w:t> </w:t>
      </w:r>
      <w:r>
        <w:rPr>
          <w:spacing w:val="2"/>
        </w:rPr>
        <w:t>确认递延所得税资产以很可能取得用来抵扣可抵扣暂时性差异的应纳税所得额为限。资产负债表</w:t>
      </w:r>
      <w:r>
        <w:rPr/>
        <w:t> </w:t>
      </w:r>
      <w:r>
        <w:rPr>
          <w:spacing w:val="-1"/>
        </w:rPr>
        <w:t>日，有确凿证据表明未来期间很可能获得足够的应纳税所得额用来抵扣可抵扣暂时性差异的，确认以前会</w:t>
      </w:r>
      <w:r>
        <w:rPr>
          <w:spacing w:val="-81"/>
        </w:rPr>
        <w:t> </w:t>
      </w:r>
      <w:r>
        <w:rPr>
          <w:spacing w:val="-81"/>
        </w:rPr>
      </w:r>
      <w:r>
        <w:rPr/>
        <w:t>计期间未确认的递延所得税资产。</w:t>
      </w:r>
    </w:p>
    <w:p>
      <w:pPr>
        <w:pStyle w:val="Heading6"/>
        <w:spacing w:line="264" w:lineRule="auto" w:before="16"/>
        <w:ind w:right="151" w:firstLine="420"/>
        <w:jc w:val="both"/>
      </w:pPr>
      <w:r>
        <w:rPr>
          <w:rFonts w:ascii="Times New Roman" w:hAnsi="Times New Roman" w:cs="Times New Roman" w:eastAsia="Times New Roman" w:hint="default"/>
        </w:rPr>
        <w:t>3.</w:t>
      </w:r>
      <w:r>
        <w:rPr>
          <w:rFonts w:ascii="Times New Roman" w:hAnsi="Times New Roman" w:cs="Times New Roman" w:eastAsia="Times New Roman" w:hint="default"/>
          <w:spacing w:val="-19"/>
        </w:rPr>
        <w:t> </w:t>
      </w:r>
      <w:r>
        <w:rPr/>
        <w:t>资产负债表日，对递延所得税资产的账面价值进行复核，如果未来期间很可能无法获得足够的应纳 </w:t>
      </w:r>
      <w:r>
        <w:rPr>
          <w:spacing w:val="-1"/>
        </w:rPr>
        <w:t>税所得额用以抵扣递延所得税资产的利益，则减记递延所得税资产的账面价值。在很可能获得足够的应纳</w:t>
      </w:r>
      <w:r>
        <w:rPr>
          <w:spacing w:val="-81"/>
        </w:rPr>
        <w:t> </w:t>
      </w:r>
      <w:r>
        <w:rPr>
          <w:spacing w:val="-81"/>
        </w:rPr>
      </w:r>
      <w:r>
        <w:rPr/>
        <w:t>税所得额时，转回减记的金额。</w:t>
      </w:r>
    </w:p>
    <w:p>
      <w:pPr>
        <w:pStyle w:val="Heading6"/>
        <w:spacing w:line="256" w:lineRule="auto" w:before="16"/>
        <w:ind w:right="152" w:firstLine="420"/>
        <w:jc w:val="both"/>
      </w:pPr>
      <w:r>
        <w:rPr>
          <w:rFonts w:ascii="Times New Roman" w:hAnsi="Times New Roman" w:cs="Times New Roman" w:eastAsia="Times New Roman" w:hint="default"/>
        </w:rPr>
        <w:t>4.</w:t>
      </w:r>
      <w:r>
        <w:rPr>
          <w:rFonts w:ascii="Times New Roman" w:hAnsi="Times New Roman" w:cs="Times New Roman" w:eastAsia="Times New Roman" w:hint="default"/>
          <w:spacing w:val="-19"/>
        </w:rPr>
        <w:t> </w:t>
      </w:r>
      <w:r>
        <w:rPr/>
        <w:t>公司当期所得税和递延所得税作为所得税费用或收益计入当期损益，但不包括下列情况产生的所得 税：</w:t>
      </w:r>
      <w:r>
        <w:rPr>
          <w:rFonts w:ascii="Times New Roman" w:hAnsi="Times New Roman" w:cs="Times New Roman" w:eastAsia="Times New Roman" w:hint="default"/>
        </w:rPr>
        <w:t>(1)  </w:t>
      </w:r>
      <w:r>
        <w:rPr/>
        <w:t>企业合并；</w:t>
      </w:r>
      <w:r>
        <w:rPr>
          <w:rFonts w:ascii="Times New Roman" w:hAnsi="Times New Roman" w:cs="Times New Roman" w:eastAsia="Times New Roman" w:hint="default"/>
        </w:rPr>
        <w:t>(2)</w:t>
      </w:r>
      <w:r>
        <w:rPr>
          <w:rFonts w:ascii="Times New Roman" w:hAnsi="Times New Roman" w:cs="Times New Roman" w:eastAsia="Times New Roman" w:hint="default"/>
          <w:spacing w:val="9"/>
        </w:rPr>
        <w:t> </w:t>
      </w:r>
      <w:r>
        <w:rPr/>
        <w:t>直接在所有者权益中确认的交易或者事项。</w:t>
      </w:r>
    </w:p>
    <w:p>
      <w:pPr>
        <w:spacing w:line="240" w:lineRule="auto" w:before="5"/>
        <w:rPr>
          <w:rFonts w:ascii="宋体" w:hAnsi="宋体" w:cs="宋体" w:eastAsia="宋体" w:hint="default"/>
          <w:sz w:val="23"/>
          <w:szCs w:val="23"/>
        </w:rPr>
      </w:pPr>
    </w:p>
    <w:p>
      <w:pPr>
        <w:pStyle w:val="Heading5"/>
        <w:spacing w:line="240" w:lineRule="auto"/>
        <w:ind w:right="0"/>
        <w:jc w:val="left"/>
        <w:rPr>
          <w:b w:val="0"/>
          <w:bCs w:val="0"/>
        </w:rPr>
      </w:pPr>
      <w:bookmarkStart w:name="31、租赁" w:id="211"/>
      <w:bookmarkEnd w:id="211"/>
      <w:r>
        <w:rPr>
          <w:b w:val="0"/>
          <w:bCs w:val="0"/>
        </w:rPr>
      </w:r>
      <w:r>
        <w:rPr>
          <w:rFonts w:ascii="Times New Roman" w:hAnsi="Times New Roman" w:cs="Times New Roman" w:eastAsia="Times New Roman" w:hint="default"/>
        </w:rPr>
        <w:t>31</w:t>
      </w:r>
      <w:r>
        <w:rPr/>
        <w:t>、租赁</w:t>
      </w:r>
      <w:r>
        <w:rPr>
          <w:b w:val="0"/>
          <w:bCs w:val="0"/>
        </w:rPr>
      </w:r>
    </w:p>
    <w:p>
      <w:pPr>
        <w:spacing w:line="590" w:lineRule="atLeast" w:before="23"/>
        <w:ind w:left="574" w:right="0" w:hanging="420"/>
        <w:jc w:val="left"/>
        <w:rPr>
          <w:rFonts w:ascii="宋体" w:hAnsi="宋体" w:cs="宋体" w:eastAsia="宋体" w:hint="default"/>
          <w:sz w:val="21"/>
          <w:szCs w:val="21"/>
        </w:rPr>
      </w:pPr>
      <w:bookmarkStart w:name="（1）经营租赁的会计处理方法" w:id="212"/>
      <w:bookmarkEnd w:id="21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）经营租赁的会计处理方法</w:t>
      </w:r>
      <w:r>
        <w:rPr>
          <w:rFonts w:ascii="宋体" w:hAnsi="宋体" w:cs="宋体" w:eastAsia="宋体" w:hint="default"/>
          <w:b/>
          <w:bCs/>
          <w:w w:val="99"/>
          <w:sz w:val="21"/>
          <w:szCs w:val="21"/>
        </w:rPr>
        <w:t> </w:t>
      </w:r>
      <w:r>
        <w:rPr>
          <w:rFonts w:ascii="宋体" w:hAnsi="宋体" w:cs="宋体" w:eastAsia="宋体" w:hint="default"/>
          <w:spacing w:val="-1"/>
          <w:sz w:val="21"/>
          <w:szCs w:val="21"/>
        </w:rPr>
        <w:t>公司为承租人时，在租赁期内各个期间按照直线法将租金计入相关资产成本或确认为当期损益，发生</w:t>
      </w:r>
    </w:p>
    <w:p>
      <w:pPr>
        <w:pStyle w:val="Heading6"/>
        <w:spacing w:line="273" w:lineRule="auto" w:before="37"/>
        <w:ind w:left="574" w:right="0" w:hanging="420"/>
        <w:jc w:val="left"/>
      </w:pPr>
      <w:r>
        <w:rPr/>
        <w:t>的初始直接费用，直接计入当期损益。或有租金在实际发生时计入当期损益。 </w:t>
      </w:r>
      <w:r>
        <w:rPr>
          <w:spacing w:val="-1"/>
        </w:rPr>
        <w:t>公司为出租人时，在租赁期内各个期间按照直线法将租金确认为当期损益，发生的初始直接费用，除</w:t>
      </w:r>
    </w:p>
    <w:p>
      <w:pPr>
        <w:pStyle w:val="Heading6"/>
        <w:spacing w:line="240" w:lineRule="auto" w:before="7"/>
        <w:ind w:right="0"/>
        <w:jc w:val="left"/>
      </w:pPr>
      <w:r>
        <w:rPr/>
        <w:t>金额较大的予以资本化并分期计入损益外，均直接计入当期损益。或有租金在实际发生时计入当期损益。</w:t>
      </w:r>
    </w:p>
    <w:p>
      <w:pPr>
        <w:spacing w:line="590" w:lineRule="atLeast" w:before="39"/>
        <w:ind w:left="574" w:right="0" w:hanging="420"/>
        <w:jc w:val="left"/>
        <w:rPr>
          <w:rFonts w:ascii="宋体" w:hAnsi="宋体" w:cs="宋体" w:eastAsia="宋体" w:hint="default"/>
          <w:sz w:val="21"/>
          <w:szCs w:val="21"/>
        </w:rPr>
      </w:pPr>
      <w:bookmarkStart w:name="（2）融资租赁的会计处理方法" w:id="213"/>
      <w:bookmarkEnd w:id="213"/>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）融资租赁的会计处理方法</w:t>
      </w:r>
      <w:r>
        <w:rPr>
          <w:rFonts w:ascii="宋体" w:hAnsi="宋体" w:cs="宋体" w:eastAsia="宋体" w:hint="default"/>
          <w:b/>
          <w:bCs/>
          <w:w w:val="99"/>
          <w:sz w:val="21"/>
          <w:szCs w:val="21"/>
        </w:rPr>
        <w:t> </w:t>
      </w:r>
      <w:r>
        <w:rPr>
          <w:rFonts w:ascii="宋体" w:hAnsi="宋体" w:cs="宋体" w:eastAsia="宋体" w:hint="default"/>
          <w:spacing w:val="-1"/>
          <w:sz w:val="21"/>
          <w:szCs w:val="21"/>
        </w:rPr>
        <w:t>公司为承租人时，在租赁期开始日，公司以租赁开始日租赁资产公允价值与最低租赁付款额现值中两</w:t>
      </w:r>
    </w:p>
    <w:p>
      <w:pPr>
        <w:pStyle w:val="Heading6"/>
        <w:spacing w:line="240" w:lineRule="auto" w:before="37"/>
        <w:ind w:right="0"/>
        <w:jc w:val="left"/>
      </w:pPr>
      <w:r>
        <w:rPr/>
        <w:t>者较低者作为租入资产的入账价值，将最低租赁付款额作为长期应付款的入账价值，其差额为未确认融资</w:t>
      </w:r>
    </w:p>
    <w:p>
      <w:pPr>
        <w:spacing w:after="0" w:line="240" w:lineRule="auto"/>
        <w:jc w:val="left"/>
        <w:sectPr>
          <w:pgSz w:w="11910" w:h="16840"/>
          <w:pgMar w:header="747" w:footer="979" w:top="1060" w:bottom="1160" w:left="980" w:right="980"/>
        </w:sectPr>
      </w:pPr>
    </w:p>
    <w:p>
      <w:pPr>
        <w:spacing w:line="240" w:lineRule="auto" w:before="9"/>
        <w:rPr>
          <w:rFonts w:ascii="宋体" w:hAnsi="宋体" w:cs="宋体" w:eastAsia="宋体" w:hint="default"/>
          <w:sz w:val="24"/>
          <w:szCs w:val="24"/>
        </w:rPr>
      </w:pPr>
    </w:p>
    <w:p>
      <w:pPr>
        <w:pStyle w:val="Heading6"/>
        <w:spacing w:line="273" w:lineRule="auto" w:before="35"/>
        <w:ind w:right="0"/>
        <w:jc w:val="left"/>
      </w:pPr>
      <w:r>
        <w:rPr>
          <w:spacing w:val="-1"/>
        </w:rPr>
        <w:t>费用，发生的初始直接费用，计入租赁资产价值。在租赁期各个期间，采用实际利率法计算确认当期的融</w:t>
      </w:r>
      <w:r>
        <w:rPr>
          <w:spacing w:val="-85"/>
        </w:rPr>
        <w:t> </w:t>
      </w:r>
      <w:r>
        <w:rPr>
          <w:spacing w:val="-85"/>
        </w:rPr>
      </w:r>
      <w:r>
        <w:rPr/>
        <w:t>资费用。</w:t>
      </w:r>
    </w:p>
    <w:p>
      <w:pPr>
        <w:pStyle w:val="Heading6"/>
        <w:spacing w:line="273" w:lineRule="auto" w:before="7"/>
        <w:ind w:right="130" w:firstLine="420"/>
        <w:jc w:val="both"/>
      </w:pPr>
      <w:r>
        <w:rPr>
          <w:spacing w:val="-1"/>
        </w:rPr>
        <w:t>公司为出租人时，在租赁期开始日，公司以租赁开始日最低租赁收款额与初始直接费用之和作为应收</w:t>
      </w:r>
      <w:r>
        <w:rPr/>
        <w:t> </w:t>
      </w:r>
      <w:r>
        <w:rPr>
          <w:spacing w:val="-1"/>
        </w:rPr>
        <w:t>融资租赁款的入账价值，同时记录未担保余值；将最低租赁收款额、初始直接费用及未担保余值之和与其</w:t>
      </w:r>
      <w:r>
        <w:rPr>
          <w:spacing w:val="-83"/>
        </w:rPr>
        <w:t> </w:t>
      </w:r>
      <w:r>
        <w:rPr>
          <w:spacing w:val="-83"/>
        </w:rPr>
      </w:r>
      <w:r>
        <w:rPr/>
        <w:t>现值之和的差额确认为未实现融资收益。在租赁期各个期间，采用实际利率法计算确认当期的融资收入。</w:t>
      </w:r>
    </w:p>
    <w:p>
      <w:pPr>
        <w:pStyle w:val="Heading5"/>
        <w:spacing w:line="590" w:lineRule="atLeast" w:before="9"/>
        <w:ind w:left="574" w:right="6400" w:hanging="420"/>
        <w:jc w:val="left"/>
        <w:rPr>
          <w:rFonts w:ascii="宋体" w:hAnsi="宋体" w:cs="宋体" w:eastAsia="宋体" w:hint="default"/>
          <w:b w:val="0"/>
          <w:bCs w:val="0"/>
        </w:rPr>
      </w:pPr>
      <w:bookmarkStart w:name="32、其他重要的会计政策和会计估计" w:id="214"/>
      <w:bookmarkEnd w:id="214"/>
      <w:r>
        <w:rPr>
          <w:b w:val="0"/>
          <w:bCs w:val="0"/>
        </w:rPr>
      </w:r>
      <w:r>
        <w:rPr>
          <w:rFonts w:ascii="Times New Roman" w:hAnsi="Times New Roman" w:cs="Times New Roman" w:eastAsia="Times New Roman" w:hint="default"/>
        </w:rPr>
        <w:t>32</w:t>
      </w:r>
      <w:r>
        <w:rPr/>
        <w:t>、其他重要的会计政策和会计估计</w:t>
      </w:r>
      <w:r>
        <w:rPr>
          <w:w w:val="99"/>
        </w:rPr>
        <w:t> </w:t>
      </w:r>
      <w:r>
        <w:rPr>
          <w:rFonts w:ascii="宋体" w:hAnsi="宋体" w:cs="宋体" w:eastAsia="宋体" w:hint="default"/>
          <w:b w:val="0"/>
          <w:bCs w:val="0"/>
        </w:rPr>
        <w:t>分部报告</w:t>
      </w:r>
    </w:p>
    <w:p>
      <w:pPr>
        <w:pStyle w:val="Heading6"/>
        <w:spacing w:line="273" w:lineRule="auto" w:before="37"/>
        <w:ind w:right="151" w:firstLine="420"/>
        <w:jc w:val="both"/>
      </w:pPr>
      <w:r>
        <w:rPr>
          <w:spacing w:val="-1"/>
        </w:rPr>
        <w:t>公司以内部组织结构、管理要求、内部报告制度等为依据确定经营分部。公司的经营分部是指同时满</w:t>
      </w:r>
      <w:r>
        <w:rPr/>
        <w:t> 足下列条件的组成部分：</w:t>
      </w:r>
    </w:p>
    <w:p>
      <w:pPr>
        <w:pStyle w:val="Heading6"/>
        <w:spacing w:line="240" w:lineRule="auto" w:before="7"/>
        <w:ind w:left="574"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30"/>
        </w:rPr>
        <w:t> </w:t>
      </w:r>
      <w:r>
        <w:rPr/>
        <w:t>该组成部分能够在日常活动中产生收入、发生费用；</w:t>
      </w:r>
    </w:p>
    <w:p>
      <w:pPr>
        <w:pStyle w:val="Heading6"/>
        <w:spacing w:line="240" w:lineRule="auto" w:before="21"/>
        <w:ind w:left="574"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30"/>
        </w:rPr>
        <w:t> </w:t>
      </w:r>
      <w:r>
        <w:rPr/>
        <w:t>管理层能够定期评价该组成部分的经营成果，以决定向其配置资源、评价其业绩；</w:t>
      </w:r>
    </w:p>
    <w:p>
      <w:pPr>
        <w:pStyle w:val="Heading6"/>
        <w:spacing w:line="240" w:lineRule="auto" w:before="21"/>
        <w:ind w:left="574" w:right="0"/>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30"/>
        </w:rPr>
        <w:t> </w:t>
      </w:r>
      <w:r>
        <w:rPr/>
        <w:t>能够通过分析取得该组成部分的财务状况、经营成果和现金流量等有关会计信息。</w:t>
      </w:r>
    </w:p>
    <w:p>
      <w:pPr>
        <w:spacing w:line="240" w:lineRule="auto" w:before="8"/>
        <w:rPr>
          <w:rFonts w:ascii="宋体" w:hAnsi="宋体" w:cs="宋体" w:eastAsia="宋体" w:hint="default"/>
          <w:sz w:val="24"/>
          <w:szCs w:val="24"/>
        </w:rPr>
      </w:pPr>
    </w:p>
    <w:p>
      <w:pPr>
        <w:pStyle w:val="Heading5"/>
        <w:spacing w:line="240" w:lineRule="auto"/>
        <w:ind w:right="0"/>
        <w:jc w:val="left"/>
        <w:rPr>
          <w:b w:val="0"/>
          <w:bCs w:val="0"/>
        </w:rPr>
      </w:pPr>
      <w:bookmarkStart w:name="33、重要会计政策和会计估计变更" w:id="215"/>
      <w:bookmarkEnd w:id="215"/>
      <w:r>
        <w:rPr>
          <w:b w:val="0"/>
          <w:bCs w:val="0"/>
        </w:rPr>
      </w:r>
      <w:r>
        <w:rPr>
          <w:rFonts w:ascii="Times New Roman" w:hAnsi="Times New Roman" w:cs="Times New Roman" w:eastAsia="Times New Roman" w:hint="default"/>
        </w:rPr>
        <w:t>33</w:t>
      </w:r>
      <w:r>
        <w:rPr/>
        <w:t>、重要会计政策和会计估计变更</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bookmarkStart w:name="（1）重要会计政策变更" w:id="216"/>
      <w:bookmarkEnd w:id="216"/>
      <w:r>
        <w:rPr>
          <w:b w:val="0"/>
          <w:bCs w:val="0"/>
        </w:rPr>
      </w:r>
      <w:r>
        <w:rPr/>
        <w:t>（</w:t>
      </w:r>
      <w:r>
        <w:rPr>
          <w:rFonts w:ascii="Times New Roman" w:hAnsi="Times New Roman" w:cs="Times New Roman" w:eastAsia="Times New Roman" w:hint="default"/>
        </w:rPr>
        <w:t>1</w:t>
      </w:r>
      <w:r>
        <w:rPr/>
        <w:t>）重要会计政策变更</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0"/>
        <w:jc w:val="left"/>
      </w:pPr>
      <w:r>
        <w:rPr/>
        <w:t>√ 适用 □ 不适用</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1"/>
        <w:gridCol w:w="3190"/>
        <w:gridCol w:w="3177"/>
      </w:tblGrid>
      <w:tr>
        <w:trPr>
          <w:trHeight w:val="402"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0"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审批程序</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备注</w:t>
            </w:r>
          </w:p>
        </w:tc>
      </w:tr>
    </w:tbl>
    <w:p>
      <w:pPr>
        <w:pStyle w:val="Heading6"/>
        <w:spacing w:line="276" w:lineRule="exact"/>
        <w:ind w:right="0" w:firstLine="420"/>
        <w:jc w:val="left"/>
      </w:pPr>
      <w:r>
        <w:rPr>
          <w:rFonts w:ascii="Times New Roman" w:hAnsi="Times New Roman" w:cs="Times New Roman" w:eastAsia="Times New Roman" w:hint="default"/>
        </w:rPr>
        <w:t>1. </w:t>
      </w:r>
      <w:r>
        <w:rPr>
          <w:rFonts w:ascii="Times New Roman" w:hAnsi="Times New Roman" w:cs="Times New Roman" w:eastAsia="Times New Roman" w:hint="default"/>
          <w:spacing w:val="18"/>
        </w:rPr>
        <w:t> </w:t>
      </w:r>
      <w:r>
        <w:rPr/>
        <w:t>本公司自</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28</w:t>
      </w:r>
      <w:r>
        <w:rPr/>
        <w:t>日起执行财政部制定的《企业会计准则第</w:t>
      </w:r>
      <w:r>
        <w:rPr>
          <w:rFonts w:ascii="Times New Roman" w:hAnsi="Times New Roman" w:cs="Times New Roman" w:eastAsia="Times New Roman" w:hint="default"/>
        </w:rPr>
        <w:t>42</w:t>
      </w:r>
      <w:r>
        <w:rPr/>
        <w:t>号</w:t>
      </w:r>
      <w:r>
        <w:rPr>
          <w:rFonts w:ascii="Times New Roman" w:hAnsi="Times New Roman" w:cs="Times New Roman" w:eastAsia="Times New Roman" w:hint="default"/>
        </w:rPr>
        <w:t>——</w:t>
      </w:r>
      <w:r>
        <w:rPr/>
        <w:t>持有待售的非流动资产、</w:t>
      </w:r>
    </w:p>
    <w:p>
      <w:pPr>
        <w:pStyle w:val="Heading6"/>
        <w:spacing w:line="256" w:lineRule="auto" w:before="21"/>
        <w:ind w:right="0"/>
        <w:jc w:val="left"/>
      </w:pPr>
      <w:r>
        <w:rPr/>
        <w:t>处置组和终止经营》，自</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12</w:t>
      </w:r>
      <w:r>
        <w:rPr/>
        <w:t>日起执行经修订的《企业会计准则第</w:t>
      </w:r>
      <w:r>
        <w:rPr>
          <w:rFonts w:ascii="Times New Roman" w:hAnsi="Times New Roman" w:cs="Times New Roman" w:eastAsia="Times New Roman" w:hint="default"/>
        </w:rPr>
        <w:t>16</w:t>
      </w:r>
      <w:r>
        <w:rPr/>
        <w:t>号</w:t>
      </w:r>
      <w:r>
        <w:rPr>
          <w:rFonts w:ascii="Times New Roman" w:hAnsi="Times New Roman" w:cs="Times New Roman" w:eastAsia="Times New Roman" w:hint="default"/>
        </w:rPr>
        <w:t>——</w:t>
      </w:r>
      <w:r>
        <w:rPr/>
        <w:t>政府补助》。本次会</w:t>
      </w:r>
      <w:r>
        <w:rPr>
          <w:spacing w:val="-31"/>
        </w:rPr>
        <w:t> </w:t>
      </w:r>
      <w:r>
        <w:rPr>
          <w:spacing w:val="-31"/>
        </w:rPr>
      </w:r>
      <w:r>
        <w:rPr/>
        <w:t>计政策变更采用未来适用法处理。</w:t>
      </w:r>
    </w:p>
    <w:p>
      <w:pPr>
        <w:pStyle w:val="Heading6"/>
        <w:spacing w:line="240" w:lineRule="auto" w:before="22"/>
        <w:ind w:left="574" w:right="0"/>
        <w:jc w:val="left"/>
      </w:pPr>
      <w:r>
        <w:rPr>
          <w:rFonts w:ascii="Times New Roman" w:hAnsi="Times New Roman" w:cs="Times New Roman" w:eastAsia="Times New Roman" w:hint="default"/>
        </w:rPr>
        <w:t>2.</w:t>
      </w:r>
      <w:r>
        <w:rPr/>
        <w:t>本公司编制</w:t>
      </w:r>
      <w:r>
        <w:rPr>
          <w:rFonts w:ascii="Times New Roman" w:hAnsi="Times New Roman" w:cs="Times New Roman" w:eastAsia="Times New Roman" w:hint="default"/>
        </w:rPr>
        <w:t>2017</w:t>
      </w:r>
      <w:r>
        <w:rPr/>
        <w:t>年度报表执行《财政部关于修订印发一般企业财务报表格式的通知》</w:t>
      </w:r>
      <w:r>
        <w:rPr>
          <w:rFonts w:ascii="Times New Roman" w:hAnsi="Times New Roman" w:cs="Times New Roman" w:eastAsia="Times New Roman" w:hint="default"/>
        </w:rPr>
        <w:t>(</w:t>
      </w:r>
      <w:r>
        <w:rPr/>
        <w:t>财会〔</w:t>
      </w:r>
      <w:r>
        <w:rPr>
          <w:rFonts w:ascii="Times New Roman" w:hAnsi="Times New Roman" w:cs="Times New Roman" w:eastAsia="Times New Roman" w:hint="default"/>
        </w:rPr>
        <w:t>2017</w:t>
      </w:r>
      <w:r>
        <w:rPr/>
        <w:t>〕</w:t>
      </w:r>
    </w:p>
    <w:p>
      <w:pPr>
        <w:pStyle w:val="Heading6"/>
        <w:spacing w:line="256" w:lineRule="auto" w:before="21"/>
        <w:ind w:right="139"/>
        <w:jc w:val="left"/>
      </w:pPr>
      <w:r>
        <w:rPr>
          <w:rFonts w:ascii="Times New Roman" w:hAnsi="Times New Roman" w:cs="Times New Roman" w:eastAsia="Times New Roman" w:hint="default"/>
          <w:spacing w:val="-1"/>
        </w:rPr>
        <w:t>30</w:t>
      </w:r>
      <w:r>
        <w:rPr>
          <w:spacing w:val="-1"/>
        </w:rPr>
        <w:t>号</w:t>
      </w:r>
      <w:r>
        <w:rPr>
          <w:rFonts w:ascii="Times New Roman" w:hAnsi="Times New Roman" w:cs="Times New Roman" w:eastAsia="Times New Roman" w:hint="default"/>
          <w:spacing w:val="-1"/>
        </w:rPr>
        <w:t>)</w:t>
      </w:r>
      <w:r>
        <w:rPr>
          <w:spacing w:val="-1"/>
        </w:rPr>
        <w:t>，将原列报于</w:t>
      </w:r>
      <w:r>
        <w:rPr>
          <w:rFonts w:ascii="Times New Roman" w:hAnsi="Times New Roman" w:cs="Times New Roman" w:eastAsia="Times New Roman" w:hint="default"/>
          <w:spacing w:val="-1"/>
        </w:rPr>
        <w:t>“</w:t>
      </w:r>
      <w:r>
        <w:rPr>
          <w:spacing w:val="-1"/>
        </w:rPr>
        <w:t>营业外收入</w:t>
      </w:r>
      <w:r>
        <w:rPr>
          <w:rFonts w:ascii="Times New Roman" w:hAnsi="Times New Roman" w:cs="Times New Roman" w:eastAsia="Times New Roman" w:hint="default"/>
          <w:spacing w:val="-1"/>
        </w:rPr>
        <w:t>”</w:t>
      </w:r>
      <w:r>
        <w:rPr>
          <w:spacing w:val="-1"/>
        </w:rPr>
        <w:t>和</w:t>
      </w:r>
      <w:r>
        <w:rPr>
          <w:rFonts w:ascii="Times New Roman" w:hAnsi="Times New Roman" w:cs="Times New Roman" w:eastAsia="Times New Roman" w:hint="default"/>
          <w:spacing w:val="-1"/>
        </w:rPr>
        <w:t>“</w:t>
      </w:r>
      <w:r>
        <w:rPr>
          <w:spacing w:val="-1"/>
        </w:rPr>
        <w:t>营业外支出</w:t>
      </w:r>
      <w:r>
        <w:rPr>
          <w:rFonts w:ascii="Times New Roman" w:hAnsi="Times New Roman" w:cs="Times New Roman" w:eastAsia="Times New Roman" w:hint="default"/>
          <w:spacing w:val="-1"/>
        </w:rPr>
        <w:t>”</w:t>
      </w:r>
      <w:r>
        <w:rPr>
          <w:spacing w:val="-1"/>
        </w:rPr>
        <w:t>的非流动资产处置利得和损失和非货币性资产交换利得和</w:t>
      </w:r>
      <w:r>
        <w:rPr/>
        <w:t> 损失变更为列报于</w:t>
      </w:r>
      <w:r>
        <w:rPr>
          <w:rFonts w:ascii="Times New Roman" w:hAnsi="Times New Roman" w:cs="Times New Roman" w:eastAsia="Times New Roman" w:hint="default"/>
        </w:rPr>
        <w:t>“</w:t>
      </w:r>
      <w:r>
        <w:rPr/>
        <w:t>资产处置收益</w:t>
      </w:r>
      <w:r>
        <w:rPr>
          <w:rFonts w:ascii="Times New Roman" w:hAnsi="Times New Roman" w:cs="Times New Roman" w:eastAsia="Times New Roman" w:hint="default"/>
        </w:rPr>
        <w:t>”</w:t>
      </w:r>
      <w:r>
        <w:rPr/>
        <w:t>。此项会计政策变更采用追溯调整法，调减</w:t>
      </w:r>
      <w:r>
        <w:rPr>
          <w:rFonts w:ascii="Times New Roman" w:hAnsi="Times New Roman" w:cs="Times New Roman" w:eastAsia="Times New Roman" w:hint="default"/>
        </w:rPr>
        <w:t>2016</w:t>
      </w:r>
      <w:r>
        <w:rPr/>
        <w:t>年度营业外收入 </w:t>
      </w:r>
      <w:r>
        <w:rPr>
          <w:rFonts w:ascii="Times New Roman" w:hAnsi="Times New Roman" w:cs="Times New Roman" w:eastAsia="Times New Roman" w:hint="default"/>
        </w:rPr>
        <w:t>104,300.98</w:t>
      </w:r>
      <w:r>
        <w:rPr/>
        <w:t>元、营业外支出</w:t>
      </w:r>
      <w:r>
        <w:rPr>
          <w:rFonts w:ascii="Times New Roman" w:hAnsi="Times New Roman" w:cs="Times New Roman" w:eastAsia="Times New Roman" w:hint="default"/>
        </w:rPr>
        <w:t>3,739.35</w:t>
      </w:r>
      <w:r>
        <w:rPr/>
        <w:t>元，调增资产处置收益</w:t>
      </w:r>
      <w:r>
        <w:rPr>
          <w:rFonts w:ascii="Times New Roman" w:hAnsi="Times New Roman" w:cs="Times New Roman" w:eastAsia="Times New Roman" w:hint="default"/>
        </w:rPr>
        <w:t>100,561.63</w:t>
      </w:r>
      <w:r>
        <w:rPr/>
        <w:t>元。</w:t>
      </w:r>
    </w:p>
    <w:p>
      <w:pPr>
        <w:spacing w:line="240" w:lineRule="auto" w:before="5"/>
        <w:rPr>
          <w:rFonts w:ascii="宋体" w:hAnsi="宋体" w:cs="宋体" w:eastAsia="宋体" w:hint="default"/>
          <w:sz w:val="23"/>
          <w:szCs w:val="23"/>
        </w:rPr>
      </w:pPr>
    </w:p>
    <w:p>
      <w:pPr>
        <w:pStyle w:val="Heading5"/>
        <w:spacing w:line="240" w:lineRule="auto"/>
        <w:ind w:right="0"/>
        <w:jc w:val="left"/>
        <w:rPr>
          <w:b w:val="0"/>
          <w:bCs w:val="0"/>
        </w:rPr>
      </w:pPr>
      <w:bookmarkStart w:name="（2）重要会计估计变更" w:id="217"/>
      <w:bookmarkEnd w:id="217"/>
      <w:r>
        <w:rPr>
          <w:b w:val="0"/>
          <w:bCs w:val="0"/>
        </w:rPr>
      </w:r>
      <w:r>
        <w:rPr/>
        <w:t>（</w:t>
      </w:r>
      <w:r>
        <w:rPr>
          <w:rFonts w:ascii="Times New Roman" w:hAnsi="Times New Roman" w:cs="Times New Roman" w:eastAsia="Times New Roman" w:hint="default"/>
        </w:rPr>
        <w:t>2</w:t>
      </w:r>
      <w:r>
        <w:rPr/>
        <w:t>）重要会计估计变更</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spacing w:line="487" w:lineRule="auto" w:before="0"/>
        <w:ind w:left="154" w:right="7986" w:firstLine="0"/>
        <w:jc w:val="left"/>
        <w:rPr>
          <w:rFonts w:ascii="宋体" w:hAnsi="宋体" w:cs="宋体" w:eastAsia="宋体" w:hint="default"/>
          <w:sz w:val="21"/>
          <w:szCs w:val="21"/>
        </w:rPr>
      </w:pPr>
      <w:bookmarkStart w:name="34、其他" w:id="218"/>
      <w:bookmarkEnd w:id="218"/>
      <w:r>
        <w:rPr/>
      </w:r>
      <w:r>
        <w:rPr>
          <w:rFonts w:ascii="Times New Roman" w:hAnsi="Times New Roman" w:cs="Times New Roman" w:eastAsia="Times New Roman" w:hint="default"/>
          <w:b/>
          <w:bCs/>
          <w:sz w:val="21"/>
          <w:szCs w:val="21"/>
        </w:rPr>
        <w:t>34</w:t>
      </w:r>
      <w:r>
        <w:rPr>
          <w:rFonts w:ascii="宋体" w:hAnsi="宋体" w:cs="宋体" w:eastAsia="宋体" w:hint="default"/>
          <w:b/>
          <w:bCs/>
          <w:sz w:val="21"/>
          <w:szCs w:val="21"/>
        </w:rPr>
        <w:t>、其他</w:t>
      </w:r>
      <w:r>
        <w:rPr>
          <w:rFonts w:ascii="宋体" w:hAnsi="宋体" w:cs="宋体" w:eastAsia="宋体" w:hint="default"/>
          <w:b/>
          <w:bCs/>
          <w:w w:val="99"/>
          <w:sz w:val="21"/>
          <w:szCs w:val="21"/>
        </w:rPr>
        <w:t> </w:t>
      </w:r>
      <w:bookmarkStart w:name="六、税项" w:id="219"/>
      <w:bookmarkEnd w:id="219"/>
      <w:r>
        <w:rPr>
          <w:rFonts w:ascii="宋体" w:hAnsi="宋体" w:cs="宋体" w:eastAsia="宋体" w:hint="default"/>
          <w:b/>
          <w:bCs/>
          <w:w w:val="99"/>
          <w:sz w:val="21"/>
          <w:szCs w:val="21"/>
        </w:rPr>
      </w:r>
      <w:r>
        <w:rPr>
          <w:rFonts w:ascii="宋体" w:hAnsi="宋体" w:cs="宋体" w:eastAsia="宋体" w:hint="default"/>
          <w:b/>
          <w:bCs/>
          <w:sz w:val="24"/>
          <w:szCs w:val="24"/>
        </w:rPr>
        <w:t>六、税项</w:t>
      </w:r>
      <w:r>
        <w:rPr>
          <w:rFonts w:ascii="宋体" w:hAnsi="宋体" w:cs="宋体" w:eastAsia="宋体" w:hint="default"/>
          <w:b/>
          <w:bCs/>
          <w:spacing w:val="1"/>
          <w:w w:val="99"/>
          <w:sz w:val="24"/>
          <w:szCs w:val="24"/>
        </w:rPr>
        <w:t> </w:t>
      </w:r>
      <w:bookmarkStart w:name="1、主要税种及税率" w:id="220"/>
      <w:bookmarkEnd w:id="220"/>
      <w:r>
        <w:rPr>
          <w:rFonts w:ascii="宋体" w:hAnsi="宋体" w:cs="宋体" w:eastAsia="宋体" w:hint="default"/>
          <w:b/>
          <w:bCs/>
          <w:spacing w:val="1"/>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、主要税种及税率</w:t>
      </w:r>
      <w:r>
        <w:rPr>
          <w:rFonts w:ascii="宋体" w:hAnsi="宋体" w:cs="宋体" w:eastAsia="宋体" w:hint="default"/>
          <w:sz w:val="21"/>
          <w:szCs w:val="21"/>
        </w:rPr>
      </w:r>
    </w:p>
    <w:p>
      <w:pPr>
        <w:spacing w:line="240" w:lineRule="auto" w:before="5"/>
        <w:rPr>
          <w:rFonts w:ascii="宋体" w:hAnsi="宋体" w:cs="宋体" w:eastAsia="宋体" w:hint="default"/>
          <w:b/>
          <w:bCs/>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税种</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销售货物或提供应税劳务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17%</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应缴流转税税额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7%</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15%</w:t>
            </w:r>
            <w:r>
              <w:rPr>
                <w:rFonts w:ascii="宋体" w:hAnsi="宋体" w:cs="宋体" w:eastAsia="宋体" w:hint="default"/>
                <w:sz w:val="18"/>
                <w:szCs w:val="18"/>
              </w:rPr>
              <w:t>、</w:t>
            </w:r>
            <w:r>
              <w:rPr>
                <w:rFonts w:ascii="Times New Roman" w:hAnsi="Times New Roman" w:cs="Times New Roman" w:eastAsia="Times New Roman" w:hint="default"/>
                <w:sz w:val="18"/>
                <w:szCs w:val="18"/>
              </w:rPr>
              <w:t>25%</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98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1026"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35"/>
              <w:jc w:val="both"/>
              <w:rPr>
                <w:rFonts w:ascii="宋体" w:hAnsi="宋体" w:cs="宋体" w:eastAsia="宋体" w:hint="default"/>
                <w:sz w:val="18"/>
                <w:szCs w:val="18"/>
              </w:rPr>
            </w:pPr>
            <w:r>
              <w:rPr>
                <w:rFonts w:ascii="宋体" w:hAnsi="宋体" w:cs="宋体" w:eastAsia="宋体" w:hint="default"/>
                <w:sz w:val="18"/>
                <w:szCs w:val="18"/>
              </w:rPr>
              <w:t>从价计征的，按房产原值一次减除</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后余值的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宋体" w:hAnsi="宋体" w:cs="宋体" w:eastAsia="宋体" w:hint="default"/>
                <w:sz w:val="18"/>
                <w:szCs w:val="18"/>
              </w:rPr>
              <w:t>计缴；从租计征的，按租 金收入的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宋体" w:hAnsi="宋体" w:cs="宋体" w:eastAsia="宋体" w:hint="default"/>
                <w:sz w:val="18"/>
                <w:szCs w:val="18"/>
              </w:rPr>
              <w:t>计缴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或</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应缴流转税税额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地方教育附加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应缴流转税税额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w:t>
            </w:r>
          </w:p>
        </w:tc>
      </w:tr>
    </w:tbl>
    <w:p>
      <w:pPr>
        <w:pStyle w:val="BodyText"/>
        <w:spacing w:line="240" w:lineRule="auto" w:before="51"/>
        <w:ind w:right="0"/>
        <w:jc w:val="left"/>
      </w:pPr>
      <w:r>
        <w:rPr/>
        <w:t>存在不同企业所得税税率纳税主体的，披露情况说明</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本公司、奥能电源公司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福建南平太阳高新材料有限公司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bookmarkStart w:name="2、税收优惠" w:id="221"/>
      <w:bookmarkEnd w:id="221"/>
      <w:r>
        <w:rPr>
          <w:b w:val="0"/>
          <w:bCs w:val="0"/>
        </w:rPr>
      </w:r>
      <w:r>
        <w:rPr>
          <w:rFonts w:ascii="Times New Roman" w:hAnsi="Times New Roman" w:cs="Times New Roman" w:eastAsia="Times New Roman" w:hint="default"/>
        </w:rPr>
        <w:t>2</w:t>
      </w:r>
      <w:r>
        <w:rPr/>
        <w:t>、税收优惠</w:t>
      </w:r>
      <w:r>
        <w:rPr>
          <w:b w:val="0"/>
          <w:bCs w:val="0"/>
        </w:rPr>
      </w:r>
    </w:p>
    <w:p>
      <w:pPr>
        <w:spacing w:line="240" w:lineRule="auto" w:before="7"/>
        <w:rPr>
          <w:rFonts w:ascii="宋体" w:hAnsi="宋体" w:cs="宋体" w:eastAsia="宋体" w:hint="default"/>
          <w:b/>
          <w:bCs/>
          <w:sz w:val="24"/>
          <w:szCs w:val="24"/>
        </w:rPr>
      </w:pPr>
    </w:p>
    <w:p>
      <w:pPr>
        <w:pStyle w:val="Heading6"/>
        <w:spacing w:line="240" w:lineRule="auto"/>
        <w:ind w:left="574"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30"/>
        </w:rPr>
        <w:t> </w:t>
      </w:r>
      <w:r>
        <w:rPr/>
        <w:t>企业所得税</w:t>
      </w:r>
    </w:p>
    <w:p>
      <w:pPr>
        <w:pStyle w:val="Heading6"/>
        <w:spacing w:line="256" w:lineRule="auto" w:before="21"/>
        <w:ind w:right="151" w:firstLine="420"/>
        <w:jc w:val="both"/>
      </w:pPr>
      <w:r>
        <w:rPr>
          <w:rFonts w:ascii="Times New Roman" w:hAnsi="Times New Roman" w:cs="Times New Roman" w:eastAsia="Times New Roman" w:hint="default"/>
        </w:rPr>
        <w:t>(1)</w:t>
      </w:r>
      <w:r>
        <w:rPr>
          <w:rFonts w:ascii="Times New Roman" w:hAnsi="Times New Roman" w:cs="Times New Roman" w:eastAsia="Times New Roman" w:hint="default"/>
          <w:spacing w:val="-4"/>
        </w:rPr>
        <w:t> </w:t>
      </w:r>
      <w:r>
        <w:rPr/>
        <w:t>根据全国高新技术企业认定管理工作领导小组办公室</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9</w:t>
      </w:r>
      <w:r>
        <w:rPr/>
        <w:t>日下发的《关于浙江省</w:t>
      </w:r>
      <w:r>
        <w:rPr>
          <w:rFonts w:ascii="Times New Roman" w:hAnsi="Times New Roman" w:cs="Times New Roman" w:eastAsia="Times New Roman" w:hint="default"/>
        </w:rPr>
        <w:t>2016</w:t>
      </w:r>
      <w:r>
        <w:rPr/>
        <w:t>年第</w:t>
      </w:r>
      <w:r>
        <w:rPr>
          <w:w w:val="99"/>
        </w:rPr>
        <w:t> </w:t>
      </w:r>
      <w:r>
        <w:rPr/>
        <w:t>一批高新技术企业备案的复函》</w:t>
      </w:r>
      <w:r>
        <w:rPr>
          <w:rFonts w:ascii="Times New Roman" w:hAnsi="Times New Roman" w:cs="Times New Roman" w:eastAsia="Times New Roman" w:hint="default"/>
        </w:rPr>
        <w:t>(</w:t>
      </w:r>
      <w:r>
        <w:rPr/>
        <w:t>国科火字〔</w:t>
      </w:r>
      <w:r>
        <w:rPr>
          <w:rFonts w:ascii="Times New Roman" w:hAnsi="Times New Roman" w:cs="Times New Roman" w:eastAsia="Times New Roman" w:hint="default"/>
        </w:rPr>
        <w:t>2016</w:t>
      </w:r>
      <w:r>
        <w:rPr/>
        <w:t>〕</w:t>
      </w:r>
      <w:r>
        <w:rPr>
          <w:rFonts w:ascii="Times New Roman" w:hAnsi="Times New Roman" w:cs="Times New Roman" w:eastAsia="Times New Roman" w:hint="default"/>
        </w:rPr>
        <w:t>149</w:t>
      </w:r>
      <w:r>
        <w:rPr/>
        <w:t>号</w:t>
      </w:r>
      <w:r>
        <w:rPr>
          <w:rFonts w:ascii="Times New Roman" w:hAnsi="Times New Roman" w:cs="Times New Roman" w:eastAsia="Times New Roman" w:hint="default"/>
        </w:rPr>
        <w:t>)</w:t>
      </w:r>
      <w:r>
        <w:rPr/>
        <w:t>，本公司通过高新技术企业复审，资格有效期</w:t>
      </w:r>
      <w:r>
        <w:rPr>
          <w:rFonts w:ascii="Times New Roman" w:hAnsi="Times New Roman" w:cs="Times New Roman" w:eastAsia="Times New Roman" w:hint="default"/>
        </w:rPr>
        <w:t>3</w:t>
      </w:r>
      <w:r>
        <w:rPr>
          <w:rFonts w:ascii="Times New Roman" w:hAnsi="Times New Roman" w:cs="Times New Roman" w:eastAsia="Times New Roman" w:hint="default"/>
          <w:spacing w:val="-10"/>
        </w:rPr>
        <w:t> </w:t>
      </w:r>
      <w:r>
        <w:rPr/>
        <w:t>年。根据高新技术企业所得税优惠政策，公司本期企业所得税减按</w:t>
      </w:r>
      <w:r>
        <w:rPr>
          <w:rFonts w:ascii="Times New Roman" w:hAnsi="Times New Roman" w:cs="Times New Roman" w:eastAsia="Times New Roman" w:hint="default"/>
        </w:rPr>
        <w:t>15%</w:t>
      </w:r>
      <w:r>
        <w:rPr/>
        <w:t>的税率计缴。</w:t>
      </w:r>
    </w:p>
    <w:p>
      <w:pPr>
        <w:pStyle w:val="Heading6"/>
        <w:spacing w:line="256" w:lineRule="auto" w:before="5"/>
        <w:ind w:right="150" w:firstLine="420"/>
        <w:jc w:val="both"/>
      </w:pPr>
      <w:r>
        <w:rPr>
          <w:rFonts w:ascii="Times New Roman" w:hAnsi="Times New Roman" w:cs="Times New Roman" w:eastAsia="Times New Roman" w:hint="default"/>
          <w:spacing w:val="-2"/>
        </w:rPr>
        <w:t>(2)</w:t>
      </w:r>
      <w:r>
        <w:rPr>
          <w:spacing w:val="-2"/>
        </w:rPr>
        <w:t>根据浙江省科学技术厅、浙江省财政厅、浙江省国家税务局和浙江省地方税务局《高新技术企业认</w:t>
      </w:r>
      <w:r>
        <w:rPr>
          <w:w w:val="99"/>
        </w:rPr>
        <w:t> </w:t>
      </w:r>
      <w:r>
        <w:rPr/>
        <w:t>定管理办法》</w:t>
      </w:r>
      <w:r>
        <w:rPr>
          <w:rFonts w:ascii="Times New Roman" w:hAnsi="Times New Roman" w:cs="Times New Roman" w:eastAsia="Times New Roman" w:hint="default"/>
        </w:rPr>
        <w:t>(</w:t>
      </w:r>
      <w:r>
        <w:rPr/>
        <w:t>国科发火〔</w:t>
      </w:r>
      <w:r>
        <w:rPr>
          <w:rFonts w:ascii="Times New Roman" w:hAnsi="Times New Roman" w:cs="Times New Roman" w:eastAsia="Times New Roman" w:hint="default"/>
        </w:rPr>
        <w:t>2016</w:t>
      </w:r>
      <w:r>
        <w:rPr/>
        <w:t>〕</w:t>
      </w:r>
      <w:r>
        <w:rPr>
          <w:rFonts w:ascii="Times New Roman" w:hAnsi="Times New Roman" w:cs="Times New Roman" w:eastAsia="Times New Roman" w:hint="default"/>
        </w:rPr>
        <w:t>32</w:t>
      </w:r>
      <w:r>
        <w:rPr/>
        <w:t>号</w:t>
      </w:r>
      <w:r>
        <w:rPr>
          <w:rFonts w:ascii="Times New Roman" w:hAnsi="Times New Roman" w:cs="Times New Roman" w:eastAsia="Times New Roman" w:hint="default"/>
        </w:rPr>
        <w:t>)</w:t>
      </w:r>
      <w:r>
        <w:rPr/>
        <w:t>和《高新技术企业认定管理工作指引》</w:t>
      </w:r>
      <w:r>
        <w:rPr>
          <w:rFonts w:ascii="Times New Roman" w:hAnsi="Times New Roman" w:cs="Times New Roman" w:eastAsia="Times New Roman" w:hint="default"/>
        </w:rPr>
        <w:t>(</w:t>
      </w:r>
      <w:r>
        <w:rPr/>
        <w:t>国科发火〔</w:t>
      </w:r>
      <w:r>
        <w:rPr>
          <w:rFonts w:ascii="Times New Roman" w:hAnsi="Times New Roman" w:cs="Times New Roman" w:eastAsia="Times New Roman" w:hint="default"/>
        </w:rPr>
        <w:t>2016</w:t>
      </w:r>
      <w:r>
        <w:rPr/>
        <w:t>〕</w:t>
      </w:r>
      <w:r>
        <w:rPr>
          <w:rFonts w:ascii="Times New Roman" w:hAnsi="Times New Roman" w:cs="Times New Roman" w:eastAsia="Times New Roman" w:hint="default"/>
        </w:rPr>
        <w:t>195</w:t>
      </w:r>
      <w:r>
        <w:rPr/>
        <w:t>号</w:t>
      </w:r>
      <w:r>
        <w:rPr>
          <w:rFonts w:ascii="Times New Roman" w:hAnsi="Times New Roman" w:cs="Times New Roman" w:eastAsia="Times New Roman" w:hint="default"/>
        </w:rPr>
        <w:t>)</w:t>
      </w:r>
      <w:r>
        <w:rPr/>
        <w:t>有</w:t>
      </w:r>
      <w:r>
        <w:rPr>
          <w:spacing w:val="-101"/>
        </w:rPr>
        <w:t> </w:t>
      </w:r>
      <w:r>
        <w:rPr/>
        <w:t>关规定，奥能电源公司通过高新技术企业复审，资格有效期</w:t>
      </w:r>
      <w:r>
        <w:rPr>
          <w:rFonts w:ascii="Times New Roman" w:hAnsi="Times New Roman" w:cs="Times New Roman" w:eastAsia="Times New Roman" w:hint="default"/>
        </w:rPr>
        <w:t>3</w:t>
      </w:r>
      <w:r>
        <w:rPr/>
        <w:t>年。根据高新技术企业所得税优惠政策，奥</w:t>
      </w:r>
      <w:r>
        <w:rPr>
          <w:spacing w:val="-29"/>
        </w:rPr>
        <w:t> </w:t>
      </w:r>
      <w:r>
        <w:rPr>
          <w:spacing w:val="-29"/>
        </w:rPr>
      </w:r>
      <w:r>
        <w:rPr/>
        <w:t>能电源公司本期企业所得税减按</w:t>
      </w:r>
      <w:r>
        <w:rPr>
          <w:rFonts w:ascii="Times New Roman" w:hAnsi="Times New Roman" w:cs="Times New Roman" w:eastAsia="Times New Roman" w:hint="default"/>
        </w:rPr>
        <w:t>15%</w:t>
      </w:r>
      <w:r>
        <w:rPr/>
        <w:t>的税率计缴。</w:t>
      </w:r>
    </w:p>
    <w:p>
      <w:pPr>
        <w:pStyle w:val="Heading6"/>
        <w:spacing w:line="256" w:lineRule="auto" w:before="5"/>
        <w:ind w:left="574" w:right="0"/>
        <w:jc w:val="left"/>
        <w:rPr>
          <w:rFonts w:ascii="Times New Roman" w:hAnsi="Times New Roman" w:cs="Times New Roman" w:eastAsia="Times New Roman" w:hint="default"/>
        </w:rPr>
      </w:pPr>
      <w:r>
        <w:rPr>
          <w:rFonts w:ascii="Times New Roman" w:hAnsi="Times New Roman" w:cs="Times New Roman" w:eastAsia="Times New Roman" w:hint="default"/>
        </w:rPr>
        <w:t>2.</w:t>
      </w:r>
      <w:r>
        <w:rPr>
          <w:rFonts w:ascii="Times New Roman" w:hAnsi="Times New Roman" w:cs="Times New Roman" w:eastAsia="Times New Roman" w:hint="default"/>
          <w:spacing w:val="32"/>
        </w:rPr>
        <w:t> </w:t>
      </w:r>
      <w:r>
        <w:rPr/>
        <w:t>增值税 </w:t>
      </w:r>
      <w:r>
        <w:rPr>
          <w:spacing w:val="-2"/>
        </w:rPr>
        <w:t>根据国务院《关于印发进一步鼓励软件产品和集成电路产业发展若干政策的通知》</w:t>
      </w:r>
      <w:r>
        <w:rPr>
          <w:rFonts w:ascii="Times New Roman" w:hAnsi="Times New Roman" w:cs="Times New Roman" w:eastAsia="Times New Roman" w:hint="default"/>
          <w:spacing w:val="-2"/>
        </w:rPr>
        <w:t>(</w:t>
      </w:r>
      <w:r>
        <w:rPr>
          <w:spacing w:val="-2"/>
        </w:rPr>
        <w:t>国发〔</w:t>
      </w:r>
      <w:r>
        <w:rPr>
          <w:rFonts w:ascii="Times New Roman" w:hAnsi="Times New Roman" w:cs="Times New Roman" w:eastAsia="Times New Roman" w:hint="default"/>
          <w:spacing w:val="-2"/>
        </w:rPr>
        <w:t>2011</w:t>
      </w:r>
      <w:r>
        <w:rPr>
          <w:spacing w:val="-2"/>
        </w:rPr>
        <w:t>〕</w:t>
      </w:r>
      <w:r>
        <w:rPr>
          <w:rFonts w:ascii="Times New Roman" w:hAnsi="Times New Roman" w:cs="Times New Roman" w:eastAsia="Times New Roman" w:hint="default"/>
          <w:spacing w:val="-2"/>
        </w:rPr>
        <w:t>4</w:t>
      </w:r>
      <w:r>
        <w:rPr>
          <w:spacing w:val="-2"/>
        </w:rPr>
        <w:t>号</w:t>
      </w:r>
      <w:r>
        <w:rPr>
          <w:rFonts w:ascii="Times New Roman" w:hAnsi="Times New Roman" w:cs="Times New Roman" w:eastAsia="Times New Roman" w:hint="default"/>
          <w:spacing w:val="-2"/>
        </w:rPr>
        <w:t>)</w:t>
      </w:r>
    </w:p>
    <w:p>
      <w:pPr>
        <w:pStyle w:val="Heading6"/>
        <w:spacing w:line="256" w:lineRule="auto" w:before="5"/>
        <w:ind w:right="152"/>
        <w:jc w:val="both"/>
      </w:pPr>
      <w:r>
        <w:rPr>
          <w:spacing w:val="-2"/>
        </w:rPr>
        <w:t>和财政部、国家税务总局《关于软件产品增值税政策的通知》</w:t>
      </w:r>
      <w:r>
        <w:rPr>
          <w:rFonts w:ascii="Times New Roman" w:hAnsi="Times New Roman" w:cs="Times New Roman" w:eastAsia="Times New Roman" w:hint="default"/>
          <w:spacing w:val="-2"/>
        </w:rPr>
        <w:t>(</w:t>
      </w:r>
      <w:r>
        <w:rPr>
          <w:spacing w:val="-2"/>
        </w:rPr>
        <w:t>财税〔</w:t>
      </w:r>
      <w:r>
        <w:rPr>
          <w:rFonts w:ascii="Times New Roman" w:hAnsi="Times New Roman" w:cs="Times New Roman" w:eastAsia="Times New Roman" w:hint="default"/>
          <w:spacing w:val="-2"/>
        </w:rPr>
        <w:t>2011</w:t>
      </w:r>
      <w:r>
        <w:rPr>
          <w:spacing w:val="-2"/>
        </w:rPr>
        <w:t>〕</w:t>
      </w:r>
      <w:r>
        <w:rPr>
          <w:rFonts w:ascii="Times New Roman" w:hAnsi="Times New Roman" w:cs="Times New Roman" w:eastAsia="Times New Roman" w:hint="default"/>
          <w:spacing w:val="-2"/>
        </w:rPr>
        <w:t>100</w:t>
      </w:r>
      <w:r>
        <w:rPr>
          <w:spacing w:val="-2"/>
        </w:rPr>
        <w:t>号</w:t>
      </w:r>
      <w:r>
        <w:rPr>
          <w:rFonts w:ascii="Times New Roman" w:hAnsi="Times New Roman" w:cs="Times New Roman" w:eastAsia="Times New Roman" w:hint="default"/>
          <w:spacing w:val="-2"/>
        </w:rPr>
        <w:t>)</w:t>
      </w:r>
      <w:r>
        <w:rPr>
          <w:spacing w:val="-2"/>
        </w:rPr>
        <w:t>，奥能电源公司自行开</w:t>
      </w:r>
      <w:r>
        <w:rPr>
          <w:spacing w:val="-63"/>
        </w:rPr>
        <w:t> </w:t>
      </w:r>
      <w:r>
        <w:rPr>
          <w:spacing w:val="-63"/>
        </w:rPr>
      </w:r>
      <w:r>
        <w:rPr>
          <w:spacing w:val="-2"/>
        </w:rPr>
        <w:t>发生产的嵌入式软件产品销售先按</w:t>
      </w:r>
      <w:r>
        <w:rPr>
          <w:rFonts w:ascii="Times New Roman" w:hAnsi="Times New Roman" w:cs="Times New Roman" w:eastAsia="Times New Roman" w:hint="default"/>
          <w:spacing w:val="-2"/>
        </w:rPr>
        <w:t>17%</w:t>
      </w:r>
      <w:r>
        <w:rPr>
          <w:spacing w:val="-2"/>
        </w:rPr>
        <w:t>税率计缴增值税，实际税负率超过</w:t>
      </w:r>
      <w:r>
        <w:rPr>
          <w:rFonts w:ascii="Times New Roman" w:hAnsi="Times New Roman" w:cs="Times New Roman" w:eastAsia="Times New Roman" w:hint="default"/>
          <w:spacing w:val="-2"/>
        </w:rPr>
        <w:t>3%</w:t>
      </w:r>
      <w:r>
        <w:rPr>
          <w:spacing w:val="-2"/>
        </w:rPr>
        <w:t>的部分实行即征即退。奥能电</w:t>
      </w:r>
      <w:r>
        <w:rPr>
          <w:spacing w:val="-70"/>
        </w:rPr>
        <w:t> </w:t>
      </w:r>
      <w:r>
        <w:rPr>
          <w:spacing w:val="-70"/>
        </w:rPr>
      </w:r>
      <w:r>
        <w:rPr/>
        <w:t>源公司</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11-12</w:t>
      </w:r>
      <w:r>
        <w:rPr/>
        <w:t>月收到超税负返还增值税</w:t>
      </w:r>
      <w:r>
        <w:rPr>
          <w:rFonts w:ascii="Times New Roman" w:hAnsi="Times New Roman" w:cs="Times New Roman" w:eastAsia="Times New Roman" w:hint="default"/>
        </w:rPr>
        <w:t>2,858,335.66</w:t>
      </w:r>
      <w:r>
        <w:rPr/>
        <w:t>元。</w:t>
      </w:r>
    </w:p>
    <w:p>
      <w:pPr>
        <w:spacing w:line="240" w:lineRule="auto" w:before="5"/>
        <w:rPr>
          <w:rFonts w:ascii="宋体" w:hAnsi="宋体" w:cs="宋体" w:eastAsia="宋体" w:hint="default"/>
          <w:sz w:val="23"/>
          <w:szCs w:val="23"/>
        </w:rPr>
      </w:pPr>
    </w:p>
    <w:p>
      <w:pPr>
        <w:spacing w:line="487" w:lineRule="auto" w:before="0"/>
        <w:ind w:left="154" w:right="6610" w:firstLine="0"/>
        <w:jc w:val="left"/>
        <w:rPr>
          <w:rFonts w:ascii="宋体" w:hAnsi="宋体" w:cs="宋体" w:eastAsia="宋体" w:hint="default"/>
          <w:sz w:val="21"/>
          <w:szCs w:val="21"/>
        </w:rPr>
      </w:pPr>
      <w:bookmarkStart w:name="3、其他" w:id="222"/>
      <w:bookmarkEnd w:id="222"/>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七、合并财务报表项目注释" w:id="223"/>
      <w:bookmarkEnd w:id="223"/>
      <w:r>
        <w:rPr>
          <w:rFonts w:ascii="宋体" w:hAnsi="宋体" w:cs="宋体" w:eastAsia="宋体" w:hint="default"/>
          <w:b/>
          <w:bCs/>
          <w:spacing w:val="1"/>
          <w:w w:val="99"/>
          <w:sz w:val="21"/>
          <w:szCs w:val="21"/>
        </w:rPr>
      </w:r>
      <w:r>
        <w:rPr>
          <w:rFonts w:ascii="宋体" w:hAnsi="宋体" w:cs="宋体" w:eastAsia="宋体" w:hint="default"/>
          <w:b/>
          <w:bCs/>
          <w:w w:val="95"/>
          <w:sz w:val="24"/>
          <w:szCs w:val="24"/>
        </w:rPr>
        <w:t>七、合并财务报表项目注释</w:t>
      </w:r>
      <w:r>
        <w:rPr>
          <w:rFonts w:ascii="宋体" w:hAnsi="宋体" w:cs="宋体" w:eastAsia="宋体" w:hint="default"/>
          <w:b/>
          <w:bCs/>
          <w:spacing w:val="19"/>
          <w:w w:val="95"/>
          <w:sz w:val="24"/>
          <w:szCs w:val="24"/>
        </w:rPr>
        <w:t> </w:t>
      </w:r>
      <w:r>
        <w:rPr>
          <w:rFonts w:ascii="宋体" w:hAnsi="宋体" w:cs="宋体" w:eastAsia="宋体" w:hint="default"/>
          <w:b/>
          <w:bCs/>
          <w:spacing w:val="19"/>
          <w:w w:val="95"/>
          <w:sz w:val="24"/>
          <w:szCs w:val="24"/>
        </w:rPr>
      </w:r>
      <w:bookmarkStart w:name="1、货币资金" w:id="224"/>
      <w:bookmarkEnd w:id="224"/>
      <w:r>
        <w:rPr>
          <w:rFonts w:ascii="宋体" w:hAnsi="宋体" w:cs="宋体" w:eastAsia="宋体" w:hint="default"/>
          <w:b/>
          <w:bCs/>
          <w:spacing w:val="19"/>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、货币资金</w:t>
      </w:r>
      <w:r>
        <w:rPr>
          <w:rFonts w:ascii="宋体" w:hAnsi="宋体" w:cs="宋体" w:eastAsia="宋体" w:hint="default"/>
          <w:sz w:val="21"/>
          <w:szCs w:val="21"/>
        </w:rPr>
      </w:r>
    </w:p>
    <w:p>
      <w:pPr>
        <w:pStyle w:val="BodyText"/>
        <w:spacing w:line="240" w:lineRule="auto" w:before="108"/>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12,248.02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545.34</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96,326,748.44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137,171,968.78</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15,984,070.33</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112,323,066.79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137,172,514.12</w:t>
            </w:r>
          </w:p>
        </w:tc>
      </w:tr>
    </w:tbl>
    <w:p>
      <w:pPr>
        <w:pStyle w:val="BodyText"/>
        <w:spacing w:line="240" w:lineRule="auto" w:before="51"/>
        <w:ind w:right="0"/>
        <w:jc w:val="left"/>
      </w:pPr>
      <w:r>
        <w:rPr/>
        <w:t>其他说明</w:t>
      </w:r>
    </w:p>
    <w:p>
      <w:pPr>
        <w:pStyle w:val="Heading6"/>
        <w:spacing w:line="240" w:lineRule="auto" w:before="90"/>
        <w:ind w:left="574" w:right="0"/>
        <w:jc w:val="left"/>
      </w:pPr>
      <w:r>
        <w:rPr/>
        <w:t>期末其他货币资金包括保函保证金</w:t>
      </w:r>
      <w:r>
        <w:rPr>
          <w:rFonts w:ascii="Times New Roman" w:hAnsi="Times New Roman" w:cs="Times New Roman" w:eastAsia="Times New Roman" w:hint="default"/>
        </w:rPr>
        <w:t>981,047.80</w:t>
      </w:r>
      <w:r>
        <w:rPr/>
        <w:t>元和票据保证金</w:t>
      </w:r>
      <w:r>
        <w:rPr>
          <w:rFonts w:ascii="Times New Roman" w:hAnsi="Times New Roman" w:cs="Times New Roman" w:eastAsia="Times New Roman" w:hint="default"/>
        </w:rPr>
        <w:t>15,003,022.53</w:t>
      </w:r>
      <w:r>
        <w:rPr/>
        <w:t>元，使用受限。</w:t>
      </w:r>
    </w:p>
    <w:p>
      <w:pPr>
        <w:spacing w:after="0" w:line="240" w:lineRule="auto"/>
        <w:jc w:val="left"/>
        <w:sectPr>
          <w:pgSz w:w="11910" w:h="16840"/>
          <w:pgMar w:header="747" w:footer="979" w:top="1060" w:bottom="1160" w:left="980" w:right="980"/>
        </w:sectPr>
      </w:pPr>
    </w:p>
    <w:p>
      <w:pPr>
        <w:spacing w:line="240" w:lineRule="auto" w:before="10"/>
        <w:rPr>
          <w:rFonts w:ascii="宋体" w:hAnsi="宋体" w:cs="宋体" w:eastAsia="宋体" w:hint="default"/>
          <w:sz w:val="24"/>
          <w:szCs w:val="24"/>
        </w:rPr>
      </w:pPr>
    </w:p>
    <w:p>
      <w:pPr>
        <w:pStyle w:val="Heading5"/>
        <w:spacing w:line="240" w:lineRule="auto" w:before="35"/>
        <w:ind w:right="0"/>
        <w:jc w:val="left"/>
        <w:rPr>
          <w:b w:val="0"/>
          <w:bCs w:val="0"/>
        </w:rPr>
      </w:pPr>
      <w:bookmarkStart w:name="2、以公允价值计量且其变动计入当期损益的金融资产" w:id="225"/>
      <w:bookmarkEnd w:id="225"/>
      <w:r>
        <w:rPr>
          <w:b w:val="0"/>
          <w:bCs w:val="0"/>
        </w:rPr>
      </w:r>
      <w:r>
        <w:rPr>
          <w:rFonts w:ascii="Times New Roman" w:hAnsi="Times New Roman" w:cs="Times New Roman" w:eastAsia="Times New Roman" w:hint="default"/>
        </w:rPr>
        <w:t>2</w:t>
      </w:r>
      <w:r>
        <w:rPr/>
        <w:t>、以公允价值计量且其变动计入当期损益的金融资产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2"/>
        <w:ind w:right="0"/>
        <w:jc w:val="left"/>
      </w:pPr>
      <w:r>
        <w:rPr/>
        <w:t>其他说明：</w:t>
      </w:r>
    </w:p>
    <w:p>
      <w:pPr>
        <w:spacing w:line="240" w:lineRule="auto" w:before="10"/>
        <w:rPr>
          <w:rFonts w:ascii="宋体" w:hAnsi="宋体" w:cs="宋体" w:eastAsia="宋体" w:hint="default"/>
          <w:sz w:val="26"/>
          <w:szCs w:val="26"/>
        </w:rPr>
      </w:pPr>
    </w:p>
    <w:p>
      <w:pPr>
        <w:pStyle w:val="Heading5"/>
        <w:spacing w:line="240" w:lineRule="auto"/>
        <w:ind w:right="0"/>
        <w:jc w:val="left"/>
        <w:rPr>
          <w:b w:val="0"/>
          <w:bCs w:val="0"/>
        </w:rPr>
      </w:pPr>
      <w:bookmarkStart w:name="3、衍生金融资产" w:id="226"/>
      <w:bookmarkEnd w:id="226"/>
      <w:r>
        <w:rPr>
          <w:b w:val="0"/>
          <w:bCs w:val="0"/>
        </w:rPr>
      </w:r>
      <w:r>
        <w:rPr>
          <w:rFonts w:ascii="Times New Roman" w:hAnsi="Times New Roman" w:cs="Times New Roman" w:eastAsia="Times New Roman" w:hint="default"/>
        </w:rPr>
        <w:t>3</w:t>
      </w:r>
      <w:r>
        <w:rPr/>
        <w:t>、衍生金融资产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line="240" w:lineRule="auto" w:before="9"/>
        <w:rPr>
          <w:rFonts w:ascii="宋体" w:hAnsi="宋体" w:cs="宋体" w:eastAsia="宋体" w:hint="default"/>
          <w:sz w:val="25"/>
          <w:szCs w:val="25"/>
        </w:rPr>
      </w:pPr>
    </w:p>
    <w:p>
      <w:pPr>
        <w:pStyle w:val="Heading5"/>
        <w:spacing w:line="240" w:lineRule="auto"/>
        <w:ind w:right="0"/>
        <w:jc w:val="left"/>
        <w:rPr>
          <w:b w:val="0"/>
          <w:bCs w:val="0"/>
        </w:rPr>
      </w:pPr>
      <w:bookmarkStart w:name="4、应收票据" w:id="227"/>
      <w:bookmarkEnd w:id="227"/>
      <w:r>
        <w:rPr>
          <w:b w:val="0"/>
          <w:bCs w:val="0"/>
        </w:rPr>
      </w:r>
      <w:r>
        <w:rPr>
          <w:rFonts w:ascii="Times New Roman" w:hAnsi="Times New Roman" w:cs="Times New Roman" w:eastAsia="Times New Roman" w:hint="default"/>
        </w:rPr>
        <w:t>4</w:t>
      </w:r>
      <w:r>
        <w:rPr/>
        <w:t>、应收票据</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bookmarkStart w:name="（1）应收票据分类列示" w:id="228"/>
      <w:bookmarkEnd w:id="228"/>
      <w:r>
        <w:rPr>
          <w:b w:val="0"/>
          <w:bCs w:val="0"/>
        </w:rPr>
      </w:r>
      <w:r>
        <w:rPr/>
        <w:t>（</w:t>
      </w:r>
      <w:r>
        <w:rPr>
          <w:rFonts w:ascii="Times New Roman" w:hAnsi="Times New Roman" w:cs="Times New Roman" w:eastAsia="Times New Roman" w:hint="default"/>
        </w:rPr>
        <w:t>1</w:t>
      </w:r>
      <w:r>
        <w:rPr/>
        <w:t>）应收票据分类列示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83,205,267.73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49,593,655.58</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21,528,111.35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25,452,405.21</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104,733,379.08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75,046,060.79</w:t>
            </w:r>
          </w:p>
        </w:tc>
      </w:tr>
    </w:tbl>
    <w:p>
      <w:pPr>
        <w:spacing w:line="240" w:lineRule="auto" w:before="3"/>
        <w:rPr>
          <w:rFonts w:ascii="宋体" w:hAnsi="宋体" w:cs="宋体" w:eastAsia="宋体" w:hint="default"/>
          <w:sz w:val="19"/>
          <w:szCs w:val="19"/>
        </w:rPr>
      </w:pPr>
    </w:p>
    <w:p>
      <w:pPr>
        <w:pStyle w:val="Heading5"/>
        <w:spacing w:line="240" w:lineRule="auto" w:before="35"/>
        <w:ind w:right="0"/>
        <w:jc w:val="left"/>
        <w:rPr>
          <w:b w:val="0"/>
          <w:bCs w:val="0"/>
        </w:rPr>
      </w:pPr>
      <w:bookmarkStart w:name="（2）期末公司已质押的应收票据" w:id="229"/>
      <w:bookmarkEnd w:id="229"/>
      <w:r>
        <w:rPr>
          <w:b w:val="0"/>
          <w:bCs w:val="0"/>
        </w:rPr>
      </w:r>
      <w:r>
        <w:rPr/>
        <w:t>（</w:t>
      </w:r>
      <w:r>
        <w:rPr>
          <w:rFonts w:ascii="Times New Roman" w:hAnsi="Times New Roman" w:cs="Times New Roman" w:eastAsia="Times New Roman" w:hint="default"/>
        </w:rPr>
        <w:t>2</w:t>
      </w:r>
      <w:r>
        <w:rPr/>
        <w:t>）期末公司已质押的应收票据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期末已质押金额</w:t>
            </w:r>
          </w:p>
        </w:tc>
      </w:tr>
    </w:tbl>
    <w:p>
      <w:pPr>
        <w:spacing w:line="240" w:lineRule="auto" w:before="3"/>
        <w:rPr>
          <w:rFonts w:ascii="宋体" w:hAnsi="宋体" w:cs="宋体" w:eastAsia="宋体" w:hint="default"/>
          <w:sz w:val="19"/>
          <w:szCs w:val="19"/>
        </w:rPr>
      </w:pPr>
    </w:p>
    <w:p>
      <w:pPr>
        <w:pStyle w:val="Heading5"/>
        <w:spacing w:line="240" w:lineRule="auto" w:before="35"/>
        <w:ind w:right="0"/>
        <w:jc w:val="left"/>
        <w:rPr>
          <w:b w:val="0"/>
          <w:bCs w:val="0"/>
        </w:rPr>
      </w:pPr>
      <w:bookmarkStart w:name="（3）期末公司已背书或贴现且在资产负债表日尚未到期的应收票据" w:id="230"/>
      <w:bookmarkEnd w:id="230"/>
      <w:r>
        <w:rPr>
          <w:b w:val="0"/>
          <w:bCs w:val="0"/>
        </w:rPr>
      </w:r>
      <w:r>
        <w:rPr/>
        <w:t>（</w:t>
      </w:r>
      <w:r>
        <w:rPr>
          <w:rFonts w:ascii="Times New Roman" w:hAnsi="Times New Roman" w:cs="Times New Roman" w:eastAsia="Times New Roman" w:hint="default"/>
        </w:rPr>
        <w:t>3</w:t>
      </w:r>
      <w:r>
        <w:rPr/>
        <w:t>）期末公司已背书或贴现且在资产负债表日尚未到期的应收票据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82"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160,229,119.77</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160,379,119.77</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bookmarkStart w:name="（4）期末公司因出票人未履约而将其转应收账款的票据" w:id="231"/>
      <w:bookmarkEnd w:id="231"/>
      <w:r>
        <w:rPr>
          <w:b w:val="0"/>
          <w:bCs w:val="0"/>
        </w:rPr>
      </w:r>
      <w:r>
        <w:rPr/>
        <w:t>（</w:t>
      </w:r>
      <w:r>
        <w:rPr>
          <w:rFonts w:ascii="Times New Roman" w:hAnsi="Times New Roman" w:cs="Times New Roman" w:eastAsia="Times New Roman" w:hint="default"/>
        </w:rPr>
        <w:t>4</w:t>
      </w:r>
      <w:r>
        <w:rPr/>
        <w:t>）期末公司因出票人未履约而将其转应收账款的票据</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6" w:right="0"/>
              <w:jc w:val="left"/>
              <w:rPr>
                <w:rFonts w:ascii="宋体" w:hAnsi="宋体" w:cs="宋体" w:eastAsia="宋体" w:hint="default"/>
                <w:sz w:val="18"/>
                <w:szCs w:val="18"/>
              </w:rPr>
            </w:pPr>
            <w:r>
              <w:rPr>
                <w:rFonts w:ascii="宋体" w:hAnsi="宋体" w:cs="宋体" w:eastAsia="宋体" w:hint="default"/>
                <w:sz w:val="18"/>
                <w:szCs w:val="18"/>
              </w:rPr>
              <w:t>期末转应收账款金额</w:t>
            </w:r>
          </w:p>
        </w:tc>
      </w:tr>
    </w:tbl>
    <w:p>
      <w:pPr>
        <w:pStyle w:val="BodyText"/>
        <w:spacing w:line="240" w:lineRule="auto" w:before="51"/>
        <w:ind w:right="0"/>
        <w:jc w:val="left"/>
      </w:pPr>
      <w:r>
        <w:rPr/>
        <w:t>其他说明</w:t>
      </w:r>
    </w:p>
    <w:p>
      <w:pPr>
        <w:spacing w:after="0" w:line="240" w:lineRule="auto"/>
        <w:jc w:val="left"/>
        <w:sectPr>
          <w:pgSz w:w="11910" w:h="16840"/>
          <w:pgMar w:header="747" w:footer="979" w:top="1060" w:bottom="1160" w:left="980" w:right="980"/>
        </w:sectPr>
      </w:pPr>
    </w:p>
    <w:p>
      <w:pPr>
        <w:spacing w:line="240" w:lineRule="auto" w:before="9"/>
        <w:rPr>
          <w:rFonts w:ascii="宋体" w:hAnsi="宋体" w:cs="宋体" w:eastAsia="宋体" w:hint="default"/>
          <w:sz w:val="24"/>
          <w:szCs w:val="24"/>
        </w:rPr>
      </w:pPr>
    </w:p>
    <w:p>
      <w:pPr>
        <w:pStyle w:val="Heading5"/>
        <w:spacing w:line="240" w:lineRule="auto" w:before="35"/>
        <w:ind w:right="0"/>
        <w:jc w:val="left"/>
        <w:rPr>
          <w:b w:val="0"/>
          <w:bCs w:val="0"/>
        </w:rPr>
      </w:pPr>
      <w:bookmarkStart w:name="5、应收账款" w:id="232"/>
      <w:bookmarkEnd w:id="232"/>
      <w:r>
        <w:rPr>
          <w:b w:val="0"/>
          <w:bCs w:val="0"/>
        </w:rPr>
      </w:r>
      <w:r>
        <w:rPr>
          <w:rFonts w:ascii="Times New Roman" w:hAnsi="Times New Roman" w:cs="Times New Roman" w:eastAsia="Times New Roman" w:hint="default"/>
        </w:rPr>
        <w:t>5</w:t>
      </w:r>
      <w:r>
        <w:rPr/>
        <w:t>、应收账款</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bookmarkStart w:name="（1）应收账款分类披露" w:id="233"/>
      <w:bookmarkEnd w:id="233"/>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623"/>
        <w:gridCol w:w="775"/>
        <w:gridCol w:w="762"/>
        <w:gridCol w:w="762"/>
        <w:gridCol w:w="762"/>
        <w:gridCol w:w="790"/>
        <w:gridCol w:w="654"/>
        <w:gridCol w:w="762"/>
        <w:gridCol w:w="813"/>
        <w:gridCol w:w="932"/>
        <w:gridCol w:w="932"/>
      </w:tblGrid>
      <w:tr>
        <w:trPr>
          <w:trHeight w:val="403" w:hRule="exact"/>
        </w:trPr>
        <w:tc>
          <w:tcPr>
            <w:tcW w:w="1623" w:type="dxa"/>
            <w:vMerge w:val="restart"/>
            <w:tcBorders>
              <w:top w:val="single" w:sz="4" w:space="0" w:color="000000"/>
              <w:left w:val="single" w:sz="4" w:space="0" w:color="000000"/>
              <w:right w:val="single" w:sz="4" w:space="0" w:color="000000"/>
            </w:tcBorders>
            <w:shd w:val="clear" w:color="auto" w:fill="D2D2D2"/>
          </w:tcPr>
          <w:p>
            <w:pPr/>
          </w:p>
        </w:tc>
        <w:tc>
          <w:tcPr>
            <w:tcW w:w="385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1" w:hRule="exact"/>
        </w:trPr>
        <w:tc>
          <w:tcPr>
            <w:tcW w:w="1623" w:type="dxa"/>
            <w:vMerge/>
            <w:tcBorders>
              <w:left w:val="single" w:sz="4" w:space="0" w:color="000000"/>
              <w:bottom w:val="nil" w:sz="6" w:space="0" w:color="auto"/>
              <w:right w:val="single" w:sz="4" w:space="0" w:color="000000"/>
            </w:tcBorders>
            <w:shd w:val="clear" w:color="auto" w:fill="D2D2D2"/>
          </w:tcPr>
          <w:p>
            <w:pPr/>
          </w:p>
        </w:tc>
        <w:tc>
          <w:tcPr>
            <w:tcW w:w="153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4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537"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9" w:hRule="exact"/>
        </w:trPr>
        <w:tc>
          <w:tcPr>
            <w:tcW w:w="1623" w:type="dxa"/>
            <w:vMerge/>
            <w:tcBorders>
              <w:left w:val="single" w:sz="4" w:space="0" w:color="000000"/>
              <w:bottom w:val="single" w:sz="4" w:space="0" w:color="FFFFFF"/>
              <w:right w:val="single" w:sz="4" w:space="0" w:color="000000"/>
            </w:tcBorders>
            <w:shd w:val="clear" w:color="auto" w:fill="D2D2D2"/>
          </w:tcPr>
          <w:p>
            <w:pPr/>
          </w:p>
        </w:tc>
        <w:tc>
          <w:tcPr>
            <w:tcW w:w="775"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2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23" w:type="dxa"/>
            <w:vMerge w:val="restart"/>
            <w:tcBorders>
              <w:top w:val="single" w:sz="4" w:space="0" w:color="FFFFFF"/>
              <w:left w:val="single" w:sz="4" w:space="0" w:color="000000"/>
              <w:right w:val="single" w:sz="4" w:space="0" w:color="000000"/>
            </w:tcBorders>
            <w:shd w:val="clear" w:color="auto" w:fill="D2D2D2"/>
          </w:tcPr>
          <w:p>
            <w:pPr/>
          </w:p>
        </w:tc>
        <w:tc>
          <w:tcPr>
            <w:tcW w:w="775"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1623" w:type="dxa"/>
            <w:vMerge/>
            <w:tcBorders>
              <w:left w:val="single" w:sz="4" w:space="0" w:color="000000"/>
              <w:right w:val="single" w:sz="4" w:space="0" w:color="000000"/>
            </w:tcBorders>
            <w:shd w:val="clear" w:color="auto" w:fill="D2D2D2"/>
          </w:tcPr>
          <w:p>
            <w:pPr/>
          </w:p>
        </w:tc>
        <w:tc>
          <w:tcPr>
            <w:tcW w:w="775"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23"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5" w:right="0"/>
              <w:jc w:val="center"/>
              <w:rPr>
                <w:rFonts w:ascii="Times New Roman" w:hAnsi="Times New Roman" w:cs="Times New Roman" w:eastAsia="Times New Roman" w:hint="default"/>
                <w:sz w:val="18"/>
                <w:szCs w:val="18"/>
              </w:rPr>
            </w:pPr>
            <w:r>
              <w:rPr>
                <w:rFonts w:ascii="Times New Roman"/>
                <w:sz w:val="18"/>
              </w:rPr>
              <w:t>265,935,</w:t>
            </w:r>
          </w:p>
          <w:p>
            <w:pPr>
              <w:pStyle w:val="TableParagraph"/>
              <w:spacing w:line="240" w:lineRule="auto" w:before="105"/>
              <w:ind w:left="212" w:right="0"/>
              <w:jc w:val="center"/>
              <w:rPr>
                <w:rFonts w:ascii="Times New Roman" w:hAnsi="Times New Roman" w:cs="Times New Roman" w:eastAsia="Times New Roman" w:hint="default"/>
                <w:sz w:val="18"/>
                <w:szCs w:val="18"/>
              </w:rPr>
            </w:pPr>
            <w:r>
              <w:rPr>
                <w:rFonts w:ascii="Times New Roman"/>
                <w:sz w:val="18"/>
              </w:rPr>
              <w:t>315.82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99.23%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22,199,8</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13.17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8.35%</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243,735,5</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02.65</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6" w:right="0"/>
              <w:jc w:val="left"/>
              <w:rPr>
                <w:rFonts w:ascii="Times New Roman" w:hAnsi="Times New Roman" w:cs="Times New Roman" w:eastAsia="Times New Roman" w:hint="default"/>
                <w:sz w:val="18"/>
                <w:szCs w:val="18"/>
              </w:rPr>
            </w:pPr>
            <w:r>
              <w:rPr>
                <w:rFonts w:ascii="Times New Roman"/>
                <w:sz w:val="18"/>
              </w:rPr>
              <w:t>155,618</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,291.88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99.11%</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8,695,264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.08</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5.59%</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146,923,02</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7.80</w:t>
            </w: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148"/>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的应收账款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2,058,48</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2.70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0.77%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2,058,48</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2.70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1,398,7</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63.70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0.89%</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1,398,763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162" w:hRule="exact"/>
        </w:trPr>
        <w:tc>
          <w:tcPr>
            <w:tcW w:w="1623" w:type="dxa"/>
            <w:tcBorders>
              <w:top w:val="single" w:sz="4" w:space="0" w:color="000000"/>
              <w:left w:val="single" w:sz="4" w:space="0" w:color="000000"/>
              <w:bottom w:val="nil" w:sz="6" w:space="0" w:color="auto"/>
              <w:right w:val="single" w:sz="4" w:space="0" w:color="000000"/>
            </w:tcBorders>
            <w:shd w:val="clear" w:color="auto" w:fill="D2D2D2"/>
          </w:tcPr>
          <w:p>
            <w:pPr/>
          </w:p>
        </w:tc>
        <w:tc>
          <w:tcPr>
            <w:tcW w:w="775" w:type="dxa"/>
            <w:vMerge w:val="restart"/>
            <w:tcBorders>
              <w:top w:val="single" w:sz="4" w:space="0" w:color="000000"/>
              <w:left w:val="single" w:sz="9" w:space="0" w:color="D2D2D2"/>
              <w:right w:val="single" w:sz="4" w:space="0" w:color="000000"/>
            </w:tcBorders>
          </w:tcPr>
          <w:p>
            <w:pPr>
              <w:pStyle w:val="TableParagraph"/>
              <w:spacing w:line="240" w:lineRule="auto" w:before="92"/>
              <w:ind w:left="81" w:right="0"/>
              <w:jc w:val="center"/>
              <w:rPr>
                <w:rFonts w:ascii="Times New Roman" w:hAnsi="Times New Roman" w:cs="Times New Roman" w:eastAsia="Times New Roman" w:hint="default"/>
                <w:sz w:val="18"/>
                <w:szCs w:val="18"/>
              </w:rPr>
            </w:pPr>
            <w:r>
              <w:rPr>
                <w:rFonts w:ascii="Times New Roman"/>
                <w:sz w:val="18"/>
              </w:rPr>
              <w:t>267,993,</w:t>
            </w:r>
          </w:p>
          <w:p>
            <w:pPr>
              <w:pStyle w:val="TableParagraph"/>
              <w:spacing w:line="240" w:lineRule="auto" w:before="105"/>
              <w:ind w:left="217" w:right="0"/>
              <w:jc w:val="center"/>
              <w:rPr>
                <w:rFonts w:ascii="Times New Roman" w:hAnsi="Times New Roman" w:cs="Times New Roman" w:eastAsia="Times New Roman" w:hint="default"/>
                <w:sz w:val="18"/>
                <w:szCs w:val="18"/>
              </w:rPr>
            </w:pPr>
            <w:r>
              <w:rPr>
                <w:rFonts w:ascii="Times New Roman"/>
                <w:sz w:val="18"/>
              </w:rPr>
              <w:t>798.52</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2"/>
              <w:ind w:left="98" w:right="0"/>
              <w:jc w:val="left"/>
              <w:rPr>
                <w:rFonts w:ascii="Times New Roman" w:hAnsi="Times New Roman" w:cs="Times New Roman" w:eastAsia="Times New Roman" w:hint="default"/>
                <w:sz w:val="18"/>
                <w:szCs w:val="18"/>
              </w:rPr>
            </w:pPr>
            <w:r>
              <w:rPr>
                <w:rFonts w:ascii="Times New Roman"/>
                <w:sz w:val="18"/>
              </w:rPr>
              <w:t>24,258,2</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95.87</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9.05%</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2"/>
              <w:ind w:left="37" w:right="0"/>
              <w:jc w:val="left"/>
              <w:rPr>
                <w:rFonts w:ascii="Times New Roman" w:hAnsi="Times New Roman" w:cs="Times New Roman" w:eastAsia="Times New Roman" w:hint="default"/>
                <w:sz w:val="18"/>
                <w:szCs w:val="18"/>
              </w:rPr>
            </w:pPr>
            <w:r>
              <w:rPr>
                <w:rFonts w:ascii="Times New Roman"/>
                <w:sz w:val="18"/>
              </w:rPr>
              <w:t>243,735,5</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02.65</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2"/>
              <w:ind w:left="36" w:right="0"/>
              <w:jc w:val="left"/>
              <w:rPr>
                <w:rFonts w:ascii="Times New Roman" w:hAnsi="Times New Roman" w:cs="Times New Roman" w:eastAsia="Times New Roman" w:hint="default"/>
                <w:sz w:val="18"/>
                <w:szCs w:val="18"/>
              </w:rPr>
            </w:pPr>
            <w:r>
              <w:rPr>
                <w:rFonts w:ascii="Times New Roman"/>
                <w:sz w:val="18"/>
              </w:rPr>
              <w:t>157,017</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,055.58</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2"/>
              <w:ind w:left="59" w:right="0"/>
              <w:jc w:val="left"/>
              <w:rPr>
                <w:rFonts w:ascii="Times New Roman" w:hAnsi="Times New Roman" w:cs="Times New Roman" w:eastAsia="Times New Roman" w:hint="default"/>
                <w:sz w:val="18"/>
                <w:szCs w:val="18"/>
              </w:rPr>
            </w:pPr>
            <w:r>
              <w:rPr>
                <w:rFonts w:ascii="Times New Roman"/>
                <w:sz w:val="18"/>
              </w:rPr>
              <w:t>10,094,02</w:t>
            </w:r>
          </w:p>
          <w:p>
            <w:pPr>
              <w:pStyle w:val="TableParagraph"/>
              <w:spacing w:line="240" w:lineRule="auto" w:before="105"/>
              <w:ind w:left="465" w:right="0"/>
              <w:jc w:val="left"/>
              <w:rPr>
                <w:rFonts w:ascii="Times New Roman" w:hAnsi="Times New Roman" w:cs="Times New Roman" w:eastAsia="Times New Roman" w:hint="default"/>
                <w:sz w:val="18"/>
                <w:szCs w:val="18"/>
              </w:rPr>
            </w:pPr>
            <w:r>
              <w:rPr>
                <w:rFonts w:ascii="Times New Roman"/>
                <w:sz w:val="18"/>
              </w:rPr>
              <w:t>7.78</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6.43%</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2"/>
              <w:ind w:left="88" w:right="0"/>
              <w:jc w:val="left"/>
              <w:rPr>
                <w:rFonts w:ascii="Times New Roman" w:hAnsi="Times New Roman" w:cs="Times New Roman" w:eastAsia="Times New Roman" w:hint="default"/>
                <w:sz w:val="18"/>
                <w:szCs w:val="18"/>
              </w:rPr>
            </w:pPr>
            <w:r>
              <w:rPr>
                <w:rFonts w:ascii="Times New Roman"/>
                <w:sz w:val="18"/>
              </w:rPr>
              <w:t>146,923,02</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7.80</w:t>
            </w:r>
          </w:p>
        </w:tc>
      </w:tr>
      <w:tr>
        <w:trPr>
          <w:trHeight w:val="391" w:hRule="exact"/>
        </w:trPr>
        <w:tc>
          <w:tcPr>
            <w:tcW w:w="16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5"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2" w:hRule="exact"/>
        </w:trPr>
        <w:tc>
          <w:tcPr>
            <w:tcW w:w="1623" w:type="dxa"/>
            <w:tcBorders>
              <w:top w:val="nil" w:sz="6" w:space="0" w:color="auto"/>
              <w:left w:val="single" w:sz="4" w:space="0" w:color="000000"/>
              <w:bottom w:val="single" w:sz="4" w:space="0" w:color="000000"/>
              <w:right w:val="single" w:sz="4" w:space="0" w:color="000000"/>
            </w:tcBorders>
            <w:shd w:val="clear" w:color="auto" w:fill="D2D2D2"/>
          </w:tcPr>
          <w:p>
            <w:pPr/>
          </w:p>
        </w:tc>
        <w:tc>
          <w:tcPr>
            <w:tcW w:w="775"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pStyle w:val="BodyText"/>
        <w:spacing w:line="240" w:lineRule="auto" w:before="51"/>
        <w:ind w:right="-20"/>
        <w:jc w:val="left"/>
      </w:pPr>
      <w:r>
        <w:rPr/>
        <w:t>期末单项金额重大并单项计提坏账准备的应收账款：</w:t>
      </w:r>
    </w:p>
    <w:p>
      <w:pPr>
        <w:pStyle w:val="BodyText"/>
        <w:spacing w:line="340" w:lineRule="auto" w:before="116"/>
        <w:ind w:right="1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组合中，按账龄分析法计提坏账准备的应收账款：</w:t>
      </w:r>
    </w:p>
    <w:p>
      <w:pPr>
        <w:pStyle w:val="BodyText"/>
        <w:spacing w:line="240" w:lineRule="auto" w:before="41"/>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1"/>
          <w:szCs w:val="21"/>
        </w:rPr>
      </w:pPr>
    </w:p>
    <w:p>
      <w:pPr>
        <w:pStyle w:val="BodyText"/>
        <w:spacing w:line="240" w:lineRule="auto" w:before="0"/>
        <w:ind w:left="153" w:right="0"/>
        <w:jc w:val="left"/>
      </w:pPr>
      <w:r>
        <w:rPr/>
        <w:t>单位： 元</w:t>
      </w:r>
    </w:p>
    <w:p>
      <w:pPr>
        <w:spacing w:after="0" w:line="240" w:lineRule="auto"/>
        <w:jc w:val="left"/>
        <w:sectPr>
          <w:type w:val="continuous"/>
          <w:pgSz w:w="11910" w:h="16840"/>
          <w:pgMar w:top="1060" w:bottom="1160" w:left="980" w:right="980"/>
          <w:cols w:num="2" w:equalWidth="0">
            <w:col w:w="4295" w:space="4535"/>
            <w:col w:w="1120"/>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7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234,362,982.82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11,718,149.13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234,362,982.82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11,718,149.13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21,734,232.57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2,173,423.26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2,185,513.80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655,654.15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7,652,586.63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7,652,586.63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265,935,315.82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22,199,813.17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8.35%</w:t>
            </w:r>
          </w:p>
        </w:tc>
      </w:tr>
    </w:tbl>
    <w:p>
      <w:pPr>
        <w:pStyle w:val="BodyText"/>
        <w:spacing w:line="360" w:lineRule="auto" w:before="51"/>
        <w:ind w:right="5452"/>
        <w:jc w:val="left"/>
      </w:pPr>
      <w:r>
        <w:rPr/>
        <w:t>确定该组合依据的说明： 组合中，采用余额百分比法计提坏账准备的应收账款：</w:t>
      </w:r>
    </w:p>
    <w:p>
      <w:pPr>
        <w:pStyle w:val="BodyText"/>
        <w:spacing w:line="338" w:lineRule="auto" w:before="26"/>
        <w:ind w:right="58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组合中，采用其他方法计提坏账准备的应收账款：</w:t>
      </w:r>
    </w:p>
    <w:p>
      <w:pPr>
        <w:spacing w:line="240" w:lineRule="auto" w:before="2"/>
        <w:rPr>
          <w:rFonts w:ascii="宋体" w:hAnsi="宋体" w:cs="宋体" w:eastAsia="宋体" w:hint="default"/>
          <w:sz w:val="21"/>
          <w:szCs w:val="21"/>
        </w:rPr>
      </w:pPr>
    </w:p>
    <w:p>
      <w:pPr>
        <w:pStyle w:val="Heading5"/>
        <w:spacing w:line="240" w:lineRule="auto"/>
        <w:ind w:right="0"/>
        <w:jc w:val="left"/>
        <w:rPr>
          <w:b w:val="0"/>
          <w:bCs w:val="0"/>
        </w:rPr>
      </w:pPr>
      <w:bookmarkStart w:name="（2）本期计提、收回或转回的坏账准备情况" w:id="234"/>
      <w:bookmarkEnd w:id="234"/>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0"/>
        <w:jc w:val="left"/>
      </w:pPr>
      <w:r>
        <w:rPr/>
        <w:t>本期计提坏账准备金额</w:t>
      </w:r>
      <w:r>
        <w:rPr>
          <w:spacing w:val="-47"/>
        </w:rPr>
        <w:t> </w:t>
      </w:r>
      <w:r>
        <w:rPr>
          <w:rFonts w:ascii="Times New Roman" w:hAnsi="Times New Roman" w:cs="Times New Roman" w:eastAsia="Times New Roman" w:hint="default"/>
        </w:rPr>
        <w:t>14,164,268.09</w:t>
      </w:r>
      <w:r>
        <w:rPr>
          <w:rFonts w:ascii="Times New Roman" w:hAnsi="Times New Roman" w:cs="Times New Roman" w:eastAsia="Times New Roman" w:hint="default"/>
          <w:spacing w:val="-1"/>
        </w:rPr>
        <w:t> </w:t>
      </w:r>
      <w:r>
        <w:rPr/>
        <w:t>元；本期收回或转回坏账准备金额</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w:t>
      </w:r>
    </w:p>
    <w:p>
      <w:pPr>
        <w:spacing w:after="0" w:line="240" w:lineRule="auto"/>
        <w:jc w:val="left"/>
        <w:sectPr>
          <w:type w:val="continuous"/>
          <w:pgSz w:w="11910" w:h="16840"/>
          <w:pgMar w:top="1060" w:bottom="1160" w:left="980" w:right="980"/>
        </w:sectPr>
      </w:pPr>
    </w:p>
    <w:p>
      <w:pPr>
        <w:spacing w:line="240" w:lineRule="auto" w:before="13"/>
        <w:rPr>
          <w:rFonts w:ascii="宋体" w:hAnsi="宋体" w:cs="宋体" w:eastAsia="宋体" w:hint="default"/>
          <w:sz w:val="25"/>
          <w:szCs w:val="25"/>
        </w:rPr>
      </w:pPr>
    </w:p>
    <w:p>
      <w:pPr>
        <w:pStyle w:val="BodyText"/>
        <w:spacing w:line="240" w:lineRule="auto"/>
        <w:ind w:right="0"/>
        <w:jc w:val="left"/>
      </w:pPr>
      <w:r>
        <w:rPr/>
        <w:t>其中本期坏账准备收回或转回金额重要的：</w:t>
      </w:r>
    </w:p>
    <w:p>
      <w:pPr>
        <w:pStyle w:val="BodyText"/>
        <w:spacing w:line="240" w:lineRule="auto" w:before="116"/>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60"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3"/>
        <w:rPr>
          <w:rFonts w:ascii="宋体" w:hAnsi="宋体" w:cs="宋体" w:eastAsia="宋体" w:hint="default"/>
          <w:sz w:val="19"/>
          <w:szCs w:val="19"/>
        </w:rPr>
      </w:pPr>
    </w:p>
    <w:p>
      <w:pPr>
        <w:pStyle w:val="Heading5"/>
        <w:spacing w:line="240" w:lineRule="auto" w:before="35"/>
        <w:ind w:right="0"/>
        <w:jc w:val="left"/>
        <w:rPr>
          <w:b w:val="0"/>
          <w:bCs w:val="0"/>
        </w:rPr>
      </w:pPr>
      <w:bookmarkStart w:name="（3）本期实际核销的应收账款情况" w:id="235"/>
      <w:bookmarkEnd w:id="235"/>
      <w:r>
        <w:rPr>
          <w:b w:val="0"/>
          <w:bCs w:val="0"/>
        </w:rPr>
      </w: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pStyle w:val="BodyText"/>
        <w:spacing w:line="240" w:lineRule="auto" w:before="52"/>
        <w:ind w:right="0"/>
        <w:jc w:val="left"/>
      </w:pPr>
      <w:r>
        <w:rPr/>
        <w:t>其中重要的应收账款核销情况：</w:t>
      </w:r>
    </w:p>
    <w:p>
      <w:pPr>
        <w:pStyle w:val="BodyText"/>
        <w:spacing w:line="240" w:lineRule="auto" w:before="116"/>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714"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2"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1"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23" w:right="71"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240" w:lineRule="auto" w:before="51"/>
        <w:ind w:right="0"/>
        <w:jc w:val="left"/>
      </w:pPr>
      <w:r>
        <w:rPr/>
        <w:t>应收账款核销说明：</w:t>
      </w: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bookmarkStart w:name="（4）按欠款方归集的期末余额前五名的应收账款情况" w:id="236"/>
      <w:bookmarkEnd w:id="236"/>
      <w:r>
        <w:rPr>
          <w:b w:val="0"/>
          <w:bCs w:val="0"/>
        </w:rPr>
      </w: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8"/>
        <w:rPr>
          <w:rFonts w:ascii="宋体" w:hAnsi="宋体" w:cs="宋体" w:eastAsia="宋体" w:hint="default"/>
          <w:b/>
          <w:bCs/>
          <w:sz w:val="26"/>
          <w:szCs w:val="26"/>
        </w:rPr>
      </w:pPr>
    </w:p>
    <w:p>
      <w:pPr>
        <w:pStyle w:val="BodyText"/>
        <w:spacing w:line="360" w:lineRule="auto" w:before="0"/>
        <w:ind w:right="6712"/>
        <w:jc w:val="left"/>
      </w:pPr>
      <w:r>
        <w:rPr/>
        <w:t>公司是否需要遵守特殊行业的披露要求 否</w:t>
      </w:r>
    </w:p>
    <w:p>
      <w:pPr>
        <w:pStyle w:val="Heading6"/>
        <w:spacing w:line="290" w:lineRule="exact"/>
        <w:ind w:right="0"/>
        <w:jc w:val="left"/>
      </w:pPr>
      <w:r>
        <w:rPr/>
        <w:t>公司应收账款前五名账面余额合计</w:t>
      </w:r>
      <w:r>
        <w:rPr>
          <w:rFonts w:ascii="Times New Roman" w:hAnsi="Times New Roman" w:cs="Times New Roman" w:eastAsia="Times New Roman" w:hint="default"/>
        </w:rPr>
        <w:t>56,784,339.79</w:t>
      </w:r>
      <w:r>
        <w:rPr/>
        <w:t>元，占应收账款余额的比例为</w:t>
      </w:r>
      <w:r>
        <w:rPr>
          <w:rFonts w:ascii="Times New Roman" w:hAnsi="Times New Roman" w:cs="Times New Roman" w:eastAsia="Times New Roman" w:hint="default"/>
        </w:rPr>
        <w:t>21.19%</w:t>
      </w:r>
      <w:r>
        <w:rPr/>
        <w:t>，相应计提坏账准备</w:t>
      </w:r>
    </w:p>
    <w:p>
      <w:pPr>
        <w:pStyle w:val="Heading6"/>
        <w:spacing w:line="240" w:lineRule="auto" w:before="21"/>
        <w:ind w:right="0"/>
        <w:jc w:val="left"/>
      </w:pPr>
      <w:r>
        <w:rPr>
          <w:rFonts w:ascii="Times New Roman" w:hAnsi="Times New Roman" w:cs="Times New Roman" w:eastAsia="Times New Roman" w:hint="default"/>
        </w:rPr>
        <w:t>3,021,104.38</w:t>
      </w:r>
      <w:r>
        <w:rPr/>
        <w:t>元。</w:t>
      </w:r>
    </w:p>
    <w:p>
      <w:pPr>
        <w:spacing w:line="240" w:lineRule="auto" w:before="9"/>
        <w:rPr>
          <w:rFonts w:ascii="宋体" w:hAnsi="宋体" w:cs="宋体" w:eastAsia="宋体" w:hint="default"/>
          <w:sz w:val="24"/>
          <w:szCs w:val="24"/>
        </w:rPr>
      </w:pPr>
    </w:p>
    <w:p>
      <w:pPr>
        <w:pStyle w:val="Heading5"/>
        <w:spacing w:line="240" w:lineRule="auto"/>
        <w:ind w:right="0"/>
        <w:jc w:val="left"/>
        <w:rPr>
          <w:b w:val="0"/>
          <w:bCs w:val="0"/>
        </w:rPr>
      </w:pPr>
      <w:bookmarkStart w:name="（5）因金融资产转移而终止确认的应收账款" w:id="237"/>
      <w:bookmarkEnd w:id="237"/>
      <w:r>
        <w:rPr>
          <w:b w:val="0"/>
          <w:bCs w:val="0"/>
        </w:rPr>
      </w:r>
      <w:r>
        <w:rPr/>
        <w:t>（</w:t>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bookmarkStart w:name="（6）转移应收账款且继续涉入形成的资产、负债金额" w:id="238"/>
      <w:bookmarkEnd w:id="238"/>
      <w:r>
        <w:rPr>
          <w:b w:val="0"/>
          <w:bCs w:val="0"/>
        </w:rPr>
      </w:r>
      <w:r>
        <w:rPr/>
        <w:t>（</w:t>
      </w:r>
      <w:r>
        <w:rPr>
          <w:rFonts w:ascii="Times New Roman" w:hAnsi="Times New Roman" w:cs="Times New Roman" w:eastAsia="Times New Roman" w:hint="default"/>
        </w:rPr>
        <w:t>6</w:t>
      </w:r>
      <w:r>
        <w:rPr/>
        <w:t>）转移应收账款且继续涉入形成的资产、负债金额</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0"/>
        <w:jc w:val="left"/>
      </w:pPr>
      <w:r>
        <w:rPr/>
        <w:t>其他说明：</w:t>
      </w: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bookmarkStart w:name="6、预付款项" w:id="239"/>
      <w:bookmarkEnd w:id="239"/>
      <w:r>
        <w:rPr>
          <w:b w:val="0"/>
          <w:bCs w:val="0"/>
        </w:rPr>
      </w:r>
      <w:r>
        <w:rPr>
          <w:rFonts w:ascii="Times New Roman" w:hAnsi="Times New Roman" w:cs="Times New Roman" w:eastAsia="Times New Roman" w:hint="default"/>
        </w:rPr>
        <w:t>6</w:t>
      </w:r>
      <w:r>
        <w:rPr/>
        <w:t>、预付款项</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bookmarkStart w:name="（1）预付款项按账龄列示" w:id="240"/>
      <w:bookmarkEnd w:id="240"/>
      <w:r>
        <w:rPr>
          <w:b w:val="0"/>
          <w:bCs w:val="0"/>
        </w:rPr>
      </w:r>
      <w:r>
        <w:rPr/>
        <w:t>（</w:t>
      </w:r>
      <w:r>
        <w:rPr>
          <w:rFonts w:ascii="Times New Roman" w:hAnsi="Times New Roman" w:cs="Times New Roman" w:eastAsia="Times New Roman" w:hint="default"/>
        </w:rPr>
        <w:t>1</w:t>
      </w:r>
      <w:r>
        <w:rPr/>
        <w:t>）预付款项按账龄列示</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01"/>
        <w:gridCol w:w="1916"/>
        <w:gridCol w:w="1914"/>
        <w:gridCol w:w="1914"/>
        <w:gridCol w:w="1915"/>
      </w:tblGrid>
      <w:tr>
        <w:trPr>
          <w:trHeight w:val="206"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9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账龄</w:t>
            </w:r>
          </w:p>
        </w:tc>
        <w:tc>
          <w:tcPr>
            <w:tcW w:w="3830" w:type="dxa"/>
            <w:gridSpan w:val="2"/>
            <w:vMerge/>
            <w:tcBorders>
              <w:left w:val="single" w:sz="4" w:space="0" w:color="000000"/>
              <w:bottom w:val="single" w:sz="4" w:space="0" w:color="000000"/>
              <w:right w:val="single" w:sz="4" w:space="0" w:color="000000"/>
            </w:tcBorders>
            <w:shd w:val="clear" w:color="auto" w:fill="D2D2D2"/>
          </w:tcPr>
          <w:p>
            <w:pPr/>
          </w:p>
        </w:tc>
        <w:tc>
          <w:tcPr>
            <w:tcW w:w="3830"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901" w:type="dxa"/>
            <w:vMerge/>
            <w:tcBorders>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206"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2,175,048.11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36" w:right="0"/>
              <w:jc w:val="left"/>
              <w:rPr>
                <w:rFonts w:ascii="Times New Roman" w:hAnsi="Times New Roman" w:cs="Times New Roman" w:eastAsia="Times New Roman" w:hint="default"/>
                <w:sz w:val="18"/>
                <w:szCs w:val="18"/>
              </w:rPr>
            </w:pPr>
            <w:r>
              <w:rPr>
                <w:rFonts w:ascii="Times New Roman"/>
                <w:sz w:val="18"/>
              </w:rPr>
              <w:t>100.00%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77,558.61</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37" w:right="0"/>
              <w:jc w:val="lef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2,175,048.11</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77,558.61</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t>账龄超过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年且金额重要的预付款项未及时结算原因的说明：</w:t>
      </w:r>
    </w:p>
    <w:p>
      <w:pPr>
        <w:spacing w:line="240" w:lineRule="auto" w:before="11"/>
        <w:rPr>
          <w:rFonts w:ascii="宋体" w:hAnsi="宋体" w:cs="宋体" w:eastAsia="宋体" w:hint="default"/>
          <w:sz w:val="25"/>
          <w:szCs w:val="25"/>
        </w:rPr>
      </w:pPr>
    </w:p>
    <w:p>
      <w:pPr>
        <w:spacing w:line="506" w:lineRule="auto" w:before="0"/>
        <w:ind w:left="574" w:right="1092" w:hanging="420"/>
        <w:jc w:val="left"/>
        <w:rPr>
          <w:rFonts w:ascii="宋体" w:hAnsi="宋体" w:cs="宋体" w:eastAsia="宋体" w:hint="default"/>
          <w:sz w:val="21"/>
          <w:szCs w:val="21"/>
        </w:rPr>
      </w:pPr>
      <w:bookmarkStart w:name="（2）按预付对象归集的期末余额前五名的预付款情况" w:id="241"/>
      <w:bookmarkEnd w:id="241"/>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）按预付对象归集的期末余额前五名的预付款情况</w:t>
      </w:r>
      <w:r>
        <w:rPr>
          <w:rFonts w:ascii="宋体" w:hAnsi="宋体" w:cs="宋体" w:eastAsia="宋体" w:hint="default"/>
          <w:b/>
          <w:bCs/>
          <w:w w:val="99"/>
          <w:sz w:val="21"/>
          <w:szCs w:val="21"/>
        </w:rPr>
        <w:t> </w:t>
      </w:r>
      <w:r>
        <w:rPr>
          <w:rFonts w:ascii="宋体" w:hAnsi="宋体" w:cs="宋体" w:eastAsia="宋体" w:hint="default"/>
          <w:sz w:val="21"/>
          <w:szCs w:val="21"/>
        </w:rPr>
        <w:t>公司预付账款期末前五名账面余额合计</w:t>
      </w:r>
      <w:r>
        <w:rPr>
          <w:rFonts w:ascii="Times New Roman" w:hAnsi="Times New Roman" w:cs="Times New Roman" w:eastAsia="Times New Roman" w:hint="default"/>
          <w:sz w:val="21"/>
          <w:szCs w:val="21"/>
        </w:rPr>
        <w:t>1,289,370.12</w:t>
      </w:r>
      <w:r>
        <w:rPr>
          <w:rFonts w:ascii="宋体" w:hAnsi="宋体" w:cs="宋体" w:eastAsia="宋体" w:hint="default"/>
          <w:sz w:val="21"/>
          <w:szCs w:val="21"/>
        </w:rPr>
        <w:t>元，占预付款项余额的比例为</w:t>
      </w:r>
      <w:r>
        <w:rPr>
          <w:rFonts w:ascii="Times New Roman" w:hAnsi="Times New Roman" w:cs="Times New Roman" w:eastAsia="Times New Roman" w:hint="default"/>
          <w:sz w:val="21"/>
          <w:szCs w:val="21"/>
        </w:rPr>
        <w:t>59.28%</w:t>
      </w:r>
      <w:r>
        <w:rPr>
          <w:rFonts w:ascii="宋体" w:hAnsi="宋体" w:cs="宋体" w:eastAsia="宋体" w:hint="default"/>
          <w:sz w:val="21"/>
          <w:szCs w:val="21"/>
        </w:rPr>
        <w:t>。</w:t>
      </w:r>
    </w:p>
    <w:p>
      <w:pPr>
        <w:spacing w:after="0" w:line="506" w:lineRule="auto"/>
        <w:jc w:val="left"/>
        <w:rPr>
          <w:rFonts w:ascii="宋体" w:hAnsi="宋体" w:cs="宋体" w:eastAsia="宋体" w:hint="default"/>
          <w:sz w:val="21"/>
          <w:szCs w:val="21"/>
        </w:rPr>
        <w:sectPr>
          <w:pgSz w:w="11910" w:h="16840"/>
          <w:pgMar w:header="747" w:footer="979" w:top="1060" w:bottom="1160" w:left="980" w:right="980"/>
        </w:sectPr>
      </w:pPr>
    </w:p>
    <w:p>
      <w:pPr>
        <w:spacing w:line="240" w:lineRule="auto" w:before="13"/>
        <w:rPr>
          <w:rFonts w:ascii="宋体" w:hAnsi="宋体" w:cs="宋体" w:eastAsia="宋体" w:hint="default"/>
          <w:sz w:val="25"/>
          <w:szCs w:val="25"/>
        </w:rPr>
      </w:pPr>
    </w:p>
    <w:p>
      <w:pPr>
        <w:pStyle w:val="BodyText"/>
        <w:spacing w:line="240" w:lineRule="auto"/>
        <w:ind w:right="0"/>
        <w:jc w:val="left"/>
      </w:pPr>
      <w:r>
        <w:rPr/>
        <w:t>其他说明：</w:t>
      </w:r>
    </w:p>
    <w:p>
      <w:pPr>
        <w:spacing w:line="240" w:lineRule="auto" w:before="10"/>
        <w:rPr>
          <w:rFonts w:ascii="宋体" w:hAnsi="宋体" w:cs="宋体" w:eastAsia="宋体" w:hint="default"/>
          <w:sz w:val="26"/>
          <w:szCs w:val="26"/>
        </w:rPr>
      </w:pPr>
    </w:p>
    <w:p>
      <w:pPr>
        <w:pStyle w:val="Heading5"/>
        <w:spacing w:line="240" w:lineRule="auto"/>
        <w:ind w:right="0"/>
        <w:jc w:val="left"/>
        <w:rPr>
          <w:b w:val="0"/>
          <w:bCs w:val="0"/>
        </w:rPr>
      </w:pPr>
      <w:bookmarkStart w:name="7、应收利息" w:id="242"/>
      <w:bookmarkEnd w:id="242"/>
      <w:r>
        <w:rPr>
          <w:b w:val="0"/>
          <w:bCs w:val="0"/>
        </w:rPr>
      </w:r>
      <w:r>
        <w:rPr>
          <w:rFonts w:ascii="Times New Roman" w:hAnsi="Times New Roman" w:cs="Times New Roman" w:eastAsia="Times New Roman" w:hint="default"/>
        </w:rPr>
        <w:t>7</w:t>
      </w:r>
      <w:r>
        <w:rPr/>
        <w:t>、应收利息</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bookmarkStart w:name="（1）应收利息分类" w:id="243"/>
      <w:bookmarkEnd w:id="243"/>
      <w:r>
        <w:rPr>
          <w:b w:val="0"/>
          <w:bCs w:val="0"/>
        </w:rPr>
      </w:r>
      <w:r>
        <w:rPr/>
        <w:t>（</w:t>
      </w:r>
      <w:r>
        <w:rPr>
          <w:rFonts w:ascii="Times New Roman" w:hAnsi="Times New Roman" w:cs="Times New Roman" w:eastAsia="Times New Roman" w:hint="default"/>
        </w:rPr>
        <w:t>1</w:t>
      </w:r>
      <w:r>
        <w:rPr/>
        <w:t>）应收利息分类</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1"/>
        <w:gridCol w:w="3177"/>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3"/>
        <w:rPr>
          <w:rFonts w:ascii="宋体" w:hAnsi="宋体" w:cs="宋体" w:eastAsia="宋体" w:hint="default"/>
          <w:sz w:val="19"/>
          <w:szCs w:val="19"/>
        </w:rPr>
      </w:pPr>
    </w:p>
    <w:p>
      <w:pPr>
        <w:pStyle w:val="Heading5"/>
        <w:spacing w:line="240" w:lineRule="auto" w:before="35"/>
        <w:ind w:right="0"/>
        <w:jc w:val="left"/>
        <w:rPr>
          <w:b w:val="0"/>
          <w:bCs w:val="0"/>
        </w:rPr>
      </w:pPr>
      <w:bookmarkStart w:name="（2）重要逾期利息" w:id="244"/>
      <w:bookmarkEnd w:id="244"/>
      <w:r>
        <w:rPr>
          <w:b w:val="0"/>
          <w:bCs w:val="0"/>
        </w:rPr>
      </w:r>
      <w:r>
        <w:rPr/>
        <w:t>（</w:t>
      </w:r>
      <w:r>
        <w:rPr>
          <w:rFonts w:ascii="Times New Roman" w:hAnsi="Times New Roman" w:cs="Times New Roman" w:eastAsia="Times New Roman" w:hint="default"/>
        </w:rPr>
        <w:t>2</w:t>
      </w:r>
      <w:r>
        <w:rPr/>
        <w:t>）重要逾期利息</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03"/>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逾期原因</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71" w:right="39"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bookmarkStart w:name="8、应收股利" w:id="245"/>
      <w:bookmarkEnd w:id="245"/>
      <w:r>
        <w:rPr>
          <w:b w:val="0"/>
          <w:bCs w:val="0"/>
        </w:rPr>
      </w:r>
      <w:r>
        <w:rPr>
          <w:rFonts w:ascii="Times New Roman" w:hAnsi="Times New Roman" w:cs="Times New Roman" w:eastAsia="Times New Roman" w:hint="default"/>
        </w:rPr>
        <w:t>8</w:t>
      </w:r>
      <w:r>
        <w:rPr/>
        <w:t>、应收股利</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bookmarkStart w:name="（1）应收股利" w:id="246"/>
      <w:bookmarkEnd w:id="246"/>
      <w:r>
        <w:rPr>
          <w:b w:val="0"/>
          <w:bCs w:val="0"/>
        </w:rPr>
      </w:r>
      <w:r>
        <w:rPr/>
        <w:t>（</w:t>
      </w:r>
      <w:r>
        <w:rPr>
          <w:rFonts w:ascii="Times New Roman" w:hAnsi="Times New Roman" w:cs="Times New Roman" w:eastAsia="Times New Roman" w:hint="default"/>
        </w:rPr>
        <w:t>1</w:t>
      </w:r>
      <w:r>
        <w:rPr/>
        <w:t>）应收股利</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1"/>
        <w:gridCol w:w="3177"/>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1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3"/>
        <w:rPr>
          <w:rFonts w:ascii="宋体" w:hAnsi="宋体" w:cs="宋体" w:eastAsia="宋体" w:hint="default"/>
          <w:sz w:val="19"/>
          <w:szCs w:val="19"/>
        </w:rPr>
      </w:pPr>
    </w:p>
    <w:p>
      <w:pPr>
        <w:pStyle w:val="Heading5"/>
        <w:spacing w:line="240" w:lineRule="auto" w:before="35"/>
        <w:ind w:right="0"/>
        <w:jc w:val="left"/>
        <w:rPr>
          <w:b w:val="0"/>
          <w:bCs w:val="0"/>
        </w:rPr>
      </w:pPr>
      <w:bookmarkStart w:name="（2）重要的账龄超过1年的应收股利" w:id="247"/>
      <w:bookmarkEnd w:id="247"/>
      <w:r>
        <w:rPr>
          <w:b w:val="0"/>
          <w:bCs w:val="0"/>
        </w:rPr>
      </w:r>
      <w:r>
        <w:rPr/>
        <w:t>（</w:t>
      </w:r>
      <w:r>
        <w:rPr>
          <w:rFonts w:ascii="Times New Roman" w:hAnsi="Times New Roman" w:cs="Times New Roman" w:eastAsia="Times New Roman" w:hint="default"/>
        </w:rPr>
        <w:t>2</w:t>
      </w:r>
      <w:r>
        <w:rPr/>
        <w:t>）重要的账龄超过</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年的应收股利</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03"/>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1" w:right="0"/>
              <w:jc w:val="left"/>
              <w:rPr>
                <w:rFonts w:ascii="宋体" w:hAnsi="宋体" w:cs="宋体" w:eastAsia="宋体" w:hint="default"/>
                <w:sz w:val="18"/>
                <w:szCs w:val="18"/>
              </w:rPr>
            </w:pPr>
            <w:r>
              <w:rPr>
                <w:rFonts w:ascii="宋体" w:hAnsi="宋体" w:cs="宋体" w:eastAsia="宋体" w:hint="default"/>
                <w:sz w:val="18"/>
                <w:szCs w:val="18"/>
              </w:rPr>
              <w:t>未收回的原因</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71" w:right="39"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bookmarkStart w:name="9、其他应收款" w:id="248"/>
      <w:bookmarkEnd w:id="248"/>
      <w:r>
        <w:rPr>
          <w:b w:val="0"/>
          <w:bCs w:val="0"/>
        </w:rPr>
      </w:r>
      <w:r>
        <w:rPr>
          <w:rFonts w:ascii="Times New Roman" w:hAnsi="Times New Roman" w:cs="Times New Roman" w:eastAsia="Times New Roman" w:hint="default"/>
        </w:rPr>
        <w:t>9</w:t>
      </w:r>
      <w:r>
        <w:rPr/>
        <w:t>、其他应收款</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bookmarkStart w:name="（1）其他应收款分类披露" w:id="249"/>
      <w:bookmarkEnd w:id="249"/>
      <w:r>
        <w:rPr>
          <w:b w:val="0"/>
          <w:bCs w:val="0"/>
        </w:rPr>
      </w:r>
      <w:r>
        <w:rPr/>
        <w:t>（</w:t>
      </w:r>
      <w:r>
        <w:rPr>
          <w:rFonts w:ascii="Times New Roman" w:hAnsi="Times New Roman" w:cs="Times New Roman" w:eastAsia="Times New Roman" w:hint="default"/>
        </w:rPr>
        <w:t>1</w:t>
      </w:r>
      <w:r>
        <w:rPr/>
        <w:t>）其他应收款分类披露</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635"/>
        <w:gridCol w:w="763"/>
        <w:gridCol w:w="762"/>
        <w:gridCol w:w="762"/>
        <w:gridCol w:w="762"/>
        <w:gridCol w:w="790"/>
        <w:gridCol w:w="654"/>
        <w:gridCol w:w="762"/>
        <w:gridCol w:w="813"/>
        <w:gridCol w:w="932"/>
        <w:gridCol w:w="932"/>
      </w:tblGrid>
      <w:tr>
        <w:trPr>
          <w:trHeight w:val="397" w:hRule="exact"/>
        </w:trPr>
        <w:tc>
          <w:tcPr>
            <w:tcW w:w="1635"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35"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3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35"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2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35"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35"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7" w:right="0"/>
              <w:jc w:val="left"/>
              <w:rPr>
                <w:rFonts w:ascii="Times New Roman" w:hAnsi="Times New Roman" w:cs="Times New Roman" w:eastAsia="Times New Roman" w:hint="default"/>
                <w:sz w:val="18"/>
                <w:szCs w:val="18"/>
              </w:rPr>
            </w:pPr>
            <w:r>
              <w:rPr>
                <w:rFonts w:ascii="Times New Roman"/>
                <w:sz w:val="18"/>
              </w:rPr>
              <w:t>4,666,14</w:t>
            </w:r>
          </w:p>
          <w:p>
            <w:pPr>
              <w:pStyle w:val="TableParagraph"/>
              <w:spacing w:line="240" w:lineRule="auto" w:before="106"/>
              <w:ind w:left="403" w:right="0"/>
              <w:jc w:val="left"/>
              <w:rPr>
                <w:rFonts w:ascii="Times New Roman" w:hAnsi="Times New Roman" w:cs="Times New Roman" w:eastAsia="Times New Roman" w:hint="default"/>
                <w:sz w:val="18"/>
                <w:szCs w:val="18"/>
              </w:rPr>
            </w:pPr>
            <w:r>
              <w:rPr>
                <w:rFonts w:ascii="Times New Roman"/>
                <w:sz w:val="18"/>
              </w:rPr>
              <w:t>6.92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2,153,01</w:t>
            </w:r>
          </w:p>
          <w:p>
            <w:pPr>
              <w:pStyle w:val="TableParagraph"/>
              <w:spacing w:line="240" w:lineRule="auto" w:before="106"/>
              <w:ind w:left="413" w:right="0"/>
              <w:jc w:val="left"/>
              <w:rPr>
                <w:rFonts w:ascii="Times New Roman" w:hAnsi="Times New Roman" w:cs="Times New Roman" w:eastAsia="Times New Roman" w:hint="default"/>
                <w:sz w:val="18"/>
                <w:szCs w:val="18"/>
              </w:rPr>
            </w:pPr>
            <w:r>
              <w:rPr>
                <w:rFonts w:ascii="Times New Roman"/>
                <w:sz w:val="18"/>
              </w:rPr>
              <w:t>8.22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46.14%</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2,513,128</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.70</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2,522,3</w:t>
            </w:r>
          </w:p>
          <w:p>
            <w:pPr>
              <w:pStyle w:val="TableParagraph"/>
              <w:spacing w:line="240" w:lineRule="auto" w:before="106"/>
              <w:ind w:left="192" w:right="0"/>
              <w:jc w:val="center"/>
              <w:rPr>
                <w:rFonts w:ascii="Times New Roman" w:hAnsi="Times New Roman" w:cs="Times New Roman" w:eastAsia="Times New Roman" w:hint="default"/>
                <w:sz w:val="18"/>
                <w:szCs w:val="18"/>
              </w:rPr>
            </w:pPr>
            <w:r>
              <w:rPr>
                <w:rFonts w:ascii="Times New Roman"/>
                <w:sz w:val="18"/>
              </w:rPr>
              <w:t>63.00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659,921.3</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26.16%</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1,862,441.7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634"/>
        <w:gridCol w:w="764"/>
        <w:gridCol w:w="762"/>
        <w:gridCol w:w="762"/>
        <w:gridCol w:w="762"/>
        <w:gridCol w:w="790"/>
        <w:gridCol w:w="654"/>
        <w:gridCol w:w="762"/>
        <w:gridCol w:w="813"/>
        <w:gridCol w:w="932"/>
        <w:gridCol w:w="932"/>
      </w:tblGrid>
      <w:tr>
        <w:trPr>
          <w:trHeight w:val="714"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4,666,14</w:t>
            </w:r>
          </w:p>
          <w:p>
            <w:pPr>
              <w:pStyle w:val="TableParagraph"/>
              <w:spacing w:line="240" w:lineRule="auto" w:before="106"/>
              <w:ind w:left="415" w:right="0"/>
              <w:jc w:val="left"/>
              <w:rPr>
                <w:rFonts w:ascii="Times New Roman" w:hAnsi="Times New Roman" w:cs="Times New Roman" w:eastAsia="Times New Roman" w:hint="default"/>
                <w:sz w:val="18"/>
                <w:szCs w:val="18"/>
              </w:rPr>
            </w:pPr>
            <w:r>
              <w:rPr>
                <w:rFonts w:ascii="Times New Roman"/>
                <w:sz w:val="18"/>
              </w:rPr>
              <w:t>6.92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2,153,01</w:t>
            </w:r>
          </w:p>
          <w:p>
            <w:pPr>
              <w:pStyle w:val="TableParagraph"/>
              <w:spacing w:line="240" w:lineRule="auto" w:before="106"/>
              <w:ind w:left="413" w:right="0"/>
              <w:jc w:val="left"/>
              <w:rPr>
                <w:rFonts w:ascii="Times New Roman" w:hAnsi="Times New Roman" w:cs="Times New Roman" w:eastAsia="Times New Roman" w:hint="default"/>
                <w:sz w:val="18"/>
                <w:szCs w:val="18"/>
              </w:rPr>
            </w:pPr>
            <w:r>
              <w:rPr>
                <w:rFonts w:ascii="Times New Roman"/>
                <w:sz w:val="18"/>
              </w:rPr>
              <w:t>8.22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46.14%</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2,513,128</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.70</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center"/>
              <w:rPr>
                <w:rFonts w:ascii="Times New Roman" w:hAnsi="Times New Roman" w:cs="Times New Roman" w:eastAsia="Times New Roman" w:hint="default"/>
                <w:sz w:val="18"/>
                <w:szCs w:val="18"/>
              </w:rPr>
            </w:pPr>
            <w:r>
              <w:rPr>
                <w:rFonts w:ascii="Times New Roman"/>
                <w:sz w:val="18"/>
              </w:rPr>
              <w:t>2,522,3</w:t>
            </w:r>
          </w:p>
          <w:p>
            <w:pPr>
              <w:pStyle w:val="TableParagraph"/>
              <w:spacing w:line="240" w:lineRule="auto" w:before="106"/>
              <w:ind w:left="192" w:right="0"/>
              <w:jc w:val="center"/>
              <w:rPr>
                <w:rFonts w:ascii="Times New Roman" w:hAnsi="Times New Roman" w:cs="Times New Roman" w:eastAsia="Times New Roman" w:hint="default"/>
                <w:sz w:val="18"/>
                <w:szCs w:val="18"/>
              </w:rPr>
            </w:pPr>
            <w:r>
              <w:rPr>
                <w:rFonts w:ascii="Times New Roman"/>
                <w:sz w:val="18"/>
              </w:rPr>
              <w:t>63.00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659,921.3</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26.16%</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1,862,441.7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980"/>
        </w:sectPr>
      </w:pPr>
    </w:p>
    <w:p>
      <w:pPr>
        <w:pStyle w:val="BodyText"/>
        <w:spacing w:line="240" w:lineRule="auto" w:before="51"/>
        <w:ind w:right="-20"/>
        <w:jc w:val="left"/>
      </w:pPr>
      <w:r>
        <w:rPr/>
        <w:t>期末单项金额重大并单项计提坏账准备的其他应收款：</w:t>
      </w:r>
    </w:p>
    <w:p>
      <w:pPr>
        <w:pStyle w:val="BodyText"/>
        <w:spacing w:line="357" w:lineRule="auto" w:before="117"/>
        <w:ind w:right="160"/>
        <w:jc w:val="left"/>
      </w:pPr>
      <w:r>
        <w:rPr/>
        <w:t>□ 适用 √ 不适用 组合中，按账龄分析法计提坏账准备的其他应收款：</w:t>
      </w:r>
    </w:p>
    <w:p>
      <w:pPr>
        <w:pStyle w:val="BodyText"/>
        <w:spacing w:line="240" w:lineRule="auto" w:before="29"/>
        <w:ind w:right="-20"/>
        <w:jc w:val="left"/>
      </w:pPr>
      <w:r>
        <w:rPr/>
        <w:t>√ 适用 □ 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BodyText"/>
        <w:spacing w:line="240" w:lineRule="auto" w:before="0"/>
        <w:ind w:left="153" w:right="0"/>
        <w:jc w:val="left"/>
      </w:pPr>
      <w:r>
        <w:rPr/>
        <w:t>单位： 元</w:t>
      </w:r>
    </w:p>
    <w:p>
      <w:pPr>
        <w:spacing w:after="0" w:line="240" w:lineRule="auto"/>
        <w:jc w:val="left"/>
        <w:sectPr>
          <w:type w:val="continuous"/>
          <w:pgSz w:w="11910" w:h="16840"/>
          <w:pgMar w:top="1060" w:bottom="1160" w:left="980" w:right="980"/>
          <w:cols w:num="2" w:equalWidth="0">
            <w:col w:w="4475" w:space="4355"/>
            <w:col w:w="1120"/>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7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4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1"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2,261,329.62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113,066.49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2,261,329.62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113,066.49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352,517.30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35,251.73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68,000.00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20,400.00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1,984,300.00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1,984,300.00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4,666,146.92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2,153,018.22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46.14%</w:t>
            </w:r>
          </w:p>
        </w:tc>
      </w:tr>
    </w:tbl>
    <w:p>
      <w:pPr>
        <w:pStyle w:val="BodyText"/>
        <w:spacing w:line="357" w:lineRule="auto" w:before="51"/>
        <w:ind w:right="5272"/>
        <w:jc w:val="left"/>
      </w:pPr>
      <w:r>
        <w:rPr/>
        <w:t>确定该组合依据的说明： 组合中，采用余额百分比法计提坏账准备的其他应收款：</w:t>
      </w:r>
    </w:p>
    <w:p>
      <w:pPr>
        <w:pStyle w:val="BodyText"/>
        <w:spacing w:line="357" w:lineRule="auto" w:before="29"/>
        <w:ind w:right="5632"/>
        <w:jc w:val="left"/>
      </w:pPr>
      <w:r>
        <w:rPr/>
        <w:t>□ 适用 √ 不适用 组合中，采用其他方法计提坏账准备的其他应收款：</w:t>
      </w:r>
    </w:p>
    <w:p>
      <w:pPr>
        <w:pStyle w:val="BodyText"/>
        <w:spacing w:line="240" w:lineRule="auto" w:before="28"/>
        <w:ind w:right="0"/>
        <w:jc w:val="left"/>
      </w:pPr>
      <w:r>
        <w:rPr/>
        <w:t>□ 适用 √ 不适用</w:t>
      </w: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bookmarkStart w:name="（2）本期计提、收回或转回的坏账准备情况" w:id="250"/>
      <w:bookmarkEnd w:id="250"/>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type w:val="continuous"/>
          <w:pgSz w:w="11910" w:h="16840"/>
          <w:pgMar w:top="1060" w:bottom="1160" w:left="980" w:right="980"/>
        </w:sectPr>
      </w:pPr>
    </w:p>
    <w:p>
      <w:pPr>
        <w:pStyle w:val="BodyText"/>
        <w:spacing w:line="340" w:lineRule="auto"/>
        <w:ind w:right="-13"/>
        <w:jc w:val="left"/>
      </w:pPr>
      <w:r>
        <w:rPr/>
        <w:t>本期计提坏账准备金额</w:t>
      </w:r>
      <w:r>
        <w:rPr>
          <w:spacing w:val="-47"/>
        </w:rPr>
        <w:t> </w:t>
      </w:r>
      <w:r>
        <w:rPr>
          <w:rFonts w:ascii="Times New Roman" w:hAnsi="Times New Roman" w:cs="Times New Roman" w:eastAsia="Times New Roman" w:hint="default"/>
        </w:rPr>
        <w:t>1,493,096.92</w:t>
      </w:r>
      <w:r>
        <w:rPr>
          <w:rFonts w:ascii="Times New Roman" w:hAnsi="Times New Roman" w:cs="Times New Roman" w:eastAsia="Times New Roman" w:hint="default"/>
          <w:spacing w:val="-2"/>
        </w:rPr>
        <w:t> </w:t>
      </w:r>
      <w:r>
        <w:rPr/>
        <w:t>元；本期收回或转回坏账准备金额</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 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before="0"/>
        <w:ind w:left="153" w:right="0"/>
        <w:jc w:val="left"/>
      </w:pPr>
      <w:r>
        <w:rPr/>
        <w:t>单位： 元</w:t>
      </w:r>
    </w:p>
    <w:p>
      <w:pPr>
        <w:spacing w:after="0" w:line="240" w:lineRule="auto"/>
        <w:jc w:val="left"/>
        <w:sectPr>
          <w:type w:val="continuous"/>
          <w:pgSz w:w="11910" w:h="16840"/>
          <w:pgMar w:top="1060" w:bottom="1160" w:left="980" w:right="980"/>
          <w:cols w:num="2" w:equalWidth="0">
            <w:col w:w="6454" w:space="2375"/>
            <w:col w:w="1121"/>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8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60"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3"/>
        <w:rPr>
          <w:rFonts w:ascii="宋体" w:hAnsi="宋体" w:cs="宋体" w:eastAsia="宋体" w:hint="default"/>
          <w:sz w:val="19"/>
          <w:szCs w:val="19"/>
        </w:rPr>
      </w:pPr>
    </w:p>
    <w:p>
      <w:pPr>
        <w:pStyle w:val="Heading5"/>
        <w:spacing w:line="240" w:lineRule="auto" w:before="35"/>
        <w:ind w:right="0"/>
        <w:jc w:val="left"/>
        <w:rPr>
          <w:b w:val="0"/>
          <w:bCs w:val="0"/>
        </w:rPr>
      </w:pPr>
      <w:bookmarkStart w:name="（3）本期实际核销的其他应收款情况" w:id="251"/>
      <w:bookmarkEnd w:id="251"/>
      <w:r>
        <w:rPr>
          <w:b w:val="0"/>
          <w:bCs w:val="0"/>
        </w:rPr>
      </w:r>
      <w:r>
        <w:rPr/>
        <w:t>（</w:t>
      </w:r>
      <w:r>
        <w:rPr>
          <w:rFonts w:ascii="Times New Roman" w:hAnsi="Times New Roman" w:cs="Times New Roman" w:eastAsia="Times New Roman" w:hint="default"/>
        </w:rPr>
        <w:t>3</w:t>
      </w:r>
      <w:r>
        <w:rPr/>
        <w:t>）本期实际核销的其他应收款情况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780"/>
        <w:gridCol w:w="4788"/>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pStyle w:val="BodyText"/>
        <w:spacing w:line="240" w:lineRule="auto" w:before="51"/>
        <w:ind w:right="0"/>
        <w:jc w:val="left"/>
      </w:pPr>
      <w:r>
        <w:rPr/>
        <w:t>其中重要的其他应收款核销情况：</w:t>
      </w:r>
    </w:p>
    <w:p>
      <w:pPr>
        <w:pStyle w:val="BodyText"/>
        <w:spacing w:line="240" w:lineRule="auto" w:before="117"/>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21" w:right="71"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240" w:lineRule="auto" w:before="52"/>
        <w:ind w:right="0"/>
        <w:jc w:val="left"/>
      </w:pPr>
      <w:r>
        <w:rPr/>
        <w:t>其他应收款核销说明：</w:t>
      </w:r>
    </w:p>
    <w:p>
      <w:pPr>
        <w:spacing w:after="0" w:line="240" w:lineRule="auto"/>
        <w:jc w:val="left"/>
        <w:sectPr>
          <w:type w:val="continuous"/>
          <w:pgSz w:w="11910" w:h="16840"/>
          <w:pgMar w:top="1060" w:bottom="1160" w:left="980" w:right="980"/>
        </w:sectPr>
      </w:pPr>
    </w:p>
    <w:p>
      <w:pPr>
        <w:spacing w:line="240" w:lineRule="auto" w:before="9"/>
        <w:rPr>
          <w:rFonts w:ascii="宋体" w:hAnsi="宋体" w:cs="宋体" w:eastAsia="宋体" w:hint="default"/>
          <w:sz w:val="24"/>
          <w:szCs w:val="24"/>
        </w:rPr>
      </w:pPr>
    </w:p>
    <w:p>
      <w:pPr>
        <w:pStyle w:val="Heading5"/>
        <w:spacing w:line="240" w:lineRule="auto" w:before="35"/>
        <w:ind w:right="0"/>
        <w:jc w:val="left"/>
        <w:rPr>
          <w:b w:val="0"/>
          <w:bCs w:val="0"/>
        </w:rPr>
      </w:pPr>
      <w:bookmarkStart w:name="（4）其他应收款按款项性质分类情况" w:id="252"/>
      <w:bookmarkEnd w:id="252"/>
      <w:r>
        <w:rPr>
          <w:b w:val="0"/>
          <w:bCs w:val="0"/>
        </w:rPr>
      </w:r>
      <w:r>
        <w:rPr/>
        <w:t>（</w:t>
      </w:r>
      <w:r>
        <w:rPr>
          <w:rFonts w:ascii="Times New Roman" w:hAnsi="Times New Roman" w:cs="Times New Roman" w:eastAsia="Times New Roman" w:hint="default"/>
        </w:rPr>
        <w:t>4</w:t>
      </w:r>
      <w:r>
        <w:rPr/>
        <w:t>）其他应收款按款项性质分类情况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3,443,005.80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2,322,663.00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员工备用金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633,624.15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199,700.00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拆借款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437,946.05</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151,570.92</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4,666,146.92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2,522,363.00</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bookmarkStart w:name="（5）按欠款方归集的期末余额前五名的其他应收款情况" w:id="253"/>
      <w:bookmarkEnd w:id="253"/>
      <w:r>
        <w:rPr>
          <w:b w:val="0"/>
          <w:bCs w:val="0"/>
        </w:rPr>
      </w:r>
      <w:r>
        <w:rPr/>
        <w:t>（</w:t>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3" w:right="7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71"/>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杭州余杭径山经济 开发有限公司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119"/>
              <w:jc w:val="left"/>
              <w:rPr>
                <w:rFonts w:ascii="宋体" w:hAnsi="宋体" w:cs="宋体" w:eastAsia="宋体" w:hint="default"/>
                <w:sz w:val="18"/>
                <w:szCs w:val="18"/>
              </w:rPr>
            </w:pPr>
            <w:r>
              <w:rPr>
                <w:rFonts w:ascii="宋体" w:hAnsi="宋体" w:cs="宋体" w:eastAsia="宋体" w:hint="default"/>
                <w:sz w:val="18"/>
                <w:szCs w:val="18"/>
              </w:rPr>
              <w:t>土地开发意向保证 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38.58%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1,800,000.00</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华北电力物资总公 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213,260.00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4.57%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11,616.00</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杭州恒龙新能源科 技有限公司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拆借款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150,437.50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3.22%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7,521.88</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蒋迪苗</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拆借款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135,046.29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6,752.31</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海南电网有限责任 公司物流服务中心</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135,000.00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2.89%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6,750.00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2,433,743.79</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52.15%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1,832,640.19</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bookmarkStart w:name="（6）涉及政府补助的应收款项" w:id="254"/>
      <w:bookmarkEnd w:id="254"/>
      <w:r>
        <w:rPr>
          <w:b w:val="0"/>
          <w:bCs w:val="0"/>
        </w:rPr>
      </w:r>
      <w:r>
        <w:rPr/>
        <w:t>（</w:t>
      </w:r>
      <w:r>
        <w:rPr>
          <w:rFonts w:ascii="Times New Roman" w:hAnsi="Times New Roman" w:cs="Times New Roman" w:eastAsia="Times New Roman" w:hint="default"/>
        </w:rPr>
        <w:t>6</w:t>
      </w:r>
      <w:r>
        <w:rPr/>
        <w:t>）涉及政府补助的应收款项</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4"/>
        <w:gridCol w:w="1914"/>
        <w:gridCol w:w="1914"/>
        <w:gridCol w:w="1905"/>
      </w:tblGrid>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0"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83" w:right="39" w:hanging="630"/>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bookmarkStart w:name="（7）因金融资产转移而终止确认的其他应收款" w:id="255"/>
      <w:bookmarkEnd w:id="255"/>
      <w:r>
        <w:rPr>
          <w:b w:val="0"/>
          <w:bCs w:val="0"/>
        </w:rPr>
      </w:r>
      <w:r>
        <w:rPr/>
        <w:t>（</w:t>
      </w: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bookmarkStart w:name="（8）转移其他应收款且继续涉入形成的资产、负债金额" w:id="256"/>
      <w:bookmarkEnd w:id="256"/>
      <w:r>
        <w:rPr>
          <w:b w:val="0"/>
          <w:bCs w:val="0"/>
        </w:rPr>
      </w:r>
      <w:r>
        <w:rPr/>
        <w:t>（</w:t>
      </w:r>
      <w:r>
        <w:rPr>
          <w:rFonts w:ascii="Times New Roman" w:hAnsi="Times New Roman" w:cs="Times New Roman" w:eastAsia="Times New Roman" w:hint="default"/>
        </w:rPr>
        <w:t>8</w:t>
      </w:r>
      <w:r>
        <w:rPr/>
        <w:t>）转移其他应收款且继续涉入形成的资产、负债金额</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0"/>
        <w:jc w:val="left"/>
      </w:pPr>
      <w:r>
        <w:rPr/>
        <w:t>其他说明：</w:t>
      </w:r>
    </w:p>
    <w:p>
      <w:pPr>
        <w:spacing w:after="0" w:line="240" w:lineRule="auto"/>
        <w:jc w:val="left"/>
        <w:sectPr>
          <w:pgSz w:w="11910" w:h="16840"/>
          <w:pgMar w:header="747" w:footer="979" w:top="1060" w:bottom="1160" w:left="980" w:right="980"/>
        </w:sectPr>
      </w:pPr>
    </w:p>
    <w:p>
      <w:pPr>
        <w:spacing w:line="240" w:lineRule="auto" w:before="9"/>
        <w:rPr>
          <w:rFonts w:ascii="宋体" w:hAnsi="宋体" w:cs="宋体" w:eastAsia="宋体" w:hint="default"/>
          <w:sz w:val="24"/>
          <w:szCs w:val="24"/>
        </w:rPr>
      </w:pPr>
    </w:p>
    <w:p>
      <w:pPr>
        <w:pStyle w:val="Heading5"/>
        <w:spacing w:line="240" w:lineRule="auto" w:before="35"/>
        <w:ind w:right="0"/>
        <w:jc w:val="left"/>
        <w:rPr>
          <w:b w:val="0"/>
          <w:bCs w:val="0"/>
        </w:rPr>
      </w:pPr>
      <w:bookmarkStart w:name="10、存货" w:id="257"/>
      <w:bookmarkEnd w:id="257"/>
      <w:r>
        <w:rPr>
          <w:b w:val="0"/>
          <w:bCs w:val="0"/>
        </w:rPr>
      </w:r>
      <w:r>
        <w:rPr>
          <w:rFonts w:ascii="Times New Roman" w:hAnsi="Times New Roman" w:cs="Times New Roman" w:eastAsia="Times New Roman" w:hint="default"/>
        </w:rPr>
        <w:t>10</w:t>
      </w:r>
      <w:r>
        <w:rPr/>
        <w:t>、存货</w:t>
      </w:r>
      <w:r>
        <w:rPr>
          <w:b w:val="0"/>
          <w:bCs w:val="0"/>
        </w:rPr>
      </w:r>
    </w:p>
    <w:p>
      <w:pPr>
        <w:spacing w:line="240" w:lineRule="auto" w:before="9"/>
        <w:rPr>
          <w:rFonts w:ascii="宋体" w:hAnsi="宋体" w:cs="宋体" w:eastAsia="宋体" w:hint="default"/>
          <w:b/>
          <w:bCs/>
          <w:sz w:val="26"/>
          <w:szCs w:val="26"/>
        </w:rPr>
      </w:pPr>
    </w:p>
    <w:p>
      <w:pPr>
        <w:pStyle w:val="BodyText"/>
        <w:spacing w:line="357" w:lineRule="auto" w:before="0"/>
        <w:ind w:right="6532"/>
        <w:jc w:val="left"/>
      </w:pPr>
      <w:r>
        <w:rPr/>
        <w:t>公司是否需要遵守房地产行业的披露要求 否</w:t>
      </w:r>
    </w:p>
    <w:p>
      <w:pPr>
        <w:spacing w:line="240" w:lineRule="auto" w:before="1"/>
        <w:rPr>
          <w:rFonts w:ascii="宋体" w:hAnsi="宋体" w:cs="宋体" w:eastAsia="宋体" w:hint="default"/>
          <w:sz w:val="20"/>
          <w:szCs w:val="20"/>
        </w:rPr>
      </w:pPr>
    </w:p>
    <w:p>
      <w:pPr>
        <w:pStyle w:val="Heading5"/>
        <w:spacing w:line="240" w:lineRule="auto"/>
        <w:ind w:right="0"/>
        <w:jc w:val="left"/>
        <w:rPr>
          <w:b w:val="0"/>
          <w:bCs w:val="0"/>
        </w:rPr>
      </w:pPr>
      <w:bookmarkStart w:name="（1）存货分类" w:id="258"/>
      <w:bookmarkEnd w:id="258"/>
      <w:r>
        <w:rPr>
          <w:b w:val="0"/>
          <w:bCs w:val="0"/>
        </w:rPr>
      </w:r>
      <w:r>
        <w:rPr/>
        <w:t>（</w:t>
      </w:r>
      <w:r>
        <w:rPr>
          <w:rFonts w:ascii="Times New Roman" w:hAnsi="Times New Roman" w:cs="Times New Roman" w:eastAsia="Times New Roman" w:hint="default"/>
        </w:rPr>
        <w:t>1</w:t>
      </w:r>
      <w:r>
        <w:rPr/>
        <w:t>）存货分类</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46"/>
        <w:gridCol w:w="1379"/>
        <w:gridCol w:w="1367"/>
        <w:gridCol w:w="1367"/>
        <w:gridCol w:w="1368"/>
        <w:gridCol w:w="1367"/>
        <w:gridCol w:w="1367"/>
      </w:tblGrid>
      <w:tr>
        <w:trPr>
          <w:trHeight w:val="206"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411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34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13"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346" w:type="dxa"/>
            <w:vMerge/>
            <w:tcBorders>
              <w:left w:val="single" w:sz="4" w:space="0" w:color="000000"/>
              <w:bottom w:val="nil" w:sz="6" w:space="0" w:color="auto"/>
              <w:right w:val="single" w:sz="4" w:space="0" w:color="000000"/>
            </w:tcBorders>
            <w:shd w:val="clear" w:color="auto" w:fill="D2D2D2"/>
          </w:tcPr>
          <w:p>
            <w:pPr/>
          </w:p>
        </w:tc>
        <w:tc>
          <w:tcPr>
            <w:tcW w:w="137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79"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74,167,716.47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74,167,716.47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42,316,646.10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42,316,646.10</w:t>
            </w: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24,759,979.45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24,759,979.45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10,654,676.34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10,654,676.34</w:t>
            </w: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19,030,069.55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581,873.72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18,448,195.83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3,961,748.49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3,961,748.49</w:t>
            </w: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周转材料</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616,938.94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616,938.94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544,822.62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544,822.62</w:t>
            </w: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118,574,704.41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581,873.72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117,992,830.69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57,477,893.55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57,477,893.55</w:t>
            </w:r>
          </w:p>
        </w:tc>
      </w:tr>
    </w:tbl>
    <w:p>
      <w:pPr>
        <w:pStyle w:val="BodyText"/>
        <w:spacing w:line="340" w:lineRule="auto" w:before="51"/>
        <w:ind w:right="1493"/>
        <w:jc w:val="left"/>
      </w:pPr>
      <w:r>
        <w:rPr/>
        <w:t>公司是否需遵守《深圳证券交易所行业信息披露指引第</w:t>
      </w:r>
      <w:r>
        <w:rPr>
          <w:spacing w:val="-45"/>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上市公司从事种业、种植业务》的披露要求 否</w:t>
      </w:r>
    </w:p>
    <w:p>
      <w:pPr>
        <w:pStyle w:val="BodyText"/>
        <w:spacing w:line="338" w:lineRule="auto" w:before="40"/>
        <w:ind w:right="594"/>
        <w:jc w:val="left"/>
      </w:pPr>
      <w:r>
        <w:rPr/>
        <w:t>公司是否需遵守《深圳证券交易所创业板行业信息披露指引第</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上市公司从事广播电影电视业务》的披露要求 否</w:t>
      </w:r>
    </w:p>
    <w:p>
      <w:pPr>
        <w:pStyle w:val="BodyText"/>
        <w:spacing w:line="338" w:lineRule="auto"/>
        <w:ind w:right="773"/>
        <w:jc w:val="left"/>
      </w:pPr>
      <w:r>
        <w:rPr/>
        <w:t>公司是否需遵守《深圳证券交易所创业板行业信息披露指引第</w:t>
      </w:r>
      <w:r>
        <w:rPr>
          <w:spacing w:val="-45"/>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上市公司从事互联网游戏业务》的披露要求 否</w:t>
      </w:r>
    </w:p>
    <w:p>
      <w:pPr>
        <w:spacing w:line="240" w:lineRule="auto" w:before="1"/>
        <w:rPr>
          <w:rFonts w:ascii="宋体" w:hAnsi="宋体" w:cs="宋体" w:eastAsia="宋体" w:hint="default"/>
          <w:sz w:val="21"/>
          <w:szCs w:val="21"/>
        </w:rPr>
      </w:pPr>
    </w:p>
    <w:p>
      <w:pPr>
        <w:pStyle w:val="Heading5"/>
        <w:spacing w:line="240" w:lineRule="auto"/>
        <w:ind w:right="0"/>
        <w:jc w:val="left"/>
        <w:rPr>
          <w:b w:val="0"/>
          <w:bCs w:val="0"/>
        </w:rPr>
      </w:pPr>
      <w:bookmarkStart w:name="（2）存货跌价准备" w:id="259"/>
      <w:bookmarkEnd w:id="259"/>
      <w:r>
        <w:rPr>
          <w:b w:val="0"/>
          <w:bCs w:val="0"/>
        </w:rPr>
      </w:r>
      <w:r>
        <w:rPr/>
        <w:t>（</w:t>
      </w:r>
      <w:r>
        <w:rPr>
          <w:rFonts w:ascii="Times New Roman" w:hAnsi="Times New Roman" w:cs="Times New Roman" w:eastAsia="Times New Roman" w:hint="default"/>
        </w:rPr>
        <w:t>2</w:t>
      </w:r>
      <w:r>
        <w:rPr/>
        <w:t>）存货跌价准备</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57"/>
        <w:gridCol w:w="1368"/>
        <w:gridCol w:w="1367"/>
        <w:gridCol w:w="1367"/>
        <w:gridCol w:w="1368"/>
        <w:gridCol w:w="1367"/>
        <w:gridCol w:w="1367"/>
      </w:tblGrid>
      <w:tr>
        <w:trPr>
          <w:trHeight w:val="205"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273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822"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2" w:hRule="exact"/>
        </w:trPr>
        <w:tc>
          <w:tcPr>
            <w:tcW w:w="135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vMerge/>
            <w:tcBorders>
              <w:left w:val="single" w:sz="4" w:space="0" w:color="000000"/>
              <w:bottom w:val="single" w:sz="4" w:space="0" w:color="000000"/>
              <w:right w:val="single" w:sz="4" w:space="0" w:color="000000"/>
            </w:tcBorders>
            <w:shd w:val="clear" w:color="auto" w:fill="D2D2D2"/>
          </w:tcPr>
          <w:p>
            <w:pPr/>
          </w:p>
        </w:tc>
        <w:tc>
          <w:tcPr>
            <w:tcW w:w="2735" w:type="dxa"/>
            <w:gridSpan w:val="2"/>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right w:val="single" w:sz="4" w:space="0" w:color="000000"/>
            </w:tcBorders>
            <w:shd w:val="clear" w:color="auto" w:fill="D2D2D2"/>
          </w:tcPr>
          <w:p>
            <w:pPr/>
          </w:p>
        </w:tc>
      </w:tr>
      <w:tr>
        <w:trPr>
          <w:trHeight w:val="200" w:hRule="exact"/>
        </w:trPr>
        <w:tc>
          <w:tcPr>
            <w:tcW w:w="1357" w:type="dxa"/>
            <w:vMerge/>
            <w:tcBorders>
              <w:left w:val="single" w:sz="4" w:space="0" w:color="000000"/>
              <w:bottom w:val="nil" w:sz="6" w:space="0" w:color="auto"/>
              <w:right w:val="single" w:sz="4" w:space="0" w:color="000000"/>
            </w:tcBorders>
            <w:shd w:val="clear" w:color="auto" w:fill="D2D2D2"/>
          </w:tcPr>
          <w:p>
            <w:pPr/>
          </w:p>
        </w:tc>
        <w:tc>
          <w:tcPr>
            <w:tcW w:w="1368" w:type="dxa"/>
            <w:vMerge/>
            <w:tcBorders>
              <w:left w:val="single" w:sz="4" w:space="0" w:color="000000"/>
              <w:bottom w:val="nil" w:sz="6" w:space="0" w:color="auto"/>
              <w:right w:val="single" w:sz="4" w:space="0" w:color="000000"/>
            </w:tcBorders>
            <w:shd w:val="clear" w:color="auto" w:fill="D2D2D2"/>
          </w:tcPr>
          <w:p>
            <w:pP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计提</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29"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tcBorders>
              <w:left w:val="single" w:sz="4" w:space="0" w:color="000000"/>
              <w:right w:val="single" w:sz="4" w:space="0" w:color="000000"/>
            </w:tcBorders>
            <w:shd w:val="clear" w:color="auto" w:fill="D2D2D2"/>
          </w:tcPr>
          <w:p>
            <w:pPr/>
          </w:p>
        </w:tc>
      </w:tr>
      <w:tr>
        <w:trPr>
          <w:trHeight w:val="206"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000000"/>
              <w:left w:val="single" w:sz="13" w:space="0" w:color="D2D2D2"/>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2,499.35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579,374.37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581,873.72</w:t>
            </w: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2,499.35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579,374.37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581,873.72</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bookmarkStart w:name="（3）存货期末余额含有借款费用资本化金额的说明" w:id="260"/>
      <w:bookmarkEnd w:id="260"/>
      <w:r>
        <w:rPr>
          <w:b w:val="0"/>
          <w:bCs w:val="0"/>
        </w:rPr>
      </w:r>
      <w:r>
        <w:rPr/>
        <w:t>（</w:t>
      </w:r>
      <w:r>
        <w:rPr>
          <w:rFonts w:ascii="Times New Roman" w:hAnsi="Times New Roman" w:cs="Times New Roman" w:eastAsia="Times New Roman" w:hint="default"/>
        </w:rPr>
        <w:t>3</w:t>
      </w:r>
      <w:r>
        <w:rPr/>
        <w:t>）存货期末余额含有借款费用资本化金额的说明</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bookmarkStart w:name="（4）期末建造合同形成的已完工未结算资产情况" w:id="261"/>
      <w:bookmarkEnd w:id="261"/>
      <w:r>
        <w:rPr>
          <w:b w:val="0"/>
          <w:bCs w:val="0"/>
        </w:rPr>
      </w:r>
      <w:r>
        <w:rPr/>
        <w:t>（</w:t>
      </w:r>
      <w:r>
        <w:rPr>
          <w:rFonts w:ascii="Times New Roman" w:hAnsi="Times New Roman" w:cs="Times New Roman" w:eastAsia="Times New Roman" w:hint="default"/>
        </w:rPr>
        <w:t>4</w:t>
      </w:r>
      <w:r>
        <w:rPr/>
        <w:t>）期末建造合同形成的已完工未结算资产情况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4"/>
        <w:gridCol w:w="4785"/>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pStyle w:val="BodyText"/>
        <w:spacing w:line="240" w:lineRule="auto" w:before="52"/>
        <w:ind w:right="0"/>
        <w:jc w:val="left"/>
      </w:pPr>
      <w:r>
        <w:rPr/>
        <w:t>其他说明：</w:t>
      </w:r>
    </w:p>
    <w:p>
      <w:pPr>
        <w:spacing w:after="0" w:line="240" w:lineRule="auto"/>
        <w:jc w:val="left"/>
        <w:sectPr>
          <w:pgSz w:w="11910" w:h="16840"/>
          <w:pgMar w:header="747" w:footer="979" w:top="1060" w:bottom="1160" w:left="980" w:right="980"/>
        </w:sectPr>
      </w:pPr>
    </w:p>
    <w:p>
      <w:pPr>
        <w:spacing w:line="240" w:lineRule="auto" w:before="9"/>
        <w:rPr>
          <w:rFonts w:ascii="宋体" w:hAnsi="宋体" w:cs="宋体" w:eastAsia="宋体" w:hint="default"/>
          <w:sz w:val="24"/>
          <w:szCs w:val="24"/>
        </w:rPr>
      </w:pPr>
    </w:p>
    <w:p>
      <w:pPr>
        <w:pStyle w:val="Heading5"/>
        <w:spacing w:line="240" w:lineRule="auto" w:before="35"/>
        <w:ind w:right="0"/>
        <w:jc w:val="left"/>
        <w:rPr>
          <w:b w:val="0"/>
          <w:bCs w:val="0"/>
        </w:rPr>
      </w:pPr>
      <w:bookmarkStart w:name="11、持有待售的资产" w:id="262"/>
      <w:bookmarkEnd w:id="262"/>
      <w:r>
        <w:rPr>
          <w:b w:val="0"/>
          <w:bCs w:val="0"/>
        </w:rPr>
      </w:r>
      <w:r>
        <w:rPr>
          <w:rFonts w:ascii="Times New Roman" w:hAnsi="Times New Roman" w:cs="Times New Roman" w:eastAsia="Times New Roman" w:hint="default"/>
        </w:rPr>
        <w:t>11</w:t>
      </w:r>
      <w:r>
        <w:rPr/>
        <w:t>、持有待售的资产</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4"/>
        <w:gridCol w:w="1914"/>
        <w:gridCol w:w="1914"/>
        <w:gridCol w:w="1905"/>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12"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2" w:right="0"/>
              <w:jc w:val="left"/>
              <w:rPr>
                <w:rFonts w:ascii="宋体" w:hAnsi="宋体" w:cs="宋体" w:eastAsia="宋体" w:hint="default"/>
                <w:sz w:val="18"/>
                <w:szCs w:val="18"/>
              </w:rPr>
            </w:pPr>
            <w:r>
              <w:rPr>
                <w:rFonts w:ascii="宋体" w:hAnsi="宋体" w:cs="宋体" w:eastAsia="宋体" w:hint="default"/>
                <w:sz w:val="18"/>
                <w:szCs w:val="18"/>
              </w:rPr>
              <w:t>公允价值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12" w:right="0"/>
              <w:jc w:val="left"/>
              <w:rPr>
                <w:rFonts w:ascii="宋体" w:hAnsi="宋体" w:cs="宋体" w:eastAsia="宋体" w:hint="default"/>
                <w:sz w:val="18"/>
                <w:szCs w:val="18"/>
              </w:rPr>
            </w:pPr>
            <w:r>
              <w:rPr>
                <w:rFonts w:ascii="宋体" w:hAnsi="宋体" w:cs="宋体" w:eastAsia="宋体" w:hint="default"/>
                <w:sz w:val="18"/>
                <w:szCs w:val="18"/>
              </w:rPr>
              <w:t>预计处置费用</w:t>
            </w:r>
          </w:p>
        </w:tc>
        <w:tc>
          <w:tcPr>
            <w:tcW w:w="19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13" w:right="0"/>
              <w:jc w:val="left"/>
              <w:rPr>
                <w:rFonts w:ascii="宋体" w:hAnsi="宋体" w:cs="宋体" w:eastAsia="宋体" w:hint="default"/>
                <w:sz w:val="18"/>
                <w:szCs w:val="18"/>
              </w:rPr>
            </w:pPr>
            <w:r>
              <w:rPr>
                <w:rFonts w:ascii="宋体" w:hAnsi="宋体" w:cs="宋体" w:eastAsia="宋体" w:hint="default"/>
                <w:sz w:val="18"/>
                <w:szCs w:val="18"/>
              </w:rPr>
              <w:t>预计处置时间</w:t>
            </w:r>
          </w:p>
        </w:tc>
      </w:tr>
    </w:tbl>
    <w:p>
      <w:pPr>
        <w:pStyle w:val="BodyText"/>
        <w:spacing w:line="240" w:lineRule="auto" w:before="52"/>
        <w:ind w:right="0"/>
        <w:jc w:val="left"/>
      </w:pPr>
      <w:r>
        <w:rPr/>
        <w:t>其他说明：</w:t>
      </w:r>
    </w:p>
    <w:p>
      <w:pPr>
        <w:spacing w:line="240" w:lineRule="auto" w:before="10"/>
        <w:rPr>
          <w:rFonts w:ascii="宋体" w:hAnsi="宋体" w:cs="宋体" w:eastAsia="宋体" w:hint="default"/>
          <w:sz w:val="26"/>
          <w:szCs w:val="26"/>
        </w:rPr>
      </w:pPr>
    </w:p>
    <w:p>
      <w:pPr>
        <w:pStyle w:val="Heading5"/>
        <w:spacing w:line="240" w:lineRule="auto"/>
        <w:ind w:right="0"/>
        <w:jc w:val="left"/>
        <w:rPr>
          <w:b w:val="0"/>
          <w:bCs w:val="0"/>
        </w:rPr>
      </w:pPr>
      <w:bookmarkStart w:name="12、一年内到期的非流动资产" w:id="263"/>
      <w:bookmarkEnd w:id="263"/>
      <w:r>
        <w:rPr>
          <w:b w:val="0"/>
          <w:bCs w:val="0"/>
        </w:rPr>
      </w:r>
      <w:r>
        <w:rPr>
          <w:rFonts w:ascii="Times New Roman" w:hAnsi="Times New Roman" w:cs="Times New Roman" w:eastAsia="Times New Roman" w:hint="default"/>
        </w:rPr>
        <w:t>12</w:t>
      </w:r>
      <w:r>
        <w:rPr/>
        <w:t>、一年内到期的非流动资产</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8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2"/>
        <w:ind w:right="0"/>
        <w:jc w:val="left"/>
      </w:pPr>
      <w:r>
        <w:rPr/>
        <w:t>其他说明：</w:t>
      </w:r>
    </w:p>
    <w:p>
      <w:pPr>
        <w:spacing w:line="240" w:lineRule="auto" w:before="10"/>
        <w:rPr>
          <w:rFonts w:ascii="宋体" w:hAnsi="宋体" w:cs="宋体" w:eastAsia="宋体" w:hint="default"/>
          <w:sz w:val="26"/>
          <w:szCs w:val="26"/>
        </w:rPr>
      </w:pPr>
    </w:p>
    <w:p>
      <w:pPr>
        <w:pStyle w:val="Heading5"/>
        <w:spacing w:line="240" w:lineRule="auto"/>
        <w:ind w:right="0"/>
        <w:jc w:val="left"/>
        <w:rPr>
          <w:b w:val="0"/>
          <w:bCs w:val="0"/>
        </w:rPr>
      </w:pPr>
      <w:bookmarkStart w:name="13、其他流动资产" w:id="264"/>
      <w:bookmarkEnd w:id="264"/>
      <w:r>
        <w:rPr>
          <w:b w:val="0"/>
          <w:bCs w:val="0"/>
        </w:rPr>
      </w:r>
      <w:r>
        <w:rPr>
          <w:rFonts w:ascii="Times New Roman" w:hAnsi="Times New Roman" w:cs="Times New Roman" w:eastAsia="Times New Roman" w:hint="default"/>
        </w:rPr>
        <w:t>13</w:t>
      </w:r>
      <w:r>
        <w:rPr/>
        <w:t>、其他流动资产</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预缴企业所得税</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906,580.37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659,281.83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待抵扣增值税进项税额</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7,181,669.75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929,863.51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8,088,250.12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1,589,145.34</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bookmarkStart w:name="14、可供出售金融资产" w:id="265"/>
      <w:bookmarkEnd w:id="265"/>
      <w:r>
        <w:rPr>
          <w:b w:val="0"/>
          <w:bCs w:val="0"/>
        </w:rPr>
      </w:r>
      <w:r>
        <w:rPr>
          <w:rFonts w:ascii="Times New Roman" w:hAnsi="Times New Roman" w:cs="Times New Roman" w:eastAsia="Times New Roman" w:hint="default"/>
        </w:rPr>
        <w:t>14</w:t>
      </w:r>
      <w:r>
        <w:rPr/>
        <w:t>、可供出售金融资产</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bookmarkStart w:name="（1）可供出售金融资产情况" w:id="266"/>
      <w:bookmarkEnd w:id="266"/>
      <w:r>
        <w:rPr>
          <w:b w:val="0"/>
          <w:bCs w:val="0"/>
        </w:rPr>
      </w:r>
      <w:r>
        <w:rPr/>
        <w:t>（</w:t>
      </w:r>
      <w:r>
        <w:rPr>
          <w:rFonts w:ascii="Times New Roman" w:hAnsi="Times New Roman" w:cs="Times New Roman" w:eastAsia="Times New Roman" w:hint="default"/>
        </w:rPr>
        <w:t>1</w:t>
      </w:r>
      <w:r>
        <w:rPr/>
        <w:t>）可供出售金融资产情况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001"/>
        <w:gridCol w:w="1195"/>
        <w:gridCol w:w="1196"/>
        <w:gridCol w:w="1196"/>
        <w:gridCol w:w="1248"/>
        <w:gridCol w:w="1367"/>
        <w:gridCol w:w="1367"/>
      </w:tblGrid>
      <w:tr>
        <w:trPr>
          <w:trHeight w:val="206" w:hRule="exact"/>
        </w:trPr>
        <w:tc>
          <w:tcPr>
            <w:tcW w:w="2001" w:type="dxa"/>
            <w:tcBorders>
              <w:top w:val="single" w:sz="4" w:space="0" w:color="000000"/>
              <w:left w:val="single" w:sz="4" w:space="0" w:color="000000"/>
              <w:bottom w:val="nil" w:sz="6" w:space="0" w:color="auto"/>
              <w:right w:val="single" w:sz="4" w:space="0" w:color="000000"/>
            </w:tcBorders>
            <w:shd w:val="clear" w:color="auto" w:fill="D2D2D2"/>
          </w:tcPr>
          <w:p>
            <w:pPr/>
          </w:p>
        </w:tc>
        <w:tc>
          <w:tcPr>
            <w:tcW w:w="358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98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20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87" w:type="dxa"/>
            <w:gridSpan w:val="3"/>
            <w:vMerge/>
            <w:tcBorders>
              <w:left w:val="single" w:sz="4" w:space="0" w:color="000000"/>
              <w:bottom w:val="single" w:sz="4" w:space="0" w:color="000000"/>
              <w:right w:val="single" w:sz="4" w:space="0" w:color="000000"/>
            </w:tcBorders>
            <w:shd w:val="clear" w:color="auto" w:fill="D2D2D2"/>
          </w:tcPr>
          <w:p>
            <w:pPr/>
          </w:p>
        </w:tc>
        <w:tc>
          <w:tcPr>
            <w:tcW w:w="3982"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001" w:type="dxa"/>
            <w:vMerge/>
            <w:tcBorders>
              <w:left w:val="single" w:sz="4" w:space="0" w:color="000000"/>
              <w:bottom w:val="nil" w:sz="6" w:space="0" w:color="auto"/>
              <w:right w:val="single" w:sz="4" w:space="0" w:color="000000"/>
            </w:tcBorders>
            <w:shd w:val="clear" w:color="auto" w:fill="D2D2D2"/>
          </w:tcPr>
          <w:p>
            <w:pP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4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5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20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24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1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115,174.76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43,266.76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71,908.00</w:t>
            </w:r>
          </w:p>
        </w:tc>
        <w:tc>
          <w:tcPr>
            <w:tcW w:w="124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按成本计量的</w:t>
            </w:r>
          </w:p>
        </w:tc>
        <w:tc>
          <w:tcPr>
            <w:tcW w:w="11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115,174.76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43,266.76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71,908.00</w:t>
            </w:r>
          </w:p>
        </w:tc>
        <w:tc>
          <w:tcPr>
            <w:tcW w:w="124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115,174.76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43,266.76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71,908.00</w:t>
            </w:r>
          </w:p>
        </w:tc>
        <w:tc>
          <w:tcPr>
            <w:tcW w:w="124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bookmarkStart w:name="（2）期末按公允价值计量的可供出售金融资产" w:id="267"/>
      <w:bookmarkEnd w:id="267"/>
      <w:r>
        <w:rPr>
          <w:b w:val="0"/>
          <w:bCs w:val="0"/>
        </w:rPr>
      </w:r>
      <w:r>
        <w:rPr/>
        <w:t>（</w:t>
      </w:r>
      <w:r>
        <w:rPr>
          <w:rFonts w:ascii="Times New Roman" w:hAnsi="Times New Roman" w:cs="Times New Roman" w:eastAsia="Times New Roman" w:hint="default"/>
        </w:rPr>
        <w:t>2</w:t>
      </w:r>
      <w:r>
        <w:rPr/>
        <w:t>）期末按公允价值计量的可供出售金融资产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25"/>
        <w:gridCol w:w="1903"/>
        <w:gridCol w:w="1903"/>
      </w:tblGrid>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1" w:right="0"/>
              <w:jc w:val="left"/>
              <w:rPr>
                <w:rFonts w:ascii="宋体" w:hAnsi="宋体" w:cs="宋体" w:eastAsia="宋体" w:hint="default"/>
                <w:sz w:val="18"/>
                <w:szCs w:val="18"/>
              </w:rPr>
            </w:pPr>
            <w:r>
              <w:rPr>
                <w:rFonts w:ascii="宋体" w:hAnsi="宋体" w:cs="宋体" w:eastAsia="宋体" w:hint="default"/>
                <w:sz w:val="18"/>
                <w:szCs w:val="18"/>
              </w:rPr>
              <w:t>可供出售金融资产分类</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1"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925" w:type="dxa"/>
            <w:tcBorders>
              <w:top w:val="single" w:sz="4" w:space="0" w:color="000000"/>
              <w:left w:val="single" w:sz="4" w:space="0" w:color="000000"/>
              <w:bottom w:val="single" w:sz="4" w:space="0" w:color="000000"/>
              <w:right w:val="single" w:sz="13" w:space="0" w:color="E0FFFF"/>
            </w:tcBorders>
            <w:shd w:val="clear" w:color="auto" w:fill="D2D2D2"/>
          </w:tcPr>
          <w:p>
            <w:pPr>
              <w:pStyle w:val="TableParagraph"/>
              <w:spacing w:line="240" w:lineRule="auto" w:before="52"/>
              <w:ind w:left="231"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190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line="240" w:lineRule="auto" w:before="3"/>
        <w:rPr>
          <w:rFonts w:ascii="宋体" w:hAnsi="宋体" w:cs="宋体" w:eastAsia="宋体" w:hint="default"/>
          <w:sz w:val="19"/>
          <w:szCs w:val="19"/>
        </w:rPr>
      </w:pPr>
    </w:p>
    <w:p>
      <w:pPr>
        <w:pStyle w:val="Heading5"/>
        <w:spacing w:line="240" w:lineRule="auto" w:before="35"/>
        <w:ind w:right="0"/>
        <w:jc w:val="left"/>
        <w:rPr>
          <w:b w:val="0"/>
          <w:bCs w:val="0"/>
        </w:rPr>
      </w:pPr>
      <w:bookmarkStart w:name="（3）期末按成本计量的可供出售金融资产" w:id="268"/>
      <w:bookmarkEnd w:id="268"/>
      <w:r>
        <w:rPr>
          <w:b w:val="0"/>
          <w:bCs w:val="0"/>
        </w:rPr>
      </w:r>
      <w:r>
        <w:rPr/>
        <w:t>（</w:t>
      </w:r>
      <w:r>
        <w:rPr>
          <w:rFonts w:ascii="Times New Roman" w:hAnsi="Times New Roman" w:cs="Times New Roman" w:eastAsia="Times New Roman" w:hint="default"/>
        </w:rPr>
        <w:t>3</w:t>
      </w:r>
      <w:r>
        <w:rPr/>
        <w:t>）期末按成本计量的可供出售金融资产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after="0" w:line="240" w:lineRule="auto"/>
        <w:jc w:val="right"/>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863"/>
        <w:gridCol w:w="870"/>
        <w:gridCol w:w="870"/>
        <w:gridCol w:w="870"/>
        <w:gridCol w:w="870"/>
        <w:gridCol w:w="870"/>
        <w:gridCol w:w="870"/>
        <w:gridCol w:w="870"/>
        <w:gridCol w:w="870"/>
        <w:gridCol w:w="870"/>
        <w:gridCol w:w="870"/>
      </w:tblGrid>
      <w:tr>
        <w:trPr>
          <w:trHeight w:val="402" w:hRule="exact"/>
        </w:trPr>
        <w:tc>
          <w:tcPr>
            <w:tcW w:w="8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335" w:right="65"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87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69" w:right="68"/>
              <w:jc w:val="center"/>
              <w:rPr>
                <w:rFonts w:ascii="宋体" w:hAnsi="宋体" w:cs="宋体" w:eastAsia="宋体" w:hint="default"/>
                <w:sz w:val="18"/>
                <w:szCs w:val="18"/>
              </w:rPr>
            </w:pPr>
            <w:r>
              <w:rPr>
                <w:rFonts w:ascii="宋体" w:hAnsi="宋体" w:cs="宋体" w:eastAsia="宋体" w:hint="default"/>
                <w:sz w:val="18"/>
                <w:szCs w:val="18"/>
              </w:rPr>
              <w:t>在被投资 单位持股 比例</w:t>
            </w:r>
          </w:p>
        </w:tc>
        <w:tc>
          <w:tcPr>
            <w:tcW w:w="8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49" w:right="68" w:hanging="180"/>
              <w:jc w:val="left"/>
              <w:rPr>
                <w:rFonts w:ascii="宋体" w:hAnsi="宋体" w:cs="宋体" w:eastAsia="宋体" w:hint="default"/>
                <w:sz w:val="18"/>
                <w:szCs w:val="18"/>
              </w:rPr>
            </w:pPr>
            <w:r>
              <w:rPr>
                <w:rFonts w:ascii="宋体" w:hAnsi="宋体" w:cs="宋体" w:eastAsia="宋体" w:hint="default"/>
                <w:sz w:val="18"/>
                <w:szCs w:val="18"/>
              </w:rPr>
              <w:t>本期现金 红利</w:t>
            </w:r>
          </w:p>
        </w:tc>
      </w:tr>
      <w:tr>
        <w:trPr>
          <w:trHeight w:val="624" w:hRule="exact"/>
        </w:trPr>
        <w:tc>
          <w:tcPr>
            <w:tcW w:w="863" w:type="dxa"/>
            <w:vMerge/>
            <w:tcBorders>
              <w:left w:val="single" w:sz="4" w:space="0" w:color="000000"/>
              <w:bottom w:val="single" w:sz="4" w:space="0" w:color="000000"/>
              <w:right w:val="single" w:sz="4" w:space="0" w:color="000000"/>
            </w:tcBorders>
            <w:shd w:val="clear" w:color="auto" w:fill="D2D2D2"/>
          </w:tcPr>
          <w:p>
            <w:pP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68"/>
              <w:jc w:val="right"/>
              <w:rPr>
                <w:rFonts w:ascii="宋体" w:hAnsi="宋体" w:cs="宋体" w:eastAsia="宋体" w:hint="default"/>
                <w:sz w:val="18"/>
                <w:szCs w:val="18"/>
              </w:rPr>
            </w:pPr>
            <w:r>
              <w:rPr>
                <w:rFonts w:ascii="宋体" w:hAnsi="宋体" w:cs="宋体" w:eastAsia="宋体" w:hint="default"/>
                <w:sz w:val="18"/>
                <w:szCs w:val="18"/>
              </w:rPr>
              <w:t>本期增加</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期末</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期末</w:t>
            </w:r>
          </w:p>
        </w:tc>
        <w:tc>
          <w:tcPr>
            <w:tcW w:w="870" w:type="dxa"/>
            <w:vMerge/>
            <w:tcBorders>
              <w:left w:val="single" w:sz="4" w:space="0" w:color="000000"/>
              <w:bottom w:val="single" w:sz="4" w:space="0" w:color="000000"/>
              <w:right w:val="single" w:sz="4" w:space="0" w:color="000000"/>
            </w:tcBorders>
            <w:shd w:val="clear" w:color="auto" w:fill="D2D2D2"/>
          </w:tcPr>
          <w:p>
            <w:pPr/>
          </w:p>
        </w:tc>
        <w:tc>
          <w:tcPr>
            <w:tcW w:w="870"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8"/>
              <w:jc w:val="both"/>
              <w:rPr>
                <w:rFonts w:ascii="宋体" w:hAnsi="宋体" w:cs="宋体" w:eastAsia="宋体" w:hint="default"/>
                <w:sz w:val="18"/>
                <w:szCs w:val="18"/>
              </w:rPr>
            </w:pPr>
            <w:r>
              <w:rPr>
                <w:rFonts w:ascii="宋体" w:hAnsi="宋体" w:cs="宋体" w:eastAsia="宋体" w:hint="default"/>
                <w:sz w:val="18"/>
                <w:szCs w:val="18"/>
              </w:rPr>
              <w:t>南望信息 产业集团 有限公司</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71,908.00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92" w:right="0"/>
              <w:jc w:val="center"/>
              <w:rPr>
                <w:rFonts w:ascii="Times New Roman" w:hAnsi="Times New Roman" w:cs="Times New Roman" w:eastAsia="Times New Roman" w:hint="default"/>
                <w:sz w:val="18"/>
                <w:szCs w:val="18"/>
              </w:rPr>
            </w:pPr>
            <w:r>
              <w:rPr>
                <w:rFonts w:ascii="Times New Roman"/>
                <w:sz w:val="18"/>
              </w:rPr>
              <w:t>71,908.00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0.03%</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8"/>
              <w:jc w:val="both"/>
              <w:rPr>
                <w:rFonts w:ascii="宋体" w:hAnsi="宋体" w:cs="宋体" w:eastAsia="宋体" w:hint="default"/>
                <w:sz w:val="18"/>
                <w:szCs w:val="18"/>
              </w:rPr>
            </w:pPr>
            <w:r>
              <w:rPr>
                <w:rFonts w:ascii="宋体" w:hAnsi="宋体" w:cs="宋体" w:eastAsia="宋体" w:hint="default"/>
                <w:sz w:val="18"/>
                <w:szCs w:val="18"/>
              </w:rPr>
              <w:t>杭州汇点 新能源科 技有限公 司</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43,266.76</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92" w:right="0"/>
              <w:jc w:val="center"/>
              <w:rPr>
                <w:rFonts w:ascii="Times New Roman" w:hAnsi="Times New Roman" w:cs="Times New Roman" w:eastAsia="Times New Roman" w:hint="default"/>
                <w:sz w:val="18"/>
                <w:szCs w:val="18"/>
              </w:rPr>
            </w:pPr>
            <w:r>
              <w:rPr>
                <w:rFonts w:ascii="Times New Roman"/>
                <w:sz w:val="18"/>
              </w:rPr>
              <w:t>43,266.76</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93" w:right="0"/>
              <w:jc w:val="center"/>
              <w:rPr>
                <w:rFonts w:ascii="Times New Roman" w:hAnsi="Times New Roman" w:cs="Times New Roman" w:eastAsia="Times New Roman" w:hint="default"/>
                <w:sz w:val="18"/>
                <w:szCs w:val="18"/>
              </w:rPr>
            </w:pPr>
            <w:r>
              <w:rPr>
                <w:rFonts w:ascii="Times New Roman"/>
                <w:sz w:val="18"/>
              </w:rPr>
              <w:t>43,266.76</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93" w:right="0"/>
              <w:jc w:val="center"/>
              <w:rPr>
                <w:rFonts w:ascii="Times New Roman" w:hAnsi="Times New Roman" w:cs="Times New Roman" w:eastAsia="Times New Roman" w:hint="default"/>
                <w:sz w:val="18"/>
                <w:szCs w:val="18"/>
              </w:rPr>
            </w:pPr>
            <w:r>
              <w:rPr>
                <w:rFonts w:ascii="Times New Roman"/>
                <w:sz w:val="18"/>
              </w:rPr>
              <w:t>43,266.76</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13.32%</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0" w:type="dxa"/>
            <w:tcBorders>
              <w:top w:val="single" w:sz="4" w:space="0" w:color="000000"/>
              <w:left w:val="single" w:sz="13" w:space="0" w:color="D2D2D2"/>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115,174.76</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 w:right="0"/>
              <w:jc w:val="center"/>
              <w:rPr>
                <w:rFonts w:ascii="Times New Roman" w:hAnsi="Times New Roman" w:cs="Times New Roman" w:eastAsia="Times New Roman" w:hint="default"/>
                <w:sz w:val="18"/>
                <w:szCs w:val="18"/>
              </w:rPr>
            </w:pPr>
            <w:r>
              <w:rPr>
                <w:rFonts w:ascii="Times New Roman"/>
                <w:sz w:val="18"/>
              </w:rPr>
              <w:t>115,174.76</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 w:right="0"/>
              <w:jc w:val="center"/>
              <w:rPr>
                <w:rFonts w:ascii="Times New Roman" w:hAnsi="Times New Roman" w:cs="Times New Roman" w:eastAsia="Times New Roman" w:hint="default"/>
                <w:sz w:val="18"/>
                <w:szCs w:val="18"/>
              </w:rPr>
            </w:pPr>
            <w:r>
              <w:rPr>
                <w:rFonts w:ascii="Times New Roman"/>
                <w:sz w:val="18"/>
              </w:rPr>
              <w:t>43,266.76</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 w:right="0"/>
              <w:jc w:val="center"/>
              <w:rPr>
                <w:rFonts w:ascii="Times New Roman" w:hAnsi="Times New Roman" w:cs="Times New Roman" w:eastAsia="Times New Roman" w:hint="default"/>
                <w:sz w:val="18"/>
                <w:szCs w:val="18"/>
              </w:rPr>
            </w:pPr>
            <w:r>
              <w:rPr>
                <w:rFonts w:ascii="Times New Roman"/>
                <w:sz w:val="18"/>
              </w:rPr>
              <w:t>43,266.76</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bookmarkStart w:name="（4）报告期内可供出售金融资产减值的变动情况" w:id="269"/>
      <w:bookmarkEnd w:id="269"/>
      <w:r>
        <w:rPr>
          <w:b w:val="0"/>
          <w:bCs w:val="0"/>
        </w:rPr>
      </w:r>
      <w:r>
        <w:rPr/>
        <w:t>（</w:t>
      </w:r>
      <w:r>
        <w:rPr>
          <w:rFonts w:ascii="Times New Roman" w:hAnsi="Times New Roman" w:cs="Times New Roman" w:eastAsia="Times New Roman" w:hint="default"/>
        </w:rPr>
        <w:t>4</w:t>
      </w:r>
      <w:r>
        <w:rPr/>
        <w:t>）报告期内可供出售金融资产减值的变动情况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25"/>
        <w:gridCol w:w="1903"/>
        <w:gridCol w:w="1903"/>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 w:right="0"/>
              <w:jc w:val="left"/>
              <w:rPr>
                <w:rFonts w:ascii="宋体" w:hAnsi="宋体" w:cs="宋体" w:eastAsia="宋体" w:hint="default"/>
                <w:sz w:val="18"/>
                <w:szCs w:val="18"/>
              </w:rPr>
            </w:pPr>
            <w:r>
              <w:rPr>
                <w:rFonts w:ascii="宋体" w:hAnsi="宋体" w:cs="宋体" w:eastAsia="宋体" w:hint="default"/>
                <w:sz w:val="18"/>
                <w:szCs w:val="18"/>
              </w:rPr>
              <w:t>可供出售金融资产分类</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925" w:type="dxa"/>
            <w:tcBorders>
              <w:top w:val="single" w:sz="4" w:space="0" w:color="000000"/>
              <w:left w:val="single" w:sz="4" w:space="0" w:color="000000"/>
              <w:bottom w:val="single" w:sz="4" w:space="0" w:color="000000"/>
              <w:right w:val="single" w:sz="13" w:space="0" w:color="E0FFFF"/>
            </w:tcBorders>
            <w:shd w:val="clear" w:color="auto" w:fill="D2D2D2"/>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190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bookmarkStart w:name="（5）可供出售权益工具期末公允价值严重下跌或非暂时性下跌但未计提减值准备的相关说" w:id="270"/>
      <w:bookmarkEnd w:id="270"/>
      <w:r>
        <w:rPr>
          <w:b w:val="0"/>
          <w:bCs w:val="0"/>
        </w:rPr>
      </w:r>
      <w:r>
        <w:rPr/>
        <w:t>（</w:t>
      </w:r>
      <w:r>
        <w:rPr>
          <w:rFonts w:ascii="Times New Roman" w:hAnsi="Times New Roman" w:cs="Times New Roman" w:eastAsia="Times New Roman" w:hint="default"/>
        </w:rPr>
        <w:t>5</w:t>
      </w:r>
      <w:r>
        <w:rPr/>
        <w:t>）可供出售权益工具期末公允价值严重下跌或非暂时性下跌但未计提减值准备的相关说明</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08" w:right="48" w:hanging="360"/>
              <w:jc w:val="left"/>
              <w:rPr>
                <w:rFonts w:ascii="宋体" w:hAnsi="宋体" w:cs="宋体" w:eastAsia="宋体" w:hint="default"/>
                <w:sz w:val="18"/>
                <w:szCs w:val="18"/>
              </w:rPr>
            </w:pPr>
            <w:r>
              <w:rPr>
                <w:rFonts w:ascii="宋体" w:hAnsi="宋体" w:cs="宋体" w:eastAsia="宋体" w:hint="default"/>
                <w:sz w:val="18"/>
                <w:szCs w:val="18"/>
              </w:rPr>
              <w:t>可供出售权益工 具项目</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投资成本</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38" w:right="0"/>
              <w:jc w:val="left"/>
              <w:rPr>
                <w:rFonts w:ascii="宋体" w:hAnsi="宋体" w:cs="宋体" w:eastAsia="宋体" w:hint="default"/>
                <w:sz w:val="18"/>
                <w:szCs w:val="18"/>
              </w:rPr>
            </w:pPr>
            <w:r>
              <w:rPr>
                <w:rFonts w:ascii="宋体" w:hAnsi="宋体" w:cs="宋体" w:eastAsia="宋体" w:hint="default"/>
                <w:sz w:val="18"/>
                <w:szCs w:val="18"/>
              </w:rPr>
              <w:t>期末公允价值</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7" w:right="47"/>
              <w:jc w:val="left"/>
              <w:rPr>
                <w:rFonts w:ascii="宋体" w:hAnsi="宋体" w:cs="宋体" w:eastAsia="宋体" w:hint="default"/>
                <w:sz w:val="18"/>
                <w:szCs w:val="18"/>
              </w:rPr>
            </w:pPr>
            <w:r>
              <w:rPr>
                <w:rFonts w:ascii="宋体" w:hAnsi="宋体" w:cs="宋体" w:eastAsia="宋体" w:hint="default"/>
                <w:sz w:val="18"/>
                <w:szCs w:val="18"/>
              </w:rPr>
              <w:t>公允价值相对于 成本的下跌幅度</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持续下跌时间</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（个月）</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8" w:right="0"/>
              <w:jc w:val="left"/>
              <w:rPr>
                <w:rFonts w:ascii="宋体" w:hAnsi="宋体" w:cs="宋体" w:eastAsia="宋体" w:hint="default"/>
                <w:sz w:val="18"/>
                <w:szCs w:val="18"/>
              </w:rPr>
            </w:pPr>
            <w:r>
              <w:rPr>
                <w:rFonts w:ascii="宋体" w:hAnsi="宋体" w:cs="宋体" w:eastAsia="宋体" w:hint="default"/>
                <w:sz w:val="18"/>
                <w:szCs w:val="18"/>
              </w:rPr>
              <w:t>已计提减值金额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7" w:right="0"/>
              <w:jc w:val="left"/>
              <w:rPr>
                <w:rFonts w:ascii="宋体" w:hAnsi="宋体" w:cs="宋体" w:eastAsia="宋体" w:hint="default"/>
                <w:sz w:val="18"/>
                <w:szCs w:val="18"/>
              </w:rPr>
            </w:pPr>
            <w:r>
              <w:rPr>
                <w:rFonts w:ascii="宋体" w:hAnsi="宋体" w:cs="宋体" w:eastAsia="宋体" w:hint="default"/>
                <w:sz w:val="18"/>
                <w:szCs w:val="18"/>
              </w:rPr>
              <w:t>未计提减值原因</w:t>
            </w:r>
          </w:p>
        </w:tc>
      </w:tr>
    </w:tbl>
    <w:p>
      <w:pPr>
        <w:pStyle w:val="BodyText"/>
        <w:spacing w:line="240" w:lineRule="auto" w:before="52"/>
        <w:ind w:right="0"/>
        <w:jc w:val="left"/>
      </w:pPr>
      <w:r>
        <w:rPr/>
        <w:t>其他说明</w:t>
      </w:r>
    </w:p>
    <w:p>
      <w:pPr>
        <w:spacing w:line="240" w:lineRule="auto" w:before="10"/>
        <w:rPr>
          <w:rFonts w:ascii="宋体" w:hAnsi="宋体" w:cs="宋体" w:eastAsia="宋体" w:hint="default"/>
          <w:sz w:val="26"/>
          <w:szCs w:val="26"/>
        </w:rPr>
      </w:pPr>
    </w:p>
    <w:p>
      <w:pPr>
        <w:pStyle w:val="Heading5"/>
        <w:spacing w:line="240" w:lineRule="auto"/>
        <w:ind w:right="0"/>
        <w:jc w:val="left"/>
        <w:rPr>
          <w:b w:val="0"/>
          <w:bCs w:val="0"/>
        </w:rPr>
      </w:pPr>
      <w:bookmarkStart w:name="15、持有至到期投资" w:id="271"/>
      <w:bookmarkEnd w:id="271"/>
      <w:r>
        <w:rPr>
          <w:b w:val="0"/>
          <w:bCs w:val="0"/>
        </w:rPr>
      </w:r>
      <w:r>
        <w:rPr>
          <w:rFonts w:ascii="Times New Roman" w:hAnsi="Times New Roman" w:cs="Times New Roman" w:eastAsia="Times New Roman" w:hint="default"/>
        </w:rPr>
        <w:t>15</w:t>
      </w:r>
      <w:r>
        <w:rPr/>
        <w:t>、持有至到期投资</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bookmarkStart w:name="（1）持有至到期投资情况" w:id="272"/>
      <w:bookmarkEnd w:id="272"/>
      <w:r>
        <w:rPr>
          <w:b w:val="0"/>
          <w:bCs w:val="0"/>
        </w:rPr>
      </w:r>
      <w:r>
        <w:rPr/>
        <w:t>（</w:t>
      </w:r>
      <w:r>
        <w:rPr>
          <w:rFonts w:ascii="Times New Roman" w:hAnsi="Times New Roman" w:cs="Times New Roman" w:eastAsia="Times New Roman" w:hint="default"/>
        </w:rPr>
        <w:t>1</w:t>
      </w:r>
      <w:r>
        <w:rPr/>
        <w:t>）持有至到期投资情况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bookmarkStart w:name="（2）期末重要的持有至到期投资" w:id="273"/>
      <w:bookmarkEnd w:id="273"/>
      <w:r>
        <w:rPr>
          <w:b w:val="0"/>
          <w:bCs w:val="0"/>
        </w:rPr>
      </w:r>
      <w:r>
        <w:rPr/>
        <w:t>（</w:t>
      </w:r>
      <w:r>
        <w:rPr>
          <w:rFonts w:ascii="Times New Roman" w:hAnsi="Times New Roman" w:cs="Times New Roman" w:eastAsia="Times New Roman" w:hint="default"/>
        </w:rPr>
        <w:t>2</w:t>
      </w:r>
      <w:r>
        <w:rPr/>
        <w:t>）期末重要的持有至到期投资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0" w:right="0"/>
              <w:jc w:val="left"/>
              <w:rPr>
                <w:rFonts w:ascii="宋体" w:hAnsi="宋体" w:cs="宋体" w:eastAsia="宋体" w:hint="default"/>
                <w:sz w:val="18"/>
                <w:szCs w:val="18"/>
              </w:rPr>
            </w:pPr>
            <w:r>
              <w:rPr>
                <w:rFonts w:ascii="宋体" w:hAnsi="宋体" w:cs="宋体" w:eastAsia="宋体" w:hint="default"/>
                <w:sz w:val="18"/>
                <w:szCs w:val="18"/>
              </w:rPr>
              <w:t>债券项目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面值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票面利率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实际利率</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到期日</w:t>
            </w:r>
          </w:p>
        </w:tc>
      </w:tr>
    </w:tbl>
    <w:p>
      <w:pPr>
        <w:spacing w:line="240" w:lineRule="auto" w:before="3"/>
        <w:rPr>
          <w:rFonts w:ascii="宋体" w:hAnsi="宋体" w:cs="宋体" w:eastAsia="宋体" w:hint="default"/>
          <w:sz w:val="19"/>
          <w:szCs w:val="19"/>
        </w:rPr>
      </w:pPr>
    </w:p>
    <w:p>
      <w:pPr>
        <w:pStyle w:val="Heading5"/>
        <w:spacing w:line="240" w:lineRule="auto" w:before="35"/>
        <w:ind w:right="0"/>
        <w:jc w:val="left"/>
        <w:rPr>
          <w:b w:val="0"/>
          <w:bCs w:val="0"/>
        </w:rPr>
      </w:pPr>
      <w:bookmarkStart w:name="（3）本期重分类的持有至到期投资" w:id="274"/>
      <w:bookmarkEnd w:id="274"/>
      <w:r>
        <w:rPr>
          <w:b w:val="0"/>
          <w:bCs w:val="0"/>
        </w:rPr>
      </w:r>
      <w:r>
        <w:rPr/>
        <w:t>（</w:t>
      </w:r>
      <w:r>
        <w:rPr>
          <w:rFonts w:ascii="Times New Roman" w:hAnsi="Times New Roman" w:cs="Times New Roman" w:eastAsia="Times New Roman" w:hint="default"/>
        </w:rPr>
        <w:t>3</w:t>
      </w:r>
      <w:r>
        <w:rPr/>
        <w:t>）本期重分类的持有至到期投资</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0"/>
        <w:jc w:val="left"/>
      </w:pPr>
      <w:r>
        <w:rPr/>
        <w:t>其他说明</w:t>
      </w:r>
    </w:p>
    <w:p>
      <w:pPr>
        <w:spacing w:after="0" w:line="240" w:lineRule="auto"/>
        <w:jc w:val="left"/>
        <w:sectPr>
          <w:pgSz w:w="11910" w:h="16840"/>
          <w:pgMar w:header="747" w:footer="979" w:top="1060" w:bottom="1160" w:left="980" w:right="980"/>
        </w:sectPr>
      </w:pPr>
    </w:p>
    <w:p>
      <w:pPr>
        <w:spacing w:line="240" w:lineRule="auto" w:before="9"/>
        <w:rPr>
          <w:rFonts w:ascii="宋体" w:hAnsi="宋体" w:cs="宋体" w:eastAsia="宋体" w:hint="default"/>
          <w:sz w:val="24"/>
          <w:szCs w:val="24"/>
        </w:rPr>
      </w:pPr>
    </w:p>
    <w:p>
      <w:pPr>
        <w:pStyle w:val="Heading5"/>
        <w:spacing w:line="240" w:lineRule="auto" w:before="35"/>
        <w:ind w:right="0"/>
        <w:jc w:val="left"/>
        <w:rPr>
          <w:b w:val="0"/>
          <w:bCs w:val="0"/>
        </w:rPr>
      </w:pPr>
      <w:bookmarkStart w:name="16、长期应收款" w:id="275"/>
      <w:bookmarkEnd w:id="275"/>
      <w:r>
        <w:rPr>
          <w:b w:val="0"/>
          <w:bCs w:val="0"/>
        </w:rPr>
      </w:r>
      <w:r>
        <w:rPr>
          <w:rFonts w:ascii="Times New Roman" w:hAnsi="Times New Roman" w:cs="Times New Roman" w:eastAsia="Times New Roman" w:hint="default"/>
        </w:rPr>
        <w:t>16</w:t>
      </w:r>
      <w:r>
        <w:rPr/>
        <w:t>、长期应收款</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bookmarkStart w:name="（1）长期应收款情况" w:id="276"/>
      <w:bookmarkEnd w:id="276"/>
      <w:r>
        <w:rPr>
          <w:b w:val="0"/>
          <w:bCs w:val="0"/>
        </w:rPr>
      </w:r>
      <w:r>
        <w:rPr/>
        <w:t>（</w:t>
      </w:r>
      <w:r>
        <w:rPr>
          <w:rFonts w:ascii="Times New Roman" w:hAnsi="Times New Roman" w:cs="Times New Roman" w:eastAsia="Times New Roman" w:hint="default"/>
        </w:rPr>
        <w:t>1</w:t>
      </w:r>
      <w:r>
        <w:rPr/>
        <w:t>）长期应收款情况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03"/>
        <w:gridCol w:w="1168"/>
        <w:gridCol w:w="1167"/>
        <w:gridCol w:w="1168"/>
        <w:gridCol w:w="1166"/>
        <w:gridCol w:w="1169"/>
        <w:gridCol w:w="1164"/>
        <w:gridCol w:w="1165"/>
      </w:tblGrid>
      <w:tr>
        <w:trPr>
          <w:trHeight w:val="402" w:hRule="exact"/>
        </w:trPr>
        <w:tc>
          <w:tcPr>
            <w:tcW w:w="140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50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1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28" w:right="0"/>
              <w:jc w:val="left"/>
              <w:rPr>
                <w:rFonts w:ascii="宋体" w:hAnsi="宋体" w:cs="宋体" w:eastAsia="宋体" w:hint="default"/>
                <w:sz w:val="18"/>
                <w:szCs w:val="18"/>
              </w:rPr>
            </w:pPr>
            <w:r>
              <w:rPr>
                <w:rFonts w:ascii="宋体" w:hAnsi="宋体" w:cs="宋体" w:eastAsia="宋体" w:hint="default"/>
                <w:sz w:val="18"/>
                <w:szCs w:val="18"/>
              </w:rPr>
              <w:t>折现率区间</w:t>
            </w:r>
          </w:p>
        </w:tc>
      </w:tr>
      <w:tr>
        <w:trPr>
          <w:trHeight w:val="402" w:hRule="exact"/>
        </w:trPr>
        <w:tc>
          <w:tcPr>
            <w:tcW w:w="1403" w:type="dxa"/>
            <w:vMerge/>
            <w:tcBorders>
              <w:left w:val="single" w:sz="4" w:space="0" w:color="000000"/>
              <w:bottom w:val="single" w:sz="4" w:space="0" w:color="000000"/>
              <w:right w:val="single" w:sz="4" w:space="0" w:color="000000"/>
            </w:tcBorders>
            <w:shd w:val="clear" w:color="auto" w:fill="D2D2D2"/>
          </w:tcPr>
          <w:p>
            <w:pPr/>
          </w:p>
        </w:tc>
        <w:tc>
          <w:tcPr>
            <w:tcW w:w="1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5" w:type="dxa"/>
            <w:vMerge/>
            <w:tcBorders>
              <w:left w:val="single" w:sz="4" w:space="0" w:color="000000"/>
              <w:bottom w:val="single" w:sz="4" w:space="0" w:color="000000"/>
              <w:right w:val="single" w:sz="4" w:space="0" w:color="000000"/>
            </w:tcBorders>
            <w:shd w:val="clear" w:color="auto" w:fill="D2D2D2"/>
          </w:tcPr>
          <w:p>
            <w:pPr/>
          </w:p>
        </w:tc>
      </w:tr>
    </w:tbl>
    <w:p>
      <w:pPr>
        <w:spacing w:line="240" w:lineRule="auto" w:before="3"/>
        <w:rPr>
          <w:rFonts w:ascii="宋体" w:hAnsi="宋体" w:cs="宋体" w:eastAsia="宋体" w:hint="default"/>
          <w:sz w:val="19"/>
          <w:szCs w:val="19"/>
        </w:rPr>
      </w:pPr>
    </w:p>
    <w:p>
      <w:pPr>
        <w:pStyle w:val="Heading5"/>
        <w:spacing w:line="240" w:lineRule="auto" w:before="35"/>
        <w:ind w:right="0"/>
        <w:jc w:val="left"/>
        <w:rPr>
          <w:b w:val="0"/>
          <w:bCs w:val="0"/>
        </w:rPr>
      </w:pPr>
      <w:bookmarkStart w:name="（2）因金融资产转移而终止确认的长期应收款" w:id="277"/>
      <w:bookmarkEnd w:id="277"/>
      <w:r>
        <w:rPr>
          <w:b w:val="0"/>
          <w:bCs w:val="0"/>
        </w:rPr>
      </w:r>
      <w:r>
        <w:rPr/>
        <w:t>（</w:t>
      </w:r>
      <w:r>
        <w:rPr>
          <w:rFonts w:ascii="Times New Roman" w:hAnsi="Times New Roman" w:cs="Times New Roman" w:eastAsia="Times New Roman" w:hint="default"/>
        </w:rPr>
        <w:t>2</w:t>
      </w:r>
      <w:r>
        <w:rPr/>
        <w:t>）因金融资产转移而终止确认的长期应收款</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bookmarkStart w:name="（3）转移长期应收款且继续涉入形成的资产、负债金额" w:id="278"/>
      <w:bookmarkEnd w:id="278"/>
      <w:r>
        <w:rPr>
          <w:b w:val="0"/>
          <w:bCs w:val="0"/>
        </w:rPr>
      </w:r>
      <w:r>
        <w:rPr/>
        <w:t>（</w:t>
      </w:r>
      <w:r>
        <w:rPr>
          <w:rFonts w:ascii="Times New Roman" w:hAnsi="Times New Roman" w:cs="Times New Roman" w:eastAsia="Times New Roman" w:hint="default"/>
        </w:rPr>
        <w:t>3</w:t>
      </w:r>
      <w:r>
        <w:rPr/>
        <w:t>）转移长期应收款且继续涉入形成的资产、负债金额</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0"/>
        <w:jc w:val="left"/>
      </w:pPr>
      <w:r>
        <w:rPr/>
        <w:t>其他说明</w:t>
      </w:r>
    </w:p>
    <w:p>
      <w:pPr>
        <w:spacing w:line="240" w:lineRule="auto" w:before="10"/>
        <w:rPr>
          <w:rFonts w:ascii="宋体" w:hAnsi="宋体" w:cs="宋体" w:eastAsia="宋体" w:hint="default"/>
          <w:sz w:val="26"/>
          <w:szCs w:val="26"/>
        </w:rPr>
      </w:pPr>
    </w:p>
    <w:p>
      <w:pPr>
        <w:pStyle w:val="Heading5"/>
        <w:spacing w:line="240" w:lineRule="auto"/>
        <w:ind w:right="0"/>
        <w:jc w:val="left"/>
        <w:rPr>
          <w:b w:val="0"/>
          <w:bCs w:val="0"/>
        </w:rPr>
      </w:pPr>
      <w:bookmarkStart w:name="17、长期股权投资" w:id="279"/>
      <w:bookmarkEnd w:id="279"/>
      <w:r>
        <w:rPr>
          <w:b w:val="0"/>
          <w:bCs w:val="0"/>
        </w:rPr>
      </w:r>
      <w:r>
        <w:rPr>
          <w:rFonts w:ascii="Times New Roman" w:hAnsi="Times New Roman" w:cs="Times New Roman" w:eastAsia="Times New Roman" w:hint="default"/>
        </w:rPr>
        <w:t>17</w:t>
      </w:r>
      <w:r>
        <w:rPr/>
        <w:t>、长期股权投资</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9" w:lineRule="auto"/>
              <w:ind w:left="302" w:right="33"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4"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9" w:lineRule="auto"/>
              <w:ind w:left="33" w:right="32"/>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5"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3"/>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2"/>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13" w:right="33"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bl>
    <w:p>
      <w:pPr>
        <w:pStyle w:val="BodyText"/>
        <w:spacing w:line="240" w:lineRule="auto" w:before="52"/>
        <w:ind w:right="0"/>
        <w:jc w:val="left"/>
      </w:pPr>
      <w:r>
        <w:rPr/>
        <w:t>其他说明</w:t>
      </w:r>
    </w:p>
    <w:p>
      <w:pPr>
        <w:spacing w:line="240" w:lineRule="auto" w:before="10"/>
        <w:rPr>
          <w:rFonts w:ascii="宋体" w:hAnsi="宋体" w:cs="宋体" w:eastAsia="宋体" w:hint="default"/>
          <w:sz w:val="26"/>
          <w:szCs w:val="26"/>
        </w:rPr>
      </w:pPr>
    </w:p>
    <w:p>
      <w:pPr>
        <w:pStyle w:val="Heading5"/>
        <w:spacing w:line="240" w:lineRule="auto"/>
        <w:ind w:right="0"/>
        <w:jc w:val="left"/>
        <w:rPr>
          <w:b w:val="0"/>
          <w:bCs w:val="0"/>
        </w:rPr>
      </w:pPr>
      <w:bookmarkStart w:name="18、投资性房地产" w:id="280"/>
      <w:bookmarkEnd w:id="280"/>
      <w:r>
        <w:rPr>
          <w:b w:val="0"/>
          <w:bCs w:val="0"/>
        </w:rPr>
      </w:r>
      <w:r>
        <w:rPr>
          <w:rFonts w:ascii="Times New Roman" w:hAnsi="Times New Roman" w:cs="Times New Roman" w:eastAsia="Times New Roman" w:hint="default"/>
        </w:rPr>
        <w:t>18</w:t>
      </w:r>
      <w:r>
        <w:rPr/>
        <w:t>、投资性房地产</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bookmarkStart w:name="（1）采用成本计量模式的投资性房地产" w:id="281"/>
      <w:bookmarkEnd w:id="281"/>
      <w:r>
        <w:rPr>
          <w:b w:val="0"/>
          <w:bCs w:val="0"/>
        </w:rPr>
      </w:r>
      <w:r>
        <w:rPr/>
        <w:t>（</w:t>
      </w:r>
      <w:r>
        <w:rPr>
          <w:rFonts w:ascii="Times New Roman" w:hAnsi="Times New Roman" w:cs="Times New Roman" w:eastAsia="Times New Roman" w:hint="default"/>
        </w:rPr>
        <w:t>1</w:t>
      </w:r>
      <w:r>
        <w:rPr/>
        <w:t>）采用成本计量模式的投资性房地产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right="0"/>
        <w:jc w:val="left"/>
      </w:pPr>
      <w:r>
        <w:rPr/>
        <w:t>√ 适用 □ 不适用</w:t>
      </w:r>
    </w:p>
    <w:p>
      <w:pPr>
        <w:pStyle w:val="BodyText"/>
        <w:spacing w:line="240" w:lineRule="auto" w:before="117"/>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25"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939" w:right="0"/>
              <w:jc w:val="left"/>
              <w:rPr>
                <w:rFonts w:ascii="Times New Roman" w:hAnsi="Times New Roman" w:cs="Times New Roman" w:eastAsia="Times New Roman" w:hint="default"/>
                <w:sz w:val="18"/>
                <w:szCs w:val="18"/>
              </w:rPr>
            </w:pPr>
            <w:r>
              <w:rPr>
                <w:rFonts w:ascii="Times New Roman"/>
                <w:sz w:val="18"/>
              </w:rPr>
              <w:t>4,295,578.53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70" w:right="0"/>
              <w:jc w:val="left"/>
              <w:rPr>
                <w:rFonts w:ascii="Times New Roman" w:hAnsi="Times New Roman" w:cs="Times New Roman" w:eastAsia="Times New Roman" w:hint="default"/>
                <w:sz w:val="18"/>
                <w:szCs w:val="18"/>
              </w:rPr>
            </w:pPr>
            <w:r>
              <w:rPr>
                <w:rFonts w:ascii="Times New Roman"/>
                <w:sz w:val="18"/>
              </w:rPr>
              <w:t>729,594.77</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5" w:right="0"/>
              <w:jc w:val="left"/>
              <w:rPr>
                <w:rFonts w:ascii="Times New Roman" w:hAnsi="Times New Roman" w:cs="Times New Roman" w:eastAsia="Times New Roman" w:hint="default"/>
                <w:sz w:val="18"/>
                <w:szCs w:val="18"/>
              </w:rPr>
            </w:pPr>
            <w:r>
              <w:rPr>
                <w:rFonts w:ascii="Times New Roman"/>
                <w:sz w:val="18"/>
              </w:rPr>
              <w:t>5,025,173.30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）外购</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9" w:right="0"/>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）存货</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固定资产</w:t>
            </w:r>
          </w:p>
          <w:p>
            <w:pPr>
              <w:pStyle w:val="TableParagraph"/>
              <w:spacing w:line="240" w:lineRule="auto" w:before="64"/>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在建工程转入</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54" w:right="0"/>
              <w:jc w:val="left"/>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）企业合并增加</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tcPr>
          <w:p>
            <w:pPr/>
          </w:p>
        </w:tc>
        <w:tc>
          <w:tcPr>
            <w:tcW w:w="1928"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4,295,578.53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729,594.77</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5,025,173.30</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二、累计折旧和累计摊 销</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995,118.76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65,918.20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1,061,036.96</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211,928.56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17,977.69</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229,906.25</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）计提或摊销</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211,928.56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17,977.69</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229,906.25</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1,207,047.32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83,895.89</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1,290,943.21</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7"/>
              <w:jc w:val="righ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3,088,531.21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645,698.88</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3,734,230.09</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3,300,459.77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663,676.57</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3,964,136.34</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bookmarkStart w:name="（2）采用公允价值计量模式的投资性房地产" w:id="282"/>
      <w:bookmarkEnd w:id="282"/>
      <w:r>
        <w:rPr>
          <w:b w:val="0"/>
          <w:bCs w:val="0"/>
        </w:rPr>
      </w:r>
      <w:r>
        <w:rPr/>
        <w:t>（</w:t>
      </w:r>
      <w:r>
        <w:rPr>
          <w:rFonts w:ascii="Times New Roman" w:hAnsi="Times New Roman" w:cs="Times New Roman" w:eastAsia="Times New Roman" w:hint="default"/>
        </w:rPr>
        <w:t>2</w:t>
      </w:r>
      <w:r>
        <w:rPr/>
        <w:t>）采用公允价值计量模式的投资性房地产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0"/>
        <w:jc w:val="left"/>
      </w:pPr>
      <w:r>
        <w:rPr/>
        <w:t>□ 适用 √ 不适用</w:t>
      </w:r>
    </w:p>
    <w:p>
      <w:pPr>
        <w:spacing w:after="0" w:line="240" w:lineRule="auto"/>
        <w:jc w:val="left"/>
        <w:sectPr>
          <w:pgSz w:w="11910" w:h="16840"/>
          <w:pgMar w:header="747" w:footer="979" w:top="1060" w:bottom="1160" w:left="980" w:right="980"/>
        </w:sectPr>
      </w:pPr>
    </w:p>
    <w:p>
      <w:pPr>
        <w:spacing w:line="240" w:lineRule="auto" w:before="9"/>
        <w:rPr>
          <w:rFonts w:ascii="宋体" w:hAnsi="宋体" w:cs="宋体" w:eastAsia="宋体" w:hint="default"/>
          <w:sz w:val="24"/>
          <w:szCs w:val="24"/>
        </w:rPr>
      </w:pPr>
    </w:p>
    <w:p>
      <w:pPr>
        <w:pStyle w:val="Heading5"/>
        <w:spacing w:line="240" w:lineRule="auto" w:before="35"/>
        <w:ind w:right="0"/>
        <w:jc w:val="left"/>
        <w:rPr>
          <w:b w:val="0"/>
          <w:bCs w:val="0"/>
        </w:rPr>
      </w:pPr>
      <w:bookmarkStart w:name="（3）未办妥产权证书的投资性房地产情况" w:id="283"/>
      <w:bookmarkEnd w:id="283"/>
      <w:r>
        <w:rPr>
          <w:b w:val="0"/>
          <w:bCs w:val="0"/>
        </w:rPr>
      </w:r>
      <w:r>
        <w:rPr/>
        <w:t>（</w:t>
      </w:r>
      <w:r>
        <w:rPr>
          <w:rFonts w:ascii="Times New Roman" w:hAnsi="Times New Roman" w:cs="Times New Roman" w:eastAsia="Times New Roman" w:hint="default"/>
        </w:rPr>
        <w:t>3</w:t>
      </w:r>
      <w:r>
        <w:rPr/>
        <w:t>）未办妥产权证书的投资性房地产情况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8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80" w:right="0"/>
              <w:jc w:val="left"/>
              <w:rPr>
                <w:rFonts w:ascii="宋体" w:hAnsi="宋体" w:cs="宋体" w:eastAsia="宋体" w:hint="default"/>
                <w:sz w:val="18"/>
                <w:szCs w:val="18"/>
              </w:rPr>
            </w:pPr>
            <w:r>
              <w:rPr>
                <w:rFonts w:ascii="宋体" w:hAnsi="宋体" w:cs="宋体" w:eastAsia="宋体" w:hint="default"/>
                <w:sz w:val="18"/>
                <w:szCs w:val="18"/>
              </w:rPr>
              <w:t>未办妥产权证书原因</w:t>
            </w:r>
          </w:p>
        </w:tc>
      </w:tr>
    </w:tbl>
    <w:p>
      <w:pPr>
        <w:pStyle w:val="BodyText"/>
        <w:spacing w:line="240" w:lineRule="auto" w:before="52"/>
        <w:ind w:right="0"/>
        <w:jc w:val="left"/>
      </w:pPr>
      <w:r>
        <w:rPr/>
        <w:t>其他说明</w:t>
      </w:r>
    </w:p>
    <w:p>
      <w:pPr>
        <w:spacing w:line="240" w:lineRule="auto" w:before="10"/>
        <w:rPr>
          <w:rFonts w:ascii="宋体" w:hAnsi="宋体" w:cs="宋体" w:eastAsia="宋体" w:hint="default"/>
          <w:sz w:val="26"/>
          <w:szCs w:val="26"/>
        </w:rPr>
      </w:pPr>
    </w:p>
    <w:p>
      <w:pPr>
        <w:pStyle w:val="Heading5"/>
        <w:spacing w:line="240" w:lineRule="auto"/>
        <w:ind w:right="0"/>
        <w:jc w:val="left"/>
        <w:rPr>
          <w:b w:val="0"/>
          <w:bCs w:val="0"/>
        </w:rPr>
      </w:pPr>
      <w:bookmarkStart w:name="19、固定资产" w:id="284"/>
      <w:bookmarkEnd w:id="284"/>
      <w:r>
        <w:rPr>
          <w:b w:val="0"/>
          <w:bCs w:val="0"/>
        </w:rPr>
      </w:r>
      <w:r>
        <w:rPr>
          <w:rFonts w:ascii="Times New Roman" w:hAnsi="Times New Roman" w:cs="Times New Roman" w:eastAsia="Times New Roman" w:hint="default"/>
        </w:rPr>
        <w:t>19</w:t>
      </w:r>
      <w:r>
        <w:rPr/>
        <w:t>、固定资产</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bookmarkStart w:name="（1）固定资产情况" w:id="285"/>
      <w:bookmarkEnd w:id="285"/>
      <w:r>
        <w:rPr>
          <w:b w:val="0"/>
          <w:bCs w:val="0"/>
        </w:rPr>
      </w:r>
      <w:r>
        <w:rPr/>
        <w:t>（</w:t>
      </w:r>
      <w:r>
        <w:rPr>
          <w:rFonts w:ascii="Times New Roman" w:hAnsi="Times New Roman" w:cs="Times New Roman" w:eastAsia="Times New Roman" w:hint="default"/>
        </w:rPr>
        <w:t>1</w:t>
      </w:r>
      <w:r>
        <w:rPr/>
        <w:t>）固定资产情况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83"/>
        <w:gridCol w:w="1606"/>
        <w:gridCol w:w="1594"/>
        <w:gridCol w:w="1594"/>
        <w:gridCol w:w="1595"/>
        <w:gridCol w:w="1594"/>
      </w:tblGrid>
      <w:tr>
        <w:trPr>
          <w:trHeight w:val="402" w:hRule="exact"/>
        </w:trPr>
        <w:tc>
          <w:tcPr>
            <w:tcW w:w="1583" w:type="dxa"/>
            <w:tcBorders>
              <w:top w:val="single" w:sz="4" w:space="0" w:color="000000"/>
              <w:left w:val="single" w:sz="4" w:space="0" w:color="000000"/>
              <w:bottom w:val="single" w:sz="4" w:space="0" w:color="000000"/>
              <w:right w:val="single" w:sz="13" w:space="0" w:color="E0FFFF"/>
            </w:tcBorders>
            <w:shd w:val="clear" w:color="auto" w:fill="D2D2D2"/>
          </w:tcPr>
          <w:p>
            <w:pPr>
              <w:pStyle w:val="TableParagraph"/>
              <w:spacing w:line="240" w:lineRule="auto" w:before="51"/>
              <w:ind w:left="23"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6" w:type="dxa"/>
            <w:tcBorders>
              <w:top w:val="single" w:sz="4" w:space="0" w:color="000000"/>
              <w:left w:val="single" w:sz="9" w:space="0" w:color="D2D2D2"/>
              <w:bottom w:val="single" w:sz="4" w:space="0" w:color="000000"/>
              <w:right w:val="single" w:sz="4" w:space="0" w:color="000000"/>
            </w:tcBorders>
            <w:shd w:val="clear" w:color="auto" w:fill="E0FFFF"/>
          </w:tcPr>
          <w:p>
            <w:pPr>
              <w:pStyle w:val="TableParagraph"/>
              <w:spacing w:line="240" w:lineRule="auto" w:before="51"/>
              <w:ind w:left="258"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通用设备</w:t>
            </w:r>
          </w:p>
        </w:tc>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专用设备</w:t>
            </w:r>
          </w:p>
        </w:tc>
        <w:tc>
          <w:tcPr>
            <w:tcW w:w="1595" w:type="dxa"/>
            <w:tcBorders>
              <w:top w:val="single" w:sz="4" w:space="0" w:color="000000"/>
              <w:left w:val="single" w:sz="4" w:space="0" w:color="000000"/>
              <w:bottom w:val="single" w:sz="4" w:space="0" w:color="000000"/>
              <w:right w:val="single" w:sz="9" w:space="0" w:color="D2D2D2"/>
            </w:tcBorders>
            <w:shd w:val="clear" w:color="auto" w:fill="E0FFFF"/>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45,194,471.84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2,495,959.05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52,874,088.73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2,359,419.71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102,923,939.33</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本期增加金额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2,028,029.32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3,466,216.56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3,820,678.35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9,314,924.23</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103,184.88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414,786.31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2,311,408.55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2,829,379.74</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7"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）在建工程 转入</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43,382.05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28,205.13</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71,587.18</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7"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 增加</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1,881,462.39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3,023,225.12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1,509,269.80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6,413,957.31</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本期减少金额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废</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45,194,471.84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4,523,988.37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56,340,305.29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6,180,098.06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112,238,863.56</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11,067,438.47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2,117,737.87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18,800,510.74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1,032,670.26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33,018,357.34</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本期增加金额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2,474,914.48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1,659,868.49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6,336,142.66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1,897,840.86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12,368,766.49</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2,474,914.48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215,614.25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4,725,891.27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762,525.34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8,178,945.34</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74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企业合</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并增加</w:t>
            </w: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1,444,254.24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1,610,251.39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1,135,315.52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4,189,821.15</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本期减少金额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废</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13,542,352.95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3,777,606.36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25,136,653.40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2,930,511.12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45,387,123.83</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83"/>
        <w:gridCol w:w="1606"/>
        <w:gridCol w:w="1594"/>
        <w:gridCol w:w="1594"/>
        <w:gridCol w:w="1595"/>
        <w:gridCol w:w="1594"/>
      </w:tblGrid>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本期增加金额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本期减少金额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废</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期末账面价值</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31,652,118.89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746,382.01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31,203,651.89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3,249,586.94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66,851,739.73</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期初账面价值</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34,127,033.37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378,221.18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34,073,577.99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1,326,749.45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69,905,581.99</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bookmarkStart w:name="（2）暂时闲置的固定资产情况" w:id="286"/>
      <w:bookmarkEnd w:id="286"/>
      <w:r>
        <w:rPr>
          <w:b w:val="0"/>
          <w:bCs w:val="0"/>
        </w:rPr>
      </w:r>
      <w:r>
        <w:rPr/>
        <w:t>（</w:t>
      </w:r>
      <w:r>
        <w:rPr>
          <w:rFonts w:ascii="Times New Roman" w:hAnsi="Times New Roman" w:cs="Times New Roman" w:eastAsia="Times New Roman" w:hint="default"/>
        </w:rPr>
        <w:t>2</w:t>
      </w:r>
      <w:r>
        <w:rPr/>
        <w:t>）暂时闲置的固定资产情况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402"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备注</w:t>
            </w:r>
          </w:p>
        </w:tc>
      </w:tr>
    </w:tbl>
    <w:p>
      <w:pPr>
        <w:spacing w:line="240" w:lineRule="auto" w:before="3"/>
        <w:rPr>
          <w:rFonts w:ascii="宋体" w:hAnsi="宋体" w:cs="宋体" w:eastAsia="宋体" w:hint="default"/>
          <w:sz w:val="19"/>
          <w:szCs w:val="19"/>
        </w:rPr>
      </w:pPr>
    </w:p>
    <w:p>
      <w:pPr>
        <w:pStyle w:val="Heading5"/>
        <w:spacing w:line="240" w:lineRule="auto" w:before="35"/>
        <w:ind w:right="0"/>
        <w:jc w:val="left"/>
        <w:rPr>
          <w:b w:val="0"/>
          <w:bCs w:val="0"/>
        </w:rPr>
      </w:pPr>
      <w:bookmarkStart w:name="（3）通过融资租赁租入的固定资产情况" w:id="287"/>
      <w:bookmarkEnd w:id="287"/>
      <w:r>
        <w:rPr>
          <w:b w:val="0"/>
          <w:bCs w:val="0"/>
        </w:rPr>
      </w:r>
      <w:r>
        <w:rPr/>
        <w:t>（</w:t>
      </w:r>
      <w:r>
        <w:rPr>
          <w:rFonts w:ascii="Times New Roman" w:hAnsi="Times New Roman" w:cs="Times New Roman" w:eastAsia="Times New Roman" w:hint="default"/>
        </w:rPr>
        <w:t>3</w:t>
      </w:r>
      <w:r>
        <w:rPr/>
        <w:t>）通过融资租赁租入的固定资产情况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3"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240" w:lineRule="auto" w:before="3"/>
        <w:rPr>
          <w:rFonts w:ascii="宋体" w:hAnsi="宋体" w:cs="宋体" w:eastAsia="宋体" w:hint="default"/>
          <w:sz w:val="19"/>
          <w:szCs w:val="19"/>
        </w:rPr>
      </w:pPr>
    </w:p>
    <w:p>
      <w:pPr>
        <w:pStyle w:val="Heading5"/>
        <w:spacing w:line="240" w:lineRule="auto" w:before="35"/>
        <w:ind w:right="0"/>
        <w:jc w:val="left"/>
        <w:rPr>
          <w:b w:val="0"/>
          <w:bCs w:val="0"/>
        </w:rPr>
      </w:pPr>
      <w:bookmarkStart w:name="（4）通过经营租赁租出的固定资产" w:id="288"/>
      <w:bookmarkEnd w:id="288"/>
      <w:r>
        <w:rPr>
          <w:b w:val="0"/>
          <w:bCs w:val="0"/>
        </w:rPr>
      </w:r>
      <w:r>
        <w:rPr/>
        <w:t>（</w:t>
      </w:r>
      <w:r>
        <w:rPr>
          <w:rFonts w:ascii="Times New Roman" w:hAnsi="Times New Roman" w:cs="Times New Roman" w:eastAsia="Times New Roman" w:hint="default"/>
        </w:rPr>
        <w:t>4</w:t>
      </w:r>
      <w:r>
        <w:rPr/>
        <w:t>）通过经营租赁租出的固定资产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0"/>
        <w:gridCol w:w="4788"/>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期末账面价值</w:t>
            </w:r>
          </w:p>
        </w:tc>
      </w:tr>
    </w:tbl>
    <w:p>
      <w:pPr>
        <w:spacing w:line="240" w:lineRule="auto" w:before="3"/>
        <w:rPr>
          <w:rFonts w:ascii="宋体" w:hAnsi="宋体" w:cs="宋体" w:eastAsia="宋体" w:hint="default"/>
          <w:sz w:val="19"/>
          <w:szCs w:val="19"/>
        </w:rPr>
      </w:pPr>
    </w:p>
    <w:p>
      <w:pPr>
        <w:pStyle w:val="Heading5"/>
        <w:spacing w:line="240" w:lineRule="auto" w:before="35"/>
        <w:ind w:right="0"/>
        <w:jc w:val="left"/>
        <w:rPr>
          <w:b w:val="0"/>
          <w:bCs w:val="0"/>
        </w:rPr>
      </w:pPr>
      <w:bookmarkStart w:name="（5）未办妥产权证书的固定资产情况" w:id="289"/>
      <w:bookmarkEnd w:id="289"/>
      <w:r>
        <w:rPr>
          <w:b w:val="0"/>
          <w:bCs w:val="0"/>
        </w:rPr>
      </w:r>
      <w:r>
        <w:rPr/>
        <w:t>（</w:t>
      </w:r>
      <w:r>
        <w:rPr>
          <w:rFonts w:ascii="Times New Roman" w:hAnsi="Times New Roman" w:cs="Times New Roman" w:eastAsia="Times New Roman" w:hint="default"/>
        </w:rPr>
        <w:t>5</w:t>
      </w:r>
      <w:r>
        <w:rPr/>
        <w:t>）未办妥产权证书的固定资产情况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9"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bl>
    <w:p>
      <w:pPr>
        <w:pStyle w:val="BodyText"/>
        <w:spacing w:line="240" w:lineRule="auto" w:before="51"/>
        <w:ind w:right="0"/>
        <w:jc w:val="left"/>
      </w:pPr>
      <w:r>
        <w:rPr/>
        <w:t>其他说明</w:t>
      </w:r>
    </w:p>
    <w:p>
      <w:pPr>
        <w:spacing w:after="0" w:line="240" w:lineRule="auto"/>
        <w:jc w:val="left"/>
        <w:sectPr>
          <w:pgSz w:w="11910" w:h="16840"/>
          <w:pgMar w:header="747" w:footer="979" w:top="1060" w:bottom="1160" w:left="980" w:right="980"/>
        </w:sectPr>
      </w:pPr>
    </w:p>
    <w:p>
      <w:pPr>
        <w:spacing w:line="240" w:lineRule="auto" w:before="9"/>
        <w:rPr>
          <w:rFonts w:ascii="宋体" w:hAnsi="宋体" w:cs="宋体" w:eastAsia="宋体" w:hint="default"/>
          <w:sz w:val="24"/>
          <w:szCs w:val="24"/>
        </w:rPr>
      </w:pPr>
    </w:p>
    <w:p>
      <w:pPr>
        <w:pStyle w:val="Heading5"/>
        <w:spacing w:line="240" w:lineRule="auto" w:before="35"/>
        <w:ind w:right="0"/>
        <w:jc w:val="left"/>
        <w:rPr>
          <w:b w:val="0"/>
          <w:bCs w:val="0"/>
        </w:rPr>
      </w:pPr>
      <w:bookmarkStart w:name="20、在建工程" w:id="290"/>
      <w:bookmarkEnd w:id="290"/>
      <w:r>
        <w:rPr>
          <w:b w:val="0"/>
          <w:bCs w:val="0"/>
        </w:rPr>
      </w:r>
      <w:r>
        <w:rPr>
          <w:rFonts w:ascii="Times New Roman" w:hAnsi="Times New Roman" w:cs="Times New Roman" w:eastAsia="Times New Roman" w:hint="default"/>
        </w:rPr>
        <w:t>20</w:t>
      </w:r>
      <w:r>
        <w:rPr/>
        <w:t>、在建工程</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bookmarkStart w:name="（1）在建工程情况" w:id="291"/>
      <w:bookmarkEnd w:id="291"/>
      <w:r>
        <w:rPr>
          <w:b w:val="0"/>
          <w:bCs w:val="0"/>
        </w:rPr>
      </w:r>
      <w:r>
        <w:rPr/>
        <w:t>（</w:t>
      </w:r>
      <w:r>
        <w:rPr>
          <w:rFonts w:ascii="Times New Roman" w:hAnsi="Times New Roman" w:cs="Times New Roman" w:eastAsia="Times New Roman" w:hint="default"/>
        </w:rPr>
        <w:t>1</w:t>
      </w:r>
      <w:r>
        <w:rPr/>
        <w:t>）在建工程情况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在安装设备</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23,707,017.99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23,707,017.99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3,018,147.07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3,018,147.07</w:t>
            </w:r>
          </w:p>
        </w:tc>
      </w:tr>
      <w:tr>
        <w:trPr>
          <w:trHeight w:val="1026"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2"/>
              <w:ind w:left="22" w:right="29"/>
              <w:jc w:val="both"/>
              <w:rPr>
                <w:rFonts w:ascii="宋体" w:hAnsi="宋体" w:cs="宋体" w:eastAsia="宋体" w:hint="default"/>
                <w:sz w:val="18"/>
                <w:szCs w:val="18"/>
              </w:rPr>
            </w:pPr>
            <w:r>
              <w:rPr>
                <w:rFonts w:ascii="宋体" w:hAnsi="宋体" w:cs="宋体" w:eastAsia="宋体" w:hint="default"/>
                <w:sz w:val="18"/>
                <w:szCs w:val="18"/>
              </w:rPr>
              <w:t>年产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25,000 </w:t>
            </w:r>
            <w:r>
              <w:rPr>
                <w:rFonts w:ascii="宋体" w:hAnsi="宋体" w:cs="宋体" w:eastAsia="宋体" w:hint="default"/>
                <w:sz w:val="18"/>
                <w:szCs w:val="18"/>
              </w:rPr>
              <w:t>吨塑 料电缆料颗粒项 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78,544,781.41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78,544,781.41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39,483,254.40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39,483,254.40</w:t>
            </w:r>
          </w:p>
        </w:tc>
      </w:tr>
      <w:tr>
        <w:trPr>
          <w:trHeight w:val="1026"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2"/>
              <w:ind w:left="22" w:right="29"/>
              <w:jc w:val="both"/>
              <w:rPr>
                <w:rFonts w:ascii="宋体" w:hAnsi="宋体" w:cs="宋体" w:eastAsia="宋体" w:hint="default"/>
                <w:sz w:val="18"/>
                <w:szCs w:val="18"/>
              </w:rPr>
            </w:pPr>
            <w:r>
              <w:rPr>
                <w:rFonts w:ascii="宋体" w:hAnsi="宋体" w:cs="宋体" w:eastAsia="宋体" w:hint="default"/>
                <w:sz w:val="18"/>
                <w:szCs w:val="18"/>
              </w:rPr>
              <w:t>年产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10,000 </w:t>
            </w:r>
            <w:r>
              <w:rPr>
                <w:rFonts w:ascii="宋体" w:hAnsi="宋体" w:cs="宋体" w:eastAsia="宋体" w:hint="default"/>
                <w:sz w:val="18"/>
                <w:szCs w:val="18"/>
              </w:rPr>
              <w:t>吨塑 料电缆料颗粒项 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65,360,133.61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65,360,133.61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33,671,936.47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33,671,936.47</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167,611,933.01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167,611,933.01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76,173,337.94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76,173,337.94</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bookmarkStart w:name="（2）重要在建工程项目本期变动情况" w:id="292"/>
      <w:bookmarkEnd w:id="292"/>
      <w:r>
        <w:rPr>
          <w:b w:val="0"/>
          <w:bCs w:val="0"/>
        </w:rPr>
      </w:r>
      <w:r>
        <w:rPr/>
        <w:t>（</w:t>
      </w:r>
      <w:r>
        <w:rPr>
          <w:rFonts w:ascii="Times New Roman" w:hAnsi="Times New Roman" w:cs="Times New Roman" w:eastAsia="Times New Roman" w:hint="default"/>
        </w:rPr>
        <w:t>2</w:t>
      </w:r>
      <w:r>
        <w:rPr/>
        <w:t>）重要在建工程项目本期变动情况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32"/>
        <w:gridCol w:w="736"/>
        <w:gridCol w:w="737"/>
        <w:gridCol w:w="736"/>
        <w:gridCol w:w="736"/>
        <w:gridCol w:w="737"/>
        <w:gridCol w:w="736"/>
        <w:gridCol w:w="736"/>
        <w:gridCol w:w="737"/>
        <w:gridCol w:w="736"/>
        <w:gridCol w:w="736"/>
        <w:gridCol w:w="737"/>
        <w:gridCol w:w="736"/>
      </w:tblGrid>
      <w:tr>
        <w:trPr>
          <w:trHeight w:val="1338"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70" w:right="90" w:hanging="180"/>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92"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73" w:right="91"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92" w:right="91"/>
              <w:jc w:val="left"/>
              <w:rPr>
                <w:rFonts w:ascii="宋体" w:hAnsi="宋体" w:cs="宋体" w:eastAsia="宋体" w:hint="default"/>
                <w:sz w:val="18"/>
                <w:szCs w:val="18"/>
              </w:rPr>
            </w:pPr>
            <w:r>
              <w:rPr>
                <w:rFonts w:ascii="宋体" w:hAnsi="宋体" w:cs="宋体" w:eastAsia="宋体" w:hint="default"/>
                <w:sz w:val="18"/>
                <w:szCs w:val="18"/>
              </w:rPr>
              <w:t>本期增 加金额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92" w:right="91"/>
              <w:jc w:val="center"/>
              <w:rPr>
                <w:rFonts w:ascii="宋体" w:hAnsi="宋体" w:cs="宋体" w:eastAsia="宋体" w:hint="default"/>
                <w:sz w:val="18"/>
                <w:szCs w:val="18"/>
              </w:rPr>
            </w:pPr>
            <w:r>
              <w:rPr>
                <w:rFonts w:ascii="宋体" w:hAnsi="宋体" w:cs="宋体" w:eastAsia="宋体" w:hint="default"/>
                <w:sz w:val="18"/>
                <w:szCs w:val="18"/>
              </w:rPr>
              <w:t>本期转 入固定 资产金 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9" w:lineRule="auto"/>
              <w:ind w:left="93" w:right="91"/>
              <w:jc w:val="both"/>
              <w:rPr>
                <w:rFonts w:ascii="宋体" w:hAnsi="宋体" w:cs="宋体" w:eastAsia="宋体" w:hint="default"/>
                <w:sz w:val="18"/>
                <w:szCs w:val="18"/>
              </w:rPr>
            </w:pPr>
            <w:r>
              <w:rPr>
                <w:rFonts w:ascii="宋体" w:hAnsi="宋体" w:cs="宋体" w:eastAsia="宋体" w:hint="default"/>
                <w:sz w:val="18"/>
                <w:szCs w:val="18"/>
              </w:rPr>
              <w:t>本期其 他减少 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72" w:right="91" w:hanging="180"/>
              <w:jc w:val="left"/>
              <w:rPr>
                <w:rFonts w:ascii="宋体" w:hAnsi="宋体" w:cs="宋体" w:eastAsia="宋体" w:hint="default"/>
                <w:sz w:val="18"/>
                <w:szCs w:val="18"/>
              </w:rPr>
            </w:pPr>
            <w:r>
              <w:rPr>
                <w:rFonts w:ascii="宋体" w:hAnsi="宋体" w:cs="宋体" w:eastAsia="宋体" w:hint="default"/>
                <w:sz w:val="18"/>
                <w:szCs w:val="18"/>
              </w:rPr>
              <w:t>期末余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92" w:right="91"/>
              <w:jc w:val="both"/>
              <w:rPr>
                <w:rFonts w:ascii="宋体" w:hAnsi="宋体" w:cs="宋体" w:eastAsia="宋体" w:hint="default"/>
                <w:sz w:val="18"/>
                <w:szCs w:val="18"/>
              </w:rPr>
            </w:pPr>
            <w:r>
              <w:rPr>
                <w:rFonts w:ascii="宋体" w:hAnsi="宋体" w:cs="宋体" w:eastAsia="宋体" w:hint="default"/>
                <w:sz w:val="18"/>
                <w:szCs w:val="18"/>
              </w:rPr>
              <w:t>工程累 计投入 占预算 比例</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73" w:right="91"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9" w:lineRule="auto"/>
              <w:ind w:left="92" w:right="93"/>
              <w:jc w:val="both"/>
              <w:rPr>
                <w:rFonts w:ascii="宋体" w:hAnsi="宋体" w:cs="宋体" w:eastAsia="宋体" w:hint="default"/>
                <w:sz w:val="18"/>
                <w:szCs w:val="18"/>
              </w:rPr>
            </w:pPr>
            <w:r>
              <w:rPr>
                <w:rFonts w:ascii="宋体" w:hAnsi="宋体" w:cs="宋体" w:eastAsia="宋体" w:hint="default"/>
                <w:sz w:val="18"/>
                <w:szCs w:val="18"/>
              </w:rPr>
              <w:t>利息资 本化累 计金额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22" w:right="20"/>
              <w:jc w:val="center"/>
              <w:rPr>
                <w:rFonts w:ascii="宋体" w:hAnsi="宋体" w:cs="宋体" w:eastAsia="宋体" w:hint="default"/>
                <w:sz w:val="18"/>
                <w:szCs w:val="18"/>
              </w:rPr>
            </w:pPr>
            <w:r>
              <w:rPr>
                <w:rFonts w:ascii="宋体" w:hAnsi="宋体" w:cs="宋体" w:eastAsia="宋体" w:hint="default"/>
                <w:spacing w:val="-10"/>
                <w:sz w:val="18"/>
                <w:szCs w:val="18"/>
              </w:rPr>
              <w:t>其中：本</w:t>
            </w:r>
            <w:r>
              <w:rPr>
                <w:rFonts w:ascii="宋体" w:hAnsi="宋体" w:cs="宋体" w:eastAsia="宋体" w:hint="default"/>
                <w:sz w:val="18"/>
                <w:szCs w:val="18"/>
              </w:rPr>
              <w:t> 期利息 资本化 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9" w:lineRule="auto"/>
              <w:ind w:left="93" w:right="91"/>
              <w:jc w:val="both"/>
              <w:rPr>
                <w:rFonts w:ascii="宋体" w:hAnsi="宋体" w:cs="宋体" w:eastAsia="宋体" w:hint="default"/>
                <w:sz w:val="18"/>
                <w:szCs w:val="18"/>
              </w:rPr>
            </w:pPr>
            <w:r>
              <w:rPr>
                <w:rFonts w:ascii="宋体" w:hAnsi="宋体" w:cs="宋体" w:eastAsia="宋体" w:hint="default"/>
                <w:sz w:val="18"/>
                <w:szCs w:val="18"/>
              </w:rPr>
              <w:t>本期利 息资本 化率</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72" w:right="91" w:hanging="180"/>
              <w:jc w:val="left"/>
              <w:rPr>
                <w:rFonts w:ascii="宋体" w:hAnsi="宋体" w:cs="宋体" w:eastAsia="宋体" w:hint="default"/>
                <w:sz w:val="18"/>
                <w:szCs w:val="18"/>
              </w:rPr>
            </w:pPr>
            <w:r>
              <w:rPr>
                <w:rFonts w:ascii="宋体" w:hAnsi="宋体" w:cs="宋体" w:eastAsia="宋体" w:hint="default"/>
                <w:sz w:val="18"/>
                <w:szCs w:val="18"/>
              </w:rPr>
              <w:t>资金来 源</w:t>
            </w:r>
          </w:p>
        </w:tc>
      </w:tr>
      <w:tr>
        <w:trPr>
          <w:trHeight w:val="714"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59"/>
              <w:jc w:val="left"/>
              <w:rPr>
                <w:rFonts w:ascii="宋体" w:hAnsi="宋体" w:cs="宋体" w:eastAsia="宋体" w:hint="default"/>
                <w:sz w:val="18"/>
                <w:szCs w:val="18"/>
              </w:rPr>
            </w:pPr>
            <w:r>
              <w:rPr>
                <w:rFonts w:ascii="宋体" w:hAnsi="宋体" w:cs="宋体" w:eastAsia="宋体" w:hint="default"/>
                <w:sz w:val="18"/>
                <w:szCs w:val="18"/>
              </w:rPr>
              <w:t>在安装 设备</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4" w:right="0"/>
              <w:jc w:val="left"/>
              <w:rPr>
                <w:rFonts w:ascii="Times New Roman" w:hAnsi="Times New Roman" w:cs="Times New Roman" w:eastAsia="Times New Roman" w:hint="default"/>
                <w:sz w:val="18"/>
                <w:szCs w:val="18"/>
              </w:rPr>
            </w:pPr>
            <w:r>
              <w:rPr>
                <w:rFonts w:ascii="Times New Roman"/>
                <w:sz w:val="18"/>
              </w:rPr>
              <w:t>3,018,14</w:t>
            </w:r>
          </w:p>
          <w:p>
            <w:pPr>
              <w:pStyle w:val="TableParagraph"/>
              <w:spacing w:line="240" w:lineRule="auto" w:before="105"/>
              <w:ind w:left="389" w:right="0"/>
              <w:jc w:val="left"/>
              <w:rPr>
                <w:rFonts w:ascii="Times New Roman" w:hAnsi="Times New Roman" w:cs="Times New Roman" w:eastAsia="Times New Roman" w:hint="default"/>
                <w:sz w:val="18"/>
                <w:szCs w:val="18"/>
              </w:rPr>
            </w:pPr>
            <w:r>
              <w:rPr>
                <w:rFonts w:ascii="Times New Roman"/>
                <w:sz w:val="18"/>
              </w:rPr>
              <w:t>7.07</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3" w:right="0"/>
              <w:jc w:val="left"/>
              <w:rPr>
                <w:rFonts w:ascii="Times New Roman" w:hAnsi="Times New Roman" w:cs="Times New Roman" w:eastAsia="Times New Roman" w:hint="default"/>
                <w:sz w:val="18"/>
                <w:szCs w:val="18"/>
              </w:rPr>
            </w:pPr>
            <w:r>
              <w:rPr>
                <w:rFonts w:ascii="Times New Roman"/>
                <w:sz w:val="18"/>
              </w:rPr>
              <w:t>20,760,4</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58.10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71,587.1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3" w:right="0"/>
              <w:jc w:val="left"/>
              <w:rPr>
                <w:rFonts w:ascii="Times New Roman" w:hAnsi="Times New Roman" w:cs="Times New Roman" w:eastAsia="Times New Roman" w:hint="default"/>
                <w:sz w:val="18"/>
                <w:szCs w:val="18"/>
              </w:rPr>
            </w:pPr>
            <w:r>
              <w:rPr>
                <w:rFonts w:ascii="Times New Roman"/>
                <w:sz w:val="18"/>
              </w:rPr>
              <w:t>23,707,0</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17.99</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341"/>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1962"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both"/>
              <w:rPr>
                <w:rFonts w:ascii="宋体" w:hAnsi="宋体" w:cs="宋体" w:eastAsia="宋体" w:hint="default"/>
                <w:sz w:val="18"/>
                <w:szCs w:val="18"/>
              </w:rPr>
            </w:pPr>
            <w:r>
              <w:rPr>
                <w:rFonts w:ascii="宋体" w:hAnsi="宋体" w:cs="宋体" w:eastAsia="宋体" w:hint="default"/>
                <w:sz w:val="18"/>
                <w:szCs w:val="18"/>
              </w:rPr>
              <w:t>年产</w:t>
            </w:r>
          </w:p>
          <w:p>
            <w:pPr>
              <w:pStyle w:val="TableParagraph"/>
              <w:spacing w:line="240" w:lineRule="auto" w:before="115"/>
              <w:ind w:left="22" w:right="0"/>
              <w:jc w:val="both"/>
              <w:rPr>
                <w:rFonts w:ascii="Times New Roman" w:hAnsi="Times New Roman" w:cs="Times New Roman" w:eastAsia="Times New Roman" w:hint="default"/>
                <w:sz w:val="18"/>
                <w:szCs w:val="18"/>
              </w:rPr>
            </w:pPr>
            <w:r>
              <w:rPr>
                <w:rFonts w:ascii="Times New Roman"/>
                <w:sz w:val="18"/>
              </w:rPr>
              <w:t>25,000</w:t>
            </w:r>
          </w:p>
          <w:p>
            <w:pPr>
              <w:pStyle w:val="TableParagraph"/>
              <w:spacing w:line="319" w:lineRule="auto" w:before="65"/>
              <w:ind w:left="22" w:right="159"/>
              <w:jc w:val="both"/>
              <w:rPr>
                <w:rFonts w:ascii="宋体" w:hAnsi="宋体" w:cs="宋体" w:eastAsia="宋体" w:hint="default"/>
                <w:sz w:val="18"/>
                <w:szCs w:val="18"/>
              </w:rPr>
            </w:pPr>
            <w:r>
              <w:rPr>
                <w:rFonts w:ascii="宋体" w:hAnsi="宋体" w:cs="宋体" w:eastAsia="宋体" w:hint="default"/>
                <w:sz w:val="18"/>
                <w:szCs w:val="18"/>
              </w:rPr>
              <w:t>吨塑料 电缆料 颗粒项 目</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114,244,</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600.00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39,483,2</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54.40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39,061,5</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27.01</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78,544,7</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81.41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26" w:right="0"/>
              <w:jc w:val="center"/>
              <w:rPr>
                <w:rFonts w:ascii="Times New Roman" w:hAnsi="Times New Roman" w:cs="Times New Roman" w:eastAsia="Times New Roman" w:hint="default"/>
                <w:sz w:val="18"/>
                <w:szCs w:val="18"/>
              </w:rPr>
            </w:pPr>
            <w:r>
              <w:rPr>
                <w:rFonts w:ascii="Times New Roman"/>
                <w:sz w:val="18"/>
              </w:rPr>
              <w:t>92.16%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92</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2" w:right="161"/>
              <w:jc w:val="left"/>
              <w:rPr>
                <w:rFonts w:ascii="宋体" w:hAnsi="宋体" w:cs="宋体" w:eastAsia="宋体" w:hint="default"/>
                <w:sz w:val="18"/>
                <w:szCs w:val="18"/>
              </w:rPr>
            </w:pPr>
            <w:r>
              <w:rPr>
                <w:rFonts w:ascii="宋体" w:hAnsi="宋体" w:cs="宋体" w:eastAsia="宋体" w:hint="default"/>
                <w:sz w:val="18"/>
                <w:szCs w:val="18"/>
              </w:rPr>
              <w:t>募股资 金</w:t>
            </w:r>
          </w:p>
        </w:tc>
      </w:tr>
      <w:tr>
        <w:trPr>
          <w:trHeight w:val="1962"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both"/>
              <w:rPr>
                <w:rFonts w:ascii="宋体" w:hAnsi="宋体" w:cs="宋体" w:eastAsia="宋体" w:hint="default"/>
                <w:sz w:val="18"/>
                <w:szCs w:val="18"/>
              </w:rPr>
            </w:pPr>
            <w:r>
              <w:rPr>
                <w:rFonts w:ascii="宋体" w:hAnsi="宋体" w:cs="宋体" w:eastAsia="宋体" w:hint="default"/>
                <w:sz w:val="18"/>
                <w:szCs w:val="18"/>
              </w:rPr>
              <w:t>年产</w:t>
            </w:r>
          </w:p>
          <w:p>
            <w:pPr>
              <w:pStyle w:val="TableParagraph"/>
              <w:spacing w:line="240" w:lineRule="auto" w:before="115"/>
              <w:ind w:left="22" w:right="0"/>
              <w:jc w:val="both"/>
              <w:rPr>
                <w:rFonts w:ascii="Times New Roman" w:hAnsi="Times New Roman" w:cs="Times New Roman" w:eastAsia="Times New Roman" w:hint="default"/>
                <w:sz w:val="18"/>
                <w:szCs w:val="18"/>
              </w:rPr>
            </w:pPr>
            <w:r>
              <w:rPr>
                <w:rFonts w:ascii="Times New Roman"/>
                <w:sz w:val="18"/>
              </w:rPr>
              <w:t>10,000</w:t>
            </w:r>
          </w:p>
          <w:p>
            <w:pPr>
              <w:pStyle w:val="TableParagraph"/>
              <w:spacing w:line="319" w:lineRule="auto" w:before="65"/>
              <w:ind w:left="22" w:right="159"/>
              <w:jc w:val="both"/>
              <w:rPr>
                <w:rFonts w:ascii="宋体" w:hAnsi="宋体" w:cs="宋体" w:eastAsia="宋体" w:hint="default"/>
                <w:sz w:val="18"/>
                <w:szCs w:val="18"/>
              </w:rPr>
            </w:pPr>
            <w:r>
              <w:rPr>
                <w:rFonts w:ascii="宋体" w:hAnsi="宋体" w:cs="宋体" w:eastAsia="宋体" w:hint="default"/>
                <w:sz w:val="18"/>
                <w:szCs w:val="18"/>
              </w:rPr>
              <w:t>吨塑料 电缆料 颗粒项 目</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99,615,1</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33,671,9</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36.47</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31,688,1</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97.14</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65,360,1</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33.61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26" w:right="0"/>
              <w:jc w:val="center"/>
              <w:rPr>
                <w:rFonts w:ascii="Times New Roman" w:hAnsi="Times New Roman" w:cs="Times New Roman" w:eastAsia="Times New Roman" w:hint="default"/>
                <w:sz w:val="18"/>
                <w:szCs w:val="18"/>
              </w:rPr>
            </w:pPr>
            <w:r>
              <w:rPr>
                <w:rFonts w:ascii="Times New Roman"/>
                <w:sz w:val="18"/>
              </w:rPr>
              <w:t>90.37%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90</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2" w:right="161"/>
              <w:jc w:val="left"/>
              <w:rPr>
                <w:rFonts w:ascii="宋体" w:hAnsi="宋体" w:cs="宋体" w:eastAsia="宋体" w:hint="default"/>
                <w:sz w:val="18"/>
                <w:szCs w:val="18"/>
              </w:rPr>
            </w:pPr>
            <w:r>
              <w:rPr>
                <w:rFonts w:ascii="宋体" w:hAnsi="宋体" w:cs="宋体" w:eastAsia="宋体" w:hint="default"/>
                <w:sz w:val="18"/>
                <w:szCs w:val="18"/>
              </w:rPr>
              <w:t>募股资 金</w:t>
            </w:r>
          </w:p>
        </w:tc>
      </w:tr>
      <w:tr>
        <w:trPr>
          <w:trHeight w:val="714"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213,859,</w:t>
            </w:r>
          </w:p>
          <w:p>
            <w:pPr>
              <w:pStyle w:val="TableParagraph"/>
              <w:spacing w:line="240" w:lineRule="auto" w:before="106"/>
              <w:ind w:left="186" w:right="0"/>
              <w:jc w:val="center"/>
              <w:rPr>
                <w:rFonts w:ascii="Times New Roman" w:hAnsi="Times New Roman" w:cs="Times New Roman" w:eastAsia="Times New Roman" w:hint="default"/>
                <w:sz w:val="18"/>
                <w:szCs w:val="18"/>
              </w:rPr>
            </w:pPr>
            <w:r>
              <w:rPr>
                <w:rFonts w:ascii="Times New Roman"/>
                <w:sz w:val="18"/>
              </w:rPr>
              <w:t>700.00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76,173,3</w:t>
            </w:r>
          </w:p>
          <w:p>
            <w:pPr>
              <w:pStyle w:val="TableParagraph"/>
              <w:spacing w:line="240" w:lineRule="auto" w:before="106"/>
              <w:ind w:left="299" w:right="0"/>
              <w:jc w:val="left"/>
              <w:rPr>
                <w:rFonts w:ascii="Times New Roman" w:hAnsi="Times New Roman" w:cs="Times New Roman" w:eastAsia="Times New Roman" w:hint="default"/>
                <w:sz w:val="18"/>
                <w:szCs w:val="18"/>
              </w:rPr>
            </w:pPr>
            <w:r>
              <w:rPr>
                <w:rFonts w:ascii="Times New Roman"/>
                <w:sz w:val="18"/>
              </w:rPr>
              <w:t>37.94</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91,510,1</w:t>
            </w:r>
          </w:p>
          <w:p>
            <w:pPr>
              <w:pStyle w:val="TableParagraph"/>
              <w:spacing w:line="240" w:lineRule="auto" w:before="106"/>
              <w:ind w:left="298" w:right="0"/>
              <w:jc w:val="left"/>
              <w:rPr>
                <w:rFonts w:ascii="Times New Roman" w:hAnsi="Times New Roman" w:cs="Times New Roman" w:eastAsia="Times New Roman" w:hint="default"/>
                <w:sz w:val="18"/>
                <w:szCs w:val="18"/>
              </w:rPr>
            </w:pPr>
            <w:r>
              <w:rPr>
                <w:rFonts w:ascii="Times New Roman"/>
                <w:sz w:val="18"/>
              </w:rPr>
              <w:t>82.25</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71,587.1</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8</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center"/>
              <w:rPr>
                <w:rFonts w:ascii="Times New Roman" w:hAnsi="Times New Roman" w:cs="Times New Roman" w:eastAsia="Times New Roman" w:hint="default"/>
                <w:sz w:val="18"/>
                <w:szCs w:val="18"/>
              </w:rPr>
            </w:pPr>
            <w:r>
              <w:rPr>
                <w:rFonts w:ascii="Times New Roman"/>
                <w:sz w:val="18"/>
              </w:rPr>
              <w:t>167,611,</w:t>
            </w:r>
          </w:p>
          <w:p>
            <w:pPr>
              <w:pStyle w:val="TableParagraph"/>
              <w:spacing w:line="240" w:lineRule="auto" w:before="106"/>
              <w:ind w:left="186" w:right="0"/>
              <w:jc w:val="center"/>
              <w:rPr>
                <w:rFonts w:ascii="Times New Roman" w:hAnsi="Times New Roman" w:cs="Times New Roman" w:eastAsia="Times New Roman" w:hint="default"/>
                <w:sz w:val="18"/>
                <w:szCs w:val="18"/>
              </w:rPr>
            </w:pPr>
            <w:r>
              <w:rPr>
                <w:rFonts w:ascii="Times New Roman"/>
                <w:sz w:val="18"/>
              </w:rPr>
              <w:t>933.01</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301"/>
              <w:jc w:val="right"/>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980"/>
        </w:sectPr>
      </w:pPr>
    </w:p>
    <w:p>
      <w:pPr>
        <w:spacing w:line="240" w:lineRule="auto" w:before="10"/>
        <w:rPr>
          <w:rFonts w:ascii="宋体" w:hAnsi="宋体" w:cs="宋体" w:eastAsia="宋体" w:hint="default"/>
          <w:sz w:val="24"/>
          <w:szCs w:val="24"/>
        </w:rPr>
      </w:pPr>
    </w:p>
    <w:p>
      <w:pPr>
        <w:pStyle w:val="Heading5"/>
        <w:spacing w:line="240" w:lineRule="auto" w:before="35"/>
        <w:ind w:right="0"/>
        <w:jc w:val="left"/>
        <w:rPr>
          <w:b w:val="0"/>
          <w:bCs w:val="0"/>
        </w:rPr>
      </w:pPr>
      <w:bookmarkStart w:name="（3）本期计提在建工程减值准备情况" w:id="293"/>
      <w:bookmarkEnd w:id="293"/>
      <w:r>
        <w:rPr>
          <w:b w:val="0"/>
          <w:bCs w:val="0"/>
        </w:rPr>
      </w:r>
      <w:r>
        <w:rPr/>
        <w:t>（</w:t>
      </w:r>
      <w:r>
        <w:rPr>
          <w:rFonts w:ascii="Times New Roman" w:hAnsi="Times New Roman" w:cs="Times New Roman" w:eastAsia="Times New Roman" w:hint="default"/>
        </w:rPr>
        <w:t>3</w:t>
      </w:r>
      <w:r>
        <w:rPr/>
        <w:t>）本期计提在建工程减值准备情况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1"/>
        <w:gridCol w:w="3179"/>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50" w:right="0"/>
              <w:jc w:val="left"/>
              <w:rPr>
                <w:rFonts w:ascii="宋体" w:hAnsi="宋体" w:cs="宋体" w:eastAsia="宋体" w:hint="default"/>
                <w:sz w:val="18"/>
                <w:szCs w:val="18"/>
              </w:rPr>
            </w:pPr>
            <w:r>
              <w:rPr>
                <w:rFonts w:ascii="宋体" w:hAnsi="宋体" w:cs="宋体" w:eastAsia="宋体" w:hint="default"/>
                <w:sz w:val="18"/>
                <w:szCs w:val="18"/>
              </w:rPr>
              <w:t>本期计提金额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计提原因</w:t>
            </w:r>
          </w:p>
        </w:tc>
      </w:tr>
    </w:tbl>
    <w:p>
      <w:pPr>
        <w:pStyle w:val="BodyText"/>
        <w:spacing w:line="240" w:lineRule="auto" w:before="52"/>
        <w:ind w:right="0"/>
        <w:jc w:val="left"/>
      </w:pPr>
      <w:r>
        <w:rPr/>
        <w:t>其他说明</w:t>
      </w:r>
    </w:p>
    <w:p>
      <w:pPr>
        <w:spacing w:line="240" w:lineRule="auto" w:before="10"/>
        <w:rPr>
          <w:rFonts w:ascii="宋体" w:hAnsi="宋体" w:cs="宋体" w:eastAsia="宋体" w:hint="default"/>
          <w:sz w:val="26"/>
          <w:szCs w:val="26"/>
        </w:rPr>
      </w:pPr>
    </w:p>
    <w:p>
      <w:pPr>
        <w:pStyle w:val="Heading5"/>
        <w:spacing w:line="240" w:lineRule="auto"/>
        <w:ind w:right="0"/>
        <w:jc w:val="left"/>
        <w:rPr>
          <w:b w:val="0"/>
          <w:bCs w:val="0"/>
        </w:rPr>
      </w:pPr>
      <w:bookmarkStart w:name="21、工程物资" w:id="294"/>
      <w:bookmarkEnd w:id="294"/>
      <w:r>
        <w:rPr>
          <w:b w:val="0"/>
          <w:bCs w:val="0"/>
        </w:rPr>
      </w:r>
      <w:r>
        <w:rPr>
          <w:rFonts w:ascii="Times New Roman" w:hAnsi="Times New Roman" w:cs="Times New Roman" w:eastAsia="Times New Roman" w:hint="default"/>
        </w:rPr>
        <w:t>21</w:t>
      </w:r>
      <w:r>
        <w:rPr/>
        <w:t>、工程物资</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1"/>
        <w:gridCol w:w="3179"/>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2"/>
        <w:ind w:right="0"/>
        <w:jc w:val="left"/>
      </w:pPr>
      <w:r>
        <w:rPr/>
        <w:t>其他说明：</w:t>
      </w:r>
    </w:p>
    <w:p>
      <w:pPr>
        <w:spacing w:line="240" w:lineRule="auto" w:before="10"/>
        <w:rPr>
          <w:rFonts w:ascii="宋体" w:hAnsi="宋体" w:cs="宋体" w:eastAsia="宋体" w:hint="default"/>
          <w:sz w:val="26"/>
          <w:szCs w:val="26"/>
        </w:rPr>
      </w:pPr>
    </w:p>
    <w:p>
      <w:pPr>
        <w:pStyle w:val="Heading5"/>
        <w:spacing w:line="240" w:lineRule="auto"/>
        <w:ind w:right="0"/>
        <w:jc w:val="left"/>
        <w:rPr>
          <w:b w:val="0"/>
          <w:bCs w:val="0"/>
        </w:rPr>
      </w:pPr>
      <w:bookmarkStart w:name="22、固定资产清理" w:id="295"/>
      <w:bookmarkEnd w:id="295"/>
      <w:r>
        <w:rPr>
          <w:b w:val="0"/>
          <w:bCs w:val="0"/>
        </w:rPr>
      </w:r>
      <w:r>
        <w:rPr>
          <w:rFonts w:ascii="Times New Roman" w:hAnsi="Times New Roman" w:cs="Times New Roman" w:eastAsia="Times New Roman" w:hint="default"/>
        </w:rPr>
        <w:t>22</w:t>
      </w:r>
      <w:r>
        <w:rPr/>
        <w:t>、固定资产清理</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1"/>
        <w:gridCol w:w="3179"/>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bookmarkStart w:name="23、生产性生物资产" w:id="296"/>
      <w:bookmarkEnd w:id="296"/>
      <w:r>
        <w:rPr>
          <w:b w:val="0"/>
          <w:bCs w:val="0"/>
        </w:rPr>
      </w:r>
      <w:r>
        <w:rPr>
          <w:rFonts w:ascii="Times New Roman" w:hAnsi="Times New Roman" w:cs="Times New Roman" w:eastAsia="Times New Roman" w:hint="default"/>
        </w:rPr>
        <w:t>23</w:t>
      </w:r>
      <w:r>
        <w:rPr/>
        <w:t>、生产性生物资产</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bookmarkStart w:name="（1）采用成本计量模式的生产性生物资产" w:id="297"/>
      <w:bookmarkEnd w:id="297"/>
      <w:r>
        <w:rPr>
          <w:b w:val="0"/>
          <w:bCs w:val="0"/>
        </w:rPr>
      </w:r>
      <w:r>
        <w:rPr/>
        <w:t>（</w:t>
      </w:r>
      <w:r>
        <w:rPr>
          <w:rFonts w:ascii="Times New Roman" w:hAnsi="Times New Roman" w:cs="Times New Roman" w:eastAsia="Times New Roman" w:hint="default"/>
        </w:rPr>
        <w:t>1</w:t>
      </w:r>
      <w:r>
        <w:rPr/>
        <w:t>）采用成本计量模式的生产性生物资产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0"/>
        <w:jc w:val="left"/>
      </w:pPr>
      <w:r>
        <w:rPr/>
        <w:t>□ 适用 □ 不适用</w:t>
      </w: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bookmarkStart w:name="（2）采用公允价值计量模式的生产性生物资产" w:id="298"/>
      <w:bookmarkEnd w:id="298"/>
      <w:r>
        <w:rPr>
          <w:b w:val="0"/>
          <w:bCs w:val="0"/>
        </w:rPr>
      </w:r>
      <w:r>
        <w:rPr/>
        <w:t>（</w:t>
      </w:r>
      <w:r>
        <w:rPr>
          <w:rFonts w:ascii="Times New Roman" w:hAnsi="Times New Roman" w:cs="Times New Roman" w:eastAsia="Times New Roman" w:hint="default"/>
        </w:rPr>
        <w:t>2</w:t>
      </w:r>
      <w:r>
        <w:rPr/>
        <w:t>）采用公允价值计量模式的生产性生物资产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0"/>
        <w:jc w:val="left"/>
      </w:pPr>
      <w:r>
        <w:rPr/>
        <w:t>□ 适用 □ 不适用</w:t>
      </w: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bookmarkStart w:name="24、油气资产" w:id="299"/>
      <w:bookmarkEnd w:id="299"/>
      <w:r>
        <w:rPr>
          <w:b w:val="0"/>
          <w:bCs w:val="0"/>
        </w:rPr>
      </w:r>
      <w:r>
        <w:rPr>
          <w:rFonts w:ascii="Times New Roman" w:hAnsi="Times New Roman" w:cs="Times New Roman" w:eastAsia="Times New Roman" w:hint="default"/>
        </w:rPr>
        <w:t>24</w:t>
      </w:r>
      <w:r>
        <w:rPr/>
        <w:t>、油气资产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0"/>
        <w:jc w:val="left"/>
      </w:pPr>
      <w:r>
        <w:rPr/>
        <w:t>□ 适用 √ 不适用</w:t>
      </w:r>
    </w:p>
    <w:p>
      <w:pPr>
        <w:spacing w:line="240" w:lineRule="auto" w:before="10"/>
        <w:rPr>
          <w:rFonts w:ascii="宋体" w:hAnsi="宋体" w:cs="宋体" w:eastAsia="宋体" w:hint="default"/>
          <w:sz w:val="26"/>
          <w:szCs w:val="26"/>
        </w:rPr>
      </w:pPr>
    </w:p>
    <w:p>
      <w:pPr>
        <w:pStyle w:val="Heading5"/>
        <w:spacing w:line="240" w:lineRule="auto"/>
        <w:ind w:right="0"/>
        <w:jc w:val="left"/>
        <w:rPr>
          <w:b w:val="0"/>
          <w:bCs w:val="0"/>
        </w:rPr>
      </w:pPr>
      <w:bookmarkStart w:name="25、无形资产" w:id="300"/>
      <w:bookmarkEnd w:id="300"/>
      <w:r>
        <w:rPr>
          <w:b w:val="0"/>
          <w:bCs w:val="0"/>
        </w:rPr>
      </w:r>
      <w:r>
        <w:rPr>
          <w:rFonts w:ascii="Times New Roman" w:hAnsi="Times New Roman" w:cs="Times New Roman" w:eastAsia="Times New Roman" w:hint="default"/>
        </w:rPr>
        <w:t>25</w:t>
      </w:r>
      <w:r>
        <w:rPr/>
        <w:t>、无形资产</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bookmarkStart w:name="（1）无形资产情况" w:id="301"/>
      <w:bookmarkEnd w:id="301"/>
      <w:r>
        <w:rPr>
          <w:b w:val="0"/>
          <w:bCs w:val="0"/>
        </w:rPr>
      </w:r>
      <w:r>
        <w:rPr/>
        <w:t>（</w:t>
      </w:r>
      <w:r>
        <w:rPr>
          <w:rFonts w:ascii="Times New Roman" w:hAnsi="Times New Roman" w:cs="Times New Roman" w:eastAsia="Times New Roman" w:hint="default"/>
        </w:rPr>
        <w:t>1</w:t>
      </w:r>
      <w:r>
        <w:rPr/>
        <w:t>）无形资产情况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0"/>
        <w:jc w:val="left"/>
      </w:pPr>
      <w:r>
        <w:rPr/>
        <w:t>公司是否需遵守《深圳证券交易所创业板行业信息披露指引第</w:t>
      </w:r>
      <w:r>
        <w:rPr>
          <w:spacing w:val="-45"/>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上市公司从事互联网游戏业务》的披露要求</w:t>
      </w:r>
    </w:p>
    <w:p>
      <w:pPr>
        <w:pStyle w:val="BodyText"/>
        <w:spacing w:line="240" w:lineRule="auto" w:before="102"/>
        <w:ind w:right="0"/>
        <w:jc w:val="left"/>
      </w:pPr>
      <w:r>
        <w:rPr/>
        <w:t>□ 是 √ 否</w:t>
      </w:r>
    </w:p>
    <w:p>
      <w:pPr>
        <w:pStyle w:val="BodyText"/>
        <w:spacing w:line="240" w:lineRule="auto" w:before="116"/>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83"/>
        <w:gridCol w:w="1606"/>
        <w:gridCol w:w="1594"/>
        <w:gridCol w:w="1594"/>
        <w:gridCol w:w="1595"/>
        <w:gridCol w:w="1594"/>
      </w:tblGrid>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54"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21"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2"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595" w:type="dxa"/>
            <w:tcBorders>
              <w:top w:val="single" w:sz="4" w:space="0" w:color="000000"/>
              <w:left w:val="single" w:sz="4" w:space="0" w:color="000000"/>
              <w:bottom w:val="single" w:sz="4" w:space="0" w:color="000000"/>
              <w:right w:val="single" w:sz="9" w:space="0" w:color="D2D2D2"/>
            </w:tcBorders>
            <w:shd w:val="clear" w:color="auto" w:fill="E0FFFF"/>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软件</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532" w:right="0"/>
              <w:jc w:val="left"/>
              <w:rPr>
                <w:rFonts w:ascii="Times New Roman" w:hAnsi="Times New Roman" w:cs="Times New Roman" w:eastAsia="Times New Roman" w:hint="default"/>
                <w:sz w:val="18"/>
                <w:szCs w:val="18"/>
              </w:rPr>
            </w:pPr>
            <w:r>
              <w:rPr>
                <w:rFonts w:ascii="Times New Roman"/>
                <w:sz w:val="18"/>
              </w:rPr>
              <w:t>50,990,250.23</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6" w:right="0"/>
              <w:jc w:val="left"/>
              <w:rPr>
                <w:rFonts w:ascii="Times New Roman" w:hAnsi="Times New Roman" w:cs="Times New Roman" w:eastAsia="Times New Roman" w:hint="default"/>
                <w:sz w:val="18"/>
                <w:szCs w:val="18"/>
              </w:rPr>
            </w:pPr>
            <w:r>
              <w:rPr>
                <w:rFonts w:ascii="Times New Roman"/>
                <w:sz w:val="18"/>
              </w:rPr>
              <w:t>50,990,250.23</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583"/>
        <w:gridCol w:w="1606"/>
        <w:gridCol w:w="1594"/>
        <w:gridCol w:w="1594"/>
        <w:gridCol w:w="1595"/>
        <w:gridCol w:w="1594"/>
      </w:tblGrid>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15,767,100.00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281,619.66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16,048,719.66</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）内部研</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发</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并增加</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15,767,100.00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281,619.66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16,048,719.66</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本期减少金额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50,990,250.23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15,767,100.00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281,619.66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67,038,969.89</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4,196,262.23</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4,196,262.23</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1,099,239.87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262,785.00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144,582.62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1,506,607.49</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1,099,239.87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262,785.00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5,270.65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1,367,295.52</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right="77"/>
              <w:jc w:val="righ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企</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业合并增加</w:t>
            </w: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139,311.97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139,311.97</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5,295,502.10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262,785.00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144,582.62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5,702,869.72</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583"/>
        <w:gridCol w:w="1606"/>
        <w:gridCol w:w="1594"/>
        <w:gridCol w:w="1594"/>
        <w:gridCol w:w="1595"/>
        <w:gridCol w:w="1594"/>
      </w:tblGrid>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值</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45,694,748.13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26" w:right="0"/>
              <w:jc w:val="left"/>
              <w:rPr>
                <w:rFonts w:ascii="Times New Roman" w:hAnsi="Times New Roman" w:cs="Times New Roman" w:eastAsia="Times New Roman" w:hint="default"/>
                <w:sz w:val="18"/>
                <w:szCs w:val="18"/>
              </w:rPr>
            </w:pPr>
            <w:r>
              <w:rPr>
                <w:rFonts w:ascii="Times New Roman"/>
                <w:sz w:val="18"/>
              </w:rPr>
              <w:t>15,504,315.00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52" w:right="0"/>
              <w:jc w:val="left"/>
              <w:rPr>
                <w:rFonts w:ascii="Times New Roman" w:hAnsi="Times New Roman" w:cs="Times New Roman" w:eastAsia="Times New Roman" w:hint="default"/>
                <w:sz w:val="18"/>
                <w:szCs w:val="18"/>
              </w:rPr>
            </w:pPr>
            <w:r>
              <w:rPr>
                <w:rFonts w:ascii="Times New Roman"/>
                <w:sz w:val="18"/>
              </w:rPr>
              <w:t>137,037.04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61,336,100.17</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值</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46,793,988.00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46,793,988.00</w:t>
            </w:r>
          </w:p>
        </w:tc>
      </w:tr>
    </w:tbl>
    <w:p>
      <w:pPr>
        <w:pStyle w:val="BodyText"/>
        <w:spacing w:line="240" w:lineRule="auto" w:before="51"/>
        <w:ind w:right="0"/>
        <w:jc w:val="left"/>
      </w:pPr>
      <w:r>
        <w:rPr/>
        <w:t>本期末通过公司内部研发形成的无形资产占无形资产余额的比例</w:t>
      </w:r>
      <w:r>
        <w:rPr>
          <w:spacing w:val="-46"/>
        </w:rPr>
        <w:t> </w:t>
      </w:r>
      <w:r>
        <w:rPr>
          <w:rFonts w:ascii="Times New Roman" w:hAnsi="Times New Roman" w:cs="Times New Roman" w:eastAsia="Times New Roman" w:hint="default"/>
        </w:rPr>
        <w:t>0.00%</w:t>
      </w:r>
      <w:r>
        <w:rPr/>
        <w:t>。</w:t>
      </w:r>
    </w:p>
    <w:p>
      <w:pPr>
        <w:spacing w:line="240" w:lineRule="auto" w:before="10"/>
        <w:rPr>
          <w:rFonts w:ascii="宋体" w:hAnsi="宋体" w:cs="宋体" w:eastAsia="宋体" w:hint="default"/>
          <w:sz w:val="25"/>
          <w:szCs w:val="25"/>
        </w:rPr>
      </w:pPr>
    </w:p>
    <w:p>
      <w:pPr>
        <w:pStyle w:val="Heading5"/>
        <w:spacing w:line="240" w:lineRule="auto"/>
        <w:ind w:right="0"/>
        <w:jc w:val="left"/>
        <w:rPr>
          <w:b w:val="0"/>
          <w:bCs w:val="0"/>
        </w:rPr>
      </w:pPr>
      <w:bookmarkStart w:name="（2）未办妥产权证书的土地使用权情况" w:id="302"/>
      <w:bookmarkEnd w:id="302"/>
      <w:r>
        <w:rPr>
          <w:b w:val="0"/>
          <w:bCs w:val="0"/>
        </w:rPr>
      </w:r>
      <w:r>
        <w:rPr/>
        <w:t>（</w:t>
      </w:r>
      <w:r>
        <w:rPr>
          <w:rFonts w:ascii="Times New Roman" w:hAnsi="Times New Roman" w:cs="Times New Roman" w:eastAsia="Times New Roman" w:hint="default"/>
        </w:rPr>
        <w:t>2</w:t>
      </w:r>
      <w:r>
        <w:rPr/>
        <w:t>）未办妥产权证书的土地使用权情况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9"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bookmarkStart w:name="26、开发支出" w:id="303"/>
      <w:bookmarkEnd w:id="303"/>
      <w:r>
        <w:rPr>
          <w:b w:val="0"/>
          <w:bCs w:val="0"/>
        </w:rPr>
      </w:r>
      <w:r>
        <w:rPr>
          <w:rFonts w:ascii="Times New Roman" w:hAnsi="Times New Roman" w:cs="Times New Roman" w:eastAsia="Times New Roman" w:hint="default"/>
        </w:rPr>
        <w:t>26</w:t>
      </w:r>
      <w:r>
        <w:rPr/>
        <w:t>、开发支出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064"/>
        <w:gridCol w:w="1063"/>
        <w:gridCol w:w="3189"/>
        <w:gridCol w:w="3190"/>
        <w:gridCol w:w="1063"/>
      </w:tblGrid>
      <w:tr>
        <w:trPr>
          <w:trHeight w:val="402"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48"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48"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bookmarkStart w:name="27、商誉" w:id="304"/>
      <w:bookmarkEnd w:id="304"/>
      <w:r>
        <w:rPr>
          <w:b w:val="0"/>
          <w:bCs w:val="0"/>
        </w:rPr>
      </w:r>
      <w:r>
        <w:rPr>
          <w:rFonts w:ascii="Times New Roman" w:hAnsi="Times New Roman" w:cs="Times New Roman" w:eastAsia="Times New Roman" w:hint="default"/>
        </w:rPr>
        <w:t>27</w:t>
      </w:r>
      <w:r>
        <w:rPr/>
        <w:t>、商誉</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bookmarkStart w:name="（1）商誉账面原值" w:id="305"/>
      <w:bookmarkEnd w:id="305"/>
      <w:r>
        <w:rPr>
          <w:b w:val="0"/>
          <w:bCs w:val="0"/>
        </w:rPr>
      </w:r>
      <w:r>
        <w:rPr/>
        <w:t>（</w:t>
      </w:r>
      <w:r>
        <w:rPr>
          <w:rFonts w:ascii="Times New Roman" w:hAnsi="Times New Roman" w:cs="Times New Roman" w:eastAsia="Times New Roman" w:hint="default"/>
        </w:rPr>
        <w:t>1</w:t>
      </w:r>
      <w:r>
        <w:rPr/>
        <w:t>）商誉账面原值</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7"/>
        <w:gridCol w:w="1368"/>
        <w:gridCol w:w="1367"/>
        <w:gridCol w:w="1367"/>
        <w:gridCol w:w="1367"/>
        <w:gridCol w:w="1367"/>
      </w:tblGrid>
      <w:tr>
        <w:trPr>
          <w:trHeight w:val="102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8" w:right="47"/>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8"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2"/>
              <w:ind w:left="22" w:right="72"/>
              <w:jc w:val="left"/>
              <w:rPr>
                <w:rFonts w:ascii="宋体" w:hAnsi="宋体" w:cs="宋体" w:eastAsia="宋体" w:hint="default"/>
                <w:sz w:val="18"/>
                <w:szCs w:val="18"/>
              </w:rPr>
            </w:pPr>
            <w:r>
              <w:rPr>
                <w:rFonts w:ascii="宋体" w:hAnsi="宋体" w:cs="宋体" w:eastAsia="宋体" w:hint="default"/>
                <w:sz w:val="18"/>
                <w:szCs w:val="18"/>
              </w:rPr>
              <w:t>杭州奥能电源设 备有限公司</w:t>
            </w:r>
          </w:p>
        </w:tc>
        <w:tc>
          <w:tcPr>
            <w:tcW w:w="1367"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469,290,400.94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469,290,400.94</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469,290,400.94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469,290,400.94</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bookmarkStart w:name="（2）商誉减值准备" w:id="306"/>
      <w:bookmarkEnd w:id="306"/>
      <w:r>
        <w:rPr>
          <w:b w:val="0"/>
          <w:bCs w:val="0"/>
        </w:rPr>
      </w:r>
      <w:r>
        <w:rPr/>
        <w:t>（</w:t>
      </w:r>
      <w:r>
        <w:rPr>
          <w:rFonts w:ascii="Times New Roman" w:hAnsi="Times New Roman" w:cs="Times New Roman" w:eastAsia="Times New Roman" w:hint="default"/>
        </w:rPr>
        <w:t>2</w:t>
      </w:r>
      <w:r>
        <w:rPr/>
        <w:t>）商誉减值准备</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7"/>
        <w:gridCol w:w="1367"/>
        <w:gridCol w:w="2735"/>
        <w:gridCol w:w="2734"/>
        <w:gridCol w:w="1367"/>
      </w:tblGrid>
      <w:tr>
        <w:trPr>
          <w:trHeight w:val="1026"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8" w:right="47"/>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8"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240" w:lineRule="auto" w:before="51"/>
        <w:ind w:right="0"/>
        <w:jc w:val="left"/>
      </w:pPr>
      <w:r>
        <w:rPr/>
        <w:t>说明商誉减值测试过程、参数及商誉减值损失的确认方法：</w:t>
      </w:r>
    </w:p>
    <w:p>
      <w:pPr>
        <w:pStyle w:val="Heading6"/>
        <w:spacing w:line="273" w:lineRule="auto" w:before="91"/>
        <w:ind w:right="0" w:firstLine="420"/>
        <w:jc w:val="left"/>
      </w:pPr>
      <w:r>
        <w:rPr>
          <w:spacing w:val="-1"/>
        </w:rPr>
        <w:t>商誉的可收回金额按照预计未来现金流量的现值计算，其预计现金流量根据公司批准的五年期现金流</w:t>
      </w:r>
      <w:r>
        <w:rPr/>
        <w:t> 量预测为基础，现金流量预测使用的折现率</w:t>
      </w:r>
      <w:r>
        <w:rPr>
          <w:rFonts w:ascii="Times New Roman" w:hAnsi="Times New Roman" w:cs="Times New Roman" w:eastAsia="Times New Roman" w:hint="default"/>
        </w:rPr>
        <w:t>12.14%</w:t>
      </w:r>
      <w:r>
        <w:rPr/>
        <w:t>，预测期以后的现金流量无增长率。</w:t>
      </w:r>
    </w:p>
    <w:p>
      <w:pPr>
        <w:pStyle w:val="Heading6"/>
        <w:spacing w:line="273" w:lineRule="auto"/>
        <w:ind w:left="574" w:right="0"/>
        <w:jc w:val="left"/>
      </w:pPr>
      <w:r>
        <w:rPr/>
        <w:t>减值测试中采用的其他关键数据包括：产品预计售价、销量、生产成本及其他相关费用。 </w:t>
      </w:r>
      <w:r>
        <w:rPr>
          <w:spacing w:val="-1"/>
        </w:rPr>
        <w:t>公司根据历史经验及对市场发展的预测确定上述关键数据。公司采用的折现率是反映当前市场货币时</w:t>
      </w:r>
    </w:p>
    <w:p>
      <w:pPr>
        <w:spacing w:after="0" w:line="273" w:lineRule="auto"/>
        <w:jc w:val="left"/>
        <w:sectPr>
          <w:pgSz w:w="11910" w:h="16840"/>
          <w:pgMar w:header="747" w:footer="979" w:top="1060" w:bottom="1160" w:left="980" w:right="980"/>
        </w:sectPr>
      </w:pPr>
    </w:p>
    <w:p>
      <w:pPr>
        <w:spacing w:line="240" w:lineRule="auto" w:before="9"/>
        <w:rPr>
          <w:rFonts w:ascii="宋体" w:hAnsi="宋体" w:cs="宋体" w:eastAsia="宋体" w:hint="default"/>
          <w:sz w:val="24"/>
          <w:szCs w:val="24"/>
        </w:rPr>
      </w:pPr>
    </w:p>
    <w:p>
      <w:pPr>
        <w:pStyle w:val="Heading6"/>
        <w:spacing w:line="273" w:lineRule="auto" w:before="35"/>
        <w:ind w:left="574" w:right="4312" w:hanging="420"/>
        <w:jc w:val="left"/>
      </w:pPr>
      <w:r>
        <w:rPr/>
        <w:t>间价值和相关资产组特定风险的税前利率。 上述对可收回金额的预计表明商誉并未出现减值损失。</w:t>
      </w:r>
    </w:p>
    <w:p>
      <w:pPr>
        <w:pStyle w:val="BodyText"/>
        <w:spacing w:line="240" w:lineRule="auto" w:before="74"/>
        <w:ind w:right="0"/>
        <w:jc w:val="left"/>
      </w:pPr>
      <w:r>
        <w:rPr/>
        <w:t>其他说明</w:t>
      </w: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bookmarkStart w:name="28、长期待摊费用" w:id="307"/>
      <w:bookmarkEnd w:id="307"/>
      <w:r>
        <w:rPr>
          <w:b w:val="0"/>
          <w:bCs w:val="0"/>
        </w:rPr>
      </w:r>
      <w:r>
        <w:rPr>
          <w:rFonts w:ascii="Times New Roman" w:hAnsi="Times New Roman" w:cs="Times New Roman" w:eastAsia="Times New Roman" w:hint="default"/>
        </w:rPr>
        <w:t>28</w:t>
      </w:r>
      <w:r>
        <w:rPr/>
        <w:t>、长期待摊费用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4"/>
        <w:gridCol w:w="1596"/>
        <w:gridCol w:w="1595"/>
        <w:gridCol w:w="1594"/>
        <w:gridCol w:w="1594"/>
        <w:gridCol w:w="1595"/>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2"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1"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经营租入固定资产 改良支出</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3,849,298.33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173,795.78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3,675,502.55</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9" w:space="0" w:color="D2D2D2"/>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3,849,298.33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173,795.78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3,675,502.55</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bookmarkStart w:name="29、递延所得税资产/递延所得税负债" w:id="308"/>
      <w:bookmarkEnd w:id="308"/>
      <w:r>
        <w:rPr>
          <w:b w:val="0"/>
          <w:bCs w:val="0"/>
        </w:rPr>
      </w:r>
      <w:r>
        <w:rPr>
          <w:rFonts w:ascii="Times New Roman" w:hAnsi="Times New Roman" w:cs="Times New Roman" w:eastAsia="Times New Roman" w:hint="default"/>
        </w:rPr>
        <w:t>29</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bookmarkStart w:name="（1）未经抵销的递延所得税资产" w:id="309"/>
      <w:bookmarkEnd w:id="309"/>
      <w:r>
        <w:rPr>
          <w:b w:val="0"/>
          <w:bCs w:val="0"/>
        </w:rPr>
      </w: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901"/>
        <w:gridCol w:w="1917"/>
        <w:gridCol w:w="1914"/>
        <w:gridCol w:w="1914"/>
        <w:gridCol w:w="1914"/>
      </w:tblGrid>
      <w:tr>
        <w:trPr>
          <w:trHeight w:val="206"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9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901" w:type="dxa"/>
            <w:vMerge/>
            <w:tcBorders>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3"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206"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24,840,169.59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3,726,025.44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10,094,027.78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1,514,104.17</w:t>
            </w: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24,840,169.59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3,726,025.44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10,094,027.78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1,514,104.17</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bookmarkStart w:name="（2）未经抵销的递延所得税负债" w:id="310"/>
      <w:bookmarkEnd w:id="310"/>
      <w:r>
        <w:rPr>
          <w:b w:val="0"/>
          <w:bCs w:val="0"/>
        </w:rPr>
      </w: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1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3"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bookmarkStart w:name="（3）以抵销后净额列示的递延所得税资产或负债" w:id="311"/>
      <w:bookmarkEnd w:id="311"/>
      <w:r>
        <w:rPr>
          <w:b w:val="0"/>
          <w:bCs w:val="0"/>
        </w:rPr>
      </w:r>
      <w:r>
        <w:rPr/>
        <w:t>（</w:t>
      </w:r>
      <w:r>
        <w:rPr>
          <w:rFonts w:ascii="Times New Roman" w:hAnsi="Times New Roman" w:cs="Times New Roman" w:eastAsia="Times New Roman" w:hint="default"/>
        </w:rPr>
        <w:t>3</w:t>
      </w:r>
      <w:r>
        <w:rPr/>
        <w:t>）以抵销后净额列示的递延所得税资产或负债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913"/>
        <w:gridCol w:w="1905"/>
        <w:gridCol w:w="1914"/>
        <w:gridCol w:w="1914"/>
        <w:gridCol w:w="1903"/>
      </w:tblGrid>
      <w:tr>
        <w:trPr>
          <w:trHeight w:val="162" w:hRule="exact"/>
        </w:trPr>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0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401"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321" w:right="50"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411"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0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321" w:right="39"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391" w:hRule="exact"/>
        </w:trPr>
        <w:tc>
          <w:tcPr>
            <w:tcW w:w="19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2"/>
              <w:jc w:val="center"/>
              <w:rPr>
                <w:rFonts w:ascii="宋体" w:hAnsi="宋体" w:cs="宋体" w:eastAsia="宋体" w:hint="default"/>
                <w:sz w:val="18"/>
                <w:szCs w:val="18"/>
              </w:rPr>
            </w:pPr>
            <w:r>
              <w:rPr>
                <w:rFonts w:ascii="宋体" w:hAnsi="宋体" w:cs="宋体" w:eastAsia="宋体" w:hint="default"/>
                <w:sz w:val="18"/>
                <w:szCs w:val="18"/>
              </w:rPr>
              <w:t>项目</w:t>
            </w:r>
          </w:p>
        </w:tc>
        <w:tc>
          <w:tcPr>
            <w:tcW w:w="1905"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03" w:type="dxa"/>
            <w:vMerge/>
            <w:tcBorders>
              <w:left w:val="single" w:sz="4" w:space="0" w:color="000000"/>
              <w:right w:val="single" w:sz="4" w:space="0" w:color="000000"/>
            </w:tcBorders>
            <w:shd w:val="clear" w:color="auto" w:fill="D2D2D2"/>
          </w:tcPr>
          <w:p>
            <w:pPr/>
          </w:p>
        </w:tc>
      </w:tr>
      <w:tr>
        <w:trPr>
          <w:trHeight w:val="161" w:hRule="exact"/>
        </w:trPr>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05"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03"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05"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36" w:right="0"/>
              <w:jc w:val="left"/>
              <w:rPr>
                <w:rFonts w:ascii="Times New Roman" w:hAnsi="Times New Roman" w:cs="Times New Roman" w:eastAsia="Times New Roman" w:hint="default"/>
                <w:sz w:val="18"/>
                <w:szCs w:val="18"/>
              </w:rPr>
            </w:pPr>
            <w:r>
              <w:rPr>
                <w:rFonts w:ascii="Times New Roman"/>
                <w:sz w:val="18"/>
              </w:rPr>
              <w:t>3,726,025.44</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35" w:right="0"/>
              <w:jc w:val="left"/>
              <w:rPr>
                <w:rFonts w:ascii="Times New Roman" w:hAnsi="Times New Roman" w:cs="Times New Roman" w:eastAsia="Times New Roman" w:hint="default"/>
                <w:sz w:val="18"/>
                <w:szCs w:val="18"/>
              </w:rPr>
            </w:pPr>
            <w:r>
              <w:rPr>
                <w:rFonts w:ascii="Times New Roman"/>
                <w:sz w:val="18"/>
              </w:rPr>
              <w:t>1,514,104.17</w:t>
            </w:r>
          </w:p>
        </w:tc>
      </w:tr>
    </w:tbl>
    <w:p>
      <w:pPr>
        <w:spacing w:line="240" w:lineRule="auto" w:before="3"/>
        <w:rPr>
          <w:rFonts w:ascii="宋体" w:hAnsi="宋体" w:cs="宋体" w:eastAsia="宋体" w:hint="default"/>
          <w:sz w:val="19"/>
          <w:szCs w:val="19"/>
        </w:rPr>
      </w:pPr>
    </w:p>
    <w:p>
      <w:pPr>
        <w:pStyle w:val="Heading5"/>
        <w:spacing w:line="240" w:lineRule="auto" w:before="35"/>
        <w:ind w:right="0"/>
        <w:jc w:val="left"/>
        <w:rPr>
          <w:b w:val="0"/>
          <w:bCs w:val="0"/>
        </w:rPr>
      </w:pPr>
      <w:bookmarkStart w:name="（4）未确认递延所得税资产明细" w:id="312"/>
      <w:bookmarkEnd w:id="312"/>
      <w:r>
        <w:rPr>
          <w:b w:val="0"/>
          <w:bCs w:val="0"/>
        </w:rPr>
      </w:r>
      <w:r>
        <w:rPr/>
        <w:t>（</w:t>
      </w:r>
      <w:r>
        <w:rPr>
          <w:rFonts w:ascii="Times New Roman" w:hAnsi="Times New Roman" w:cs="Times New Roman" w:eastAsia="Times New Roman" w:hint="default"/>
        </w:rPr>
        <w:t>4</w:t>
      </w:r>
      <w:r>
        <w:rPr/>
        <w:t>）未确认递延所得税资产明细</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11,928.24</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2,153,018.22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659,921.30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2,164,946.46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659,921.30</w:t>
            </w:r>
          </w:p>
        </w:tc>
      </w:tr>
    </w:tbl>
    <w:p>
      <w:pPr>
        <w:spacing w:line="240" w:lineRule="auto" w:before="3"/>
        <w:rPr>
          <w:rFonts w:ascii="宋体" w:hAnsi="宋体" w:cs="宋体" w:eastAsia="宋体" w:hint="default"/>
          <w:sz w:val="19"/>
          <w:szCs w:val="19"/>
        </w:rPr>
      </w:pPr>
    </w:p>
    <w:p>
      <w:pPr>
        <w:pStyle w:val="Heading5"/>
        <w:spacing w:line="240" w:lineRule="auto" w:before="35"/>
        <w:ind w:right="0"/>
        <w:jc w:val="left"/>
        <w:rPr>
          <w:b w:val="0"/>
          <w:bCs w:val="0"/>
        </w:rPr>
      </w:pPr>
      <w:bookmarkStart w:name="（5）未确认递延所得税资产的可抵扣亏损将于以下年度到期" w:id="313"/>
      <w:bookmarkEnd w:id="313"/>
      <w:r>
        <w:rPr>
          <w:b w:val="0"/>
          <w:bCs w:val="0"/>
        </w:rPr>
      </w:r>
      <w:r>
        <w:rPr/>
        <w:t>（</w:t>
      </w:r>
      <w:r>
        <w:rPr>
          <w:rFonts w:ascii="Times New Roman" w:hAnsi="Times New Roman" w:cs="Times New Roman" w:eastAsia="Times New Roman" w:hint="default"/>
        </w:rPr>
        <w:t>5</w:t>
      </w:r>
      <w:r>
        <w:rPr/>
        <w:t>）未确认递延所得税资产的可抵扣亏损将于以下年度到期</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11,928.24</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11,928.24</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bookmarkStart w:name="30、其他非流动资产" w:id="314"/>
      <w:bookmarkEnd w:id="314"/>
      <w:r>
        <w:rPr>
          <w:b w:val="0"/>
          <w:bCs w:val="0"/>
        </w:rPr>
      </w:r>
      <w:r>
        <w:rPr>
          <w:rFonts w:ascii="Times New Roman" w:hAnsi="Times New Roman" w:cs="Times New Roman" w:eastAsia="Times New Roman" w:hint="default"/>
        </w:rPr>
        <w:t>30</w:t>
      </w:r>
      <w:r>
        <w:rPr/>
        <w:t>、其他非流动资产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bookmarkStart w:name="31、短期借款" w:id="315"/>
      <w:bookmarkEnd w:id="315"/>
      <w:r>
        <w:rPr>
          <w:b w:val="0"/>
          <w:bCs w:val="0"/>
        </w:rPr>
      </w:r>
      <w:r>
        <w:rPr>
          <w:rFonts w:ascii="Times New Roman" w:hAnsi="Times New Roman" w:cs="Times New Roman" w:eastAsia="Times New Roman" w:hint="default"/>
        </w:rPr>
        <w:t>31</w:t>
      </w:r>
      <w:r>
        <w:rPr/>
        <w:t>、短期借款</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bookmarkStart w:name="（1）短期借款分类" w:id="316"/>
      <w:bookmarkEnd w:id="316"/>
      <w:r>
        <w:rPr>
          <w:b w:val="0"/>
          <w:bCs w:val="0"/>
        </w:rPr>
      </w:r>
      <w:r>
        <w:rPr/>
        <w:t>（</w:t>
      </w:r>
      <w:r>
        <w:rPr>
          <w:rFonts w:ascii="Times New Roman" w:hAnsi="Times New Roman" w:cs="Times New Roman" w:eastAsia="Times New Roman" w:hint="default"/>
        </w:rPr>
        <w:t>1</w:t>
      </w:r>
      <w:r>
        <w:rPr/>
        <w:t>）短期借款分类</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5,000,000.00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107,000,000.00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25,000,000.00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抵押及保证借款</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163,000,000.00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40,000,000.00</w:t>
            </w:r>
          </w:p>
        </w:tc>
      </w:tr>
    </w:tbl>
    <w:p>
      <w:pPr>
        <w:pStyle w:val="BodyText"/>
        <w:spacing w:line="240" w:lineRule="auto" w:before="51"/>
        <w:ind w:right="0"/>
        <w:jc w:val="left"/>
      </w:pPr>
      <w:r>
        <w:rPr/>
        <w:t>短期借款分类的说明：</w:t>
      </w: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bookmarkStart w:name="（2）已逾期未偿还的短期借款情况" w:id="317"/>
      <w:bookmarkEnd w:id="317"/>
      <w:r>
        <w:rPr>
          <w:b w:val="0"/>
          <w:bCs w:val="0"/>
        </w:rPr>
      </w:r>
      <w:r>
        <w:rPr/>
        <w:t>（</w:t>
      </w:r>
      <w:r>
        <w:rPr>
          <w:rFonts w:ascii="Times New Roman" w:hAnsi="Times New Roman" w:cs="Times New Roman" w:eastAsia="Times New Roman" w:hint="default"/>
        </w:rPr>
        <w:t>2</w:t>
      </w:r>
      <w:r>
        <w:rPr/>
        <w:t>）已逾期未偿还的短期借款情况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right="0"/>
        <w:jc w:val="left"/>
      </w:pPr>
      <w:r>
        <w:rPr/>
        <w:t>本期末已逾期未偿还的短期借款总额为元，其中重要的已逾期未偿还的短期借款情况如下：</w:t>
      </w:r>
    </w:p>
    <w:p>
      <w:pPr>
        <w:pStyle w:val="BodyText"/>
        <w:spacing w:line="240" w:lineRule="auto" w:before="116"/>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0"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借款利率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逾期利率</w:t>
            </w:r>
          </w:p>
        </w:tc>
      </w:tr>
    </w:tbl>
    <w:p>
      <w:pPr>
        <w:pStyle w:val="BodyText"/>
        <w:spacing w:line="240" w:lineRule="auto" w:before="52"/>
        <w:ind w:right="0"/>
        <w:jc w:val="left"/>
      </w:pPr>
      <w:r>
        <w:rPr/>
        <w:t>其他说明：</w:t>
      </w:r>
    </w:p>
    <w:p>
      <w:pPr>
        <w:spacing w:after="0" w:line="240" w:lineRule="auto"/>
        <w:jc w:val="left"/>
        <w:sectPr>
          <w:pgSz w:w="11910" w:h="16840"/>
          <w:pgMar w:header="747" w:footer="979" w:top="1060" w:bottom="1160" w:left="980" w:right="980"/>
        </w:sectPr>
      </w:pPr>
    </w:p>
    <w:p>
      <w:pPr>
        <w:spacing w:line="240" w:lineRule="auto" w:before="9"/>
        <w:rPr>
          <w:rFonts w:ascii="宋体" w:hAnsi="宋体" w:cs="宋体" w:eastAsia="宋体" w:hint="default"/>
          <w:sz w:val="24"/>
          <w:szCs w:val="24"/>
        </w:rPr>
      </w:pPr>
    </w:p>
    <w:p>
      <w:pPr>
        <w:pStyle w:val="Heading5"/>
        <w:spacing w:line="240" w:lineRule="auto" w:before="35"/>
        <w:ind w:right="0"/>
        <w:jc w:val="left"/>
        <w:rPr>
          <w:b w:val="0"/>
          <w:bCs w:val="0"/>
        </w:rPr>
      </w:pPr>
      <w:bookmarkStart w:name="32、以公允价值计量且其变动计入当期损益的金融负债" w:id="318"/>
      <w:bookmarkEnd w:id="318"/>
      <w:r>
        <w:rPr>
          <w:b w:val="0"/>
          <w:bCs w:val="0"/>
        </w:rPr>
      </w:r>
      <w:r>
        <w:rPr>
          <w:rFonts w:ascii="Times New Roman" w:hAnsi="Times New Roman" w:cs="Times New Roman" w:eastAsia="Times New Roman" w:hint="default"/>
        </w:rPr>
        <w:t>32</w:t>
      </w:r>
      <w:r>
        <w:rPr/>
        <w:t>、以公允价值计量且其变动计入当期损益的金融负债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2"/>
        <w:ind w:right="0"/>
        <w:jc w:val="left"/>
      </w:pPr>
      <w:r>
        <w:rPr/>
        <w:t>其他说明：</w:t>
      </w:r>
    </w:p>
    <w:p>
      <w:pPr>
        <w:spacing w:line="240" w:lineRule="auto" w:before="10"/>
        <w:rPr>
          <w:rFonts w:ascii="宋体" w:hAnsi="宋体" w:cs="宋体" w:eastAsia="宋体" w:hint="default"/>
          <w:sz w:val="26"/>
          <w:szCs w:val="26"/>
        </w:rPr>
      </w:pPr>
    </w:p>
    <w:p>
      <w:pPr>
        <w:pStyle w:val="Heading5"/>
        <w:spacing w:line="240" w:lineRule="auto"/>
        <w:ind w:right="0"/>
        <w:jc w:val="left"/>
        <w:rPr>
          <w:b w:val="0"/>
          <w:bCs w:val="0"/>
        </w:rPr>
      </w:pPr>
      <w:bookmarkStart w:name="33、衍生金融负债" w:id="319"/>
      <w:bookmarkEnd w:id="319"/>
      <w:r>
        <w:rPr>
          <w:b w:val="0"/>
          <w:bCs w:val="0"/>
        </w:rPr>
      </w:r>
      <w:r>
        <w:rPr>
          <w:rFonts w:ascii="Times New Roman" w:hAnsi="Times New Roman" w:cs="Times New Roman" w:eastAsia="Times New Roman" w:hint="default"/>
        </w:rPr>
        <w:t>33</w:t>
      </w:r>
      <w:r>
        <w:rPr/>
        <w:t>、衍生金融负债</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line="240" w:lineRule="auto" w:before="9"/>
        <w:rPr>
          <w:rFonts w:ascii="宋体" w:hAnsi="宋体" w:cs="宋体" w:eastAsia="宋体" w:hint="default"/>
          <w:sz w:val="25"/>
          <w:szCs w:val="25"/>
        </w:rPr>
      </w:pPr>
    </w:p>
    <w:p>
      <w:pPr>
        <w:pStyle w:val="Heading5"/>
        <w:spacing w:line="240" w:lineRule="auto"/>
        <w:ind w:right="0"/>
        <w:jc w:val="left"/>
        <w:rPr>
          <w:b w:val="0"/>
          <w:bCs w:val="0"/>
        </w:rPr>
      </w:pPr>
      <w:bookmarkStart w:name="34、应付票据" w:id="320"/>
      <w:bookmarkEnd w:id="320"/>
      <w:r>
        <w:rPr>
          <w:b w:val="0"/>
          <w:bCs w:val="0"/>
        </w:rPr>
      </w:r>
      <w:r>
        <w:rPr>
          <w:rFonts w:ascii="Times New Roman" w:hAnsi="Times New Roman" w:cs="Times New Roman" w:eastAsia="Times New Roman" w:hint="default"/>
        </w:rPr>
        <w:t>34</w:t>
      </w:r>
      <w:r>
        <w:rPr/>
        <w:t>、应付票据</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商业承兑汇票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4,150,000.00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5,200,000.00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20,693,443.10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24,843,443.10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5,200,000.00</w:t>
            </w:r>
          </w:p>
        </w:tc>
      </w:tr>
    </w:tbl>
    <w:p>
      <w:pPr>
        <w:pStyle w:val="BodyText"/>
        <w:spacing w:line="240" w:lineRule="auto" w:before="51"/>
        <w:ind w:right="0"/>
        <w:jc w:val="left"/>
      </w:pPr>
      <w:r>
        <w:rPr/>
        <w:t>本期末已到期未支付的应付票据总额为</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line="240" w:lineRule="auto" w:before="10"/>
        <w:rPr>
          <w:rFonts w:ascii="宋体" w:hAnsi="宋体" w:cs="宋体" w:eastAsia="宋体" w:hint="default"/>
          <w:sz w:val="25"/>
          <w:szCs w:val="25"/>
        </w:rPr>
      </w:pPr>
    </w:p>
    <w:p>
      <w:pPr>
        <w:pStyle w:val="Heading5"/>
        <w:spacing w:line="240" w:lineRule="auto"/>
        <w:ind w:right="0"/>
        <w:jc w:val="left"/>
        <w:rPr>
          <w:b w:val="0"/>
          <w:bCs w:val="0"/>
        </w:rPr>
      </w:pPr>
      <w:bookmarkStart w:name="35、应付账款" w:id="321"/>
      <w:bookmarkEnd w:id="321"/>
      <w:r>
        <w:rPr>
          <w:b w:val="0"/>
          <w:bCs w:val="0"/>
        </w:rPr>
      </w:r>
      <w:r>
        <w:rPr>
          <w:rFonts w:ascii="Times New Roman" w:hAnsi="Times New Roman" w:cs="Times New Roman" w:eastAsia="Times New Roman" w:hint="default"/>
        </w:rPr>
        <w:t>35</w:t>
      </w:r>
      <w:r>
        <w:rPr/>
        <w:t>、应付账款</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right="0"/>
        <w:jc w:val="left"/>
        <w:rPr>
          <w:b w:val="0"/>
          <w:bCs w:val="0"/>
        </w:rPr>
      </w:pPr>
      <w:bookmarkStart w:name="（1）应付账款列示" w:id="322"/>
      <w:bookmarkEnd w:id="322"/>
      <w:r>
        <w:rPr>
          <w:b w:val="0"/>
          <w:bCs w:val="0"/>
        </w:rPr>
      </w:r>
      <w:r>
        <w:rPr/>
        <w:t>（</w:t>
      </w:r>
      <w:r>
        <w:rPr>
          <w:rFonts w:ascii="Times New Roman" w:hAnsi="Times New Roman" w:cs="Times New Roman" w:eastAsia="Times New Roman" w:hint="default"/>
        </w:rPr>
        <w:t>1</w:t>
      </w:r>
      <w:r>
        <w:rPr/>
        <w:t>）应付账款列示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92,692,150.26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36,078,968.18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工程设备款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9,975,368.82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11,017,474.07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产品运费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2,304,142.40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272,094.46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604,376.99</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105,576,038.47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47,368,536.71</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bookmarkStart w:name="（2）账龄超过1年的重要应付账款" w:id="323"/>
      <w:bookmarkEnd w:id="323"/>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年的重要应付账款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bl>
    <w:p>
      <w:pPr>
        <w:pStyle w:val="BodyText"/>
        <w:spacing w:line="240" w:lineRule="auto" w:before="52"/>
        <w:ind w:right="0"/>
        <w:jc w:val="left"/>
      </w:pPr>
      <w:r>
        <w:rPr/>
        <w:t>其他说明：</w:t>
      </w:r>
    </w:p>
    <w:p>
      <w:pPr>
        <w:spacing w:after="0" w:line="240" w:lineRule="auto"/>
        <w:jc w:val="left"/>
        <w:sectPr>
          <w:pgSz w:w="11910" w:h="16840"/>
          <w:pgMar w:header="747" w:footer="979" w:top="1060" w:bottom="1160" w:left="980" w:right="980"/>
        </w:sectPr>
      </w:pPr>
    </w:p>
    <w:p>
      <w:pPr>
        <w:spacing w:line="240" w:lineRule="auto" w:before="9"/>
        <w:rPr>
          <w:rFonts w:ascii="宋体" w:hAnsi="宋体" w:cs="宋体" w:eastAsia="宋体" w:hint="default"/>
          <w:sz w:val="24"/>
          <w:szCs w:val="24"/>
        </w:rPr>
      </w:pPr>
    </w:p>
    <w:p>
      <w:pPr>
        <w:pStyle w:val="Heading5"/>
        <w:spacing w:line="240" w:lineRule="auto" w:before="35"/>
        <w:ind w:right="0"/>
        <w:jc w:val="left"/>
        <w:rPr>
          <w:b w:val="0"/>
          <w:bCs w:val="0"/>
        </w:rPr>
      </w:pPr>
      <w:bookmarkStart w:name="36、预收款项" w:id="324"/>
      <w:bookmarkEnd w:id="324"/>
      <w:r>
        <w:rPr>
          <w:b w:val="0"/>
          <w:bCs w:val="0"/>
        </w:rPr>
      </w:r>
      <w:r>
        <w:rPr>
          <w:rFonts w:ascii="Times New Roman" w:hAnsi="Times New Roman" w:cs="Times New Roman" w:eastAsia="Times New Roman" w:hint="default"/>
        </w:rPr>
        <w:t>36</w:t>
      </w:r>
      <w:r>
        <w:rPr/>
        <w:t>、预收款项</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bookmarkStart w:name="（1）预收款项列示" w:id="325"/>
      <w:bookmarkEnd w:id="325"/>
      <w:r>
        <w:rPr>
          <w:b w:val="0"/>
          <w:bCs w:val="0"/>
        </w:rPr>
      </w:r>
      <w:r>
        <w:rPr/>
        <w:t>（</w:t>
      </w:r>
      <w:r>
        <w:rPr>
          <w:rFonts w:ascii="Times New Roman" w:hAnsi="Times New Roman" w:cs="Times New Roman" w:eastAsia="Times New Roman" w:hint="default"/>
        </w:rPr>
        <w:t>1</w:t>
      </w:r>
      <w:r>
        <w:rPr/>
        <w:t>）预收款项列示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2"/>
                <w:sz w:val="18"/>
              </w:rPr>
              <w:t>11,363,116.83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1,147,648.00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2"/>
                <w:sz w:val="18"/>
              </w:rPr>
              <w:t>11,363,116.83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1,147,648.00</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bookmarkStart w:name="（2）账龄超过1年的重要预收款项" w:id="326"/>
      <w:bookmarkEnd w:id="326"/>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年的重要预收款项</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bl>
    <w:p>
      <w:pPr>
        <w:spacing w:line="240" w:lineRule="auto" w:before="3"/>
        <w:rPr>
          <w:rFonts w:ascii="宋体" w:hAnsi="宋体" w:cs="宋体" w:eastAsia="宋体" w:hint="default"/>
          <w:sz w:val="19"/>
          <w:szCs w:val="19"/>
        </w:rPr>
      </w:pPr>
    </w:p>
    <w:p>
      <w:pPr>
        <w:pStyle w:val="Heading5"/>
        <w:spacing w:line="240" w:lineRule="auto" w:before="35"/>
        <w:ind w:right="0"/>
        <w:jc w:val="left"/>
        <w:rPr>
          <w:b w:val="0"/>
          <w:bCs w:val="0"/>
        </w:rPr>
      </w:pPr>
      <w:bookmarkStart w:name="（3）期末建造合同形成的已结算未完工项目情况" w:id="327"/>
      <w:bookmarkEnd w:id="327"/>
      <w:r>
        <w:rPr>
          <w:b w:val="0"/>
          <w:bCs w:val="0"/>
        </w:rPr>
      </w:r>
      <w:r>
        <w:rPr/>
        <w:t>（</w:t>
      </w:r>
      <w:r>
        <w:rPr>
          <w:rFonts w:ascii="Times New Roman" w:hAnsi="Times New Roman" w:cs="Times New Roman" w:eastAsia="Times New Roman" w:hint="default"/>
        </w:rPr>
        <w:t>3</w:t>
      </w:r>
      <w:r>
        <w:rPr/>
        <w:t>）期末建造合同形成的已结算未完工项目情况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780"/>
        <w:gridCol w:w="4788"/>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bookmarkStart w:name="37、应付职工薪酬" w:id="328"/>
      <w:bookmarkEnd w:id="328"/>
      <w:r>
        <w:rPr>
          <w:b w:val="0"/>
          <w:bCs w:val="0"/>
        </w:rPr>
      </w:r>
      <w:r>
        <w:rPr>
          <w:rFonts w:ascii="Times New Roman" w:hAnsi="Times New Roman" w:cs="Times New Roman" w:eastAsia="Times New Roman" w:hint="default"/>
        </w:rPr>
        <w:t>37</w:t>
      </w:r>
      <w:r>
        <w:rPr/>
        <w:t>、应付职工薪酬</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bookmarkStart w:name="（1）应付职工薪酬列示" w:id="329"/>
      <w:bookmarkEnd w:id="329"/>
      <w:r>
        <w:rPr>
          <w:b w:val="0"/>
          <w:bCs w:val="0"/>
        </w:rPr>
      </w:r>
      <w:r>
        <w:rPr/>
        <w:t>（</w:t>
      </w:r>
      <w:r>
        <w:rPr>
          <w:rFonts w:ascii="Times New Roman" w:hAnsi="Times New Roman" w:cs="Times New Roman" w:eastAsia="Times New Roman" w:hint="default"/>
        </w:rPr>
        <w:t>1</w:t>
      </w:r>
      <w:r>
        <w:rPr/>
        <w:t>）应付职工薪酬列示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1,570,739.56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39,495,445.25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35,561,618.36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5,504,566.45</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9"/>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 存计划</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2,695,344.36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2,534,881.78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160,462.58</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28"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2,075,786.04</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2,075,786.04</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1,570,739.56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44,266,575.65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38,096,500.14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7,740,815.07</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bookmarkStart w:name="（2）短期薪酬列示" w:id="330"/>
      <w:bookmarkEnd w:id="330"/>
      <w:r>
        <w:rPr>
          <w:b w:val="0"/>
          <w:bCs w:val="0"/>
        </w:rPr>
      </w:r>
      <w:r>
        <w:rPr/>
        <w:t>（</w:t>
      </w:r>
      <w:r>
        <w:rPr>
          <w:rFonts w:ascii="Times New Roman" w:hAnsi="Times New Roman" w:cs="Times New Roman" w:eastAsia="Times New Roman" w:hint="default"/>
        </w:rPr>
        <w:t>2</w:t>
      </w:r>
      <w:r>
        <w:rPr/>
        <w:t>）短期薪酬列示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9"/>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、工资、奖金、津贴和</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补贴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39" w:right="0"/>
              <w:jc w:val="left"/>
              <w:rPr>
                <w:rFonts w:ascii="Times New Roman" w:hAnsi="Times New Roman" w:cs="Times New Roman" w:eastAsia="Times New Roman" w:hint="default"/>
                <w:sz w:val="18"/>
                <w:szCs w:val="18"/>
              </w:rPr>
            </w:pPr>
            <w:r>
              <w:rPr>
                <w:rFonts w:ascii="Times New Roman"/>
                <w:sz w:val="18"/>
              </w:rPr>
              <w:t>1,570,739.56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33,688,405.76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30,038,721.37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5,220,423.95</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1,460,996.41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1,319,610.28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141,386.13</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2,031,229.98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1,888,473.61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142,756.37</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77"/>
              <w:jc w:val="right"/>
              <w:rPr>
                <w:rFonts w:ascii="宋体" w:hAnsi="宋体" w:cs="宋体" w:eastAsia="宋体" w:hint="default"/>
                <w:sz w:val="18"/>
                <w:szCs w:val="18"/>
              </w:rPr>
            </w:pPr>
            <w:r>
              <w:rPr>
                <w:rFonts w:ascii="宋体" w:hAnsi="宋体" w:cs="宋体" w:eastAsia="宋体" w:hint="default"/>
                <w:sz w:val="18"/>
                <w:szCs w:val="18"/>
              </w:rPr>
              <w:t>其中：医疗保险费</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1,686,202.42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1,558,938.99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127,263.43</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77"/>
              <w:jc w:val="right"/>
              <w:rPr>
                <w:rFonts w:ascii="宋体" w:hAnsi="宋体" w:cs="宋体" w:eastAsia="宋体" w:hint="default"/>
                <w:sz w:val="18"/>
                <w:szCs w:val="18"/>
              </w:rPr>
            </w:pPr>
            <w:r>
              <w:rPr>
                <w:rFonts w:ascii="宋体" w:hAnsi="宋体" w:cs="宋体" w:eastAsia="宋体" w:hint="default"/>
                <w:sz w:val="18"/>
                <w:szCs w:val="18"/>
              </w:rPr>
              <w:t>工伤保险费</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161,391.70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156,965.15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4,426.55</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77"/>
              <w:jc w:val="right"/>
              <w:rPr>
                <w:rFonts w:ascii="宋体" w:hAnsi="宋体" w:cs="宋体" w:eastAsia="宋体" w:hint="default"/>
                <w:sz w:val="18"/>
                <w:szCs w:val="18"/>
              </w:rPr>
            </w:pPr>
            <w:r>
              <w:rPr>
                <w:rFonts w:ascii="宋体" w:hAnsi="宋体" w:cs="宋体" w:eastAsia="宋体" w:hint="default"/>
                <w:sz w:val="18"/>
                <w:szCs w:val="18"/>
              </w:rPr>
              <w:t>生育保险费</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183,635.86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172,569.47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11,066.39</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1,701,356.00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1,701,356.00</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21"/>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、工会经费和职工教育</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经费</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613,457.10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613,457.10</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9" w:right="0"/>
              <w:jc w:val="left"/>
              <w:rPr>
                <w:rFonts w:ascii="Times New Roman" w:hAnsi="Times New Roman" w:cs="Times New Roman" w:eastAsia="Times New Roman" w:hint="default"/>
                <w:sz w:val="18"/>
                <w:szCs w:val="18"/>
              </w:rPr>
            </w:pPr>
            <w:r>
              <w:rPr>
                <w:rFonts w:ascii="Times New Roman"/>
                <w:sz w:val="18"/>
              </w:rPr>
              <w:t>1,570,739.56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39,495,445.25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35,561,618.36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5,504,566.45</w:t>
            </w:r>
          </w:p>
        </w:tc>
      </w:tr>
    </w:tbl>
    <w:p>
      <w:pPr>
        <w:spacing w:line="240" w:lineRule="auto" w:before="2"/>
        <w:rPr>
          <w:rFonts w:ascii="宋体" w:hAnsi="宋体" w:cs="宋体" w:eastAsia="宋体" w:hint="default"/>
          <w:sz w:val="19"/>
          <w:szCs w:val="19"/>
        </w:rPr>
      </w:pPr>
    </w:p>
    <w:p>
      <w:pPr>
        <w:pStyle w:val="Heading5"/>
        <w:spacing w:line="240" w:lineRule="auto" w:before="35"/>
        <w:ind w:right="103"/>
        <w:jc w:val="left"/>
        <w:rPr>
          <w:b w:val="0"/>
          <w:bCs w:val="0"/>
        </w:rPr>
      </w:pPr>
      <w:bookmarkStart w:name="（3）设定提存计划列示" w:id="331"/>
      <w:bookmarkEnd w:id="331"/>
      <w:r>
        <w:rPr>
          <w:b w:val="0"/>
          <w:bCs w:val="0"/>
        </w:rPr>
      </w:r>
      <w:r>
        <w:rPr/>
        <w:t>（</w:t>
      </w:r>
      <w:r>
        <w:rPr>
          <w:rFonts w:ascii="Times New Roman" w:hAnsi="Times New Roman" w:cs="Times New Roman" w:eastAsia="Times New Roman" w:hint="default"/>
        </w:rPr>
        <w:t>3</w:t>
      </w:r>
      <w:r>
        <w:rPr/>
        <w:t>）设定提存计划列示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21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2,570,901.65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2,415,972.26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154,929.39</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124,442.71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118,909.52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5,533.19</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2,695,344.36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2,534,881.78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160,462.58</w:t>
            </w:r>
          </w:p>
        </w:tc>
      </w:tr>
    </w:tbl>
    <w:p>
      <w:pPr>
        <w:pStyle w:val="BodyText"/>
        <w:spacing w:line="240" w:lineRule="auto" w:before="51"/>
        <w:ind w:right="103"/>
        <w:jc w:val="left"/>
      </w:pPr>
      <w:r>
        <w:rPr/>
        <w:t>其他说明：</w:t>
      </w:r>
    </w:p>
    <w:p>
      <w:pPr>
        <w:pStyle w:val="Heading6"/>
        <w:spacing w:line="264" w:lineRule="auto" w:before="90"/>
        <w:ind w:right="105" w:firstLine="420"/>
        <w:jc w:val="left"/>
      </w:pPr>
      <w:r>
        <w:rPr/>
        <w:t>根据</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18</w:t>
      </w:r>
      <w:r>
        <w:rPr/>
        <w:t>日公司与奥能电源公司签订的《杭州高新橡塑材料股份有限公司与杭州奥能电源设 </w:t>
      </w:r>
      <w:r>
        <w:rPr>
          <w:spacing w:val="-1"/>
        </w:rPr>
        <w:t>备有限公司股东关于支付现金购买资产的协议》</w:t>
      </w:r>
      <w:r>
        <w:rPr>
          <w:rFonts w:ascii="Times New Roman" w:hAnsi="Times New Roman" w:cs="Times New Roman" w:eastAsia="Times New Roman" w:hint="default"/>
          <w:spacing w:val="-1"/>
        </w:rPr>
        <w:t>(</w:t>
      </w:r>
      <w:r>
        <w:rPr>
          <w:spacing w:val="-1"/>
        </w:rPr>
        <w:t>以下简称</w:t>
      </w:r>
      <w:r>
        <w:rPr>
          <w:rFonts w:ascii="Times New Roman" w:hAnsi="Times New Roman" w:cs="Times New Roman" w:eastAsia="Times New Roman" w:hint="default"/>
          <w:spacing w:val="-1"/>
        </w:rPr>
        <w:t>“</w:t>
      </w:r>
      <w:r>
        <w:rPr>
          <w:spacing w:val="-1"/>
        </w:rPr>
        <w:t>《股权收购协议》</w:t>
      </w:r>
      <w:r>
        <w:rPr>
          <w:rFonts w:ascii="Times New Roman" w:hAnsi="Times New Roman" w:cs="Times New Roman" w:eastAsia="Times New Roman" w:hint="default"/>
          <w:spacing w:val="-1"/>
        </w:rPr>
        <w:t>”)</w:t>
      </w:r>
      <w:r>
        <w:rPr>
          <w:spacing w:val="-1"/>
        </w:rPr>
        <w:t>约定，盈利承诺期间届满，</w:t>
      </w:r>
      <w:r>
        <w:rPr>
          <w:spacing w:val="-92"/>
        </w:rPr>
        <w:t> </w:t>
      </w:r>
      <w:r>
        <w:rPr>
          <w:spacing w:val="-92"/>
        </w:rPr>
      </w:r>
      <w:r>
        <w:rPr>
          <w:spacing w:val="3"/>
        </w:rPr>
        <w:t>本公司聘请具有证券期货业务资格的审计机构对奥能电源公司盈利承诺期间的业绩实现情况出具专项审</w:t>
      </w:r>
      <w:r>
        <w:rPr>
          <w:spacing w:val="-82"/>
        </w:rPr>
        <w:t> </w:t>
      </w:r>
      <w:r>
        <w:rPr>
          <w:spacing w:val="-82"/>
        </w:rPr>
      </w:r>
      <w:r>
        <w:rPr/>
        <w:t>核意见后，如奥能电源公司超额实现盈利承诺期间业绩承诺指标，则本公司同意在该专项审核意见出具日</w:t>
      </w:r>
      <w:r>
        <w:rPr/>
        <w:t> 后六十日内将超额部分的</w:t>
      </w:r>
      <w:r>
        <w:rPr>
          <w:rFonts w:ascii="Times New Roman" w:hAnsi="Times New Roman" w:cs="Times New Roman" w:eastAsia="Times New Roman" w:hint="default"/>
        </w:rPr>
        <w:t>50%</w:t>
      </w:r>
      <w:r>
        <w:rPr/>
        <w:t>以现金支付方式奖励给截至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日仍在奥能电源公司留任的核心管</w:t>
      </w:r>
      <w:r>
        <w:rPr>
          <w:spacing w:val="-100"/>
        </w:rPr>
        <w:t> </w:t>
      </w:r>
      <w:r>
        <w:rPr>
          <w:spacing w:val="-100"/>
        </w:rPr>
      </w:r>
      <w:r>
        <w:rPr/>
        <w:t>理人员。奖励总额不超过收购价格的</w:t>
      </w:r>
      <w:r>
        <w:rPr>
          <w:rFonts w:ascii="Times New Roman" w:hAnsi="Times New Roman" w:cs="Times New Roman" w:eastAsia="Times New Roman" w:hint="default"/>
        </w:rPr>
        <w:t>20%</w:t>
      </w:r>
      <w:r>
        <w:rPr/>
        <w:t>，即人民币</w:t>
      </w:r>
      <w:r>
        <w:rPr>
          <w:rFonts w:ascii="Times New Roman" w:hAnsi="Times New Roman" w:cs="Times New Roman" w:eastAsia="Times New Roman" w:hint="default"/>
        </w:rPr>
        <w:t>11,200.00</w:t>
      </w:r>
      <w:r>
        <w:rPr/>
        <w:t>万元。</w:t>
      </w:r>
    </w:p>
    <w:p>
      <w:pPr>
        <w:pStyle w:val="Heading6"/>
        <w:spacing w:line="289" w:lineRule="exact"/>
        <w:ind w:left="574" w:right="103"/>
        <w:jc w:val="left"/>
      </w:pPr>
      <w:r>
        <w:rPr/>
        <w:t>本期根据计提奖励款前的净利润扣除业绩承诺后的</w:t>
      </w:r>
      <w:r>
        <w:rPr>
          <w:rFonts w:ascii="Times New Roman" w:hAnsi="Times New Roman" w:cs="Times New Roman" w:eastAsia="Times New Roman" w:hint="default"/>
        </w:rPr>
        <w:t>50%</w:t>
      </w:r>
      <w:r>
        <w:rPr/>
        <w:t>计提该奖励款。</w:t>
      </w:r>
    </w:p>
    <w:p>
      <w:pPr>
        <w:spacing w:line="240" w:lineRule="auto" w:before="8"/>
        <w:rPr>
          <w:rFonts w:ascii="宋体" w:hAnsi="宋体" w:cs="宋体" w:eastAsia="宋体" w:hint="default"/>
          <w:sz w:val="24"/>
          <w:szCs w:val="24"/>
        </w:rPr>
      </w:pPr>
    </w:p>
    <w:p>
      <w:pPr>
        <w:pStyle w:val="Heading5"/>
        <w:spacing w:line="240" w:lineRule="auto"/>
        <w:ind w:right="103"/>
        <w:jc w:val="left"/>
        <w:rPr>
          <w:b w:val="0"/>
          <w:bCs w:val="0"/>
        </w:rPr>
      </w:pPr>
      <w:bookmarkStart w:name="38、应交税费" w:id="332"/>
      <w:bookmarkEnd w:id="332"/>
      <w:r>
        <w:rPr>
          <w:b w:val="0"/>
          <w:bCs w:val="0"/>
        </w:rPr>
      </w:r>
      <w:r>
        <w:rPr>
          <w:rFonts w:ascii="Times New Roman" w:hAnsi="Times New Roman" w:cs="Times New Roman" w:eastAsia="Times New Roman" w:hint="default"/>
        </w:rPr>
        <w:t>38</w:t>
      </w:r>
      <w:r>
        <w:rPr/>
        <w:t>、应交税费</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0" w:right="21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76"/>
        <w:gridCol w:w="3194"/>
        <w:gridCol w:w="3189"/>
      </w:tblGrid>
      <w:tr>
        <w:trPr>
          <w:trHeight w:val="402"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2,668,105.01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6,216,918.02</w:t>
            </w:r>
          </w:p>
        </w:tc>
      </w:tr>
      <w:tr>
        <w:trPr>
          <w:trHeight w:val="402"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4,193,513.57</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29,041.92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12,328.53</w:t>
            </w:r>
          </w:p>
        </w:tc>
      </w:tr>
      <w:tr>
        <w:trPr>
          <w:trHeight w:val="402"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276,274.88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419,671.53</w:t>
            </w:r>
          </w:p>
        </w:tc>
      </w:tr>
      <w:tr>
        <w:trPr>
          <w:trHeight w:val="402" w:hRule="exact"/>
        </w:trPr>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118,403.52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179,859.23</w:t>
            </w:r>
          </w:p>
        </w:tc>
      </w:tr>
      <w:tr>
        <w:trPr>
          <w:trHeight w:val="402" w:hRule="exact"/>
        </w:trPr>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地方教育附加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78,935.68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119,906.15</w:t>
            </w:r>
          </w:p>
        </w:tc>
      </w:tr>
      <w:tr>
        <w:trPr>
          <w:trHeight w:val="402" w:hRule="exact"/>
        </w:trPr>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24,894.42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127,646.60</w:t>
            </w:r>
          </w:p>
        </w:tc>
      </w:tr>
      <w:tr>
        <w:trPr>
          <w:trHeight w:val="402" w:hRule="exact"/>
        </w:trPr>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城镇土地使用税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92,378.70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184,757.40</w:t>
            </w:r>
          </w:p>
        </w:tc>
      </w:tr>
      <w:tr>
        <w:trPr>
          <w:trHeight w:val="402" w:hRule="exact"/>
        </w:trPr>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283,202.49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514,272.14</w:t>
            </w:r>
          </w:p>
        </w:tc>
      </w:tr>
      <w:tr>
        <w:trPr>
          <w:trHeight w:val="402"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7,764,750.19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7,775,359.60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920"/>
        </w:sectPr>
      </w:pPr>
    </w:p>
    <w:p>
      <w:pPr>
        <w:spacing w:line="240" w:lineRule="auto" w:before="13"/>
        <w:rPr>
          <w:rFonts w:ascii="宋体" w:hAnsi="宋体" w:cs="宋体" w:eastAsia="宋体" w:hint="default"/>
          <w:sz w:val="25"/>
          <w:szCs w:val="25"/>
        </w:rPr>
      </w:pPr>
    </w:p>
    <w:p>
      <w:pPr>
        <w:pStyle w:val="BodyText"/>
        <w:spacing w:line="240" w:lineRule="auto"/>
        <w:ind w:right="0"/>
        <w:jc w:val="left"/>
      </w:pPr>
      <w:r>
        <w:rPr/>
        <w:t>其他说明：</w:t>
      </w:r>
    </w:p>
    <w:p>
      <w:pPr>
        <w:spacing w:line="240" w:lineRule="auto" w:before="10"/>
        <w:rPr>
          <w:rFonts w:ascii="宋体" w:hAnsi="宋体" w:cs="宋体" w:eastAsia="宋体" w:hint="default"/>
          <w:sz w:val="26"/>
          <w:szCs w:val="26"/>
        </w:rPr>
      </w:pPr>
    </w:p>
    <w:p>
      <w:pPr>
        <w:pStyle w:val="Heading5"/>
        <w:spacing w:line="240" w:lineRule="auto"/>
        <w:ind w:right="0"/>
        <w:jc w:val="left"/>
        <w:rPr>
          <w:b w:val="0"/>
          <w:bCs w:val="0"/>
        </w:rPr>
      </w:pPr>
      <w:bookmarkStart w:name="39、应付利息" w:id="333"/>
      <w:bookmarkEnd w:id="333"/>
      <w:r>
        <w:rPr>
          <w:b w:val="0"/>
          <w:bCs w:val="0"/>
        </w:rPr>
      </w:r>
      <w:r>
        <w:rPr>
          <w:rFonts w:ascii="Times New Roman" w:hAnsi="Times New Roman" w:cs="Times New Roman" w:eastAsia="Times New Roman" w:hint="default"/>
        </w:rPr>
        <w:t>39</w:t>
      </w:r>
      <w:r>
        <w:rPr/>
        <w:t>、应付利息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分期付息到期还本的长期借款利息</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170,683.33</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短期借款应付利息</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235,322.92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53,831.25</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406,006.25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53,831.25</w:t>
            </w:r>
          </w:p>
        </w:tc>
      </w:tr>
    </w:tbl>
    <w:p>
      <w:pPr>
        <w:pStyle w:val="BodyText"/>
        <w:spacing w:line="240" w:lineRule="auto" w:before="51"/>
        <w:ind w:right="0"/>
        <w:jc w:val="left"/>
      </w:pPr>
      <w:r>
        <w:rPr/>
        <w:t>重要的已逾期未支付的利息情况：</w:t>
      </w:r>
    </w:p>
    <w:p>
      <w:pPr>
        <w:pStyle w:val="BodyText"/>
        <w:spacing w:line="240" w:lineRule="auto" w:before="116"/>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借款单位</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逾期金额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逾期原因</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bookmarkStart w:name="40、应付股利" w:id="334"/>
      <w:bookmarkEnd w:id="334"/>
      <w:r>
        <w:rPr>
          <w:b w:val="0"/>
          <w:bCs w:val="0"/>
        </w:rPr>
      </w:r>
      <w:r>
        <w:rPr>
          <w:rFonts w:ascii="Times New Roman" w:hAnsi="Times New Roman" w:cs="Times New Roman" w:eastAsia="Times New Roman" w:hint="default"/>
        </w:rPr>
        <w:t>40</w:t>
      </w:r>
      <w:r>
        <w:rPr/>
        <w:t>、应付股利</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1"/>
        <w:ind w:right="0"/>
        <w:jc w:val="left"/>
      </w:pPr>
      <w:r>
        <w:rPr/>
        <w:t>其他说明，包括重要的超过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年未支付的应付股利，应披露未支付原因：</w:t>
      </w:r>
    </w:p>
    <w:p>
      <w:pPr>
        <w:spacing w:line="240" w:lineRule="auto" w:before="11"/>
        <w:rPr>
          <w:rFonts w:ascii="宋体" w:hAnsi="宋体" w:cs="宋体" w:eastAsia="宋体" w:hint="default"/>
          <w:sz w:val="25"/>
          <w:szCs w:val="25"/>
        </w:rPr>
      </w:pPr>
    </w:p>
    <w:p>
      <w:pPr>
        <w:pStyle w:val="Heading5"/>
        <w:spacing w:line="240" w:lineRule="auto"/>
        <w:ind w:right="0"/>
        <w:jc w:val="left"/>
        <w:rPr>
          <w:b w:val="0"/>
          <w:bCs w:val="0"/>
        </w:rPr>
      </w:pPr>
      <w:bookmarkStart w:name="41、其他应付款" w:id="335"/>
      <w:bookmarkEnd w:id="335"/>
      <w:r>
        <w:rPr>
          <w:b w:val="0"/>
          <w:bCs w:val="0"/>
        </w:rPr>
      </w:r>
      <w:r>
        <w:rPr>
          <w:rFonts w:ascii="Times New Roman" w:hAnsi="Times New Roman" w:cs="Times New Roman" w:eastAsia="Times New Roman" w:hint="default"/>
        </w:rPr>
        <w:t>41</w:t>
      </w:r>
      <w:r>
        <w:rPr/>
        <w:t>、其他应付款</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bookmarkStart w:name="（1）按款项性质列示其他应付款" w:id="336"/>
      <w:bookmarkEnd w:id="336"/>
      <w:r>
        <w:rPr>
          <w:b w:val="0"/>
          <w:bCs w:val="0"/>
        </w:rPr>
      </w:r>
      <w:r>
        <w:rPr/>
        <w:t>（</w:t>
      </w:r>
      <w:r>
        <w:rPr>
          <w:rFonts w:ascii="Times New Roman" w:hAnsi="Times New Roman" w:cs="Times New Roman" w:eastAsia="Times New Roman" w:hint="default"/>
        </w:rPr>
        <w:t>1</w:t>
      </w:r>
      <w:r>
        <w:rPr/>
        <w:t>）按款项性质列示其他应付款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应付员工报销款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1,612,452.68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37,295.99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1,916,294.61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61,989.96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5,900.00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3,590,737.25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443,195.99</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bookmarkStart w:name="（2）账龄超过1年的重要其他应付款" w:id="337"/>
      <w:bookmarkEnd w:id="337"/>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年的重要其他应付款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bookmarkStart w:name="42、持有待售的负债" w:id="338"/>
      <w:bookmarkEnd w:id="338"/>
      <w:r>
        <w:rPr>
          <w:b w:val="0"/>
          <w:bCs w:val="0"/>
        </w:rPr>
      </w:r>
      <w:r>
        <w:rPr>
          <w:rFonts w:ascii="Times New Roman" w:hAnsi="Times New Roman" w:cs="Times New Roman" w:eastAsia="Times New Roman" w:hint="default"/>
        </w:rPr>
        <w:t>42</w:t>
      </w:r>
      <w:r>
        <w:rPr/>
        <w:t>、持有待售的负债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after="0" w:line="240" w:lineRule="auto"/>
        <w:jc w:val="right"/>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bookmarkStart w:name="43、一年内到期的非流动负债" w:id="339"/>
      <w:bookmarkEnd w:id="339"/>
      <w:r>
        <w:rPr>
          <w:b w:val="0"/>
          <w:bCs w:val="0"/>
        </w:rPr>
      </w:r>
      <w:r>
        <w:rPr>
          <w:rFonts w:ascii="Times New Roman" w:hAnsi="Times New Roman" w:cs="Times New Roman" w:eastAsia="Times New Roman" w:hint="default"/>
        </w:rPr>
        <w:t>43</w:t>
      </w:r>
      <w:r>
        <w:rPr/>
        <w:t>、一年内到期的非流动负债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一年内到期的长期借款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33,000,000.00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33,000,000.00</w:t>
            </w:r>
          </w:p>
        </w:tc>
        <w:tc>
          <w:tcPr>
            <w:tcW w:w="318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bookmarkStart w:name="44、其他流动负债" w:id="340"/>
      <w:bookmarkEnd w:id="340"/>
      <w:r>
        <w:rPr>
          <w:b w:val="0"/>
          <w:bCs w:val="0"/>
        </w:rPr>
      </w:r>
      <w:r>
        <w:rPr>
          <w:rFonts w:ascii="Times New Roman" w:hAnsi="Times New Roman" w:cs="Times New Roman" w:eastAsia="Times New Roman" w:hint="default"/>
        </w:rPr>
        <w:t>44</w:t>
      </w:r>
      <w:r>
        <w:rPr/>
        <w:t>、其他流动负债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1"/>
        <w:ind w:right="0"/>
        <w:jc w:val="left"/>
      </w:pPr>
      <w:r>
        <w:rPr/>
        <w:t>短期应付债券的增减变动：</w:t>
      </w:r>
    </w:p>
    <w:p>
      <w:pPr>
        <w:pStyle w:val="BodyText"/>
        <w:spacing w:line="240" w:lineRule="auto" w:before="117"/>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8"/>
        <w:gridCol w:w="798"/>
        <w:gridCol w:w="798"/>
        <w:gridCol w:w="798"/>
        <w:gridCol w:w="798"/>
        <w:gridCol w:w="798"/>
        <w:gridCol w:w="798"/>
        <w:gridCol w:w="798"/>
        <w:gridCol w:w="798"/>
        <w:gridCol w:w="798"/>
        <w:gridCol w:w="798"/>
        <w:gridCol w:w="798"/>
      </w:tblGrid>
      <w:tr>
        <w:trPr>
          <w:trHeight w:val="714"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债券名称</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债券期限</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发行金额</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本期发行</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23" w:right="32" w:hanging="90"/>
              <w:jc w:val="left"/>
              <w:rPr>
                <w:rFonts w:ascii="宋体" w:hAnsi="宋体" w:cs="宋体" w:eastAsia="宋体" w:hint="default"/>
                <w:sz w:val="18"/>
                <w:szCs w:val="18"/>
              </w:rPr>
            </w:pPr>
            <w:r>
              <w:rPr>
                <w:rFonts w:ascii="宋体" w:hAnsi="宋体" w:cs="宋体" w:eastAsia="宋体" w:hint="default"/>
                <w:sz w:val="18"/>
                <w:szCs w:val="18"/>
              </w:rPr>
              <w:t>按面值计 提利息</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03" w:right="33" w:hanging="270"/>
              <w:jc w:val="left"/>
              <w:rPr>
                <w:rFonts w:ascii="宋体" w:hAnsi="宋体" w:cs="宋体" w:eastAsia="宋体" w:hint="default"/>
                <w:sz w:val="18"/>
                <w:szCs w:val="18"/>
              </w:rPr>
            </w:pPr>
            <w:r>
              <w:rPr>
                <w:rFonts w:ascii="宋体" w:hAnsi="宋体" w:cs="宋体" w:eastAsia="宋体" w:hint="default"/>
                <w:sz w:val="18"/>
                <w:szCs w:val="18"/>
              </w:rPr>
              <w:t>溢折价摊 销</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本期偿还</w:t>
            </w:r>
          </w:p>
        </w:tc>
        <w:tc>
          <w:tcPr>
            <w:tcW w:w="798"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240" w:lineRule="auto" w:before="52"/>
        <w:ind w:right="0"/>
        <w:jc w:val="left"/>
      </w:pPr>
      <w:r>
        <w:rPr/>
        <w:t>其他说明：</w:t>
      </w:r>
    </w:p>
    <w:p>
      <w:pPr>
        <w:spacing w:line="240" w:lineRule="auto" w:before="10"/>
        <w:rPr>
          <w:rFonts w:ascii="宋体" w:hAnsi="宋体" w:cs="宋体" w:eastAsia="宋体" w:hint="default"/>
          <w:sz w:val="26"/>
          <w:szCs w:val="26"/>
        </w:rPr>
      </w:pPr>
    </w:p>
    <w:p>
      <w:pPr>
        <w:pStyle w:val="Heading5"/>
        <w:spacing w:line="240" w:lineRule="auto"/>
        <w:ind w:right="0"/>
        <w:jc w:val="left"/>
        <w:rPr>
          <w:b w:val="0"/>
          <w:bCs w:val="0"/>
        </w:rPr>
      </w:pPr>
      <w:bookmarkStart w:name="45、长期借款" w:id="341"/>
      <w:bookmarkEnd w:id="341"/>
      <w:r>
        <w:rPr>
          <w:b w:val="0"/>
          <w:bCs w:val="0"/>
        </w:rPr>
      </w:r>
      <w:r>
        <w:rPr>
          <w:rFonts w:ascii="Times New Roman" w:hAnsi="Times New Roman" w:cs="Times New Roman" w:eastAsia="Times New Roman" w:hint="default"/>
        </w:rPr>
        <w:t>45</w:t>
      </w:r>
      <w:r>
        <w:rPr/>
        <w:t>、长期借款</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bookmarkStart w:name="（1）长期借款分类" w:id="342"/>
      <w:bookmarkEnd w:id="342"/>
      <w:r>
        <w:rPr>
          <w:b w:val="0"/>
          <w:bCs w:val="0"/>
        </w:rPr>
      </w:r>
      <w:r>
        <w:rPr/>
        <w:t>（</w:t>
      </w:r>
      <w:r>
        <w:rPr>
          <w:rFonts w:ascii="Times New Roman" w:hAnsi="Times New Roman" w:cs="Times New Roman" w:eastAsia="Times New Roman" w:hint="default"/>
        </w:rPr>
        <w:t>1</w:t>
      </w:r>
      <w:r>
        <w:rPr/>
        <w:t>）长期借款分类</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84,600,000.00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84,600,000.00</w:t>
            </w:r>
          </w:p>
        </w:tc>
        <w:tc>
          <w:tcPr>
            <w:tcW w:w="318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60" w:lineRule="auto" w:before="51"/>
        <w:ind w:right="7612"/>
        <w:jc w:val="left"/>
      </w:pPr>
      <w:r>
        <w:rPr/>
        <w:t>长期借款分类的说明： 其他说明，包括利率区间：</w:t>
      </w:r>
    </w:p>
    <w:p>
      <w:pPr>
        <w:spacing w:line="240" w:lineRule="auto" w:before="11"/>
        <w:rPr>
          <w:rFonts w:ascii="宋体" w:hAnsi="宋体" w:cs="宋体" w:eastAsia="宋体" w:hint="default"/>
          <w:sz w:val="19"/>
          <w:szCs w:val="19"/>
        </w:rPr>
      </w:pPr>
    </w:p>
    <w:p>
      <w:pPr>
        <w:pStyle w:val="Heading5"/>
        <w:spacing w:line="240" w:lineRule="auto"/>
        <w:ind w:right="0"/>
        <w:jc w:val="left"/>
        <w:rPr>
          <w:b w:val="0"/>
          <w:bCs w:val="0"/>
        </w:rPr>
      </w:pPr>
      <w:bookmarkStart w:name="46、应付债券" w:id="343"/>
      <w:bookmarkEnd w:id="343"/>
      <w:r>
        <w:rPr>
          <w:b w:val="0"/>
          <w:bCs w:val="0"/>
        </w:rPr>
      </w:r>
      <w:r>
        <w:rPr>
          <w:rFonts w:ascii="Times New Roman" w:hAnsi="Times New Roman" w:cs="Times New Roman" w:eastAsia="Times New Roman" w:hint="default"/>
        </w:rPr>
        <w:t>46</w:t>
      </w:r>
      <w:r>
        <w:rPr/>
        <w:t>、应付债券</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bookmarkStart w:name="（1）应付债券" w:id="344"/>
      <w:bookmarkEnd w:id="344"/>
      <w:r>
        <w:rPr>
          <w:b w:val="0"/>
          <w:bCs w:val="0"/>
        </w:rPr>
      </w:r>
      <w:r>
        <w:rPr/>
        <w:t>（</w:t>
      </w:r>
      <w:r>
        <w:rPr>
          <w:rFonts w:ascii="Times New Roman" w:hAnsi="Times New Roman" w:cs="Times New Roman" w:eastAsia="Times New Roman" w:hint="default"/>
        </w:rPr>
        <w:t>1</w:t>
      </w:r>
      <w:r>
        <w:rPr/>
        <w:t>）应付债券</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980"/>
        </w:sectPr>
      </w:pPr>
    </w:p>
    <w:p>
      <w:pPr>
        <w:spacing w:line="240" w:lineRule="auto" w:before="10"/>
        <w:rPr>
          <w:rFonts w:ascii="宋体" w:hAnsi="宋体" w:cs="宋体" w:eastAsia="宋体" w:hint="default"/>
          <w:sz w:val="24"/>
          <w:szCs w:val="24"/>
        </w:rPr>
      </w:pPr>
    </w:p>
    <w:p>
      <w:pPr>
        <w:pStyle w:val="Heading5"/>
        <w:spacing w:line="240" w:lineRule="auto" w:before="35"/>
        <w:ind w:right="0"/>
        <w:jc w:val="left"/>
        <w:rPr>
          <w:b w:val="0"/>
          <w:bCs w:val="0"/>
        </w:rPr>
      </w:pPr>
      <w:bookmarkStart w:name="（2）应付债券的增减变动（不包括划分为金融负债的优先股、永续债等其他金融工具）" w:id="345"/>
      <w:bookmarkEnd w:id="345"/>
      <w:r>
        <w:rPr>
          <w:b w:val="0"/>
          <w:bCs w:val="0"/>
        </w:rPr>
      </w:r>
      <w:r>
        <w:rPr/>
        <w:t>（</w:t>
      </w:r>
      <w:r>
        <w:rPr>
          <w:rFonts w:ascii="Times New Roman" w:hAnsi="Times New Roman" w:cs="Times New Roman" w:eastAsia="Times New Roman" w:hint="default"/>
        </w:rPr>
        <w:t>2</w:t>
      </w:r>
      <w:r>
        <w:rPr/>
        <w:t>）应付债券的增减变动（不包括划分为金融负债的优先股、永续债等其他金融工具）</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bookmarkStart w:name="（3）可转换公司债券的转股条件、转股时间说明" w:id="346"/>
      <w:bookmarkEnd w:id="346"/>
      <w:r>
        <w:rPr>
          <w:b w:val="0"/>
          <w:bCs w:val="0"/>
        </w:rPr>
      </w:r>
      <w:r>
        <w:rPr/>
        <w:t>（</w:t>
      </w:r>
      <w:r>
        <w:rPr>
          <w:rFonts w:ascii="Times New Roman" w:hAnsi="Times New Roman" w:cs="Times New Roman" w:eastAsia="Times New Roman" w:hint="default"/>
        </w:rPr>
        <w:t>3</w:t>
      </w:r>
      <w:r>
        <w:rPr/>
        <w:t>）可转换公司债券的转股条件、转股时间说明</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right="0"/>
        <w:jc w:val="left"/>
        <w:rPr>
          <w:b w:val="0"/>
          <w:bCs w:val="0"/>
        </w:rPr>
      </w:pPr>
      <w:bookmarkStart w:name="（4）划分为金融负债的其他金融工具说明" w:id="347"/>
      <w:bookmarkEnd w:id="347"/>
      <w:r>
        <w:rPr>
          <w:b w:val="0"/>
          <w:bCs w:val="0"/>
        </w:rPr>
      </w:r>
      <w:r>
        <w:rPr/>
        <w:t>（</w:t>
      </w:r>
      <w:r>
        <w:rPr>
          <w:rFonts w:ascii="Times New Roman" w:hAnsi="Times New Roman" w:cs="Times New Roman" w:eastAsia="Times New Roman" w:hint="default"/>
        </w:rPr>
        <w:t>4</w:t>
      </w:r>
      <w:r>
        <w:rPr/>
        <w:t>）划分为金融负债的其他金融工具说明</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980"/>
        </w:sectPr>
      </w:pPr>
    </w:p>
    <w:p>
      <w:pPr>
        <w:pStyle w:val="BodyText"/>
        <w:spacing w:line="360" w:lineRule="auto"/>
        <w:ind w:right="-20"/>
        <w:jc w:val="left"/>
      </w:pPr>
      <w:r>
        <w:rPr/>
        <w:t>期末发行在外的优先股、永续债等其他金融工具基本情况 期末发行在外的优先股、永续债等金融工具变动情况表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before="0"/>
        <w:ind w:left="153" w:right="0"/>
        <w:jc w:val="left"/>
      </w:pPr>
      <w:r>
        <w:rPr/>
        <w:t>单位： 元</w:t>
      </w:r>
    </w:p>
    <w:p>
      <w:pPr>
        <w:spacing w:after="0" w:line="240" w:lineRule="auto"/>
        <w:jc w:val="left"/>
        <w:sectPr>
          <w:type w:val="continuous"/>
          <w:pgSz w:w="11910" w:h="16840"/>
          <w:pgMar w:top="1060" w:bottom="1160" w:left="980" w:right="980"/>
          <w:cols w:num="2" w:equalWidth="0">
            <w:col w:w="4655" w:space="4175"/>
            <w:col w:w="1120"/>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6"/>
        <w:gridCol w:w="1067"/>
        <w:gridCol w:w="1063"/>
        <w:gridCol w:w="1062"/>
        <w:gridCol w:w="1063"/>
        <w:gridCol w:w="1062"/>
        <w:gridCol w:w="1062"/>
        <w:gridCol w:w="1062"/>
        <w:gridCol w:w="1051"/>
      </w:tblGrid>
      <w:tr>
        <w:trPr>
          <w:trHeight w:val="402" w:hRule="exact"/>
        </w:trPr>
        <w:tc>
          <w:tcPr>
            <w:tcW w:w="10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6"/>
              <w:ind w:left="166" w:right="77" w:hanging="90"/>
              <w:jc w:val="left"/>
              <w:rPr>
                <w:rFonts w:ascii="宋体" w:hAnsi="宋体" w:cs="宋体" w:eastAsia="宋体" w:hint="default"/>
                <w:sz w:val="18"/>
                <w:szCs w:val="18"/>
              </w:rPr>
            </w:pPr>
            <w:r>
              <w:rPr>
                <w:rFonts w:ascii="宋体" w:hAnsi="宋体" w:cs="宋体" w:eastAsia="宋体" w:hint="default"/>
                <w:sz w:val="18"/>
                <w:szCs w:val="18"/>
              </w:rPr>
              <w:t>发行在外的 金融工具</w:t>
            </w:r>
          </w:p>
        </w:tc>
        <w:tc>
          <w:tcPr>
            <w:tcW w:w="21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w:t>
            </w:r>
          </w:p>
        </w:tc>
        <w:tc>
          <w:tcPr>
            <w:tcW w:w="21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97"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9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1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 w:right="0"/>
              <w:jc w:val="center"/>
              <w:rPr>
                <w:rFonts w:ascii="宋体" w:hAnsi="宋体" w:cs="宋体" w:eastAsia="宋体" w:hint="default"/>
                <w:sz w:val="18"/>
                <w:szCs w:val="18"/>
              </w:rPr>
            </w:pPr>
            <w:r>
              <w:rPr>
                <w:rFonts w:ascii="宋体" w:hAnsi="宋体" w:cs="宋体" w:eastAsia="宋体" w:hint="default"/>
                <w:sz w:val="18"/>
                <w:szCs w:val="18"/>
              </w:rPr>
              <w:t>期末</w:t>
            </w:r>
          </w:p>
        </w:tc>
      </w:tr>
      <w:tr>
        <w:trPr>
          <w:trHeight w:val="402" w:hRule="exact"/>
        </w:trPr>
        <w:tc>
          <w:tcPr>
            <w:tcW w:w="1066" w:type="dxa"/>
            <w:vMerge/>
            <w:tcBorders>
              <w:left w:val="single" w:sz="4" w:space="0" w:color="000000"/>
              <w:bottom w:val="single" w:sz="4" w:space="0" w:color="000000"/>
              <w:right w:val="single" w:sz="4" w:space="0" w:color="000000"/>
            </w:tcBorders>
            <w:shd w:val="clear" w:color="auto" w:fill="D2D2D2"/>
          </w:tcPr>
          <w:p>
            <w:pPr/>
          </w:p>
        </w:tc>
        <w:tc>
          <w:tcPr>
            <w:tcW w:w="10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4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6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pStyle w:val="BodyText"/>
        <w:spacing w:line="357" w:lineRule="auto" w:before="52"/>
        <w:ind w:right="6532"/>
        <w:jc w:val="left"/>
      </w:pPr>
      <w:r>
        <w:rPr/>
        <w:t>其他金融工具划分为金融负债的依据说明 其他说明</w:t>
      </w:r>
    </w:p>
    <w:p>
      <w:pPr>
        <w:spacing w:line="240" w:lineRule="auto" w:before="1"/>
        <w:rPr>
          <w:rFonts w:ascii="宋体" w:hAnsi="宋体" w:cs="宋体" w:eastAsia="宋体" w:hint="default"/>
          <w:sz w:val="20"/>
          <w:szCs w:val="20"/>
        </w:rPr>
      </w:pPr>
    </w:p>
    <w:p>
      <w:pPr>
        <w:pStyle w:val="Heading5"/>
        <w:spacing w:line="240" w:lineRule="auto"/>
        <w:ind w:right="0"/>
        <w:jc w:val="left"/>
        <w:rPr>
          <w:b w:val="0"/>
          <w:bCs w:val="0"/>
        </w:rPr>
      </w:pPr>
      <w:bookmarkStart w:name="47、长期应付款" w:id="348"/>
      <w:bookmarkEnd w:id="348"/>
      <w:r>
        <w:rPr>
          <w:b w:val="0"/>
          <w:bCs w:val="0"/>
        </w:rPr>
      </w:r>
      <w:r>
        <w:rPr>
          <w:rFonts w:ascii="Times New Roman" w:hAnsi="Times New Roman" w:cs="Times New Roman" w:eastAsia="Times New Roman" w:hint="default"/>
        </w:rPr>
        <w:t>47</w:t>
      </w:r>
      <w:r>
        <w:rPr/>
        <w:t>、长期应付款</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bookmarkStart w:name="（1）按款项性质列示长期应付款" w:id="349"/>
      <w:bookmarkEnd w:id="349"/>
      <w:r>
        <w:rPr>
          <w:b w:val="0"/>
          <w:bCs w:val="0"/>
        </w:rPr>
      </w:r>
      <w:r>
        <w:rPr/>
        <w:t>（</w:t>
      </w:r>
      <w:r>
        <w:rPr>
          <w:rFonts w:ascii="Times New Roman" w:hAnsi="Times New Roman" w:cs="Times New Roman" w:eastAsia="Times New Roman" w:hint="default"/>
        </w:rPr>
        <w:t>1</w:t>
      </w:r>
      <w:r>
        <w:rPr/>
        <w:t>）按款项性质列示长期应付款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应付股权收购款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364,000,000.00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364,000,000.00</w:t>
            </w:r>
          </w:p>
        </w:tc>
        <w:tc>
          <w:tcPr>
            <w:tcW w:w="318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bookmarkStart w:name="48、长期应付职工薪酬" w:id="350"/>
      <w:bookmarkEnd w:id="350"/>
      <w:r>
        <w:rPr>
          <w:b w:val="0"/>
          <w:bCs w:val="0"/>
        </w:rPr>
      </w:r>
      <w:r>
        <w:rPr>
          <w:rFonts w:ascii="Times New Roman" w:hAnsi="Times New Roman" w:cs="Times New Roman" w:eastAsia="Times New Roman" w:hint="default"/>
        </w:rPr>
        <w:t>48</w:t>
      </w:r>
      <w:r>
        <w:rPr/>
        <w:t>、长期应付职工薪酬</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bookmarkStart w:name="（1）长期应付职工薪酬表" w:id="351"/>
      <w:bookmarkEnd w:id="351"/>
      <w:r>
        <w:rPr>
          <w:b w:val="0"/>
          <w:bCs w:val="0"/>
        </w:rPr>
      </w:r>
      <w:r>
        <w:rPr/>
        <w:t>（</w:t>
      </w:r>
      <w:r>
        <w:rPr>
          <w:rFonts w:ascii="Times New Roman" w:hAnsi="Times New Roman" w:cs="Times New Roman" w:eastAsia="Times New Roman" w:hint="default"/>
        </w:rPr>
        <w:t>1</w:t>
      </w:r>
      <w:r>
        <w:rPr/>
        <w:t>）长期应付职工薪酬表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bookmarkStart w:name="（2）设定受益计划变动情况" w:id="352"/>
      <w:bookmarkEnd w:id="352"/>
      <w:r>
        <w:rPr>
          <w:b w:val="0"/>
          <w:bCs w:val="0"/>
        </w:rPr>
      </w:r>
      <w:r>
        <w:rPr/>
        <w:t>（</w:t>
      </w:r>
      <w:r>
        <w:rPr>
          <w:rFonts w:ascii="Times New Roman" w:hAnsi="Times New Roman" w:cs="Times New Roman" w:eastAsia="Times New Roman" w:hint="default"/>
        </w:rPr>
        <w:t>2</w:t>
      </w:r>
      <w:r>
        <w:rPr/>
        <w:t>）设定受益计划变动情况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right="0"/>
        <w:jc w:val="left"/>
      </w:pPr>
      <w:r>
        <w:rPr/>
        <w:t>设定受益计划义务现值：</w:t>
      </w:r>
    </w:p>
    <w:p>
      <w:pPr>
        <w:pStyle w:val="BodyText"/>
        <w:spacing w:line="240" w:lineRule="auto" w:before="117"/>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51"/>
        <w:ind w:right="0"/>
        <w:jc w:val="left"/>
      </w:pPr>
      <w:r>
        <w:rPr/>
        <w:t>计划资产：</w:t>
      </w:r>
    </w:p>
    <w:p>
      <w:pPr>
        <w:pStyle w:val="BodyText"/>
        <w:spacing w:line="240" w:lineRule="auto" w:before="117"/>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52"/>
        <w:ind w:right="0"/>
        <w:jc w:val="left"/>
      </w:pPr>
      <w:r>
        <w:rPr/>
        <w:t>设定受益计划净负债（净资产）</w:t>
      </w:r>
    </w:p>
    <w:p>
      <w:pPr>
        <w:spacing w:after="0" w:line="240" w:lineRule="auto"/>
        <w:jc w:val="left"/>
        <w:sectPr>
          <w:type w:val="continuous"/>
          <w:pgSz w:w="11910" w:h="16840"/>
          <w:pgMar w:top="1060" w:bottom="1160" w:left="980" w:right="980"/>
        </w:sectPr>
      </w:pPr>
    </w:p>
    <w:p>
      <w:pPr>
        <w:spacing w:line="240" w:lineRule="auto" w:before="13"/>
        <w:rPr>
          <w:rFonts w:ascii="宋体" w:hAnsi="宋体" w:cs="宋体" w:eastAsia="宋体" w:hint="default"/>
          <w:sz w:val="25"/>
          <w:szCs w:val="25"/>
        </w:rPr>
      </w:pPr>
    </w:p>
    <w:p>
      <w:pPr>
        <w:pStyle w:val="BodyText"/>
        <w:spacing w:line="240" w:lineRule="auto"/>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357" w:lineRule="auto" w:before="52"/>
        <w:ind w:right="2572"/>
        <w:jc w:val="left"/>
      </w:pPr>
      <w:r>
        <w:rPr/>
        <w:t>设定受益计划的内容及与之相关风险、对公司未来现金流量、时间和不确定性的影响说明： 设定受益计划重大精算假设及敏感性分析结果说明：</w:t>
      </w:r>
    </w:p>
    <w:p>
      <w:pPr>
        <w:pStyle w:val="BodyText"/>
        <w:spacing w:line="240" w:lineRule="auto" w:before="29"/>
        <w:ind w:right="0"/>
        <w:jc w:val="left"/>
      </w:pPr>
      <w:r>
        <w:rPr/>
        <w:t>其他说明：</w:t>
      </w:r>
    </w:p>
    <w:p>
      <w:pPr>
        <w:spacing w:line="240" w:lineRule="auto" w:before="10"/>
        <w:rPr>
          <w:rFonts w:ascii="宋体" w:hAnsi="宋体" w:cs="宋体" w:eastAsia="宋体" w:hint="default"/>
          <w:sz w:val="26"/>
          <w:szCs w:val="26"/>
        </w:rPr>
      </w:pPr>
    </w:p>
    <w:p>
      <w:pPr>
        <w:pStyle w:val="Heading5"/>
        <w:spacing w:line="240" w:lineRule="auto"/>
        <w:ind w:right="0"/>
        <w:jc w:val="left"/>
        <w:rPr>
          <w:b w:val="0"/>
          <w:bCs w:val="0"/>
        </w:rPr>
      </w:pPr>
      <w:bookmarkStart w:name="49、专项应付款" w:id="353"/>
      <w:bookmarkEnd w:id="353"/>
      <w:r>
        <w:rPr>
          <w:b w:val="0"/>
          <w:bCs w:val="0"/>
        </w:rPr>
      </w:r>
      <w:r>
        <w:rPr>
          <w:rFonts w:ascii="Times New Roman" w:hAnsi="Times New Roman" w:cs="Times New Roman" w:eastAsia="Times New Roman" w:hint="default"/>
        </w:rPr>
        <w:t>49</w:t>
      </w:r>
      <w:r>
        <w:rPr/>
        <w:t>、专项应付款</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402"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形成原因</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bookmarkStart w:name="50、预计负债" w:id="354"/>
      <w:bookmarkEnd w:id="354"/>
      <w:r>
        <w:rPr>
          <w:b w:val="0"/>
          <w:bCs w:val="0"/>
        </w:rPr>
      </w:r>
      <w:r>
        <w:rPr>
          <w:rFonts w:ascii="Times New Roman" w:hAnsi="Times New Roman" w:cs="Times New Roman" w:eastAsia="Times New Roman" w:hint="default"/>
        </w:rPr>
        <w:t>50</w:t>
      </w:r>
      <w:r>
        <w:rPr/>
        <w:t>、预计负债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形成原因</w:t>
            </w:r>
          </w:p>
        </w:tc>
      </w:tr>
    </w:tbl>
    <w:p>
      <w:pPr>
        <w:pStyle w:val="BodyText"/>
        <w:spacing w:line="240" w:lineRule="auto" w:before="51"/>
        <w:ind w:right="0"/>
        <w:jc w:val="left"/>
      </w:pPr>
      <w:r>
        <w:rPr/>
        <w:t>其他说明，包括重要预计负债的相关重要假设、估计说明：</w:t>
      </w: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bookmarkStart w:name="51、递延收益" w:id="355"/>
      <w:bookmarkEnd w:id="355"/>
      <w:r>
        <w:rPr>
          <w:b w:val="0"/>
          <w:bCs w:val="0"/>
        </w:rPr>
      </w:r>
      <w:r>
        <w:rPr>
          <w:rFonts w:ascii="Times New Roman" w:hAnsi="Times New Roman" w:cs="Times New Roman" w:eastAsia="Times New Roman" w:hint="default"/>
        </w:rPr>
        <w:t>51</w:t>
      </w:r>
      <w:r>
        <w:rPr/>
        <w:t>、递延收益</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402"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形成原因</w:t>
            </w:r>
          </w:p>
        </w:tc>
      </w:tr>
    </w:tbl>
    <w:p>
      <w:pPr>
        <w:pStyle w:val="BodyText"/>
        <w:spacing w:line="240" w:lineRule="auto" w:before="52"/>
        <w:ind w:right="0"/>
        <w:jc w:val="left"/>
      </w:pPr>
      <w:r>
        <w:rPr/>
        <w:t>涉及政府补助的项目：</w:t>
      </w:r>
    </w:p>
    <w:p>
      <w:pPr>
        <w:pStyle w:val="BodyText"/>
        <w:spacing w:line="240" w:lineRule="auto" w:before="116"/>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4"/>
        <w:gridCol w:w="1064"/>
        <w:gridCol w:w="1063"/>
        <w:gridCol w:w="1064"/>
        <w:gridCol w:w="1063"/>
        <w:gridCol w:w="1063"/>
        <w:gridCol w:w="1064"/>
        <w:gridCol w:w="1062"/>
        <w:gridCol w:w="1063"/>
      </w:tblGrid>
      <w:tr>
        <w:trPr>
          <w:trHeight w:val="1026"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5"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6"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56" w:right="74" w:hanging="180"/>
              <w:jc w:val="left"/>
              <w:rPr>
                <w:rFonts w:ascii="宋体" w:hAnsi="宋体" w:cs="宋体" w:eastAsia="宋体" w:hint="default"/>
                <w:sz w:val="18"/>
                <w:szCs w:val="18"/>
              </w:rPr>
            </w:pPr>
            <w:r>
              <w:rPr>
                <w:rFonts w:ascii="宋体" w:hAnsi="宋体" w:cs="宋体" w:eastAsia="宋体" w:hint="default"/>
                <w:sz w:val="18"/>
                <w:szCs w:val="18"/>
              </w:rPr>
              <w:t>本期新增补 助金额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5" w:right="76"/>
              <w:jc w:val="center"/>
              <w:rPr>
                <w:rFonts w:ascii="宋体" w:hAnsi="宋体" w:cs="宋体" w:eastAsia="宋体" w:hint="default"/>
                <w:sz w:val="18"/>
                <w:szCs w:val="18"/>
              </w:rPr>
            </w:pPr>
            <w:r>
              <w:rPr>
                <w:rFonts w:ascii="宋体" w:hAnsi="宋体" w:cs="宋体" w:eastAsia="宋体" w:hint="default"/>
                <w:sz w:val="18"/>
                <w:szCs w:val="18"/>
              </w:rPr>
              <w:t>本期计入营 业外收入金 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5" w:right="77"/>
              <w:jc w:val="left"/>
              <w:rPr>
                <w:rFonts w:ascii="宋体" w:hAnsi="宋体" w:cs="宋体" w:eastAsia="宋体" w:hint="default"/>
                <w:sz w:val="18"/>
                <w:szCs w:val="18"/>
              </w:rPr>
            </w:pPr>
            <w:r>
              <w:rPr>
                <w:rFonts w:ascii="宋体" w:hAnsi="宋体" w:cs="宋体" w:eastAsia="宋体" w:hint="default"/>
                <w:sz w:val="18"/>
                <w:szCs w:val="18"/>
              </w:rPr>
              <w:t>本期计入其 他收益金额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5" w:right="77"/>
              <w:jc w:val="left"/>
              <w:rPr>
                <w:rFonts w:ascii="宋体" w:hAnsi="宋体" w:cs="宋体" w:eastAsia="宋体" w:hint="default"/>
                <w:sz w:val="18"/>
                <w:szCs w:val="18"/>
              </w:rPr>
            </w:pPr>
            <w:r>
              <w:rPr>
                <w:rFonts w:ascii="宋体" w:hAnsi="宋体" w:cs="宋体" w:eastAsia="宋体" w:hint="default"/>
                <w:sz w:val="18"/>
                <w:szCs w:val="18"/>
              </w:rPr>
              <w:t>本期冲减成 本费用金额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5"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5"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00" w:lineRule="auto"/>
              <w:ind w:left="76" w:right="51" w:hanging="2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bookmarkStart w:name="52、其他非流动负债" w:id="356"/>
      <w:bookmarkEnd w:id="356"/>
      <w:r>
        <w:rPr>
          <w:b w:val="0"/>
          <w:bCs w:val="0"/>
        </w:rPr>
      </w:r>
      <w:r>
        <w:rPr>
          <w:rFonts w:ascii="Times New Roman" w:hAnsi="Times New Roman" w:cs="Times New Roman" w:eastAsia="Times New Roman" w:hint="default"/>
        </w:rPr>
        <w:t>52</w:t>
      </w:r>
      <w:r>
        <w:rPr/>
        <w:t>、其他非流动负债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bookmarkStart w:name="53、股本" w:id="357"/>
      <w:bookmarkEnd w:id="357"/>
      <w:r>
        <w:rPr>
          <w:b w:val="0"/>
          <w:bCs w:val="0"/>
        </w:rPr>
      </w:r>
      <w:r>
        <w:rPr>
          <w:rFonts w:ascii="Times New Roman" w:hAnsi="Times New Roman" w:cs="Times New Roman" w:eastAsia="Times New Roman" w:hint="default"/>
        </w:rPr>
        <w:t>53</w:t>
      </w:r>
      <w:r>
        <w:rPr/>
        <w:t>、股本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196"/>
        <w:gridCol w:w="1196"/>
        <w:gridCol w:w="1196"/>
        <w:gridCol w:w="1197"/>
        <w:gridCol w:w="1195"/>
        <w:gridCol w:w="1197"/>
        <w:gridCol w:w="1196"/>
        <w:gridCol w:w="1195"/>
      </w:tblGrid>
      <w:tr>
        <w:trPr>
          <w:trHeight w:val="402" w:hRule="exact"/>
        </w:trPr>
        <w:tc>
          <w:tcPr>
            <w:tcW w:w="1196" w:type="dxa"/>
            <w:vMerge w:val="restart"/>
            <w:tcBorders>
              <w:top w:val="single" w:sz="4" w:space="0" w:color="000000"/>
              <w:left w:val="single" w:sz="4" w:space="0" w:color="000000"/>
              <w:right w:val="single" w:sz="4" w:space="0" w:color="000000"/>
            </w:tcBorders>
            <w:shd w:val="clear" w:color="auto" w:fill="D2D2D2"/>
          </w:tcPr>
          <w:p>
            <w:pP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82"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196"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3"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42"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小计</w:t>
            </w:r>
          </w:p>
        </w:tc>
        <w:tc>
          <w:tcPr>
            <w:tcW w:w="1195"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184"/>
        <w:gridCol w:w="1208"/>
        <w:gridCol w:w="1196"/>
        <w:gridCol w:w="1197"/>
        <w:gridCol w:w="1195"/>
        <w:gridCol w:w="1197"/>
        <w:gridCol w:w="1196"/>
        <w:gridCol w:w="1195"/>
      </w:tblGrid>
      <w:tr>
        <w:trPr>
          <w:trHeight w:val="402" w:hRule="exact"/>
        </w:trPr>
        <w:tc>
          <w:tcPr>
            <w:tcW w:w="1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20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34" w:right="0"/>
              <w:jc w:val="left"/>
              <w:rPr>
                <w:rFonts w:ascii="Times New Roman" w:hAnsi="Times New Roman" w:cs="Times New Roman" w:eastAsia="Times New Roman" w:hint="default"/>
                <w:sz w:val="18"/>
                <w:szCs w:val="18"/>
              </w:rPr>
            </w:pPr>
            <w:r>
              <w:rPr>
                <w:rFonts w:ascii="Times New Roman"/>
                <w:sz w:val="18"/>
              </w:rPr>
              <w:t>66,670,000.00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8" w:right="0"/>
              <w:jc w:val="left"/>
              <w:rPr>
                <w:rFonts w:ascii="Times New Roman" w:hAnsi="Times New Roman" w:cs="Times New Roman" w:eastAsia="Times New Roman" w:hint="default"/>
                <w:sz w:val="18"/>
                <w:szCs w:val="18"/>
              </w:rPr>
            </w:pPr>
            <w:r>
              <w:rPr>
                <w:rFonts w:ascii="Times New Roman"/>
                <w:sz w:val="18"/>
              </w:rPr>
              <w:t>66,670,000.00</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bookmarkStart w:name="54、其他权益工具" w:id="358"/>
      <w:bookmarkEnd w:id="358"/>
      <w:r>
        <w:rPr>
          <w:b w:val="0"/>
          <w:bCs w:val="0"/>
        </w:rPr>
      </w:r>
      <w:r>
        <w:rPr>
          <w:rFonts w:ascii="Times New Roman" w:hAnsi="Times New Roman" w:cs="Times New Roman" w:eastAsia="Times New Roman" w:hint="default"/>
        </w:rPr>
        <w:t>54</w:t>
      </w:r>
      <w:r>
        <w:rPr/>
        <w:t>、其他权益工具</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bookmarkStart w:name="（1）期末发行在外的优先股、永续债等其他金融工具基本情况" w:id="359"/>
      <w:bookmarkEnd w:id="359"/>
      <w:r>
        <w:rPr>
          <w:b w:val="0"/>
          <w:bCs w:val="0"/>
        </w:rPr>
      </w:r>
      <w:r>
        <w:rPr/>
        <w:t>（</w:t>
      </w:r>
      <w:r>
        <w:rPr>
          <w:rFonts w:ascii="Times New Roman" w:hAnsi="Times New Roman" w:cs="Times New Roman" w:eastAsia="Times New Roman" w:hint="default"/>
        </w:rPr>
        <w:t>1</w:t>
      </w:r>
      <w:r>
        <w:rPr/>
        <w:t>）期末发行在外的优先股、永续债等其他金融工具基本情况</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bookmarkStart w:name="（2）期末发行在外的优先股、永续债等金融工具变动情况表" w:id="360"/>
      <w:bookmarkEnd w:id="360"/>
      <w:r>
        <w:rPr>
          <w:b w:val="0"/>
          <w:bCs w:val="0"/>
        </w:rPr>
      </w:r>
      <w:r>
        <w:rPr/>
        <w:t>（</w:t>
      </w:r>
      <w:r>
        <w:rPr>
          <w:rFonts w:ascii="Times New Roman" w:hAnsi="Times New Roman" w:cs="Times New Roman" w:eastAsia="Times New Roman" w:hint="default"/>
        </w:rPr>
        <w:t>2</w:t>
      </w:r>
      <w:r>
        <w:rPr/>
        <w:t>）期末发行在外的优先股、永续债等金融工具变动情况表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6"/>
        <w:gridCol w:w="1067"/>
        <w:gridCol w:w="1063"/>
        <w:gridCol w:w="1062"/>
        <w:gridCol w:w="1063"/>
        <w:gridCol w:w="1062"/>
        <w:gridCol w:w="1062"/>
        <w:gridCol w:w="1062"/>
        <w:gridCol w:w="1051"/>
      </w:tblGrid>
      <w:tr>
        <w:trPr>
          <w:trHeight w:val="402" w:hRule="exact"/>
        </w:trPr>
        <w:tc>
          <w:tcPr>
            <w:tcW w:w="10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6"/>
              <w:ind w:left="166" w:right="77" w:hanging="90"/>
              <w:jc w:val="left"/>
              <w:rPr>
                <w:rFonts w:ascii="宋体" w:hAnsi="宋体" w:cs="宋体" w:eastAsia="宋体" w:hint="default"/>
                <w:sz w:val="18"/>
                <w:szCs w:val="18"/>
              </w:rPr>
            </w:pPr>
            <w:r>
              <w:rPr>
                <w:rFonts w:ascii="宋体" w:hAnsi="宋体" w:cs="宋体" w:eastAsia="宋体" w:hint="default"/>
                <w:sz w:val="18"/>
                <w:szCs w:val="18"/>
              </w:rPr>
              <w:t>发行在外的 金融工具</w:t>
            </w:r>
          </w:p>
        </w:tc>
        <w:tc>
          <w:tcPr>
            <w:tcW w:w="21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w:t>
            </w:r>
          </w:p>
        </w:tc>
        <w:tc>
          <w:tcPr>
            <w:tcW w:w="21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97"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9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1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 w:right="0"/>
              <w:jc w:val="center"/>
              <w:rPr>
                <w:rFonts w:ascii="宋体" w:hAnsi="宋体" w:cs="宋体" w:eastAsia="宋体" w:hint="default"/>
                <w:sz w:val="18"/>
                <w:szCs w:val="18"/>
              </w:rPr>
            </w:pPr>
            <w:r>
              <w:rPr>
                <w:rFonts w:ascii="宋体" w:hAnsi="宋体" w:cs="宋体" w:eastAsia="宋体" w:hint="default"/>
                <w:sz w:val="18"/>
                <w:szCs w:val="18"/>
              </w:rPr>
              <w:t>期末</w:t>
            </w:r>
          </w:p>
        </w:tc>
      </w:tr>
      <w:tr>
        <w:trPr>
          <w:trHeight w:val="402" w:hRule="exact"/>
        </w:trPr>
        <w:tc>
          <w:tcPr>
            <w:tcW w:w="1066" w:type="dxa"/>
            <w:vMerge/>
            <w:tcBorders>
              <w:left w:val="single" w:sz="4" w:space="0" w:color="000000"/>
              <w:bottom w:val="single" w:sz="4" w:space="0" w:color="000000"/>
              <w:right w:val="single" w:sz="4" w:space="0" w:color="000000"/>
            </w:tcBorders>
            <w:shd w:val="clear" w:color="auto" w:fill="D2D2D2"/>
          </w:tcPr>
          <w:p>
            <w:pPr/>
          </w:p>
        </w:tc>
        <w:tc>
          <w:tcPr>
            <w:tcW w:w="10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4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6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pStyle w:val="BodyText"/>
        <w:spacing w:line="357" w:lineRule="auto" w:before="52"/>
        <w:ind w:right="3652"/>
        <w:jc w:val="left"/>
      </w:pPr>
      <w:r>
        <w:rPr/>
        <w:t>其他权益工具本期增减变动情况、变动原因说明，以及相关会计处理的依据： 其他说明：</w:t>
      </w:r>
    </w:p>
    <w:p>
      <w:pPr>
        <w:spacing w:line="240" w:lineRule="auto" w:before="1"/>
        <w:rPr>
          <w:rFonts w:ascii="宋体" w:hAnsi="宋体" w:cs="宋体" w:eastAsia="宋体" w:hint="default"/>
          <w:sz w:val="20"/>
          <w:szCs w:val="20"/>
        </w:rPr>
      </w:pPr>
    </w:p>
    <w:p>
      <w:pPr>
        <w:pStyle w:val="Heading5"/>
        <w:spacing w:line="240" w:lineRule="auto"/>
        <w:ind w:right="0"/>
        <w:jc w:val="left"/>
        <w:rPr>
          <w:b w:val="0"/>
          <w:bCs w:val="0"/>
        </w:rPr>
      </w:pPr>
      <w:bookmarkStart w:name="55、资本公积" w:id="361"/>
      <w:bookmarkEnd w:id="361"/>
      <w:r>
        <w:rPr>
          <w:b w:val="0"/>
          <w:bCs w:val="0"/>
        </w:rPr>
      </w:r>
      <w:r>
        <w:rPr>
          <w:rFonts w:ascii="Times New Roman" w:hAnsi="Times New Roman" w:cs="Times New Roman" w:eastAsia="Times New Roman" w:hint="default"/>
        </w:rPr>
        <w:t>55</w:t>
      </w:r>
      <w:r>
        <w:rPr/>
        <w:t>、资本公积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759" w:right="0"/>
              <w:jc w:val="left"/>
              <w:rPr>
                <w:rFonts w:ascii="Times New Roman" w:hAnsi="Times New Roman" w:cs="Times New Roman" w:eastAsia="Times New Roman" w:hint="default"/>
                <w:sz w:val="18"/>
                <w:szCs w:val="18"/>
              </w:rPr>
            </w:pPr>
            <w:r>
              <w:rPr>
                <w:rFonts w:ascii="Times New Roman"/>
                <w:sz w:val="18"/>
              </w:rPr>
              <w:t>240,142,564.59</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5" w:right="0"/>
              <w:jc w:val="left"/>
              <w:rPr>
                <w:rFonts w:ascii="Times New Roman" w:hAnsi="Times New Roman" w:cs="Times New Roman" w:eastAsia="Times New Roman" w:hint="default"/>
                <w:sz w:val="18"/>
                <w:szCs w:val="18"/>
              </w:rPr>
            </w:pPr>
            <w:r>
              <w:rPr>
                <w:rFonts w:ascii="Times New Roman"/>
                <w:sz w:val="18"/>
              </w:rPr>
              <w:t>240,142,564.59</w:t>
            </w:r>
          </w:p>
        </w:tc>
      </w:tr>
    </w:tbl>
    <w:p>
      <w:pPr>
        <w:pStyle w:val="BodyText"/>
        <w:spacing w:line="240" w:lineRule="auto" w:before="51"/>
        <w:ind w:right="0"/>
        <w:jc w:val="left"/>
      </w:pPr>
      <w:r>
        <w:rPr/>
        <w:t>其他说明，包括本期增减变动情况、变动原因说明：</w:t>
      </w: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bookmarkStart w:name="56、库存股" w:id="362"/>
      <w:bookmarkEnd w:id="362"/>
      <w:r>
        <w:rPr>
          <w:b w:val="0"/>
          <w:bCs w:val="0"/>
        </w:rPr>
      </w:r>
      <w:r>
        <w:rPr>
          <w:rFonts w:ascii="Times New Roman" w:hAnsi="Times New Roman" w:cs="Times New Roman" w:eastAsia="Times New Roman" w:hint="default"/>
        </w:rPr>
        <w:t>56</w:t>
      </w:r>
      <w:r>
        <w:rPr/>
        <w:t>、库存股</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240" w:lineRule="auto" w:before="51"/>
        <w:ind w:right="0"/>
        <w:jc w:val="left"/>
      </w:pPr>
      <w:r>
        <w:rPr/>
        <w:t>其他说明，包括本期增减变动情况、变动原因说明：</w:t>
      </w: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bookmarkStart w:name="57、其他综合收益" w:id="363"/>
      <w:bookmarkEnd w:id="363"/>
      <w:r>
        <w:rPr>
          <w:b w:val="0"/>
          <w:bCs w:val="0"/>
        </w:rPr>
      </w:r>
      <w:r>
        <w:rPr>
          <w:rFonts w:ascii="Times New Roman" w:hAnsi="Times New Roman" w:cs="Times New Roman" w:eastAsia="Times New Roman" w:hint="default"/>
        </w:rPr>
        <w:t>57</w:t>
      </w:r>
      <w:r>
        <w:rPr/>
        <w:t>、其他综合收益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811"/>
        <w:gridCol w:w="1070"/>
        <w:gridCol w:w="935"/>
        <w:gridCol w:w="1152"/>
        <w:gridCol w:w="935"/>
        <w:gridCol w:w="936"/>
        <w:gridCol w:w="935"/>
        <w:gridCol w:w="798"/>
      </w:tblGrid>
      <w:tr>
        <w:trPr>
          <w:trHeight w:val="402" w:hRule="exact"/>
        </w:trPr>
        <w:tc>
          <w:tcPr>
            <w:tcW w:w="281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0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16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489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026" w:hRule="exact"/>
        </w:trPr>
        <w:tc>
          <w:tcPr>
            <w:tcW w:w="2811" w:type="dxa"/>
            <w:vMerge/>
            <w:tcBorders>
              <w:left w:val="single" w:sz="4" w:space="0" w:color="000000"/>
              <w:bottom w:val="single" w:sz="4" w:space="0" w:color="000000"/>
              <w:right w:val="single" w:sz="4" w:space="0" w:color="000000"/>
            </w:tcBorders>
            <w:shd w:val="clear" w:color="auto" w:fill="D2D2D2"/>
          </w:tcPr>
          <w:p>
            <w:pPr/>
          </w:p>
        </w:tc>
        <w:tc>
          <w:tcPr>
            <w:tcW w:w="1070" w:type="dxa"/>
            <w:vMerge/>
            <w:tcBorders>
              <w:left w:val="single" w:sz="4" w:space="0" w:color="000000"/>
              <w:bottom w:val="single" w:sz="4" w:space="0" w:color="000000"/>
              <w:right w:val="single" w:sz="4" w:space="0" w:color="000000"/>
            </w:tcBorders>
            <w:shd w:val="clear" w:color="auto" w:fill="D2D2D2"/>
          </w:tcPr>
          <w:p>
            <w:pPr/>
          </w:p>
        </w:tc>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2" w:right="101"/>
              <w:jc w:val="center"/>
              <w:rPr>
                <w:rFonts w:ascii="宋体" w:hAnsi="宋体" w:cs="宋体" w:eastAsia="宋体" w:hint="default"/>
                <w:sz w:val="18"/>
                <w:szCs w:val="18"/>
              </w:rPr>
            </w:pPr>
            <w:r>
              <w:rPr>
                <w:rFonts w:ascii="宋体" w:hAnsi="宋体" w:cs="宋体" w:eastAsia="宋体" w:hint="default"/>
                <w:sz w:val="18"/>
                <w:szCs w:val="18"/>
              </w:rPr>
              <w:t>本期所得 税前发生 额</w:t>
            </w:r>
          </w:p>
        </w:tc>
        <w:tc>
          <w:tcPr>
            <w:tcW w:w="11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0" w:right="30"/>
              <w:jc w:val="both"/>
              <w:rPr>
                <w:rFonts w:ascii="宋体" w:hAnsi="宋体" w:cs="宋体" w:eastAsia="宋体" w:hint="default"/>
                <w:sz w:val="18"/>
                <w:szCs w:val="18"/>
              </w:rPr>
            </w:pPr>
            <w:r>
              <w:rPr>
                <w:rFonts w:ascii="宋体" w:hAnsi="宋体" w:cs="宋体" w:eastAsia="宋体" w:hint="default"/>
                <w:sz w:val="18"/>
                <w:szCs w:val="18"/>
              </w:rPr>
              <w:t>减：前期计入 其他综合收益 当期转入损益</w:t>
            </w:r>
          </w:p>
        </w:tc>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82" w:right="23" w:hanging="260"/>
              <w:jc w:val="left"/>
              <w:rPr>
                <w:rFonts w:ascii="宋体" w:hAnsi="宋体" w:cs="宋体" w:eastAsia="宋体" w:hint="default"/>
                <w:sz w:val="18"/>
                <w:szCs w:val="18"/>
              </w:rPr>
            </w:pPr>
            <w:r>
              <w:rPr>
                <w:rFonts w:ascii="宋体" w:hAnsi="宋体" w:cs="宋体" w:eastAsia="宋体" w:hint="default"/>
                <w:spacing w:val="-5"/>
                <w:sz w:val="18"/>
                <w:szCs w:val="18"/>
              </w:rPr>
              <w:t>减：所得税</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费用</w:t>
            </w:r>
          </w:p>
        </w:tc>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02" w:right="102"/>
              <w:jc w:val="left"/>
              <w:rPr>
                <w:rFonts w:ascii="宋体" w:hAnsi="宋体" w:cs="宋体" w:eastAsia="宋体" w:hint="default"/>
                <w:sz w:val="18"/>
                <w:szCs w:val="18"/>
              </w:rPr>
            </w:pPr>
            <w:r>
              <w:rPr>
                <w:rFonts w:ascii="宋体" w:hAnsi="宋体" w:cs="宋体" w:eastAsia="宋体" w:hint="default"/>
                <w:sz w:val="18"/>
                <w:szCs w:val="18"/>
              </w:rPr>
              <w:t>税后归属 于母公司</w:t>
            </w:r>
          </w:p>
        </w:tc>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2" w:right="101"/>
              <w:jc w:val="center"/>
              <w:rPr>
                <w:rFonts w:ascii="宋体" w:hAnsi="宋体" w:cs="宋体" w:eastAsia="宋体" w:hint="default"/>
                <w:sz w:val="18"/>
                <w:szCs w:val="18"/>
              </w:rPr>
            </w:pPr>
            <w:r>
              <w:rPr>
                <w:rFonts w:ascii="宋体" w:hAnsi="宋体" w:cs="宋体" w:eastAsia="宋体" w:hint="default"/>
                <w:sz w:val="18"/>
                <w:szCs w:val="18"/>
              </w:rPr>
              <w:t>税后归属 于少数股 东</w:t>
            </w:r>
          </w:p>
        </w:tc>
        <w:tc>
          <w:tcPr>
            <w:tcW w:w="798" w:type="dxa"/>
            <w:vMerge/>
            <w:tcBorders>
              <w:left w:val="single" w:sz="4" w:space="0" w:color="000000"/>
              <w:bottom w:val="single" w:sz="4" w:space="0" w:color="000000"/>
              <w:right w:val="single" w:sz="4" w:space="0" w:color="000000"/>
            </w:tcBorders>
            <w:shd w:val="clear" w:color="auto" w:fill="D2D2D2"/>
          </w:tcPr>
          <w:p>
            <w:pPr/>
          </w:p>
        </w:tc>
      </w:tr>
    </w:tbl>
    <w:p>
      <w:pPr>
        <w:pStyle w:val="BodyText"/>
        <w:spacing w:line="240" w:lineRule="auto" w:before="51"/>
        <w:ind w:right="0"/>
        <w:jc w:val="left"/>
      </w:pPr>
      <w:r>
        <w:rPr/>
        <w:t>其他说明，包括对现金流量套期损益的有效部分转为被套期项目初始确认金额调整：</w:t>
      </w: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bookmarkStart w:name="58、专项储备" w:id="364"/>
      <w:bookmarkEnd w:id="364"/>
      <w:r>
        <w:rPr>
          <w:b w:val="0"/>
          <w:bCs w:val="0"/>
        </w:rPr>
      </w:r>
      <w:r>
        <w:rPr>
          <w:rFonts w:ascii="Times New Roman" w:hAnsi="Times New Roman" w:cs="Times New Roman" w:eastAsia="Times New Roman" w:hint="default"/>
        </w:rPr>
        <w:t>58</w:t>
      </w:r>
      <w:r>
        <w:rPr/>
        <w:t>、专项储备</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50"/>
        <w:jc w:val="right"/>
      </w:pPr>
      <w:r>
        <w:rPr/>
        <w:t>单位： 元</w:t>
      </w:r>
    </w:p>
    <w:p>
      <w:pPr>
        <w:spacing w:after="0" w:line="240" w:lineRule="auto"/>
        <w:jc w:val="right"/>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240" w:lineRule="auto" w:before="51"/>
        <w:ind w:right="0"/>
        <w:jc w:val="left"/>
      </w:pPr>
      <w:r>
        <w:rPr/>
        <w:t>其他说明，包括本期增减变动情况、变动原因说明：</w:t>
      </w: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bookmarkStart w:name="59、盈余公积" w:id="365"/>
      <w:bookmarkEnd w:id="365"/>
      <w:r>
        <w:rPr>
          <w:b w:val="0"/>
          <w:bCs w:val="0"/>
        </w:rPr>
      </w:r>
      <w:r>
        <w:rPr>
          <w:rFonts w:ascii="Times New Roman" w:hAnsi="Times New Roman" w:cs="Times New Roman" w:eastAsia="Times New Roman" w:hint="default"/>
        </w:rPr>
        <w:t>59</w:t>
      </w:r>
      <w:r>
        <w:rPr/>
        <w:t>、盈余公积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23,697,841.48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2,163,266.37</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25,861,107.85</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任意盈余公积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11,848,920.73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1,081,633.19</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12,930,553.92</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35,546,762.21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3,244,899.56</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38,791,661.77</w:t>
            </w:r>
          </w:p>
        </w:tc>
      </w:tr>
    </w:tbl>
    <w:p>
      <w:pPr>
        <w:pStyle w:val="BodyText"/>
        <w:spacing w:line="240" w:lineRule="auto" w:before="51"/>
        <w:ind w:right="0"/>
        <w:jc w:val="left"/>
      </w:pPr>
      <w:r>
        <w:rPr/>
        <w:t>盈余公积说明，包括本期增减变动情况、变动原因说明：</w:t>
      </w: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bookmarkStart w:name="60、未分配利润" w:id="366"/>
      <w:bookmarkEnd w:id="366"/>
      <w:r>
        <w:rPr>
          <w:b w:val="0"/>
          <w:bCs w:val="0"/>
        </w:rPr>
      </w:r>
      <w:r>
        <w:rPr>
          <w:rFonts w:ascii="Times New Roman" w:hAnsi="Times New Roman" w:cs="Times New Roman" w:eastAsia="Times New Roman" w:hint="default"/>
        </w:rPr>
        <w:t>60</w:t>
      </w:r>
      <w:r>
        <w:rPr/>
        <w:t>、未分配利润</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714"/>
        <w:gridCol w:w="2936"/>
        <w:gridCol w:w="2919"/>
      </w:tblGrid>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172,581,152.44</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152,563,973.25</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172,581,152.44</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152,563,973.25</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42,340,004.51</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35,314,916.69</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2,163,266.37</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3,531,491.67</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提取任意盈余公积</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1,081,633.19</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1,765,745.83</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10,000,500.00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10,000,500.00</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201,675,757.39</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172,581,152.44</w:t>
            </w:r>
          </w:p>
        </w:tc>
      </w:tr>
    </w:tbl>
    <w:p>
      <w:pPr>
        <w:pStyle w:val="BodyText"/>
        <w:spacing w:line="240" w:lineRule="auto" w:before="51"/>
        <w:ind w:right="0"/>
        <w:jc w:val="left"/>
      </w:pPr>
      <w:r>
        <w:rPr/>
        <w:t>调整期初未分配利润明细：</w:t>
      </w:r>
    </w:p>
    <w:p>
      <w:pPr>
        <w:pStyle w:val="BodyText"/>
        <w:spacing w:line="240" w:lineRule="auto" w:before="117"/>
        <w:ind w:right="0"/>
        <w:jc w:val="left"/>
      </w:pPr>
      <w:r>
        <w:rPr>
          <w:rFonts w:ascii="Times New Roman" w:hAnsi="Times New Roman" w:cs="Times New Roman" w:eastAsia="Times New Roman" w:hint="default"/>
        </w:rPr>
        <w:t>1)</w:t>
      </w:r>
      <w:r>
        <w:rPr/>
        <w:t>、由于《企业会计准则》及其相关新规定进行追溯调整，影响期初未分配利润元。</w:t>
      </w:r>
    </w:p>
    <w:p>
      <w:pPr>
        <w:pStyle w:val="BodyText"/>
        <w:spacing w:line="240" w:lineRule="auto" w:before="102"/>
        <w:ind w:right="0"/>
        <w:jc w:val="left"/>
      </w:pPr>
      <w:r>
        <w:rPr>
          <w:rFonts w:ascii="Times New Roman" w:hAnsi="Times New Roman" w:cs="Times New Roman" w:eastAsia="Times New Roman" w:hint="default"/>
        </w:rPr>
        <w:t>2)</w:t>
      </w:r>
      <w:r>
        <w:rPr/>
        <w:t>、由于会计政策变更，影响期初未分配利润元。</w:t>
      </w:r>
    </w:p>
    <w:p>
      <w:pPr>
        <w:pStyle w:val="BodyText"/>
        <w:spacing w:line="240" w:lineRule="auto" w:before="103"/>
        <w:ind w:right="0"/>
        <w:jc w:val="left"/>
      </w:pPr>
      <w:r>
        <w:rPr>
          <w:rFonts w:ascii="Times New Roman" w:hAnsi="Times New Roman" w:cs="Times New Roman" w:eastAsia="Times New Roman" w:hint="default"/>
        </w:rPr>
        <w:t>3)</w:t>
      </w:r>
      <w:r>
        <w:rPr/>
        <w:t>、由于重大会计差错更正，影响期初未分配利润元。</w:t>
      </w:r>
    </w:p>
    <w:p>
      <w:pPr>
        <w:pStyle w:val="BodyText"/>
        <w:spacing w:line="240" w:lineRule="auto" w:before="102"/>
        <w:ind w:right="0"/>
        <w:jc w:val="left"/>
      </w:pPr>
      <w:r>
        <w:rPr>
          <w:rFonts w:ascii="Times New Roman" w:hAnsi="Times New Roman" w:cs="Times New Roman" w:eastAsia="Times New Roman" w:hint="default"/>
        </w:rPr>
        <w:t>4)</w:t>
      </w:r>
      <w:r>
        <w:rPr/>
        <w:t>、由于同一控制导致的合并范围变更，影响期初未分配利润元。</w:t>
      </w:r>
    </w:p>
    <w:p>
      <w:pPr>
        <w:pStyle w:val="BodyText"/>
        <w:spacing w:line="240" w:lineRule="auto" w:before="102"/>
        <w:ind w:right="0"/>
        <w:jc w:val="left"/>
      </w:pPr>
      <w:r>
        <w:rPr>
          <w:rFonts w:ascii="Times New Roman" w:hAnsi="Times New Roman" w:cs="Times New Roman" w:eastAsia="Times New Roman" w:hint="default"/>
        </w:rPr>
        <w:t>5)</w:t>
      </w:r>
      <w:r>
        <w:rPr/>
        <w:t>、其他调整合计影响期初未分配利润元。</w:t>
      </w:r>
    </w:p>
    <w:p>
      <w:pPr>
        <w:spacing w:line="240" w:lineRule="auto" w:before="10"/>
        <w:rPr>
          <w:rFonts w:ascii="宋体" w:hAnsi="宋体" w:cs="宋体" w:eastAsia="宋体" w:hint="default"/>
          <w:sz w:val="25"/>
          <w:szCs w:val="25"/>
        </w:rPr>
      </w:pPr>
    </w:p>
    <w:p>
      <w:pPr>
        <w:pStyle w:val="Heading5"/>
        <w:spacing w:line="240" w:lineRule="auto"/>
        <w:ind w:right="0"/>
        <w:jc w:val="left"/>
        <w:rPr>
          <w:b w:val="0"/>
          <w:bCs w:val="0"/>
        </w:rPr>
      </w:pPr>
      <w:bookmarkStart w:name="61、营业收入和营业成本" w:id="367"/>
      <w:bookmarkEnd w:id="367"/>
      <w:r>
        <w:rPr>
          <w:b w:val="0"/>
          <w:bCs w:val="0"/>
        </w:rPr>
      </w:r>
      <w:r>
        <w:rPr>
          <w:rFonts w:ascii="Times New Roman" w:hAnsi="Times New Roman" w:cs="Times New Roman" w:eastAsia="Times New Roman" w:hint="default"/>
        </w:rPr>
        <w:t>61</w:t>
      </w:r>
      <w:r>
        <w:rPr/>
        <w:t>、营业收入和营业成本</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901"/>
        <w:gridCol w:w="1917"/>
        <w:gridCol w:w="1914"/>
        <w:gridCol w:w="1914"/>
        <w:gridCol w:w="1914"/>
      </w:tblGrid>
      <w:tr>
        <w:trPr>
          <w:trHeight w:val="206"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1" w:hRule="exact"/>
        </w:trPr>
        <w:tc>
          <w:tcPr>
            <w:tcW w:w="19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901" w:type="dxa"/>
            <w:vMerge/>
            <w:tcBorders>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成本</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7"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646,595,605.59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499,698,625.45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560,748,540.95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442,000,219.34</w:t>
            </w: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4,942,203.64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821,369.81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819,359.67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309,652.11</w:t>
            </w: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651,537,809.23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500,519,995.26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561,567,900.62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442,309,871.45</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980"/>
        </w:sectPr>
      </w:pPr>
    </w:p>
    <w:p>
      <w:pPr>
        <w:spacing w:line="240" w:lineRule="auto" w:before="10"/>
        <w:rPr>
          <w:rFonts w:ascii="宋体" w:hAnsi="宋体" w:cs="宋体" w:eastAsia="宋体" w:hint="default"/>
          <w:sz w:val="24"/>
          <w:szCs w:val="24"/>
        </w:rPr>
      </w:pPr>
    </w:p>
    <w:p>
      <w:pPr>
        <w:pStyle w:val="Heading5"/>
        <w:spacing w:line="240" w:lineRule="auto" w:before="35"/>
        <w:ind w:right="0"/>
        <w:jc w:val="left"/>
        <w:rPr>
          <w:b w:val="0"/>
          <w:bCs w:val="0"/>
        </w:rPr>
      </w:pPr>
      <w:bookmarkStart w:name="62、税金及附加" w:id="368"/>
      <w:bookmarkEnd w:id="368"/>
      <w:r>
        <w:rPr>
          <w:b w:val="0"/>
          <w:bCs w:val="0"/>
        </w:rPr>
      </w:r>
      <w:r>
        <w:rPr>
          <w:rFonts w:ascii="Times New Roman" w:hAnsi="Times New Roman" w:cs="Times New Roman" w:eastAsia="Times New Roman" w:hint="default"/>
        </w:rPr>
        <w:t>62</w:t>
      </w:r>
      <w:r>
        <w:rPr/>
        <w:t>、税金及附加</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876,950.36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1,051,088.34</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375,835.88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450,441.20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527,076.08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350,448.10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184,757.40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123,171.60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182,890.82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208,800.27</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206"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4,750.00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地方教育附加</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250,557.24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300,336.19</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2,398,067.78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2,489,035.70</w:t>
            </w:r>
          </w:p>
        </w:tc>
      </w:tr>
    </w:tbl>
    <w:p>
      <w:pPr>
        <w:pStyle w:val="BodyText"/>
        <w:spacing w:line="240" w:lineRule="auto" w:before="51"/>
        <w:ind w:right="0"/>
        <w:jc w:val="left"/>
      </w:pPr>
      <w:r>
        <w:rPr/>
        <w:t>其他说明：</w:t>
      </w:r>
    </w:p>
    <w:p>
      <w:pPr>
        <w:spacing w:line="240" w:lineRule="auto" w:before="10"/>
        <w:rPr>
          <w:rFonts w:ascii="宋体" w:hAnsi="宋体" w:cs="宋体" w:eastAsia="宋体" w:hint="default"/>
          <w:sz w:val="26"/>
          <w:szCs w:val="26"/>
        </w:rPr>
      </w:pPr>
    </w:p>
    <w:p>
      <w:pPr>
        <w:pStyle w:val="Heading5"/>
        <w:spacing w:line="240" w:lineRule="auto"/>
        <w:ind w:right="0"/>
        <w:jc w:val="left"/>
        <w:rPr>
          <w:b w:val="0"/>
          <w:bCs w:val="0"/>
        </w:rPr>
      </w:pPr>
      <w:bookmarkStart w:name="63、销售费用" w:id="369"/>
      <w:bookmarkEnd w:id="369"/>
      <w:r>
        <w:rPr>
          <w:b w:val="0"/>
          <w:bCs w:val="0"/>
        </w:rPr>
      </w:r>
      <w:r>
        <w:rPr>
          <w:rFonts w:ascii="Times New Roman" w:hAnsi="Times New Roman" w:cs="Times New Roman" w:eastAsia="Times New Roman" w:hint="default"/>
        </w:rPr>
        <w:t>63</w:t>
      </w:r>
      <w:r>
        <w:rPr/>
        <w:t>、销售费用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工资薪酬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7,264,285.49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5,384,106.08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37,296.10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31,529.89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10,078,358.10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8,046,881.10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运输费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13,583,129.70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11,130,469.99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1,486,155.88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1,019,343.72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900,225.02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935,121.94</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33,349,450.29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26,547,452.72</w:t>
            </w:r>
          </w:p>
        </w:tc>
      </w:tr>
    </w:tbl>
    <w:p>
      <w:pPr>
        <w:pStyle w:val="BodyText"/>
        <w:spacing w:line="240" w:lineRule="auto" w:before="51"/>
        <w:ind w:right="0"/>
        <w:jc w:val="left"/>
      </w:pPr>
      <w:r>
        <w:rPr/>
        <w:t>其他说明：</w:t>
      </w:r>
    </w:p>
    <w:p>
      <w:pPr>
        <w:spacing w:line="240" w:lineRule="auto" w:before="10"/>
        <w:rPr>
          <w:rFonts w:ascii="宋体" w:hAnsi="宋体" w:cs="宋体" w:eastAsia="宋体" w:hint="default"/>
          <w:sz w:val="26"/>
          <w:szCs w:val="26"/>
        </w:rPr>
      </w:pPr>
    </w:p>
    <w:p>
      <w:pPr>
        <w:pStyle w:val="Heading5"/>
        <w:spacing w:line="240" w:lineRule="auto"/>
        <w:ind w:right="0"/>
        <w:jc w:val="left"/>
        <w:rPr>
          <w:b w:val="0"/>
          <w:bCs w:val="0"/>
        </w:rPr>
      </w:pPr>
      <w:bookmarkStart w:name="64、管理费用" w:id="370"/>
      <w:bookmarkEnd w:id="370"/>
      <w:r>
        <w:rPr>
          <w:b w:val="0"/>
          <w:bCs w:val="0"/>
        </w:rPr>
      </w:r>
      <w:r>
        <w:rPr>
          <w:rFonts w:ascii="Times New Roman" w:hAnsi="Times New Roman" w:cs="Times New Roman" w:eastAsia="Times New Roman" w:hint="default"/>
        </w:rPr>
        <w:t>64</w:t>
      </w:r>
      <w:r>
        <w:rPr/>
        <w:t>、管理费用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工资薪酬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15,533,397.55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9,996,382.49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技术开发费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33,346,505.18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36,741,366.25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1,937,019.18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849,848.04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927,262.67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963,582.69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中介咨询费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4,486,717.39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1,004,054.93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415,470.67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181,820.39</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无形资产摊销额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1,367,295.51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1,099,239.87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车辆使用费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656,329.47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441,071.53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税金</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277,814.90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1,510,607.60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1,352,017.08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其它</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515,827.59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467,962.36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60,696,432.81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53,375,160.53</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bookmarkStart w:name="65、财务费用" w:id="371"/>
      <w:bookmarkEnd w:id="371"/>
      <w:r>
        <w:rPr>
          <w:b w:val="0"/>
          <w:bCs w:val="0"/>
        </w:rPr>
      </w:r>
      <w:r>
        <w:rPr>
          <w:rFonts w:ascii="Times New Roman" w:hAnsi="Times New Roman" w:cs="Times New Roman" w:eastAsia="Times New Roman" w:hint="default"/>
        </w:rPr>
        <w:t>65</w:t>
      </w:r>
      <w:r>
        <w:rPr/>
        <w:t>、财务费用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7,195,854.61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3,748,033.07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-1,300,875.24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-1,854,494.34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汇兑损益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-1.59</w:t>
            </w:r>
            <w:r>
              <w:rPr>
                <w:rFonts w:ascii="Times New Roman"/>
                <w:sz w:val="18"/>
              </w:rPr>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银行手续费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72,269.31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36,240.52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5,967,250.12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1,929,777.66</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bookmarkStart w:name="66、资产减值损失" w:id="372"/>
      <w:bookmarkEnd w:id="372"/>
      <w:r>
        <w:rPr>
          <w:b w:val="0"/>
          <w:bCs w:val="0"/>
        </w:rPr>
      </w:r>
      <w:r>
        <w:rPr>
          <w:rFonts w:ascii="Times New Roman" w:hAnsi="Times New Roman" w:cs="Times New Roman" w:eastAsia="Times New Roman" w:hint="default"/>
        </w:rPr>
        <w:t>66</w:t>
      </w:r>
      <w:r>
        <w:rPr/>
        <w:t>、资产减值损失</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4,247,874.77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893,782.74</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2,499.35</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4,250,374.12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893,782.74</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bookmarkStart w:name="67、公允价值变动收益" w:id="373"/>
      <w:bookmarkEnd w:id="373"/>
      <w:r>
        <w:rPr>
          <w:b w:val="0"/>
          <w:bCs w:val="0"/>
        </w:rPr>
      </w:r>
      <w:r>
        <w:rPr>
          <w:rFonts w:ascii="Times New Roman" w:hAnsi="Times New Roman" w:cs="Times New Roman" w:eastAsia="Times New Roman" w:hint="default"/>
        </w:rPr>
        <w:t>67</w:t>
      </w:r>
      <w:r>
        <w:rPr/>
        <w:t>、公允价值变动收益</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17" w:right="0"/>
              <w:jc w:val="left"/>
              <w:rPr>
                <w:rFonts w:ascii="宋体" w:hAnsi="宋体" w:cs="宋体" w:eastAsia="宋体" w:hint="default"/>
                <w:sz w:val="18"/>
                <w:szCs w:val="18"/>
              </w:rPr>
            </w:pPr>
            <w:r>
              <w:rPr>
                <w:rFonts w:ascii="宋体" w:hAnsi="宋体" w:cs="宋体" w:eastAsia="宋体" w:hint="default"/>
                <w:sz w:val="18"/>
                <w:szCs w:val="18"/>
              </w:rPr>
              <w:t>产生公允价值变动收益的来源</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52"/>
        <w:ind w:right="0"/>
        <w:jc w:val="left"/>
      </w:pPr>
      <w:r>
        <w:rPr/>
        <w:t>其他说明：</w:t>
      </w:r>
    </w:p>
    <w:p>
      <w:pPr>
        <w:spacing w:line="240" w:lineRule="auto" w:before="10"/>
        <w:rPr>
          <w:rFonts w:ascii="宋体" w:hAnsi="宋体" w:cs="宋体" w:eastAsia="宋体" w:hint="default"/>
          <w:sz w:val="26"/>
          <w:szCs w:val="26"/>
        </w:rPr>
      </w:pPr>
    </w:p>
    <w:p>
      <w:pPr>
        <w:pStyle w:val="Heading5"/>
        <w:spacing w:line="240" w:lineRule="auto"/>
        <w:ind w:right="0"/>
        <w:jc w:val="left"/>
        <w:rPr>
          <w:b w:val="0"/>
          <w:bCs w:val="0"/>
        </w:rPr>
      </w:pPr>
      <w:bookmarkStart w:name="68、投资收益" w:id="374"/>
      <w:bookmarkEnd w:id="374"/>
      <w:r>
        <w:rPr>
          <w:b w:val="0"/>
          <w:bCs w:val="0"/>
        </w:rPr>
      </w:r>
      <w:r>
        <w:rPr>
          <w:rFonts w:ascii="Times New Roman" w:hAnsi="Times New Roman" w:cs="Times New Roman" w:eastAsia="Times New Roman" w:hint="default"/>
        </w:rPr>
        <w:t>68</w:t>
      </w:r>
      <w:r>
        <w:rPr/>
        <w:t>、投资收益</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460"/>
        <w:gridCol w:w="3191"/>
        <w:gridCol w:w="2918"/>
      </w:tblGrid>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980"/>
        </w:sectPr>
      </w:pPr>
    </w:p>
    <w:p>
      <w:pPr>
        <w:spacing w:line="240" w:lineRule="auto" w:before="13"/>
        <w:rPr>
          <w:rFonts w:ascii="宋体" w:hAnsi="宋体" w:cs="宋体" w:eastAsia="宋体" w:hint="default"/>
          <w:sz w:val="25"/>
          <w:szCs w:val="25"/>
        </w:rPr>
      </w:pPr>
    </w:p>
    <w:p>
      <w:pPr>
        <w:pStyle w:val="BodyText"/>
        <w:spacing w:line="240" w:lineRule="auto"/>
        <w:ind w:right="0"/>
        <w:jc w:val="left"/>
      </w:pPr>
      <w:r>
        <w:rPr/>
        <w:t>其他说明：</w:t>
      </w:r>
    </w:p>
    <w:p>
      <w:pPr>
        <w:spacing w:line="240" w:lineRule="auto" w:before="10"/>
        <w:rPr>
          <w:rFonts w:ascii="宋体" w:hAnsi="宋体" w:cs="宋体" w:eastAsia="宋体" w:hint="default"/>
          <w:sz w:val="26"/>
          <w:szCs w:val="26"/>
        </w:rPr>
      </w:pPr>
    </w:p>
    <w:p>
      <w:pPr>
        <w:pStyle w:val="Heading5"/>
        <w:spacing w:line="240" w:lineRule="auto"/>
        <w:ind w:right="0"/>
        <w:jc w:val="left"/>
        <w:rPr>
          <w:b w:val="0"/>
          <w:bCs w:val="0"/>
        </w:rPr>
      </w:pPr>
      <w:bookmarkStart w:name="69、资产处置收益" w:id="375"/>
      <w:bookmarkEnd w:id="375"/>
      <w:r>
        <w:rPr>
          <w:b w:val="0"/>
          <w:bCs w:val="0"/>
        </w:rPr>
      </w:r>
      <w:r>
        <w:rPr>
          <w:rFonts w:ascii="Times New Roman" w:hAnsi="Times New Roman" w:cs="Times New Roman" w:eastAsia="Times New Roman" w:hint="default"/>
        </w:rPr>
        <w:t>69</w:t>
      </w:r>
      <w:r>
        <w:rPr/>
        <w:t>、资产处置收益</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9" w:right="0"/>
              <w:jc w:val="left"/>
              <w:rPr>
                <w:rFonts w:ascii="宋体" w:hAnsi="宋体" w:cs="宋体" w:eastAsia="宋体" w:hint="default"/>
                <w:sz w:val="18"/>
                <w:szCs w:val="18"/>
              </w:rPr>
            </w:pPr>
            <w:r>
              <w:rPr>
                <w:rFonts w:ascii="宋体" w:hAnsi="宋体" w:cs="宋体" w:eastAsia="宋体" w:hint="default"/>
                <w:sz w:val="18"/>
                <w:szCs w:val="18"/>
              </w:rPr>
              <w:t>资产处置收益的来源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固定资产处置收益</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100,561.63</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100,561.63</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bookmarkStart w:name="70、其他收益" w:id="376"/>
      <w:bookmarkEnd w:id="376"/>
      <w:r>
        <w:rPr>
          <w:b w:val="0"/>
          <w:bCs w:val="0"/>
        </w:rPr>
      </w:r>
      <w:r>
        <w:rPr>
          <w:rFonts w:ascii="Times New Roman" w:hAnsi="Times New Roman" w:cs="Times New Roman" w:eastAsia="Times New Roman" w:hint="default"/>
        </w:rPr>
        <w:t>70</w:t>
      </w:r>
      <w:r>
        <w:rPr/>
        <w:t>、其他收益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产生其他收益的来源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税费返还</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2,858,335.66</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其他政府补助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168,320.00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3,026,655.66</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bookmarkStart w:name="71、营业外收入" w:id="377"/>
      <w:bookmarkEnd w:id="377"/>
      <w:r>
        <w:rPr>
          <w:b w:val="0"/>
          <w:bCs w:val="0"/>
        </w:rPr>
      </w:r>
      <w:r>
        <w:rPr>
          <w:rFonts w:ascii="Times New Roman" w:hAnsi="Times New Roman" w:cs="Times New Roman" w:eastAsia="Times New Roman" w:hint="default"/>
        </w:rPr>
        <w:t>71</w:t>
      </w:r>
      <w:r>
        <w:rPr/>
        <w:t>、营业外收入</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161" w:hRule="exact"/>
        </w:trPr>
        <w:tc>
          <w:tcPr>
            <w:tcW w:w="2390"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2" w:hRule="exact"/>
        </w:trPr>
        <w:tc>
          <w:tcPr>
            <w:tcW w:w="23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vMerge/>
            <w:tcBorders>
              <w:left w:val="single" w:sz="4" w:space="0" w:color="000000"/>
              <w:right w:val="single" w:sz="4" w:space="0" w:color="000000"/>
            </w:tcBorders>
            <w:shd w:val="clear" w:color="auto" w:fill="D2D2D2"/>
          </w:tcPr>
          <w:p>
            <w:pPr/>
          </w:p>
        </w:tc>
      </w:tr>
      <w:tr>
        <w:trPr>
          <w:trHeight w:val="161" w:hRule="exact"/>
        </w:trPr>
        <w:tc>
          <w:tcPr>
            <w:tcW w:w="2390"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104,000.00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3,987,000.00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104,000.00</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地方水利建设基金返还</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710,845.66</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44,448.65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172,135.45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44,448.65</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148,448.65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4,869,981.11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148,448.65</w:t>
            </w:r>
          </w:p>
        </w:tc>
      </w:tr>
    </w:tbl>
    <w:p>
      <w:pPr>
        <w:pStyle w:val="BodyText"/>
        <w:spacing w:line="240" w:lineRule="auto" w:before="51"/>
        <w:ind w:right="0"/>
        <w:jc w:val="left"/>
      </w:pPr>
      <w:r>
        <w:rPr/>
        <w:t>计入当期损益的政府补助：</w:t>
      </w:r>
    </w:p>
    <w:p>
      <w:pPr>
        <w:pStyle w:val="BodyText"/>
        <w:spacing w:line="240" w:lineRule="auto" w:before="117"/>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2"/>
        <w:gridCol w:w="1063"/>
      </w:tblGrid>
      <w:tr>
        <w:trPr>
          <w:trHeight w:val="713"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67"/>
              <w:jc w:val="right"/>
              <w:rPr>
                <w:rFonts w:ascii="宋体" w:hAnsi="宋体" w:cs="宋体" w:eastAsia="宋体" w:hint="default"/>
                <w:sz w:val="18"/>
                <w:szCs w:val="18"/>
              </w:rPr>
            </w:pPr>
            <w:r>
              <w:rPr>
                <w:rFonts w:ascii="宋体" w:hAnsi="宋体" w:cs="宋体" w:eastAsia="宋体" w:hint="default"/>
                <w:sz w:val="18"/>
                <w:szCs w:val="18"/>
              </w:rPr>
              <w:t>补助项目</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发放主体</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发放原因</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性质类型</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5" w:right="77"/>
              <w:jc w:val="left"/>
              <w:rPr>
                <w:rFonts w:ascii="宋体" w:hAnsi="宋体" w:cs="宋体" w:eastAsia="宋体" w:hint="default"/>
                <w:sz w:val="18"/>
                <w:szCs w:val="18"/>
              </w:rPr>
            </w:pPr>
            <w:r>
              <w:rPr>
                <w:rFonts w:ascii="宋体" w:hAnsi="宋体" w:cs="宋体" w:eastAsia="宋体" w:hint="default"/>
                <w:sz w:val="18"/>
                <w:szCs w:val="18"/>
              </w:rPr>
              <w:t>补贴是否影 响当年盈亏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35" w:right="77" w:hanging="360"/>
              <w:jc w:val="left"/>
              <w:rPr>
                <w:rFonts w:ascii="宋体" w:hAnsi="宋体" w:cs="宋体" w:eastAsia="宋体" w:hint="default"/>
                <w:sz w:val="18"/>
                <w:szCs w:val="18"/>
              </w:rPr>
            </w:pPr>
            <w:r>
              <w:rPr>
                <w:rFonts w:ascii="宋体" w:hAnsi="宋体" w:cs="宋体" w:eastAsia="宋体" w:hint="default"/>
                <w:sz w:val="18"/>
                <w:szCs w:val="18"/>
              </w:rPr>
              <w:t>是否特殊补 贴</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35" w:right="76" w:hanging="360"/>
              <w:jc w:val="left"/>
              <w:rPr>
                <w:rFonts w:ascii="宋体" w:hAnsi="宋体" w:cs="宋体" w:eastAsia="宋体" w:hint="default"/>
                <w:sz w:val="18"/>
                <w:szCs w:val="18"/>
              </w:rPr>
            </w:pPr>
            <w:r>
              <w:rPr>
                <w:rFonts w:ascii="宋体" w:hAnsi="宋体" w:cs="宋体" w:eastAsia="宋体" w:hint="default"/>
                <w:sz w:val="18"/>
                <w:szCs w:val="18"/>
              </w:rPr>
              <w:t>本期发生金 额</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35" w:right="74" w:hanging="360"/>
              <w:jc w:val="left"/>
              <w:rPr>
                <w:rFonts w:ascii="宋体" w:hAnsi="宋体" w:cs="宋体" w:eastAsia="宋体" w:hint="default"/>
                <w:sz w:val="18"/>
                <w:szCs w:val="18"/>
              </w:rPr>
            </w:pPr>
            <w:r>
              <w:rPr>
                <w:rFonts w:ascii="宋体" w:hAnsi="宋体" w:cs="宋体" w:eastAsia="宋体" w:hint="default"/>
                <w:sz w:val="18"/>
                <w:szCs w:val="18"/>
              </w:rPr>
              <w:t>上期发生金 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76" w:right="51" w:hanging="2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31"/>
              <w:jc w:val="right"/>
              <w:rPr>
                <w:rFonts w:ascii="宋体" w:hAnsi="宋体" w:cs="宋体" w:eastAsia="宋体" w:hint="default"/>
                <w:sz w:val="18"/>
                <w:szCs w:val="18"/>
              </w:rPr>
            </w:pPr>
            <w:r>
              <w:rPr>
                <w:rFonts w:ascii="宋体" w:hAnsi="宋体" w:cs="宋体" w:eastAsia="宋体" w:hint="default"/>
                <w:sz w:val="18"/>
                <w:szCs w:val="18"/>
              </w:rPr>
              <w:t>特殊贡献奖</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22" w:right="127"/>
              <w:jc w:val="left"/>
              <w:rPr>
                <w:rFonts w:ascii="宋体" w:hAnsi="宋体" w:cs="宋体" w:eastAsia="宋体" w:hint="default"/>
                <w:sz w:val="18"/>
                <w:szCs w:val="18"/>
              </w:rPr>
            </w:pPr>
            <w:r>
              <w:rPr>
                <w:rFonts w:ascii="宋体" w:hAnsi="宋体" w:cs="宋体" w:eastAsia="宋体" w:hint="default"/>
                <w:sz w:val="18"/>
                <w:szCs w:val="18"/>
              </w:rPr>
              <w:t>余杭区径山 镇人民政府</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9"/>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299"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316" w:lineRule="auto"/>
              <w:ind w:left="22" w:right="131"/>
              <w:jc w:val="left"/>
              <w:rPr>
                <w:rFonts w:ascii="宋体" w:hAnsi="宋体" w:cs="宋体" w:eastAsia="宋体" w:hint="default"/>
                <w:sz w:val="18"/>
                <w:szCs w:val="18"/>
              </w:rPr>
            </w:pPr>
            <w:r>
              <w:rPr>
                <w:rFonts w:ascii="宋体" w:hAnsi="宋体" w:cs="宋体" w:eastAsia="宋体" w:hint="default"/>
                <w:sz w:val="18"/>
                <w:szCs w:val="18"/>
              </w:rPr>
              <w:t>龙头企业发 展奖</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316" w:lineRule="auto"/>
              <w:ind w:left="22" w:right="127"/>
              <w:jc w:val="left"/>
              <w:rPr>
                <w:rFonts w:ascii="宋体" w:hAnsi="宋体" w:cs="宋体" w:eastAsia="宋体" w:hint="default"/>
                <w:sz w:val="18"/>
                <w:szCs w:val="18"/>
              </w:rPr>
            </w:pPr>
            <w:r>
              <w:rPr>
                <w:rFonts w:ascii="宋体" w:hAnsi="宋体" w:cs="宋体" w:eastAsia="宋体" w:hint="default"/>
                <w:sz w:val="18"/>
                <w:szCs w:val="18"/>
              </w:rPr>
              <w:t>余杭区径山 镇人民政府</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2" w:right="129"/>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30,000.00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left="219" w:right="0"/>
              <w:jc w:val="left"/>
              <w:rPr>
                <w:rFonts w:ascii="Times New Roman" w:hAnsi="Times New Roman" w:cs="Times New Roman" w:eastAsia="Times New Roman" w:hint="default"/>
                <w:sz w:val="18"/>
                <w:szCs w:val="18"/>
              </w:rPr>
            </w:pPr>
            <w:r>
              <w:rPr>
                <w:rFonts w:ascii="Times New Roman"/>
                <w:sz w:val="18"/>
              </w:rPr>
              <w:t>330,000.00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2"/>
        <w:gridCol w:w="1063"/>
      </w:tblGrid>
      <w:tr>
        <w:trPr>
          <w:trHeight w:val="362" w:hRule="exact"/>
        </w:trPr>
        <w:tc>
          <w:tcPr>
            <w:tcW w:w="1066"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获得的补助</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131"/>
              <w:jc w:val="both"/>
              <w:rPr>
                <w:rFonts w:ascii="宋体" w:hAnsi="宋体" w:cs="宋体" w:eastAsia="宋体" w:hint="default"/>
                <w:sz w:val="18"/>
                <w:szCs w:val="18"/>
              </w:rPr>
            </w:pPr>
            <w:r>
              <w:rPr>
                <w:rFonts w:ascii="宋体" w:hAnsi="宋体" w:cs="宋体" w:eastAsia="宋体" w:hint="default"/>
                <w:sz w:val="18"/>
                <w:szCs w:val="18"/>
              </w:rPr>
              <w:t>开放型经济 发展专项资 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22" w:right="127"/>
              <w:jc w:val="left"/>
              <w:rPr>
                <w:rFonts w:ascii="宋体" w:hAnsi="宋体" w:cs="宋体" w:eastAsia="宋体" w:hint="default"/>
                <w:sz w:val="18"/>
                <w:szCs w:val="18"/>
              </w:rPr>
            </w:pPr>
            <w:r>
              <w:rPr>
                <w:rFonts w:ascii="宋体" w:hAnsi="宋体" w:cs="宋体" w:eastAsia="宋体" w:hint="default"/>
                <w:sz w:val="18"/>
                <w:szCs w:val="18"/>
              </w:rPr>
              <w:t>余杭区径山 镇人民政府</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309" w:right="0"/>
              <w:jc w:val="left"/>
              <w:rPr>
                <w:rFonts w:ascii="Times New Roman" w:hAnsi="Times New Roman" w:cs="Times New Roman" w:eastAsia="Times New Roman" w:hint="default"/>
                <w:sz w:val="18"/>
                <w:szCs w:val="18"/>
              </w:rPr>
            </w:pPr>
            <w:r>
              <w:rPr>
                <w:rFonts w:ascii="Times New Roman"/>
                <w:sz w:val="18"/>
              </w:rPr>
              <w:t>24,000.00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31"/>
              <w:jc w:val="both"/>
              <w:rPr>
                <w:rFonts w:ascii="宋体" w:hAnsi="宋体" w:cs="宋体" w:eastAsia="宋体" w:hint="default"/>
                <w:sz w:val="18"/>
                <w:szCs w:val="18"/>
              </w:rPr>
            </w:pPr>
            <w:r>
              <w:rPr>
                <w:rFonts w:ascii="宋体" w:hAnsi="宋体" w:cs="宋体" w:eastAsia="宋体" w:hint="default"/>
                <w:sz w:val="18"/>
                <w:szCs w:val="18"/>
              </w:rPr>
              <w:t>重大科技计 划项目补助 资金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27"/>
              <w:jc w:val="left"/>
              <w:rPr>
                <w:rFonts w:ascii="宋体" w:hAnsi="宋体" w:cs="宋体" w:eastAsia="宋体" w:hint="default"/>
                <w:sz w:val="18"/>
                <w:szCs w:val="18"/>
              </w:rPr>
            </w:pPr>
            <w:r>
              <w:rPr>
                <w:rFonts w:ascii="宋体" w:hAnsi="宋体" w:cs="宋体" w:eastAsia="宋体" w:hint="default"/>
                <w:sz w:val="18"/>
                <w:szCs w:val="18"/>
              </w:rPr>
              <w:t>余杭区科技 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52.7pt;height:23.4pt;mso-position-horizontal-relative:char;mso-position-vertical-relative:line" coordorigin="0,0" coordsize="1054,468">
                  <v:group style="position:absolute;left:0;top:0;width:1054;height:468" coordorigin="0,0" coordsize="1054,468">
                    <v:shape style="position:absolute;left:0;top:0;width:1054;height:468" coordorigin="0,0" coordsize="1054,468" path="m0,468l1054,468,1054,0,0,0,0,468xe" filled="true" fillcolor="#ffffff" stroked="false">
                      <v:path arrowok="t"/>
                      <v:fill type="solid"/>
                    </v:shape>
                  </v:group>
                </v:group>
              </w:pict>
            </w:r>
            <w:r>
              <w:rPr>
                <w:rFonts w:ascii="Times New Roman" w:hAnsi="Times New Roman" w:cs="Times New Roman" w:eastAsia="Times New Roman" w:hint="default"/>
                <w:position w:val="-8"/>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pacing w:val="-1"/>
                <w:sz w:val="18"/>
              </w:rPr>
              <w:t>2,449,000.00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31"/>
              <w:jc w:val="left"/>
              <w:rPr>
                <w:rFonts w:ascii="宋体" w:hAnsi="宋体" w:cs="宋体" w:eastAsia="宋体" w:hint="default"/>
                <w:sz w:val="18"/>
                <w:szCs w:val="18"/>
              </w:rPr>
            </w:pPr>
            <w:r>
              <w:rPr>
                <w:rFonts w:ascii="宋体" w:hAnsi="宋体" w:cs="宋体" w:eastAsia="宋体" w:hint="default"/>
                <w:sz w:val="18"/>
                <w:szCs w:val="18"/>
              </w:rPr>
              <w:t>研发投入财 政补助</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27"/>
              <w:jc w:val="left"/>
              <w:rPr>
                <w:rFonts w:ascii="宋体" w:hAnsi="宋体" w:cs="宋体" w:eastAsia="宋体" w:hint="default"/>
                <w:sz w:val="18"/>
                <w:szCs w:val="18"/>
              </w:rPr>
            </w:pPr>
            <w:r>
              <w:rPr>
                <w:rFonts w:ascii="宋体" w:hAnsi="宋体" w:cs="宋体" w:eastAsia="宋体" w:hint="default"/>
                <w:sz w:val="18"/>
                <w:szCs w:val="18"/>
              </w:rPr>
              <w:t>余杭区科技 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52.7pt;height:23.4pt;mso-position-horizontal-relative:char;mso-position-vertical-relative:line" coordorigin="0,0" coordsize="1054,468">
                  <v:group style="position:absolute;left:0;top:0;width:1054;height:468" coordorigin="0,0" coordsize="1054,468">
                    <v:shape style="position:absolute;left:0;top:0;width:1054;height:468" coordorigin="0,0" coordsize="1054,468" path="m0,468l1054,468,1054,0,0,0,0,468xe" filled="true" fillcolor="#ffffff" stroked="false">
                      <v:path arrowok="t"/>
                      <v:fill type="solid"/>
                    </v:shape>
                  </v:group>
                </v:group>
              </w:pict>
            </w:r>
            <w:r>
              <w:rPr>
                <w:rFonts w:ascii="Times New Roman" w:hAnsi="Times New Roman" w:cs="Times New Roman" w:eastAsia="Times New Roman" w:hint="default"/>
                <w:position w:val="-8"/>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pacing w:val="-1"/>
                <w:sz w:val="18"/>
              </w:rPr>
              <w:t>1,035,400.00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31"/>
              <w:jc w:val="both"/>
              <w:rPr>
                <w:rFonts w:ascii="宋体" w:hAnsi="宋体" w:cs="宋体" w:eastAsia="宋体" w:hint="default"/>
                <w:sz w:val="18"/>
                <w:szCs w:val="18"/>
              </w:rPr>
            </w:pPr>
            <w:r>
              <w:rPr>
                <w:rFonts w:ascii="宋体" w:hAnsi="宋体" w:cs="宋体" w:eastAsia="宋体" w:hint="default"/>
                <w:sz w:val="18"/>
                <w:szCs w:val="18"/>
              </w:rPr>
              <w:t>高技术产业 化验收合格 项目奖励</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27"/>
              <w:jc w:val="left"/>
              <w:rPr>
                <w:rFonts w:ascii="宋体" w:hAnsi="宋体" w:cs="宋体" w:eastAsia="宋体" w:hint="default"/>
                <w:sz w:val="18"/>
                <w:szCs w:val="18"/>
              </w:rPr>
            </w:pPr>
            <w:r>
              <w:rPr>
                <w:rFonts w:ascii="宋体" w:hAnsi="宋体" w:cs="宋体" w:eastAsia="宋体" w:hint="default"/>
                <w:sz w:val="18"/>
                <w:szCs w:val="18"/>
              </w:rPr>
              <w:t>余杭区科技 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52.7pt;height:23.4pt;mso-position-horizontal-relative:char;mso-position-vertical-relative:line" coordorigin="0,0" coordsize="1054,468">
                  <v:group style="position:absolute;left:0;top:0;width:1054;height:468" coordorigin="0,0" coordsize="1054,468">
                    <v:shape style="position:absolute;left:0;top:0;width:1054;height:468" coordorigin="0,0" coordsize="1054,468" path="m0,468l1054,468,1054,0,0,0,0,468xe" filled="true" fillcolor="#ffffff" stroked="false">
                      <v:path arrowok="t"/>
                      <v:fill type="solid"/>
                    </v:shape>
                  </v:group>
                </v:group>
              </w:pict>
            </w:r>
            <w:r>
              <w:rPr>
                <w:rFonts w:ascii="Times New Roman" w:hAnsi="Times New Roman" w:cs="Times New Roman" w:eastAsia="Times New Roman" w:hint="default"/>
                <w:position w:val="-8"/>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65,000.00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131"/>
              <w:jc w:val="both"/>
              <w:rPr>
                <w:rFonts w:ascii="宋体" w:hAnsi="宋体" w:cs="宋体" w:eastAsia="宋体" w:hint="default"/>
                <w:sz w:val="18"/>
                <w:szCs w:val="18"/>
              </w:rPr>
            </w:pPr>
            <w:r>
              <w:rPr>
                <w:rFonts w:ascii="宋体" w:hAnsi="宋体" w:cs="宋体" w:eastAsia="宋体" w:hint="default"/>
                <w:sz w:val="18"/>
                <w:szCs w:val="18"/>
              </w:rPr>
              <w:t>超比例安置 残疾人就业 补贴</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22" w:right="127"/>
              <w:jc w:val="left"/>
              <w:rPr>
                <w:rFonts w:ascii="宋体" w:hAnsi="宋体" w:cs="宋体" w:eastAsia="宋体" w:hint="default"/>
                <w:sz w:val="18"/>
                <w:szCs w:val="18"/>
              </w:rPr>
            </w:pPr>
            <w:r>
              <w:rPr>
                <w:rFonts w:ascii="宋体" w:hAnsi="宋体" w:cs="宋体" w:eastAsia="宋体" w:hint="default"/>
                <w:sz w:val="18"/>
                <w:szCs w:val="18"/>
              </w:rPr>
              <w:t>余杭区财政 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专利品牌奖</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127"/>
              <w:jc w:val="left"/>
              <w:rPr>
                <w:rFonts w:ascii="宋体" w:hAnsi="宋体" w:cs="宋体" w:eastAsia="宋体" w:hint="default"/>
                <w:sz w:val="18"/>
                <w:szCs w:val="18"/>
              </w:rPr>
            </w:pPr>
            <w:r>
              <w:rPr>
                <w:rFonts w:ascii="宋体" w:hAnsi="宋体" w:cs="宋体" w:eastAsia="宋体" w:hint="default"/>
                <w:sz w:val="18"/>
                <w:szCs w:val="18"/>
              </w:rPr>
              <w:t>余杭区财政 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31"/>
              <w:jc w:val="both"/>
              <w:rPr>
                <w:rFonts w:ascii="宋体" w:hAnsi="宋体" w:cs="宋体" w:eastAsia="宋体" w:hint="default"/>
                <w:sz w:val="18"/>
                <w:szCs w:val="18"/>
              </w:rPr>
            </w:pPr>
            <w:r>
              <w:rPr>
                <w:rFonts w:ascii="宋体" w:hAnsi="宋体" w:cs="宋体" w:eastAsia="宋体" w:hint="default"/>
                <w:sz w:val="18"/>
                <w:szCs w:val="18"/>
              </w:rPr>
              <w:t>高污染柴油 车提前淘汰 补助</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127"/>
              <w:jc w:val="left"/>
              <w:rPr>
                <w:rFonts w:ascii="宋体" w:hAnsi="宋体" w:cs="宋体" w:eastAsia="宋体" w:hint="default"/>
                <w:sz w:val="18"/>
                <w:szCs w:val="18"/>
              </w:rPr>
            </w:pPr>
            <w:r>
              <w:rPr>
                <w:rFonts w:ascii="宋体" w:hAnsi="宋体" w:cs="宋体" w:eastAsia="宋体" w:hint="default"/>
                <w:sz w:val="18"/>
                <w:szCs w:val="18"/>
              </w:rPr>
              <w:t>余杭区财政 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专利补助款</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127"/>
              <w:jc w:val="left"/>
              <w:rPr>
                <w:rFonts w:ascii="宋体" w:hAnsi="宋体" w:cs="宋体" w:eastAsia="宋体" w:hint="default"/>
                <w:sz w:val="18"/>
                <w:szCs w:val="18"/>
              </w:rPr>
            </w:pPr>
            <w:r>
              <w:rPr>
                <w:rFonts w:ascii="宋体" w:hAnsi="宋体" w:cs="宋体" w:eastAsia="宋体" w:hint="default"/>
                <w:sz w:val="18"/>
                <w:szCs w:val="18"/>
              </w:rPr>
              <w:t>余杭区财政 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29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319" w:lineRule="auto"/>
              <w:ind w:left="22" w:right="131"/>
              <w:jc w:val="both"/>
              <w:rPr>
                <w:rFonts w:ascii="宋体" w:hAnsi="宋体" w:cs="宋体" w:eastAsia="宋体" w:hint="default"/>
                <w:sz w:val="18"/>
                <w:szCs w:val="18"/>
              </w:rPr>
            </w:pPr>
            <w:r>
              <w:rPr>
                <w:rFonts w:ascii="宋体" w:hAnsi="宋体" w:cs="宋体" w:eastAsia="宋体" w:hint="default"/>
                <w:sz w:val="18"/>
                <w:szCs w:val="18"/>
              </w:rPr>
              <w:t>余杭区就业 管理服务处 社保补贴</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36"/>
              <w:ind w:left="22" w:right="127"/>
              <w:jc w:val="left"/>
              <w:rPr>
                <w:rFonts w:ascii="宋体" w:hAnsi="宋体" w:cs="宋体" w:eastAsia="宋体" w:hint="default"/>
                <w:sz w:val="18"/>
                <w:szCs w:val="18"/>
              </w:rPr>
            </w:pPr>
            <w:r>
              <w:rPr>
                <w:rFonts w:ascii="宋体" w:hAnsi="宋体" w:cs="宋体" w:eastAsia="宋体" w:hint="default"/>
                <w:sz w:val="18"/>
                <w:szCs w:val="18"/>
              </w:rPr>
              <w:t>余杭区财政 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sz w:val="18"/>
              </w:rPr>
              <w:t>9,600.00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2"/>
        <w:gridCol w:w="1063"/>
      </w:tblGrid>
      <w:tr>
        <w:trPr>
          <w:trHeight w:val="362" w:hRule="exact"/>
        </w:trPr>
        <w:tc>
          <w:tcPr>
            <w:tcW w:w="1066"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6"/>
              <w:jc w:val="center"/>
              <w:rPr>
                <w:rFonts w:ascii="宋体" w:hAnsi="宋体" w:cs="宋体" w:eastAsia="宋体" w:hint="default"/>
                <w:sz w:val="18"/>
                <w:szCs w:val="18"/>
              </w:rPr>
            </w:pPr>
            <w:r>
              <w:rPr>
                <w:rFonts w:ascii="宋体" w:hAnsi="宋体" w:cs="宋体" w:eastAsia="宋体" w:hint="default"/>
                <w:sz w:val="18"/>
                <w:szCs w:val="18"/>
              </w:rPr>
              <w:t>获得的补助</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9" w:right="0"/>
              <w:jc w:val="left"/>
              <w:rPr>
                <w:rFonts w:ascii="Times New Roman" w:hAnsi="Times New Roman" w:cs="Times New Roman" w:eastAsia="Times New Roman" w:hint="default"/>
                <w:sz w:val="18"/>
                <w:szCs w:val="18"/>
              </w:rPr>
            </w:pPr>
            <w:r>
              <w:rPr>
                <w:rFonts w:ascii="Times New Roman"/>
                <w:sz w:val="18"/>
              </w:rPr>
              <w:t>104,000.00</w:t>
            </w:r>
          </w:p>
        </w:tc>
        <w:tc>
          <w:tcPr>
            <w:tcW w:w="106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left="85" w:right="0"/>
              <w:jc w:val="left"/>
              <w:rPr>
                <w:rFonts w:ascii="Times New Roman" w:hAnsi="Times New Roman" w:cs="Times New Roman" w:eastAsia="Times New Roman" w:hint="default"/>
                <w:sz w:val="18"/>
                <w:szCs w:val="18"/>
              </w:rPr>
            </w:pPr>
            <w:r>
              <w:rPr>
                <w:rFonts w:ascii="Times New Roman"/>
                <w:sz w:val="18"/>
              </w:rPr>
              <w:t>3,987,000.00</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bookmarkStart w:name="72、营业外支出" w:id="378"/>
      <w:bookmarkEnd w:id="378"/>
      <w:r>
        <w:rPr>
          <w:b w:val="0"/>
          <w:bCs w:val="0"/>
        </w:rPr>
      </w:r>
      <w:r>
        <w:rPr>
          <w:rFonts w:ascii="Times New Roman" w:hAnsi="Times New Roman" w:cs="Times New Roman" w:eastAsia="Times New Roman" w:hint="default"/>
        </w:rPr>
        <w:t>72</w:t>
      </w:r>
      <w:r>
        <w:rPr/>
        <w:t>、营业外支出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161" w:hRule="exact"/>
        </w:trPr>
        <w:tc>
          <w:tcPr>
            <w:tcW w:w="2390"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2" w:hRule="exact"/>
        </w:trPr>
        <w:tc>
          <w:tcPr>
            <w:tcW w:w="23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vMerge/>
            <w:tcBorders>
              <w:left w:val="single" w:sz="4" w:space="0" w:color="000000"/>
              <w:right w:val="single" w:sz="4" w:space="0" w:color="000000"/>
            </w:tcBorders>
            <w:shd w:val="clear" w:color="auto" w:fill="D2D2D2"/>
          </w:tcPr>
          <w:p>
            <w:pPr/>
          </w:p>
        </w:tc>
      </w:tr>
      <w:tr>
        <w:trPr>
          <w:trHeight w:val="161" w:hRule="exact"/>
        </w:trPr>
        <w:tc>
          <w:tcPr>
            <w:tcW w:w="2390"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13,000.00</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地方水利建设基金</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346,580.66</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84,776.38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65,523.96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84,776.38</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97,776.38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446,104.62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97,776.38</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bookmarkStart w:name="73、所得税费用" w:id="379"/>
      <w:bookmarkEnd w:id="379"/>
      <w:r>
        <w:rPr>
          <w:b w:val="0"/>
          <w:bCs w:val="0"/>
        </w:rPr>
      </w:r>
      <w:r>
        <w:rPr>
          <w:rFonts w:ascii="Times New Roman" w:hAnsi="Times New Roman" w:cs="Times New Roman" w:eastAsia="Times New Roman" w:hint="default"/>
        </w:rPr>
        <w:t>73</w:t>
      </w:r>
      <w:r>
        <w:rPr/>
        <w:t>、所得税费用</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bookmarkStart w:name="（1）所得税费用表" w:id="380"/>
      <w:bookmarkEnd w:id="380"/>
      <w:r>
        <w:rPr>
          <w:b w:val="0"/>
          <w:bCs w:val="0"/>
        </w:rPr>
      </w:r>
      <w:r>
        <w:rPr/>
        <w:t>（</w:t>
      </w:r>
      <w:r>
        <w:rPr>
          <w:rFonts w:ascii="Times New Roman" w:hAnsi="Times New Roman" w:cs="Times New Roman" w:eastAsia="Times New Roman" w:hint="default"/>
        </w:rPr>
        <w:t>1</w:t>
      </w:r>
      <w:r>
        <w:rPr/>
        <w:t>）所得税费用表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5,598,363.18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3,301,789.79</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-498,956.07</w:t>
            </w:r>
            <w:r>
              <w:rPr>
                <w:rFonts w:ascii="Times New Roman"/>
                <w:sz w:val="18"/>
              </w:rPr>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-69,448.54</w:t>
            </w:r>
            <w:r>
              <w:rPr>
                <w:rFonts w:ascii="Times New Roman"/>
                <w:sz w:val="18"/>
              </w:rPr>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5,099,407.11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3,232,341.25</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bookmarkStart w:name="（2）会计利润与所得税费用调整过程" w:id="381"/>
      <w:bookmarkEnd w:id="381"/>
      <w:r>
        <w:rPr>
          <w:b w:val="0"/>
          <w:bCs w:val="0"/>
        </w:rPr>
      </w: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757"/>
        <w:gridCol w:w="4800"/>
      </w:tblGrid>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47,433,566.78</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7,115,035.02</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-1,192.82</w:t>
            </w:r>
            <w:r>
              <w:rPr>
                <w:rFonts w:ascii="Times New Roman"/>
                <w:sz w:val="18"/>
              </w:rPr>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673,616.41</w:t>
            </w:r>
          </w:p>
        </w:tc>
      </w:tr>
      <w:tr>
        <w:trPr>
          <w:trHeight w:val="714"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55"/>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 损的影响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141,582.11</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残疾人工资加计扣除</w:t>
            </w:r>
          </w:p>
        </w:tc>
        <w:tc>
          <w:tcPr>
            <w:tcW w:w="4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-168,093.18</w:t>
            </w:r>
            <w:r>
              <w:rPr>
                <w:rFonts w:ascii="Times New Roman"/>
                <w:sz w:val="18"/>
              </w:rPr>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研发费加计扣除</w:t>
            </w:r>
          </w:p>
        </w:tc>
        <w:tc>
          <w:tcPr>
            <w:tcW w:w="4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-2,468,904.42</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4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-192,636.01</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780"/>
        <w:gridCol w:w="4789"/>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5,099,407.11</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bookmarkStart w:name="74、其他综合收益" w:id="382"/>
      <w:bookmarkEnd w:id="382"/>
      <w:r>
        <w:rPr>
          <w:b w:val="0"/>
          <w:bCs w:val="0"/>
        </w:rPr>
      </w:r>
      <w:r>
        <w:rPr>
          <w:rFonts w:ascii="Times New Roman" w:hAnsi="Times New Roman" w:cs="Times New Roman" w:eastAsia="Times New Roman" w:hint="default"/>
        </w:rPr>
        <w:t>74</w:t>
      </w:r>
      <w:r>
        <w:rPr/>
        <w:t>、其他综合收益</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0"/>
        <w:jc w:val="left"/>
      </w:pPr>
      <w:r>
        <w:rPr/>
        <w:t>详见附注。</w:t>
      </w:r>
    </w:p>
    <w:p>
      <w:pPr>
        <w:spacing w:line="240" w:lineRule="auto" w:before="10"/>
        <w:rPr>
          <w:rFonts w:ascii="宋体" w:hAnsi="宋体" w:cs="宋体" w:eastAsia="宋体" w:hint="default"/>
          <w:sz w:val="26"/>
          <w:szCs w:val="26"/>
        </w:rPr>
      </w:pPr>
    </w:p>
    <w:p>
      <w:pPr>
        <w:pStyle w:val="Heading5"/>
        <w:spacing w:line="240" w:lineRule="auto"/>
        <w:ind w:right="0"/>
        <w:jc w:val="left"/>
        <w:rPr>
          <w:b w:val="0"/>
          <w:bCs w:val="0"/>
        </w:rPr>
      </w:pPr>
      <w:bookmarkStart w:name="75、现金流量表项目" w:id="383"/>
      <w:bookmarkEnd w:id="383"/>
      <w:r>
        <w:rPr>
          <w:b w:val="0"/>
          <w:bCs w:val="0"/>
        </w:rPr>
      </w:r>
      <w:r>
        <w:rPr>
          <w:rFonts w:ascii="Times New Roman" w:hAnsi="Times New Roman" w:cs="Times New Roman" w:eastAsia="Times New Roman" w:hint="default"/>
        </w:rPr>
        <w:t>75</w:t>
      </w:r>
      <w:r>
        <w:rPr/>
        <w:t>、现金流量表项目</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bookmarkStart w:name="（1）收到的其他与经营活动有关的现金" w:id="384"/>
      <w:bookmarkEnd w:id="384"/>
      <w:r>
        <w:rPr>
          <w:b w:val="0"/>
          <w:bCs w:val="0"/>
        </w:rPr>
      </w: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银行利息收入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1,292,429.38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1,854,494.34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272,320.00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3,987,000.00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员工备用金收回</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728,674.94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40,600.00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收到押金保证金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5,547,239.71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82,337.00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票据保证金到期收回</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3,152,808.00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收回履约保证金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783,663.20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489,089.47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357,611.64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12,266,224.70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6,322,042.98</w:t>
            </w:r>
          </w:p>
        </w:tc>
      </w:tr>
    </w:tbl>
    <w:p>
      <w:pPr>
        <w:pStyle w:val="BodyText"/>
        <w:spacing w:line="240" w:lineRule="auto" w:before="51"/>
        <w:ind w:right="0"/>
        <w:jc w:val="left"/>
      </w:pPr>
      <w:r>
        <w:rPr/>
        <w:t>收到的其他与经营活动有关的现金说明：</w:t>
      </w:r>
    </w:p>
    <w:p>
      <w:pPr>
        <w:spacing w:line="240" w:lineRule="auto" w:before="10"/>
        <w:rPr>
          <w:rFonts w:ascii="宋体" w:hAnsi="宋体" w:cs="宋体" w:eastAsia="宋体" w:hint="default"/>
          <w:sz w:val="26"/>
          <w:szCs w:val="26"/>
        </w:rPr>
      </w:pPr>
    </w:p>
    <w:p>
      <w:pPr>
        <w:pStyle w:val="Heading5"/>
        <w:spacing w:line="240" w:lineRule="auto"/>
        <w:ind w:right="0"/>
        <w:jc w:val="left"/>
        <w:rPr>
          <w:b w:val="0"/>
          <w:bCs w:val="0"/>
        </w:rPr>
      </w:pPr>
      <w:bookmarkStart w:name="（2）支付的其他与经营活动有关的现金" w:id="385"/>
      <w:bookmarkEnd w:id="385"/>
      <w:r>
        <w:rPr>
          <w:b w:val="0"/>
          <w:bCs w:val="0"/>
        </w:rPr>
      </w: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捐赠支出</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13,000.00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34,000.00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支付员工备用金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116,896.68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4,300.00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支付押金保证金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573,415.00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330,000.00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9,496,928.05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10,091,641.50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运输费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820,134.58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473,882.21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2,696,763.48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2,231,360.80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884,507.70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823,582.69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中介咨询费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3,656,717.39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1,004,054.93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车辆使用费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650,719.47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319,071.53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技术开发费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23,951,469.50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2"/>
                <w:sz w:val="18"/>
              </w:rPr>
              <w:t>28,111,333.47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支付票据保证金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10,058,497.89</w:t>
            </w:r>
          </w:p>
        </w:tc>
        <w:tc>
          <w:tcPr>
            <w:tcW w:w="318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支付履约保证金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819,000.00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2,203,118.49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1,532,595.18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55,941,168.23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44,955,822.31</w:t>
            </w:r>
          </w:p>
        </w:tc>
      </w:tr>
    </w:tbl>
    <w:p>
      <w:pPr>
        <w:pStyle w:val="BodyText"/>
        <w:spacing w:line="240" w:lineRule="auto" w:before="51"/>
        <w:ind w:right="0"/>
        <w:jc w:val="left"/>
      </w:pPr>
      <w:r>
        <w:rPr/>
        <w:t>支付的其他与经营活动有关的现金说明：</w:t>
      </w: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bookmarkStart w:name="（3）收到的其他与投资活动有关的现金" w:id="386"/>
      <w:bookmarkEnd w:id="386"/>
      <w:r>
        <w:rPr>
          <w:b w:val="0"/>
          <w:bCs w:val="0"/>
        </w:rPr>
      </w: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收回土地开发意向保证金</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收回募投项目建设保证金</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581,147.79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收回往来借款本金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2,553,800.00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2,553,800.00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2,381,147.79</w:t>
            </w:r>
          </w:p>
        </w:tc>
      </w:tr>
    </w:tbl>
    <w:p>
      <w:pPr>
        <w:pStyle w:val="BodyText"/>
        <w:spacing w:line="240" w:lineRule="auto" w:before="51"/>
        <w:ind w:right="0"/>
        <w:jc w:val="left"/>
      </w:pPr>
      <w:r>
        <w:rPr/>
        <w:t>收到的其他与投资活动有关的现金说明：</w:t>
      </w: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bookmarkStart w:name="（4）支付的其他与投资活动有关的现金" w:id="387"/>
      <w:bookmarkEnd w:id="387"/>
      <w:r>
        <w:rPr>
          <w:b w:val="0"/>
          <w:bCs w:val="0"/>
        </w:rPr>
      </w: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51"/>
        <w:ind w:right="0"/>
        <w:jc w:val="left"/>
      </w:pPr>
      <w:r>
        <w:rPr/>
        <w:t>支付的其他与投资活动有关的现金说明：</w:t>
      </w: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bookmarkStart w:name="（5）收到的其他与筹资活动有关的现金" w:id="388"/>
      <w:bookmarkEnd w:id="388"/>
      <w:r>
        <w:rPr>
          <w:b w:val="0"/>
          <w:bCs w:val="0"/>
        </w:rPr>
      </w:r>
      <w:r>
        <w:rPr/>
        <w:t>（</w:t>
      </w:r>
      <w:r>
        <w:rPr>
          <w:rFonts w:ascii="Times New Roman" w:hAnsi="Times New Roman" w:cs="Times New Roman" w:eastAsia="Times New Roman" w:hint="default"/>
        </w:rPr>
        <w:t>5</w:t>
      </w:r>
      <w:r>
        <w:rPr/>
        <w:t>）收到的其他与筹资活动有关的现金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52"/>
        <w:ind w:right="0"/>
        <w:jc w:val="left"/>
      </w:pPr>
      <w:r>
        <w:rPr/>
        <w:t>收到的其他与筹资活动有关的现金说明：</w:t>
      </w:r>
    </w:p>
    <w:p>
      <w:pPr>
        <w:spacing w:line="240" w:lineRule="auto" w:before="10"/>
        <w:rPr>
          <w:rFonts w:ascii="宋体" w:hAnsi="宋体" w:cs="宋体" w:eastAsia="宋体" w:hint="default"/>
          <w:sz w:val="26"/>
          <w:szCs w:val="26"/>
        </w:rPr>
      </w:pPr>
    </w:p>
    <w:p>
      <w:pPr>
        <w:pStyle w:val="Heading5"/>
        <w:spacing w:line="240" w:lineRule="auto"/>
        <w:ind w:right="0"/>
        <w:jc w:val="left"/>
        <w:rPr>
          <w:b w:val="0"/>
          <w:bCs w:val="0"/>
        </w:rPr>
      </w:pPr>
      <w:bookmarkStart w:name="（6）支付的其他与筹资活动有关的现金" w:id="389"/>
      <w:bookmarkEnd w:id="389"/>
      <w:r>
        <w:rPr>
          <w:b w:val="0"/>
          <w:bCs w:val="0"/>
        </w:rPr>
      </w:r>
      <w:r>
        <w:rPr/>
        <w:t>（</w:t>
      </w:r>
      <w:r>
        <w:rPr>
          <w:rFonts w:ascii="Times New Roman" w:hAnsi="Times New Roman" w:cs="Times New Roman" w:eastAsia="Times New Roman" w:hint="default"/>
        </w:rPr>
        <w:t>6</w:t>
      </w:r>
      <w:r>
        <w:rPr/>
        <w:t>）支付的其他与筹资活动有关的现金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上市发行费</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783,018.87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783,018.87</w:t>
            </w:r>
          </w:p>
        </w:tc>
      </w:tr>
    </w:tbl>
    <w:p>
      <w:pPr>
        <w:pStyle w:val="BodyText"/>
        <w:spacing w:line="240" w:lineRule="auto" w:before="51"/>
        <w:ind w:right="0"/>
        <w:jc w:val="left"/>
      </w:pPr>
      <w:r>
        <w:rPr/>
        <w:t>支付的其他与筹资活动有关的现金说明：</w:t>
      </w:r>
    </w:p>
    <w:p>
      <w:pPr>
        <w:spacing w:line="240" w:lineRule="auto" w:before="10"/>
        <w:rPr>
          <w:rFonts w:ascii="宋体" w:hAnsi="宋体" w:cs="宋体" w:eastAsia="宋体" w:hint="default"/>
          <w:sz w:val="26"/>
          <w:szCs w:val="26"/>
        </w:rPr>
      </w:pPr>
    </w:p>
    <w:p>
      <w:pPr>
        <w:pStyle w:val="Heading5"/>
        <w:spacing w:line="240" w:lineRule="auto"/>
        <w:ind w:right="0"/>
        <w:jc w:val="left"/>
        <w:rPr>
          <w:b w:val="0"/>
          <w:bCs w:val="0"/>
        </w:rPr>
      </w:pPr>
      <w:bookmarkStart w:name="76、现金流量表补充资料" w:id="390"/>
      <w:bookmarkEnd w:id="390"/>
      <w:r>
        <w:rPr>
          <w:b w:val="0"/>
          <w:bCs w:val="0"/>
        </w:rPr>
      </w:r>
      <w:r>
        <w:rPr>
          <w:rFonts w:ascii="Times New Roman" w:hAnsi="Times New Roman" w:cs="Times New Roman" w:eastAsia="Times New Roman" w:hint="default"/>
        </w:rPr>
        <w:t>76</w:t>
      </w:r>
      <w:r>
        <w:rPr/>
        <w:t>、现金流量表补充资料</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bookmarkStart w:name="（1）现金流量表补充资料" w:id="391"/>
      <w:bookmarkEnd w:id="391"/>
      <w:r>
        <w:rPr>
          <w:b w:val="0"/>
          <w:bCs w:val="0"/>
        </w:rPr>
      </w:r>
      <w:r>
        <w:rPr/>
        <w:t>（</w:t>
      </w:r>
      <w:r>
        <w:rPr>
          <w:rFonts w:ascii="Times New Roman" w:hAnsi="Times New Roman" w:cs="Times New Roman" w:eastAsia="Times New Roman" w:hint="default"/>
        </w:rPr>
        <w:t>1</w:t>
      </w:r>
      <w:r>
        <w:rPr/>
        <w:t>）现金流量表补充资料</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after="0" w:line="240" w:lineRule="auto"/>
        <w:jc w:val="right"/>
        <w:sectPr>
          <w:pgSz w:w="11910" w:h="16840"/>
          <w:pgMar w:header="747" w:footer="979" w:top="1060" w:bottom="1160" w:left="980" w:right="980"/>
        </w:sectPr>
      </w:pPr>
    </w:p>
    <w:p>
      <w:pPr>
        <w:spacing w:line="240" w:lineRule="auto" w:before="6"/>
        <w:rPr>
          <w:rFonts w:ascii="宋体" w:hAnsi="宋体" w:cs="宋体" w:eastAsia="宋体" w:hint="default"/>
          <w:sz w:val="28"/>
          <w:szCs w:val="28"/>
        </w:rPr>
      </w:pPr>
      <w:r>
        <w:rPr/>
        <w:pict>
          <v:group style="position:absolute;margin-left:223.339996pt;margin-top:284.029968pt;width:151.25pt;height:20.8pt;mso-position-horizontal-relative:page;mso-position-vertical-relative:page;z-index:-903208" coordorigin="4467,5681" coordsize="3025,416">
            <v:group style="position:absolute;left:4478;top:5692;width:2;height:393" coordorigin="4478,5692" coordsize="2,393">
              <v:shape style="position:absolute;left:4478;top:5692;width:2;height:393" coordorigin="4478,5692" coordsize="0,393" path="m4478,5692l4478,6084e" filled="false" stroked="true" strokeweight="1.140pt" strokecolor="#ffffff">
                <v:path arrowok="t"/>
              </v:shape>
            </v:group>
            <v:group style="position:absolute;left:4490;top:5692;width:3002;height:393" coordorigin="4490,5692" coordsize="3002,393">
              <v:shape style="position:absolute;left:4490;top:5692;width:3002;height:393" coordorigin="4490,5692" coordsize="3002,393" path="m4490,6084l7491,6084,7491,5692,4490,5692,4490,6084xe" filled="true" fillcolor="#ffffff" stroked="false">
                <v:path arrowok="t"/>
                <v:fill type="solid"/>
              </v:shape>
            </v:group>
            <w10:wrap type="none"/>
          </v:group>
        </w:pict>
      </w:r>
    </w:p>
    <w:tbl>
      <w:tblPr>
        <w:tblW w:w="0" w:type="auto"/>
        <w:jc w:val="left"/>
        <w:tblInd w:w="160" w:type="dxa"/>
        <w:tblLayout w:type="fixed"/>
        <w:tblCellMar>
          <w:top w:w="0" w:type="dxa"/>
          <w:left w:w="0" w:type="dxa"/>
          <w:bottom w:w="0" w:type="dxa"/>
          <w:right w:w="0" w:type="dxa"/>
        </w:tblCellMar>
        <w:tblLook w:val="01E0"/>
      </w:tblPr>
      <w:tblGrid>
        <w:gridCol w:w="3305"/>
        <w:gridCol w:w="1122"/>
        <w:gridCol w:w="1947"/>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989" w:right="0"/>
              <w:jc w:val="left"/>
              <w:rPr>
                <w:rFonts w:ascii="Times New Roman" w:hAnsi="Times New Roman" w:cs="Times New Roman" w:eastAsia="Times New Roman" w:hint="default"/>
                <w:sz w:val="18"/>
                <w:szCs w:val="18"/>
              </w:rPr>
            </w:pPr>
            <w:r>
              <w:rPr>
                <w:rFonts w:ascii="Times New Roman"/>
                <w:sz w:val="18"/>
              </w:rPr>
              <w:t>42,334,159.67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35,314,916.69</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4,250,374.12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893,782.74</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 物资产折旧</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8,390,873.90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7,975,808.91</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1,385,273.21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1,117,217.56</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173,795.78</w:t>
            </w: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 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-100,561.63</w:t>
            </w:r>
            <w:r>
              <w:rPr>
                <w:rFonts w:ascii="Times New Roman"/>
                <w:sz w:val="18"/>
              </w:rPr>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6,408,930.12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2,720,347.01</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递延所得税资产减少（增加以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1122"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51"/>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19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1048" w:right="0"/>
              <w:jc w:val="left"/>
              <w:rPr>
                <w:rFonts w:ascii="Times New Roman" w:hAnsi="Times New Roman" w:cs="Times New Roman" w:eastAsia="Times New Roman" w:hint="default"/>
                <w:sz w:val="18"/>
                <w:szCs w:val="18"/>
              </w:rPr>
            </w:pPr>
            <w:r>
              <w:rPr>
                <w:rFonts w:ascii="Times New Roman"/>
                <w:sz w:val="18"/>
              </w:rPr>
              <w:t>-498,956.07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-69,448.54</w:t>
            </w:r>
            <w:r>
              <w:rPr>
                <w:rFonts w:ascii="Times New Roman"/>
                <w:sz w:val="18"/>
              </w:rPr>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929" w:right="0"/>
              <w:jc w:val="left"/>
              <w:rPr>
                <w:rFonts w:ascii="Times New Roman" w:hAnsi="Times New Roman" w:cs="Times New Roman" w:eastAsia="Times New Roman" w:hint="default"/>
                <w:sz w:val="18"/>
                <w:szCs w:val="18"/>
              </w:rPr>
            </w:pPr>
            <w:r>
              <w:rPr>
                <w:rFonts w:ascii="Times New Roman"/>
                <w:sz w:val="18"/>
              </w:rPr>
              <w:t>-30,833,358.74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-9,123,119.32</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61"/>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29" w:right="0"/>
              <w:jc w:val="left"/>
              <w:rPr>
                <w:rFonts w:ascii="Times New Roman" w:hAnsi="Times New Roman" w:cs="Times New Roman" w:eastAsia="Times New Roman" w:hint="default"/>
                <w:sz w:val="18"/>
                <w:szCs w:val="18"/>
              </w:rPr>
            </w:pPr>
            <w:r>
              <w:rPr>
                <w:rFonts w:ascii="Times New Roman"/>
                <w:sz w:val="18"/>
              </w:rPr>
              <w:t>-64,748,743.39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-5,301,354.19</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61"/>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89" w:right="0"/>
              <w:jc w:val="left"/>
              <w:rPr>
                <w:rFonts w:ascii="Times New Roman" w:hAnsi="Times New Roman" w:cs="Times New Roman" w:eastAsia="Times New Roman" w:hint="default"/>
                <w:sz w:val="18"/>
                <w:szCs w:val="18"/>
              </w:rPr>
            </w:pPr>
            <w:r>
              <w:rPr>
                <w:rFonts w:ascii="Times New Roman"/>
                <w:sz w:val="18"/>
              </w:rPr>
              <w:t>44,552,325.83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10,141,246.84</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995" w:right="0"/>
              <w:jc w:val="left"/>
              <w:rPr>
                <w:rFonts w:ascii="Times New Roman" w:hAnsi="Times New Roman" w:cs="Times New Roman" w:eastAsia="Times New Roman" w:hint="default"/>
                <w:sz w:val="18"/>
                <w:szCs w:val="18"/>
              </w:rPr>
            </w:pPr>
            <w:r>
              <w:rPr>
                <w:rFonts w:ascii="Times New Roman"/>
                <w:sz w:val="18"/>
              </w:rPr>
              <w:t>11,414,674.43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43,568,836.07</w:t>
            </w:r>
          </w:p>
        </w:tc>
      </w:tr>
      <w:tr>
        <w:trPr>
          <w:trHeight w:val="161" w:hRule="exact"/>
        </w:trPr>
        <w:tc>
          <w:tcPr>
            <w:tcW w:w="3305" w:type="dxa"/>
            <w:vMerge w:val="restart"/>
            <w:tcBorders>
              <w:top w:val="single" w:sz="4" w:space="0" w:color="000000"/>
              <w:left w:val="single" w:sz="4" w:space="0" w:color="000000"/>
              <w:right w:val="single" w:sz="4" w:space="0" w:color="000000"/>
            </w:tcBorders>
            <w:shd w:val="clear" w:color="auto" w:fill="D2D2D2"/>
          </w:tcPr>
          <w:p>
            <w:pPr>
              <w:pStyle w:val="TableParagraph"/>
              <w:spacing w:line="302" w:lineRule="auto" w:before="51"/>
              <w:ind w:left="11" w:right="13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 动：</w:t>
            </w:r>
          </w:p>
        </w:tc>
        <w:tc>
          <w:tcPr>
            <w:tcW w:w="3069"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318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3305" w:type="dxa"/>
            <w:vMerge/>
            <w:tcBorders>
              <w:left w:val="single" w:sz="4" w:space="0" w:color="000000"/>
              <w:right w:val="single" w:sz="4" w:space="0" w:color="000000"/>
            </w:tcBorders>
            <w:shd w:val="clear" w:color="auto" w:fill="D2D2D2"/>
          </w:tcPr>
          <w:p>
            <w:pPr/>
          </w:p>
        </w:tc>
        <w:tc>
          <w:tcPr>
            <w:tcW w:w="3069"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3305" w:type="dxa"/>
            <w:vMerge/>
            <w:tcBorders>
              <w:left w:val="single" w:sz="4" w:space="0" w:color="000000"/>
              <w:bottom w:val="single" w:sz="4" w:space="0" w:color="000000"/>
              <w:right w:val="single" w:sz="4" w:space="0" w:color="000000"/>
            </w:tcBorders>
            <w:shd w:val="clear" w:color="auto" w:fill="D2D2D2"/>
          </w:tcPr>
          <w:p>
            <w:pPr/>
          </w:p>
        </w:tc>
        <w:tc>
          <w:tcPr>
            <w:tcW w:w="3069"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318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989" w:right="0"/>
              <w:jc w:val="left"/>
              <w:rPr>
                <w:rFonts w:ascii="Times New Roman" w:hAnsi="Times New Roman" w:cs="Times New Roman" w:eastAsia="Times New Roman" w:hint="default"/>
                <w:sz w:val="18"/>
                <w:szCs w:val="18"/>
              </w:rPr>
            </w:pPr>
            <w:r>
              <w:rPr>
                <w:rFonts w:ascii="Times New Roman"/>
                <w:sz w:val="18"/>
              </w:rPr>
              <w:t>96,338,996.46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137,172,514.12</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899" w:right="0"/>
              <w:jc w:val="left"/>
              <w:rPr>
                <w:rFonts w:ascii="Times New Roman" w:hAnsi="Times New Roman" w:cs="Times New Roman" w:eastAsia="Times New Roman" w:hint="default"/>
                <w:sz w:val="18"/>
                <w:szCs w:val="18"/>
              </w:rPr>
            </w:pPr>
            <w:r>
              <w:rPr>
                <w:rFonts w:ascii="Times New Roman"/>
                <w:sz w:val="18"/>
              </w:rPr>
              <w:t>137,172,514.12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153,202,224.79</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929" w:right="0"/>
              <w:jc w:val="left"/>
              <w:rPr>
                <w:rFonts w:ascii="Times New Roman" w:hAnsi="Times New Roman" w:cs="Times New Roman" w:eastAsia="Times New Roman" w:hint="default"/>
                <w:sz w:val="18"/>
                <w:szCs w:val="18"/>
              </w:rPr>
            </w:pPr>
            <w:r>
              <w:rPr>
                <w:rFonts w:ascii="Times New Roman"/>
                <w:sz w:val="18"/>
              </w:rPr>
              <w:t>-40,833,517.66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-16,029,710.67</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bookmarkStart w:name="（2）本期支付的取得子公司的现金净额" w:id="392"/>
      <w:bookmarkEnd w:id="392"/>
      <w:r>
        <w:rPr>
          <w:b w:val="0"/>
          <w:bCs w:val="0"/>
        </w:rPr>
      </w:r>
      <w:r>
        <w:rPr/>
        <w:t>（</w:t>
      </w:r>
      <w:r>
        <w:rPr>
          <w:rFonts w:ascii="Times New Roman" w:hAnsi="Times New Roman" w:cs="Times New Roman" w:eastAsia="Times New Roman" w:hint="default"/>
        </w:rPr>
        <w:t>2</w:t>
      </w:r>
      <w:r>
        <w:rPr/>
        <w:t>）本期支付的取得子公司的现金净额</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9"/>
        <w:gridCol w:w="4580"/>
      </w:tblGrid>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本期发生的企业合并于本期支付的现金或现金等价物</w:t>
            </w:r>
          </w:p>
        </w:tc>
        <w:tc>
          <w:tcPr>
            <w:tcW w:w="45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196,000,000.00</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杭州奥能电源设备有限公司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196,000,000.00</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减：购买日子公司持有的现金及现金等价物</w:t>
            </w:r>
          </w:p>
        </w:tc>
        <w:tc>
          <w:tcPr>
            <w:tcW w:w="45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5,982,924.29</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杭州奥能电源设备有限公司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5,982,924.29</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977"/>
        <w:gridCol w:w="4592"/>
      </w:tblGrid>
      <w:tr>
        <w:trPr>
          <w:trHeight w:val="402" w:hRule="exact"/>
        </w:trPr>
        <w:tc>
          <w:tcPr>
            <w:tcW w:w="4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取得子公司支付的现金净额</w:t>
            </w:r>
          </w:p>
        </w:tc>
        <w:tc>
          <w:tcPr>
            <w:tcW w:w="45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190,017,075.71</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bookmarkStart w:name="（3）本期收到的处置子公司的现金净额" w:id="393"/>
      <w:bookmarkEnd w:id="393"/>
      <w:r>
        <w:rPr>
          <w:b w:val="0"/>
          <w:bCs w:val="0"/>
        </w:rPr>
      </w:r>
      <w:r>
        <w:rPr/>
        <w:t>（</w:t>
      </w:r>
      <w:r>
        <w:rPr>
          <w:rFonts w:ascii="Times New Roman" w:hAnsi="Times New Roman" w:cs="Times New Roman" w:eastAsia="Times New Roman" w:hint="default"/>
        </w:rPr>
        <w:t>3</w:t>
      </w:r>
      <w:r>
        <w:rPr/>
        <w:t>）本期收到的处置子公司的现金净额</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989"/>
        <w:gridCol w:w="4580"/>
      </w:tblGrid>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bookmarkStart w:name="（4）现金和现金等价物的构成" w:id="394"/>
      <w:bookmarkEnd w:id="394"/>
      <w:r>
        <w:rPr>
          <w:b w:val="0"/>
          <w:bCs w:val="0"/>
        </w:rPr>
      </w:r>
      <w:r>
        <w:rPr/>
        <w:t>（</w:t>
      </w:r>
      <w:r>
        <w:rPr>
          <w:rFonts w:ascii="Times New Roman" w:hAnsi="Times New Roman" w:cs="Times New Roman" w:eastAsia="Times New Roman" w:hint="default"/>
        </w:rPr>
        <w:t>4</w:t>
      </w:r>
      <w:r>
        <w:rPr/>
        <w:t>）现金和现金等价物的构成</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96,338,996.46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137,172,514.12</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12,248.02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545.34</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96,326,748.44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137,171,968.78</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96,338,996.46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137,172,514.12</w:t>
            </w:r>
          </w:p>
        </w:tc>
      </w:tr>
    </w:tbl>
    <w:p>
      <w:pPr>
        <w:pStyle w:val="BodyText"/>
        <w:spacing w:line="240" w:lineRule="auto" w:before="51"/>
        <w:ind w:right="0"/>
        <w:jc w:val="left"/>
      </w:pPr>
      <w:r>
        <w:rPr/>
        <w:t>其他说明：</w:t>
      </w:r>
    </w:p>
    <w:p>
      <w:pPr>
        <w:pStyle w:val="Heading6"/>
        <w:spacing w:line="240" w:lineRule="auto" w:before="90"/>
        <w:ind w:left="0" w:right="142"/>
        <w:jc w:val="right"/>
      </w:pPr>
      <w:r>
        <w:rPr>
          <w:rFonts w:ascii="Times New Roman" w:hAnsi="Times New Roman" w:cs="Times New Roman" w:eastAsia="Times New Roman" w:hint="default"/>
          <w:spacing w:val="4"/>
        </w:rPr>
        <w:t>2017</w:t>
      </w:r>
      <w:r>
        <w:rPr>
          <w:spacing w:val="4"/>
        </w:rPr>
        <w:t>年</w:t>
      </w:r>
      <w:r>
        <w:rPr>
          <w:rFonts w:ascii="Times New Roman" w:hAnsi="Times New Roman" w:cs="Times New Roman" w:eastAsia="Times New Roman" w:hint="default"/>
          <w:spacing w:val="4"/>
        </w:rPr>
        <w:t>12</w:t>
      </w:r>
      <w:r>
        <w:rPr>
          <w:spacing w:val="4"/>
        </w:rPr>
        <w:t>月</w:t>
      </w:r>
      <w:r>
        <w:rPr>
          <w:rFonts w:ascii="Times New Roman" w:hAnsi="Times New Roman" w:cs="Times New Roman" w:eastAsia="Times New Roman" w:hint="default"/>
          <w:spacing w:val="4"/>
        </w:rPr>
        <w:t>31</w:t>
      </w:r>
      <w:r>
        <w:rPr>
          <w:spacing w:val="4"/>
        </w:rPr>
        <w:t>日货币资金余额为</w:t>
      </w:r>
      <w:r>
        <w:rPr>
          <w:rFonts w:ascii="Times New Roman" w:hAnsi="Times New Roman" w:cs="Times New Roman" w:eastAsia="Times New Roman" w:hint="default"/>
          <w:spacing w:val="4"/>
        </w:rPr>
        <w:t>112,323,066.79</w:t>
      </w:r>
      <w:r>
        <w:rPr>
          <w:spacing w:val="4"/>
        </w:rPr>
        <w:t>元</w:t>
      </w:r>
      <w:r>
        <w:rPr>
          <w:rFonts w:ascii="Times New Roman" w:hAnsi="Times New Roman" w:cs="Times New Roman" w:eastAsia="Times New Roman" w:hint="default"/>
          <w:spacing w:val="4"/>
        </w:rPr>
        <w:t>,</w:t>
      </w:r>
      <w:r>
        <w:rPr>
          <w:spacing w:val="4"/>
        </w:rPr>
        <w:t>现金及现金等价物余额为</w:t>
      </w:r>
      <w:r>
        <w:rPr>
          <w:rFonts w:ascii="Times New Roman" w:hAnsi="Times New Roman" w:cs="Times New Roman" w:eastAsia="Times New Roman" w:hint="default"/>
          <w:spacing w:val="4"/>
        </w:rPr>
        <w:t>96,338,996.46</w:t>
      </w:r>
      <w:r>
        <w:rPr>
          <w:spacing w:val="4"/>
        </w:rPr>
        <w:t>元，差异</w:t>
      </w:r>
      <w:r>
        <w:rPr/>
      </w:r>
    </w:p>
    <w:p>
      <w:pPr>
        <w:pStyle w:val="Heading6"/>
        <w:spacing w:line="240" w:lineRule="auto" w:before="21"/>
        <w:ind w:right="0"/>
        <w:jc w:val="left"/>
      </w:pPr>
      <w:r>
        <w:rPr>
          <w:rFonts w:ascii="Times New Roman" w:hAnsi="Times New Roman" w:cs="Times New Roman" w:eastAsia="Times New Roman" w:hint="default"/>
        </w:rPr>
        <w:t>15,984,070.33</w:t>
      </w:r>
      <w:r>
        <w:rPr/>
        <w:t>元系不属于现金及现金等价物的保函保证金</w:t>
      </w:r>
      <w:r>
        <w:rPr>
          <w:rFonts w:ascii="Times New Roman" w:hAnsi="Times New Roman" w:cs="Times New Roman" w:eastAsia="Times New Roman" w:hint="default"/>
        </w:rPr>
        <w:t>981,047.80</w:t>
      </w:r>
      <w:r>
        <w:rPr/>
        <w:t>元和票据保证金</w:t>
      </w:r>
      <w:r>
        <w:rPr>
          <w:rFonts w:ascii="Times New Roman" w:hAnsi="Times New Roman" w:cs="Times New Roman" w:eastAsia="Times New Roman" w:hint="default"/>
        </w:rPr>
        <w:t>15,003,022.53</w:t>
      </w:r>
      <w:r>
        <w:rPr/>
        <w:t>元。</w:t>
      </w:r>
    </w:p>
    <w:p>
      <w:pPr>
        <w:spacing w:line="240" w:lineRule="auto" w:before="0"/>
        <w:rPr>
          <w:rFonts w:ascii="宋体" w:hAnsi="宋体" w:cs="宋体" w:eastAsia="宋体" w:hint="default"/>
          <w:sz w:val="22"/>
          <w:szCs w:val="22"/>
        </w:rPr>
      </w:pPr>
    </w:p>
    <w:p>
      <w:pPr>
        <w:spacing w:line="240" w:lineRule="auto" w:before="6"/>
        <w:rPr>
          <w:rFonts w:ascii="宋体" w:hAnsi="宋体" w:cs="宋体" w:eastAsia="宋体" w:hint="default"/>
          <w:sz w:val="26"/>
          <w:szCs w:val="26"/>
        </w:rPr>
      </w:pPr>
    </w:p>
    <w:p>
      <w:pPr>
        <w:spacing w:line="547" w:lineRule="auto" w:before="0"/>
        <w:ind w:left="154" w:right="4392" w:firstLine="0"/>
        <w:jc w:val="left"/>
        <w:rPr>
          <w:rFonts w:ascii="宋体" w:hAnsi="宋体" w:cs="宋体" w:eastAsia="宋体" w:hint="default"/>
          <w:sz w:val="21"/>
          <w:szCs w:val="21"/>
        </w:rPr>
      </w:pPr>
      <w:bookmarkStart w:name="77、所有者权益变动表项目注释" w:id="395"/>
      <w:bookmarkEnd w:id="395"/>
      <w:r>
        <w:rPr/>
      </w:r>
      <w:r>
        <w:rPr>
          <w:rFonts w:ascii="Times New Roman" w:hAnsi="Times New Roman" w:cs="Times New Roman" w:eastAsia="Times New Roman" w:hint="default"/>
          <w:b/>
          <w:bCs/>
          <w:sz w:val="21"/>
          <w:szCs w:val="21"/>
        </w:rPr>
        <w:t>77</w:t>
      </w:r>
      <w:r>
        <w:rPr>
          <w:rFonts w:ascii="宋体" w:hAnsi="宋体" w:cs="宋体" w:eastAsia="宋体" w:hint="default"/>
          <w:b/>
          <w:bCs/>
          <w:sz w:val="21"/>
          <w:szCs w:val="21"/>
        </w:rPr>
        <w:t>、所有者权益变动表项目注释</w:t>
      </w:r>
      <w:r>
        <w:rPr>
          <w:rFonts w:ascii="宋体" w:hAnsi="宋体" w:cs="宋体" w:eastAsia="宋体" w:hint="default"/>
          <w:b/>
          <w:bCs/>
          <w:w w:val="99"/>
          <w:sz w:val="21"/>
          <w:szCs w:val="21"/>
        </w:rPr>
        <w:t> </w:t>
      </w:r>
      <w:r>
        <w:rPr>
          <w:rFonts w:ascii="宋体" w:hAnsi="宋体" w:cs="宋体" w:eastAsia="宋体" w:hint="default"/>
          <w:sz w:val="18"/>
          <w:szCs w:val="18"/>
        </w:rPr>
        <w:t>说明对上年期末余额进行调整的</w:t>
      </w:r>
      <w:r>
        <w:rPr>
          <w:rFonts w:ascii="Times New Roman" w:hAnsi="Times New Roman" w:cs="Times New Roman" w:eastAsia="Times New Roman" w:hint="default"/>
          <w:sz w:val="18"/>
          <w:szCs w:val="18"/>
        </w:rPr>
        <w:t>“</w:t>
      </w:r>
      <w:r>
        <w:rPr>
          <w:rFonts w:ascii="宋体" w:hAnsi="宋体" w:cs="宋体" w:eastAsia="宋体" w:hint="default"/>
          <w:sz w:val="18"/>
          <w:szCs w:val="18"/>
        </w:rPr>
        <w:t>其他</w:t>
      </w:r>
      <w:r>
        <w:rPr>
          <w:rFonts w:ascii="Times New Roman" w:hAnsi="Times New Roman" w:cs="Times New Roman" w:eastAsia="Times New Roman" w:hint="default"/>
          <w:sz w:val="18"/>
          <w:szCs w:val="18"/>
        </w:rPr>
        <w:t>”</w:t>
      </w:r>
      <w:r>
        <w:rPr>
          <w:rFonts w:ascii="宋体" w:hAnsi="宋体" w:cs="宋体" w:eastAsia="宋体" w:hint="default"/>
          <w:sz w:val="18"/>
          <w:szCs w:val="18"/>
        </w:rPr>
        <w:t>项目名称及调整金额等事项： </w:t>
      </w:r>
      <w:bookmarkStart w:name="78、所有权或使用权受到限制的资产" w:id="396"/>
      <w:bookmarkEnd w:id="396"/>
      <w:r>
        <w:rPr>
          <w:rFonts w:ascii="宋体" w:hAnsi="宋体" w:cs="宋体" w:eastAsia="宋体" w:hint="default"/>
          <w:sz w:val="18"/>
          <w:szCs w:val="18"/>
        </w:rPr>
      </w:r>
      <w:r>
        <w:rPr>
          <w:rFonts w:ascii="Times New Roman" w:hAnsi="Times New Roman" w:cs="Times New Roman" w:eastAsia="Times New Roman" w:hint="default"/>
          <w:b/>
          <w:bCs/>
          <w:sz w:val="21"/>
          <w:szCs w:val="21"/>
        </w:rPr>
        <w:t>78</w:t>
      </w:r>
      <w:r>
        <w:rPr>
          <w:rFonts w:ascii="宋体" w:hAnsi="宋体" w:cs="宋体" w:eastAsia="宋体" w:hint="default"/>
          <w:b/>
          <w:bCs/>
          <w:sz w:val="21"/>
          <w:szCs w:val="21"/>
        </w:rPr>
        <w:t>、所有权或使用权受到限制的资产</w:t>
      </w:r>
      <w:r>
        <w:rPr>
          <w:rFonts w:ascii="宋体" w:hAnsi="宋体" w:cs="宋体" w:eastAsia="宋体" w:hint="default"/>
          <w:sz w:val="21"/>
          <w:szCs w:val="21"/>
        </w:rPr>
      </w:r>
    </w:p>
    <w:p>
      <w:pPr>
        <w:pStyle w:val="BodyText"/>
        <w:spacing w:line="240" w:lineRule="auto" w:before="50"/>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95"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15,984,070.33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保证金</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13,955,589.55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抵押</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18,141,458.25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抵押</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3,734,230.08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抵押</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51,815,348.21</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t>其他说明：</w:t>
      </w:r>
    </w:p>
    <w:p>
      <w:pPr>
        <w:spacing w:after="0" w:line="240" w:lineRule="auto"/>
        <w:jc w:val="left"/>
        <w:sectPr>
          <w:pgSz w:w="11910" w:h="16840"/>
          <w:pgMar w:header="747" w:footer="979" w:top="1060" w:bottom="1160" w:left="980" w:right="980"/>
        </w:sectPr>
      </w:pPr>
    </w:p>
    <w:p>
      <w:pPr>
        <w:spacing w:line="240" w:lineRule="auto" w:before="9"/>
        <w:rPr>
          <w:rFonts w:ascii="宋体" w:hAnsi="宋体" w:cs="宋体" w:eastAsia="宋体" w:hint="default"/>
          <w:sz w:val="24"/>
          <w:szCs w:val="24"/>
        </w:rPr>
      </w:pPr>
    </w:p>
    <w:p>
      <w:pPr>
        <w:pStyle w:val="Heading5"/>
        <w:spacing w:line="240" w:lineRule="auto" w:before="35"/>
        <w:ind w:right="0"/>
        <w:jc w:val="left"/>
        <w:rPr>
          <w:b w:val="0"/>
          <w:bCs w:val="0"/>
        </w:rPr>
      </w:pPr>
      <w:bookmarkStart w:name="79、外币货币性项目" w:id="397"/>
      <w:bookmarkEnd w:id="397"/>
      <w:r>
        <w:rPr>
          <w:b w:val="0"/>
          <w:bCs w:val="0"/>
        </w:rPr>
      </w:r>
      <w:r>
        <w:rPr>
          <w:rFonts w:ascii="Times New Roman" w:hAnsi="Times New Roman" w:cs="Times New Roman" w:eastAsia="Times New Roman" w:hint="default"/>
        </w:rPr>
        <w:t>79</w:t>
      </w:r>
      <w:r>
        <w:rPr/>
        <w:t>、外币货币性项目</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bookmarkStart w:name="（1）外币货币性项目" w:id="398"/>
      <w:bookmarkEnd w:id="398"/>
      <w:r>
        <w:rPr>
          <w:b w:val="0"/>
          <w:bCs w:val="0"/>
        </w:rPr>
      </w:r>
      <w:r>
        <w:rPr/>
        <w:t>（</w:t>
      </w:r>
      <w:r>
        <w:rPr>
          <w:rFonts w:ascii="Times New Roman" w:hAnsi="Times New Roman" w:cs="Times New Roman" w:eastAsia="Times New Roman" w:hint="default"/>
        </w:rPr>
        <w:t>1</w:t>
      </w:r>
      <w:r>
        <w:rPr/>
        <w:t>）外币货币性项目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495"/>
        <w:gridCol w:w="2294"/>
        <w:gridCol w:w="2379"/>
        <w:gridCol w:w="2401"/>
      </w:tblGrid>
      <w:tr>
        <w:trPr>
          <w:trHeight w:val="403"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1"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4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91"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401"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23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9" w:right="0"/>
              <w:jc w:val="center"/>
              <w:rPr>
                <w:rFonts w:ascii="Times New Roman" w:hAnsi="Times New Roman" w:cs="Times New Roman" w:eastAsia="Times New Roman" w:hint="default"/>
                <w:sz w:val="18"/>
                <w:szCs w:val="18"/>
              </w:rPr>
            </w:pPr>
            <w:r>
              <w:rPr>
                <w:rFonts w:ascii="Times New Roman"/>
                <w:sz w:val="18"/>
              </w:rPr>
              <w:t>--</w:t>
            </w:r>
          </w:p>
        </w:tc>
        <w:tc>
          <w:tcPr>
            <w:tcW w:w="24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23.33</w:t>
            </w:r>
          </w:p>
        </w:tc>
      </w:tr>
      <w:tr>
        <w:trPr>
          <w:trHeight w:val="403"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3.57</w:t>
            </w:r>
          </w:p>
        </w:tc>
        <w:tc>
          <w:tcPr>
            <w:tcW w:w="2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6.5340</w:t>
            </w:r>
          </w:p>
        </w:tc>
        <w:tc>
          <w:tcPr>
            <w:tcW w:w="2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23.33</w:t>
            </w:r>
          </w:p>
        </w:tc>
      </w:tr>
    </w:tbl>
    <w:p>
      <w:pPr>
        <w:pStyle w:val="BodyText"/>
        <w:spacing w:line="240" w:lineRule="auto" w:before="51"/>
        <w:ind w:right="0"/>
        <w:jc w:val="left"/>
      </w:pPr>
      <w:r>
        <w:rPr/>
        <w:t>其他说明：</w:t>
      </w:r>
    </w:p>
    <w:p>
      <w:pPr>
        <w:spacing w:line="240" w:lineRule="auto" w:before="10"/>
        <w:rPr>
          <w:rFonts w:ascii="宋体" w:hAnsi="宋体" w:cs="宋体" w:eastAsia="宋体" w:hint="default"/>
          <w:sz w:val="26"/>
          <w:szCs w:val="26"/>
        </w:rPr>
      </w:pPr>
    </w:p>
    <w:p>
      <w:pPr>
        <w:pStyle w:val="Heading5"/>
        <w:spacing w:line="259" w:lineRule="auto"/>
        <w:ind w:right="0"/>
        <w:jc w:val="left"/>
        <w:rPr>
          <w:b w:val="0"/>
          <w:bCs w:val="0"/>
        </w:rPr>
      </w:pPr>
      <w:bookmarkStart w:name="（2）境外经营实体说明，包括对于重要的境外经营实体，应披露其境外主要经营地、记账" w:id="399"/>
      <w:bookmarkEnd w:id="399"/>
      <w:r>
        <w:rPr>
          <w:b w:val="0"/>
          <w:bCs w:val="0"/>
        </w:rPr>
      </w:r>
      <w:r>
        <w:rPr/>
        <w:t>（</w:t>
      </w:r>
      <w:r>
        <w:rPr>
          <w:rFonts w:ascii="Times New Roman" w:hAnsi="Times New Roman" w:cs="Times New Roman" w:eastAsia="Times New Roman" w:hint="default"/>
        </w:rPr>
        <w:t>2</w:t>
      </w:r>
      <w:r>
        <w:rPr/>
        <w:t>）境外经营实体说明，包括对于重要的境外经营实体，应披露其境外主要经营地、记账本位币及选择</w:t>
      </w:r>
      <w:r>
        <w:rPr>
          <w:spacing w:val="-74"/>
        </w:rPr>
        <w:t> </w:t>
      </w:r>
      <w:r>
        <w:rPr>
          <w:spacing w:val="-74"/>
        </w:rPr>
      </w:r>
      <w:r>
        <w:rPr/>
        <w:t>依据，记账本位币发生变化的还应披露原因。</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5"/>
        <w:spacing w:line="240" w:lineRule="auto"/>
        <w:ind w:right="0"/>
        <w:jc w:val="left"/>
        <w:rPr>
          <w:b w:val="0"/>
          <w:bCs w:val="0"/>
        </w:rPr>
      </w:pPr>
      <w:bookmarkStart w:name="80、套期" w:id="400"/>
      <w:bookmarkEnd w:id="400"/>
      <w:r>
        <w:rPr>
          <w:b w:val="0"/>
          <w:bCs w:val="0"/>
        </w:rPr>
      </w:r>
      <w:r>
        <w:rPr>
          <w:rFonts w:ascii="Times New Roman" w:hAnsi="Times New Roman" w:cs="Times New Roman" w:eastAsia="Times New Roman" w:hint="default"/>
        </w:rPr>
        <w:t>80</w:t>
      </w:r>
      <w:r>
        <w:rPr/>
        <w:t>、套期</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0"/>
        <w:jc w:val="left"/>
      </w:pPr>
      <w:r>
        <w:rPr/>
        <w:t>按照套期类别披露套期项目及相关套期工具、被套期风险的定性和定量信息：</w:t>
      </w:r>
    </w:p>
    <w:p>
      <w:pPr>
        <w:spacing w:line="240" w:lineRule="auto" w:before="11"/>
        <w:rPr>
          <w:rFonts w:ascii="宋体" w:hAnsi="宋体" w:cs="宋体" w:eastAsia="宋体" w:hint="default"/>
          <w:sz w:val="26"/>
          <w:szCs w:val="26"/>
        </w:rPr>
      </w:pPr>
    </w:p>
    <w:p>
      <w:pPr>
        <w:spacing w:line="487" w:lineRule="auto" w:before="0"/>
        <w:ind w:left="154" w:right="7348" w:firstLine="0"/>
        <w:jc w:val="left"/>
        <w:rPr>
          <w:rFonts w:ascii="宋体" w:hAnsi="宋体" w:cs="宋体" w:eastAsia="宋体" w:hint="default"/>
          <w:sz w:val="21"/>
          <w:szCs w:val="21"/>
        </w:rPr>
      </w:pPr>
      <w:bookmarkStart w:name="81、其他" w:id="401"/>
      <w:bookmarkEnd w:id="401"/>
      <w:r>
        <w:rPr/>
      </w:r>
      <w:r>
        <w:rPr>
          <w:rFonts w:ascii="Times New Roman" w:hAnsi="Times New Roman" w:cs="Times New Roman" w:eastAsia="Times New Roman" w:hint="default"/>
          <w:b/>
          <w:bCs/>
          <w:sz w:val="21"/>
          <w:szCs w:val="21"/>
        </w:rPr>
        <w:t>81</w:t>
      </w:r>
      <w:r>
        <w:rPr>
          <w:rFonts w:ascii="宋体" w:hAnsi="宋体" w:cs="宋体" w:eastAsia="宋体" w:hint="default"/>
          <w:b/>
          <w:bCs/>
          <w:sz w:val="21"/>
          <w:szCs w:val="21"/>
        </w:rPr>
        <w:t>、其他</w:t>
      </w:r>
      <w:r>
        <w:rPr>
          <w:rFonts w:ascii="宋体" w:hAnsi="宋体" w:cs="宋体" w:eastAsia="宋体" w:hint="default"/>
          <w:b/>
          <w:bCs/>
          <w:w w:val="99"/>
          <w:sz w:val="21"/>
          <w:szCs w:val="21"/>
        </w:rPr>
        <w:t> </w:t>
      </w:r>
      <w:bookmarkStart w:name="八、合并范围的变更" w:id="402"/>
      <w:bookmarkEnd w:id="402"/>
      <w:r>
        <w:rPr>
          <w:rFonts w:ascii="宋体" w:hAnsi="宋体" w:cs="宋体" w:eastAsia="宋体" w:hint="default"/>
          <w:b/>
          <w:bCs/>
          <w:w w:val="99"/>
          <w:sz w:val="21"/>
          <w:szCs w:val="21"/>
        </w:rPr>
      </w:r>
      <w:r>
        <w:rPr>
          <w:rFonts w:ascii="宋体" w:hAnsi="宋体" w:cs="宋体" w:eastAsia="宋体" w:hint="default"/>
          <w:b/>
          <w:bCs/>
          <w:sz w:val="24"/>
          <w:szCs w:val="24"/>
        </w:rPr>
        <w:t>八、合并范围的变更</w:t>
      </w:r>
      <w:r>
        <w:rPr>
          <w:rFonts w:ascii="宋体" w:hAnsi="宋体" w:cs="宋体" w:eastAsia="宋体" w:hint="default"/>
          <w:b/>
          <w:bCs/>
          <w:w w:val="99"/>
          <w:sz w:val="24"/>
          <w:szCs w:val="24"/>
        </w:rPr>
        <w:t> </w:t>
      </w:r>
      <w:bookmarkStart w:name="1、非同一控制下企业合并" w:id="403"/>
      <w:bookmarkEnd w:id="403"/>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、非同一控制下企业合并</w:t>
      </w:r>
      <w:r>
        <w:rPr>
          <w:rFonts w:ascii="宋体" w:hAnsi="宋体" w:cs="宋体" w:eastAsia="宋体" w:hint="default"/>
          <w:sz w:val="21"/>
          <w:szCs w:val="21"/>
        </w:rPr>
      </w:r>
    </w:p>
    <w:p>
      <w:pPr>
        <w:pStyle w:val="Heading5"/>
        <w:spacing w:line="240" w:lineRule="auto" w:before="83"/>
        <w:ind w:right="0"/>
        <w:jc w:val="left"/>
        <w:rPr>
          <w:b w:val="0"/>
          <w:bCs w:val="0"/>
        </w:rPr>
      </w:pPr>
      <w:bookmarkStart w:name="（1）本期发生的非同一控制下企业合并" w:id="404"/>
      <w:bookmarkEnd w:id="404"/>
      <w:r>
        <w:rPr>
          <w:b w:val="0"/>
          <w:bCs w:val="0"/>
        </w:rPr>
      </w:r>
      <w:r>
        <w:rPr/>
        <w:t>（</w:t>
      </w:r>
      <w:r>
        <w:rPr>
          <w:rFonts w:ascii="Times New Roman" w:hAnsi="Times New Roman" w:cs="Times New Roman" w:eastAsia="Times New Roman" w:hint="default"/>
        </w:rPr>
        <w:t>1</w:t>
      </w:r>
      <w:r>
        <w:rPr/>
        <w:t>）本期发生的非同一控制下企业合并</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064"/>
        <w:gridCol w:w="1064"/>
        <w:gridCol w:w="1063"/>
        <w:gridCol w:w="1065"/>
        <w:gridCol w:w="1064"/>
        <w:gridCol w:w="1063"/>
        <w:gridCol w:w="1062"/>
        <w:gridCol w:w="1062"/>
        <w:gridCol w:w="1062"/>
      </w:tblGrid>
      <w:tr>
        <w:trPr>
          <w:trHeight w:val="1026"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35" w:right="76" w:hanging="360"/>
              <w:jc w:val="left"/>
              <w:rPr>
                <w:rFonts w:ascii="宋体" w:hAnsi="宋体" w:cs="宋体" w:eastAsia="宋体" w:hint="default"/>
                <w:sz w:val="18"/>
                <w:szCs w:val="18"/>
              </w:rPr>
            </w:pPr>
            <w:r>
              <w:rPr>
                <w:rFonts w:ascii="宋体" w:hAnsi="宋体" w:cs="宋体" w:eastAsia="宋体" w:hint="default"/>
                <w:sz w:val="18"/>
                <w:szCs w:val="18"/>
              </w:rPr>
              <w:t>被购买方名 称</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36" w:right="77" w:hanging="360"/>
              <w:jc w:val="left"/>
              <w:rPr>
                <w:rFonts w:ascii="宋体" w:hAnsi="宋体" w:cs="宋体" w:eastAsia="宋体" w:hint="default"/>
                <w:sz w:val="18"/>
                <w:szCs w:val="18"/>
              </w:rPr>
            </w:pPr>
            <w:r>
              <w:rPr>
                <w:rFonts w:ascii="宋体" w:hAnsi="宋体" w:cs="宋体" w:eastAsia="宋体" w:hint="default"/>
                <w:sz w:val="18"/>
                <w:szCs w:val="18"/>
              </w:rPr>
              <w:t>股权取得时 点</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股权取得成 本</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36" w:right="76" w:hanging="360"/>
              <w:jc w:val="left"/>
              <w:rPr>
                <w:rFonts w:ascii="宋体" w:hAnsi="宋体" w:cs="宋体" w:eastAsia="宋体" w:hint="default"/>
                <w:sz w:val="18"/>
                <w:szCs w:val="18"/>
              </w:rPr>
            </w:pPr>
            <w:r>
              <w:rPr>
                <w:rFonts w:ascii="宋体" w:hAnsi="宋体" w:cs="宋体" w:eastAsia="宋体" w:hint="default"/>
                <w:sz w:val="18"/>
                <w:szCs w:val="18"/>
              </w:rPr>
              <w:t>股权取得比 例</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36" w:right="77" w:hanging="360"/>
              <w:jc w:val="left"/>
              <w:rPr>
                <w:rFonts w:ascii="宋体" w:hAnsi="宋体" w:cs="宋体" w:eastAsia="宋体" w:hint="default"/>
                <w:sz w:val="18"/>
                <w:szCs w:val="18"/>
              </w:rPr>
            </w:pPr>
            <w:r>
              <w:rPr>
                <w:rFonts w:ascii="宋体" w:hAnsi="宋体" w:cs="宋体" w:eastAsia="宋体" w:hint="default"/>
                <w:sz w:val="18"/>
                <w:szCs w:val="18"/>
              </w:rPr>
              <w:t>股权取得方 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56"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55" w:right="75" w:hanging="180"/>
              <w:jc w:val="left"/>
              <w:rPr>
                <w:rFonts w:ascii="宋体" w:hAnsi="宋体" w:cs="宋体" w:eastAsia="宋体" w:hint="default"/>
                <w:sz w:val="18"/>
                <w:szCs w:val="18"/>
              </w:rPr>
            </w:pPr>
            <w:r>
              <w:rPr>
                <w:rFonts w:ascii="宋体" w:hAnsi="宋体" w:cs="宋体" w:eastAsia="宋体" w:hint="default"/>
                <w:sz w:val="18"/>
                <w:szCs w:val="18"/>
              </w:rPr>
              <w:t>购买日的确 定依据</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5" w:right="74"/>
              <w:jc w:val="center"/>
              <w:rPr>
                <w:rFonts w:ascii="宋体" w:hAnsi="宋体" w:cs="宋体" w:eastAsia="宋体" w:hint="default"/>
                <w:sz w:val="18"/>
                <w:szCs w:val="18"/>
              </w:rPr>
            </w:pPr>
            <w:r>
              <w:rPr>
                <w:rFonts w:ascii="宋体" w:hAnsi="宋体" w:cs="宋体" w:eastAsia="宋体" w:hint="default"/>
                <w:sz w:val="18"/>
                <w:szCs w:val="18"/>
              </w:rPr>
              <w:t>购买日至期 末被购买方 的收入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5" w:right="74"/>
              <w:jc w:val="both"/>
              <w:rPr>
                <w:rFonts w:ascii="宋体" w:hAnsi="宋体" w:cs="宋体" w:eastAsia="宋体" w:hint="default"/>
                <w:sz w:val="18"/>
                <w:szCs w:val="18"/>
              </w:rPr>
            </w:pPr>
            <w:r>
              <w:rPr>
                <w:rFonts w:ascii="宋体" w:hAnsi="宋体" w:cs="宋体" w:eastAsia="宋体" w:hint="default"/>
                <w:sz w:val="18"/>
                <w:szCs w:val="18"/>
              </w:rPr>
              <w:t>购买日至期 末被购买方 的净利润</w:t>
            </w: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8"/>
              <w:jc w:val="both"/>
              <w:rPr>
                <w:rFonts w:ascii="宋体" w:hAnsi="宋体" w:cs="宋体" w:eastAsia="宋体" w:hint="default"/>
                <w:sz w:val="18"/>
                <w:szCs w:val="18"/>
              </w:rPr>
            </w:pPr>
            <w:r>
              <w:rPr>
                <w:rFonts w:ascii="宋体" w:hAnsi="宋体" w:cs="宋体" w:eastAsia="宋体" w:hint="default"/>
                <w:sz w:val="18"/>
                <w:szCs w:val="18"/>
              </w:rPr>
              <w:t>杭州奥能电 源设备有限 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560,000,000.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86" w:right="0"/>
              <w:jc w:val="left"/>
              <w:rPr>
                <w:rFonts w:ascii="Times New Roman" w:hAnsi="Times New Roman" w:cs="Times New Roman" w:eastAsia="Times New Roman" w:hint="default"/>
                <w:sz w:val="18"/>
                <w:szCs w:val="18"/>
              </w:rPr>
            </w:pPr>
            <w:r>
              <w:rPr>
                <w:rFonts w:ascii="Times New Roman"/>
                <w:sz w:val="18"/>
              </w:rPr>
              <w:t>100.00%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31"/>
              <w:jc w:val="left"/>
              <w:rPr>
                <w:rFonts w:ascii="宋体" w:hAnsi="宋体" w:cs="宋体" w:eastAsia="宋体" w:hint="default"/>
                <w:sz w:val="18"/>
                <w:szCs w:val="18"/>
              </w:rPr>
            </w:pPr>
            <w:r>
              <w:rPr>
                <w:rFonts w:ascii="宋体" w:hAnsi="宋体" w:cs="宋体" w:eastAsia="宋体" w:hint="default"/>
                <w:sz w:val="18"/>
                <w:szCs w:val="18"/>
              </w:rPr>
              <w:t>非同一控制 下企业合并</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控制权转移</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70,267,204.3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20,915,278.6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w:t>
            </w:r>
          </w:p>
        </w:tc>
      </w:tr>
    </w:tbl>
    <w:p>
      <w:pPr>
        <w:pStyle w:val="BodyText"/>
        <w:spacing w:line="240" w:lineRule="auto" w:before="51"/>
        <w:ind w:right="0"/>
        <w:jc w:val="left"/>
      </w:pPr>
      <w:r>
        <w:rPr/>
        <w:t>其他说明：</w:t>
      </w:r>
    </w:p>
    <w:p>
      <w:pPr>
        <w:pStyle w:val="Heading6"/>
        <w:spacing w:line="256" w:lineRule="auto" w:before="90"/>
        <w:ind w:right="150" w:firstLine="420"/>
        <w:jc w:val="both"/>
      </w:pPr>
      <w:r>
        <w:rPr>
          <w:spacing w:val="-1"/>
        </w:rPr>
        <w:t>《股权收购协议》约定，首次交易价款的支付方式为：自协议生效之日起</w:t>
      </w:r>
      <w:r>
        <w:rPr>
          <w:rFonts w:ascii="Times New Roman" w:hAnsi="Times New Roman" w:cs="Times New Roman" w:eastAsia="Times New Roman" w:hint="default"/>
          <w:spacing w:val="-1"/>
        </w:rPr>
        <w:t>15</w:t>
      </w:r>
      <w:r>
        <w:rPr>
          <w:spacing w:val="-1"/>
        </w:rPr>
        <w:t>个工作日内，公司向德清</w:t>
      </w:r>
      <w:r>
        <w:rPr/>
        <w:t> </w:t>
      </w:r>
      <w:r>
        <w:rPr>
          <w:spacing w:val="-1"/>
        </w:rPr>
        <w:t>辉创投资管理合伙企业</w:t>
      </w:r>
      <w:r>
        <w:rPr>
          <w:rFonts w:ascii="Times New Roman" w:hAnsi="Times New Roman" w:cs="Times New Roman" w:eastAsia="Times New Roman" w:hint="default"/>
          <w:spacing w:val="-1"/>
        </w:rPr>
        <w:t>(</w:t>
      </w:r>
      <w:r>
        <w:rPr>
          <w:spacing w:val="-1"/>
        </w:rPr>
        <w:t>有限合伙</w:t>
      </w:r>
      <w:r>
        <w:rPr>
          <w:rFonts w:ascii="Times New Roman" w:hAnsi="Times New Roman" w:cs="Times New Roman" w:eastAsia="Times New Roman" w:hint="default"/>
          <w:spacing w:val="-1"/>
        </w:rPr>
        <w:t>)</w:t>
      </w:r>
      <w:r>
        <w:rPr>
          <w:spacing w:val="-1"/>
        </w:rPr>
        <w:t>和陈虹支付本次交易对价的</w:t>
      </w:r>
      <w:r>
        <w:rPr>
          <w:rFonts w:ascii="Times New Roman" w:hAnsi="Times New Roman" w:cs="Times New Roman" w:eastAsia="Times New Roman" w:hint="default"/>
          <w:spacing w:val="-1"/>
        </w:rPr>
        <w:t>35%(</w:t>
      </w:r>
      <w:r>
        <w:rPr>
          <w:spacing w:val="-1"/>
        </w:rPr>
        <w:t>即人民币</w:t>
      </w:r>
      <w:r>
        <w:rPr>
          <w:rFonts w:ascii="Times New Roman" w:hAnsi="Times New Roman" w:cs="Times New Roman" w:eastAsia="Times New Roman" w:hint="default"/>
          <w:spacing w:val="-1"/>
        </w:rPr>
        <w:t>19,600</w:t>
      </w:r>
      <w:r>
        <w:rPr>
          <w:spacing w:val="-1"/>
        </w:rPr>
        <w:t>万元</w:t>
      </w:r>
      <w:r>
        <w:rPr>
          <w:rFonts w:ascii="Times New Roman" w:hAnsi="Times New Roman" w:cs="Times New Roman" w:eastAsia="Times New Roman" w:hint="default"/>
          <w:spacing w:val="-1"/>
        </w:rPr>
        <w:t>)</w:t>
      </w:r>
      <w:r>
        <w:rPr>
          <w:spacing w:val="-1"/>
        </w:rPr>
        <w:t>。该交易对价已于</w:t>
      </w:r>
      <w:r>
        <w:rPr>
          <w:spacing w:val="-61"/>
        </w:rPr>
        <w:t> </w:t>
      </w:r>
      <w:r>
        <w:rPr>
          <w:spacing w:val="-61"/>
        </w:rPr>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10</w:t>
      </w:r>
      <w:r>
        <w:rPr>
          <w:spacing w:val="-1"/>
        </w:rPr>
        <w:t>月</w:t>
      </w:r>
      <w:r>
        <w:rPr>
          <w:rFonts w:ascii="Times New Roman" w:hAnsi="Times New Roman" w:cs="Times New Roman" w:eastAsia="Times New Roman" w:hint="default"/>
          <w:spacing w:val="-1"/>
        </w:rPr>
        <w:t>20</w:t>
      </w:r>
      <w:r>
        <w:rPr>
          <w:spacing w:val="-1"/>
        </w:rPr>
        <w:t>日支付完毕。同时《股权收购协议》约定，奥能电源公司完成过户至杭州高新公司名下的工</w:t>
      </w:r>
      <w:r>
        <w:rPr>
          <w:spacing w:val="-86"/>
        </w:rPr>
        <w:t> </w:t>
      </w:r>
      <w:r>
        <w:rPr>
          <w:spacing w:val="-86"/>
        </w:rPr>
      </w:r>
      <w:r>
        <w:rPr>
          <w:spacing w:val="-2"/>
        </w:rPr>
        <w:t>商变更登记手续之日起，杭州高新公司即拥有奥能电源公司</w:t>
      </w:r>
      <w:r>
        <w:rPr>
          <w:rFonts w:ascii="Times New Roman" w:hAnsi="Times New Roman" w:cs="Times New Roman" w:eastAsia="Times New Roman" w:hint="default"/>
          <w:spacing w:val="-2"/>
        </w:rPr>
        <w:t>100%</w:t>
      </w:r>
      <w:r>
        <w:rPr>
          <w:spacing w:val="-2"/>
        </w:rPr>
        <w:t>股权。奥能电源公司已于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11</w:t>
      </w:r>
      <w:r>
        <w:rPr>
          <w:spacing w:val="-2"/>
        </w:rPr>
        <w:t>月初完</w:t>
      </w:r>
      <w:r>
        <w:rPr>
          <w:spacing w:val="-100"/>
        </w:rPr>
        <w:t> </w:t>
      </w:r>
      <w:r>
        <w:rPr>
          <w:spacing w:val="-100"/>
        </w:rPr>
      </w:r>
      <w:r>
        <w:rPr/>
        <w:t>成工商信息变更。</w:t>
      </w:r>
    </w:p>
    <w:p>
      <w:pPr>
        <w:pStyle w:val="Heading6"/>
        <w:spacing w:line="264" w:lineRule="auto" w:before="22"/>
        <w:ind w:right="150" w:firstLine="420"/>
        <w:jc w:val="both"/>
      </w:pPr>
      <w:r>
        <w:rPr>
          <w:spacing w:val="-1"/>
        </w:rPr>
        <w:t>根据《杭州高新橡塑材料股份有限公司与杭州奥能电源设备有限公司股东支付现金购买资产的盈利预</w:t>
      </w:r>
      <w:r>
        <w:rPr/>
        <w:t> </w:t>
      </w:r>
      <w:r>
        <w:rPr>
          <w:spacing w:val="-3"/>
        </w:rPr>
        <w:t>测补偿协议》</w:t>
      </w:r>
      <w:r>
        <w:rPr>
          <w:rFonts w:ascii="Times New Roman" w:hAnsi="Times New Roman" w:cs="Times New Roman" w:eastAsia="Times New Roman" w:hint="default"/>
          <w:spacing w:val="-3"/>
        </w:rPr>
        <w:t>(</w:t>
      </w:r>
      <w:r>
        <w:rPr>
          <w:spacing w:val="-3"/>
        </w:rPr>
        <w:t>以下简称</w:t>
      </w:r>
      <w:r>
        <w:rPr>
          <w:rFonts w:ascii="Times New Roman" w:hAnsi="Times New Roman" w:cs="Times New Roman" w:eastAsia="Times New Roman" w:hint="default"/>
          <w:spacing w:val="-3"/>
        </w:rPr>
        <w:t>“</w:t>
      </w:r>
      <w:r>
        <w:rPr>
          <w:spacing w:val="-3"/>
        </w:rPr>
        <w:t>《盈利预测补偿协议》</w:t>
      </w:r>
      <w:r>
        <w:rPr>
          <w:rFonts w:ascii="Times New Roman" w:hAnsi="Times New Roman" w:cs="Times New Roman" w:eastAsia="Times New Roman" w:hint="default"/>
          <w:spacing w:val="-3"/>
        </w:rPr>
        <w:t>”)</w:t>
      </w:r>
      <w:r>
        <w:rPr>
          <w:spacing w:val="-3"/>
        </w:rPr>
        <w:t>的约定，奥能电源公司的业绩承诺为：奥能电源公司</w:t>
      </w:r>
      <w:r>
        <w:rPr>
          <w:rFonts w:ascii="Times New Roman" w:hAnsi="Times New Roman" w:cs="Times New Roman" w:eastAsia="Times New Roman" w:hint="default"/>
          <w:spacing w:val="-3"/>
        </w:rPr>
        <w:t>2017</w:t>
      </w:r>
      <w:r>
        <w:rPr>
          <w:rFonts w:ascii="Times New Roman" w:hAnsi="Times New Roman" w:cs="Times New Roman" w:eastAsia="Times New Roman" w:hint="default"/>
          <w:spacing w:val="-42"/>
        </w:rPr>
        <w:t> </w:t>
      </w:r>
      <w:r>
        <w:rPr/>
        <w:t>年度、</w:t>
      </w:r>
      <w:r>
        <w:rPr>
          <w:rFonts w:ascii="Times New Roman" w:hAnsi="Times New Roman" w:cs="Times New Roman" w:eastAsia="Times New Roman" w:hint="default"/>
        </w:rPr>
        <w:t>2018</w:t>
      </w:r>
      <w:r>
        <w:rPr/>
        <w:t>年度和</w:t>
      </w:r>
      <w:r>
        <w:rPr>
          <w:rFonts w:ascii="Times New Roman" w:hAnsi="Times New Roman" w:cs="Times New Roman" w:eastAsia="Times New Roman" w:hint="default"/>
        </w:rPr>
        <w:t>2019</w:t>
      </w:r>
      <w:r>
        <w:rPr/>
        <w:t>年度的净利润分别不低于</w:t>
      </w:r>
      <w:r>
        <w:rPr>
          <w:rFonts w:ascii="Times New Roman" w:hAnsi="Times New Roman" w:cs="Times New Roman" w:eastAsia="Times New Roman" w:hint="default"/>
        </w:rPr>
        <w:t>3,600</w:t>
      </w:r>
      <w:r>
        <w:rPr/>
        <w:t>万元、</w:t>
      </w:r>
      <w:r>
        <w:rPr>
          <w:rFonts w:ascii="Times New Roman" w:hAnsi="Times New Roman" w:cs="Times New Roman" w:eastAsia="Times New Roman" w:hint="default"/>
        </w:rPr>
        <w:t>5,000</w:t>
      </w:r>
      <w:r>
        <w:rPr/>
        <w:t>万元、</w:t>
      </w:r>
      <w:r>
        <w:rPr>
          <w:rFonts w:ascii="Times New Roman" w:hAnsi="Times New Roman" w:cs="Times New Roman" w:eastAsia="Times New Roman" w:hint="default"/>
        </w:rPr>
        <w:t>6,500</w:t>
      </w:r>
      <w:r>
        <w:rPr/>
        <w:t>万元，且当年度非经常性损</w:t>
      </w:r>
    </w:p>
    <w:p>
      <w:pPr>
        <w:spacing w:after="0" w:line="264" w:lineRule="auto"/>
        <w:jc w:val="both"/>
        <w:sectPr>
          <w:pgSz w:w="11910" w:h="16840"/>
          <w:pgMar w:header="747" w:footer="979" w:top="1060" w:bottom="1160" w:left="980" w:right="980"/>
        </w:sectPr>
      </w:pPr>
    </w:p>
    <w:p>
      <w:pPr>
        <w:spacing w:line="240" w:lineRule="auto" w:before="9"/>
        <w:rPr>
          <w:rFonts w:ascii="宋体" w:hAnsi="宋体" w:cs="宋体" w:eastAsia="宋体" w:hint="default"/>
          <w:sz w:val="24"/>
          <w:szCs w:val="24"/>
        </w:rPr>
      </w:pPr>
    </w:p>
    <w:p>
      <w:pPr>
        <w:pStyle w:val="Heading6"/>
        <w:spacing w:line="256" w:lineRule="auto" w:before="35"/>
        <w:ind w:left="574" w:right="103" w:hanging="420"/>
        <w:jc w:val="left"/>
      </w:pPr>
      <w:r>
        <w:rPr/>
        <w:t>益不超过</w:t>
      </w:r>
      <w:r>
        <w:rPr>
          <w:rFonts w:ascii="Times New Roman" w:hAnsi="Times New Roman" w:cs="Times New Roman" w:eastAsia="Times New Roman" w:hint="default"/>
        </w:rPr>
        <w:t>200</w:t>
      </w:r>
      <w:r>
        <w:rPr/>
        <w:t>万元</w:t>
      </w:r>
      <w:r>
        <w:rPr>
          <w:rFonts w:ascii="Times New Roman" w:hAnsi="Times New Roman" w:cs="Times New Roman" w:eastAsia="Times New Roman" w:hint="default"/>
        </w:rPr>
        <w:t>(</w:t>
      </w:r>
      <w:r>
        <w:rPr/>
        <w:t>不包含增值税退税</w:t>
      </w:r>
      <w:r>
        <w:rPr>
          <w:rFonts w:ascii="Times New Roman" w:hAnsi="Times New Roman" w:cs="Times New Roman" w:eastAsia="Times New Roman" w:hint="default"/>
        </w:rPr>
        <w:t>)</w:t>
      </w:r>
      <w:r>
        <w:rPr/>
        <w:t>。 </w:t>
      </w:r>
      <w:r>
        <w:rPr>
          <w:spacing w:val="-1"/>
        </w:rPr>
        <w:t>该《盈利预测补偿协议》同时约定第二期交易价款的支付条件为：本公司在聘请的具有从事证券期货</w:t>
      </w:r>
    </w:p>
    <w:p>
      <w:pPr>
        <w:pStyle w:val="Heading6"/>
        <w:spacing w:line="261" w:lineRule="auto" w:before="22"/>
        <w:ind w:right="211"/>
        <w:jc w:val="both"/>
      </w:pPr>
      <w:r>
        <w:rPr>
          <w:spacing w:val="-1"/>
        </w:rPr>
        <w:t>从业资格的会计师事务所出具关于奥能电源公司</w:t>
      </w:r>
      <w:r>
        <w:rPr>
          <w:rFonts w:ascii="Times New Roman" w:hAnsi="Times New Roman" w:cs="Times New Roman" w:eastAsia="Times New Roman" w:hint="default"/>
          <w:spacing w:val="-1"/>
        </w:rPr>
        <w:t>2018</w:t>
      </w:r>
      <w:r>
        <w:rPr>
          <w:spacing w:val="-1"/>
        </w:rPr>
        <w:t>年度的专项合并财务审计报告后的一个月内，向奥能</w:t>
      </w:r>
      <w:r>
        <w:rPr>
          <w:spacing w:val="-80"/>
        </w:rPr>
        <w:t> </w:t>
      </w:r>
      <w:r>
        <w:rPr>
          <w:spacing w:val="-80"/>
        </w:rPr>
      </w:r>
      <w:r>
        <w:rPr>
          <w:spacing w:val="-2"/>
        </w:rPr>
        <w:t>电源公司原股东支付本次交易对价的</w:t>
      </w:r>
      <w:r>
        <w:rPr>
          <w:rFonts w:ascii="Times New Roman" w:hAnsi="Times New Roman" w:cs="Times New Roman" w:eastAsia="Times New Roman" w:hint="default"/>
          <w:spacing w:val="-2"/>
        </w:rPr>
        <w:t>35%(</w:t>
      </w:r>
      <w:r>
        <w:rPr>
          <w:spacing w:val="-2"/>
        </w:rPr>
        <w:t>即人民币</w:t>
      </w:r>
      <w:r>
        <w:rPr>
          <w:rFonts w:ascii="Times New Roman" w:hAnsi="Times New Roman" w:cs="Times New Roman" w:eastAsia="Times New Roman" w:hint="default"/>
          <w:spacing w:val="-2"/>
        </w:rPr>
        <w:t>19,600</w:t>
      </w:r>
      <w:r>
        <w:rPr>
          <w:spacing w:val="-2"/>
        </w:rPr>
        <w:t>万元</w:t>
      </w:r>
      <w:r>
        <w:rPr>
          <w:rFonts w:ascii="Times New Roman" w:hAnsi="Times New Roman" w:cs="Times New Roman" w:eastAsia="Times New Roman" w:hint="default"/>
          <w:spacing w:val="-2"/>
        </w:rPr>
        <w:t>)</w:t>
      </w:r>
      <w:r>
        <w:rPr>
          <w:spacing w:val="-2"/>
        </w:rPr>
        <w:t>；若</w:t>
      </w:r>
      <w:r>
        <w:rPr>
          <w:rFonts w:ascii="Times New Roman" w:hAnsi="Times New Roman" w:cs="Times New Roman" w:eastAsia="Times New Roman" w:hint="default"/>
          <w:spacing w:val="-2"/>
        </w:rPr>
        <w:t>2018</w:t>
      </w:r>
      <w:r>
        <w:rPr>
          <w:spacing w:val="-2"/>
        </w:rPr>
        <w:t>年度未满足业绩承诺指标，则奥能</w:t>
      </w:r>
      <w:r>
        <w:rPr>
          <w:spacing w:val="-78"/>
        </w:rPr>
        <w:t> </w:t>
      </w:r>
      <w:r>
        <w:rPr>
          <w:spacing w:val="-78"/>
        </w:rPr>
      </w:r>
      <w:r>
        <w:rPr>
          <w:spacing w:val="-1"/>
        </w:rPr>
        <w:t>电源公司原股东应根据《盈利预测补偿协议》的约定向本公司进行补偿，即本公司有权直接扣减应补偿金</w:t>
      </w:r>
      <w:r>
        <w:rPr>
          <w:spacing w:val="-83"/>
        </w:rPr>
        <w:t> </w:t>
      </w:r>
      <w:r>
        <w:rPr>
          <w:spacing w:val="-83"/>
        </w:rPr>
      </w:r>
      <w:r>
        <w:rPr/>
        <w:t>额后支付第二期款项。</w:t>
      </w:r>
    </w:p>
    <w:p>
      <w:pPr>
        <w:pStyle w:val="Heading6"/>
        <w:spacing w:line="264" w:lineRule="auto" w:before="18"/>
        <w:ind w:right="210" w:firstLine="420"/>
        <w:jc w:val="both"/>
      </w:pPr>
      <w:r>
        <w:rPr>
          <w:spacing w:val="-1"/>
        </w:rPr>
        <w:t>第三期交易价款的支付条件为：本公司在聘请的具有从事证券期货从业资格的会计师事务所出具关于</w:t>
      </w:r>
      <w:r>
        <w:rPr/>
        <w:t> </w:t>
      </w:r>
      <w:r>
        <w:rPr>
          <w:spacing w:val="-1"/>
        </w:rPr>
        <w:t>奥能电源公司</w:t>
      </w:r>
      <w:r>
        <w:rPr>
          <w:rFonts w:ascii="Times New Roman" w:hAnsi="Times New Roman" w:cs="Times New Roman" w:eastAsia="Times New Roman" w:hint="default"/>
          <w:spacing w:val="-1"/>
        </w:rPr>
        <w:t>2019</w:t>
      </w:r>
      <w:r>
        <w:rPr>
          <w:spacing w:val="-1"/>
        </w:rPr>
        <w:t>年度的专项合并财务审计报告后一个月内，向奥能电源公司原股东支付本次交易对价的</w:t>
      </w:r>
      <w:r>
        <w:rPr>
          <w:spacing w:val="-80"/>
        </w:rPr>
        <w:t> </w:t>
      </w:r>
      <w:r>
        <w:rPr>
          <w:spacing w:val="-80"/>
        </w:rPr>
      </w:r>
      <w:r>
        <w:rPr>
          <w:rFonts w:ascii="Times New Roman" w:hAnsi="Times New Roman" w:cs="Times New Roman" w:eastAsia="Times New Roman" w:hint="default"/>
          <w:spacing w:val="-2"/>
        </w:rPr>
        <w:t>30%(</w:t>
      </w:r>
      <w:r>
        <w:rPr>
          <w:spacing w:val="-2"/>
        </w:rPr>
        <w:t>即人民币</w:t>
      </w:r>
      <w:r>
        <w:rPr>
          <w:rFonts w:ascii="Times New Roman" w:hAnsi="Times New Roman" w:cs="Times New Roman" w:eastAsia="Times New Roman" w:hint="default"/>
          <w:spacing w:val="-2"/>
        </w:rPr>
        <w:t>16,800</w:t>
      </w:r>
      <w:r>
        <w:rPr>
          <w:spacing w:val="-2"/>
        </w:rPr>
        <w:t>万元</w:t>
      </w:r>
      <w:r>
        <w:rPr>
          <w:rFonts w:ascii="Times New Roman" w:hAnsi="Times New Roman" w:cs="Times New Roman" w:eastAsia="Times New Roman" w:hint="default"/>
          <w:spacing w:val="-2"/>
        </w:rPr>
        <w:t>)</w:t>
      </w:r>
      <w:r>
        <w:rPr>
          <w:spacing w:val="-2"/>
        </w:rPr>
        <w:t>；若</w:t>
      </w:r>
      <w:r>
        <w:rPr>
          <w:rFonts w:ascii="Times New Roman" w:hAnsi="Times New Roman" w:cs="Times New Roman" w:eastAsia="Times New Roman" w:hint="default"/>
          <w:spacing w:val="-2"/>
        </w:rPr>
        <w:t>2019</w:t>
      </w:r>
      <w:r>
        <w:rPr>
          <w:spacing w:val="-2"/>
        </w:rPr>
        <w:t>年度未满足业绩承诺指标，则奥能电源公司原股东应根据《盈利预测补</w:t>
      </w:r>
      <w:r>
        <w:rPr>
          <w:spacing w:val="-81"/>
        </w:rPr>
        <w:t> </w:t>
      </w:r>
      <w:r>
        <w:rPr>
          <w:spacing w:val="-81"/>
        </w:rPr>
      </w:r>
      <w:r>
        <w:rPr>
          <w:spacing w:val="-1"/>
        </w:rPr>
        <w:t>偿协议》的约定向本公司进行补偿，即本公司有权直接扣减应补偿金额后支付第三期款项。如第三期款项</w:t>
      </w:r>
      <w:r>
        <w:rPr>
          <w:spacing w:val="-83"/>
        </w:rPr>
        <w:t> </w:t>
      </w:r>
      <w:r>
        <w:rPr>
          <w:spacing w:val="-83"/>
        </w:rPr>
      </w:r>
      <w:r>
        <w:rPr/>
        <w:t>金额不足以补偿金额的，奥能电源公司原股东应在一个月内另行支付补偿金。</w:t>
      </w:r>
    </w:p>
    <w:p>
      <w:pPr>
        <w:pStyle w:val="Heading6"/>
        <w:spacing w:line="256" w:lineRule="auto" w:before="16"/>
        <w:ind w:right="207" w:firstLine="420"/>
        <w:jc w:val="left"/>
      </w:pPr>
      <w:r>
        <w:rPr/>
        <w:t>盈利承诺期间内，如当年实际盈利数未能实现业绩承诺指标的</w:t>
      </w:r>
      <w:r>
        <w:rPr>
          <w:rFonts w:ascii="Times New Roman" w:hAnsi="Times New Roman" w:cs="Times New Roman" w:eastAsia="Times New Roman" w:hint="default"/>
        </w:rPr>
        <w:t>35%</w:t>
      </w:r>
      <w:r>
        <w:rPr/>
        <w:t>，则当期对应支付款项本公司不予 支付。</w:t>
      </w:r>
    </w:p>
    <w:p>
      <w:pPr>
        <w:pStyle w:val="Heading6"/>
        <w:spacing w:line="261" w:lineRule="auto" w:before="22"/>
        <w:ind w:right="103" w:firstLine="420"/>
        <w:jc w:val="left"/>
      </w:pPr>
      <w:r>
        <w:rPr/>
        <w:t>奥能电源公司原股东应在本公司向其支付第三期收购价款前出具以下承诺：截至</w:t>
      </w:r>
      <w:r>
        <w:rPr>
          <w:rFonts w:ascii="Times New Roman" w:hAnsi="Times New Roman" w:cs="Times New Roman" w:eastAsia="Times New Roman" w:hint="default"/>
        </w:rPr>
        <w:t>2021</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30</w:t>
      </w:r>
      <w:r>
        <w:rPr/>
        <w:t>日止， 奥能电源公司于承诺业绩完成届满之日</w:t>
      </w:r>
      <w:r>
        <w:rPr>
          <w:rFonts w:ascii="Times New Roman" w:hAnsi="Times New Roman" w:cs="Times New Roman" w:eastAsia="Times New Roman" w:hint="default"/>
        </w:rPr>
        <w:t>(</w:t>
      </w:r>
      <w:r>
        <w:rPr/>
        <w:t>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w:t>
      </w:r>
      <w:r>
        <w:rPr>
          <w:rFonts w:ascii="Times New Roman" w:hAnsi="Times New Roman" w:cs="Times New Roman" w:eastAsia="Times New Roman" w:hint="default"/>
        </w:rPr>
        <w:t>)</w:t>
      </w:r>
      <w:r>
        <w:rPr/>
        <w:t>的应收账款余额回收率达到</w:t>
      </w:r>
      <w:r>
        <w:rPr>
          <w:rFonts w:ascii="Times New Roman" w:hAnsi="Times New Roman" w:cs="Times New Roman" w:eastAsia="Times New Roman" w:hint="default"/>
        </w:rPr>
        <w:t>85%</w:t>
      </w:r>
      <w:r>
        <w:rPr/>
        <w:t>。如奥能电源</w:t>
      </w:r>
      <w:r>
        <w:rPr>
          <w:spacing w:val="-30"/>
        </w:rPr>
        <w:t> </w:t>
      </w:r>
      <w:r>
        <w:rPr>
          <w:spacing w:val="-30"/>
        </w:rPr>
      </w:r>
      <w:r>
        <w:rPr/>
        <w:t>公司应收账款回收率未达到上述承诺的，奥能电源公司原股东应在一个月内</w:t>
      </w:r>
      <w:r>
        <w:rPr>
          <w:rFonts w:ascii="Times New Roman" w:hAnsi="Times New Roman" w:cs="Times New Roman" w:eastAsia="Times New Roman" w:hint="default"/>
        </w:rPr>
        <w:t>(</w:t>
      </w:r>
      <w:r>
        <w:rPr/>
        <w:t>即</w:t>
      </w:r>
      <w:r>
        <w:rPr>
          <w:rFonts w:ascii="Times New Roman" w:hAnsi="Times New Roman" w:cs="Times New Roman" w:eastAsia="Times New Roman" w:hint="default"/>
        </w:rPr>
        <w:t>2021</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31</w:t>
      </w:r>
      <w:r>
        <w:rPr/>
        <w:t>日前</w:t>
      </w:r>
      <w:r>
        <w:rPr>
          <w:rFonts w:ascii="Times New Roman" w:hAnsi="Times New Roman" w:cs="Times New Roman" w:eastAsia="Times New Roman" w:hint="default"/>
        </w:rPr>
        <w:t>)</w:t>
      </w:r>
      <w:r>
        <w:rPr/>
        <w:t>，以现</w:t>
      </w:r>
      <w:r>
        <w:rPr>
          <w:spacing w:val="-63"/>
        </w:rPr>
        <w:t> </w:t>
      </w:r>
      <w:r>
        <w:rPr>
          <w:spacing w:val="-3"/>
        </w:rPr>
        <w:t>金方式向本公司支付应收账款余额差额。奥能电源公司原股东按照上述约定，将应收账款余额差额补足后，</w:t>
      </w:r>
      <w:r>
        <w:rPr>
          <w:spacing w:val="-92"/>
        </w:rPr>
        <w:t> </w:t>
      </w:r>
      <w:r>
        <w:rPr>
          <w:spacing w:val="-92"/>
        </w:rPr>
      </w:r>
      <w:r>
        <w:rPr/>
        <w:t>如相关款项对应的应收账款，奥能电源公司在</w:t>
      </w:r>
      <w:r>
        <w:rPr>
          <w:rFonts w:ascii="Times New Roman" w:hAnsi="Times New Roman" w:cs="Times New Roman" w:eastAsia="Times New Roman" w:hint="default"/>
        </w:rPr>
        <w:t>2022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日前收回的，奥能电源公司应在收回应收款项 后一个月内归还奥能电源公司原股东。</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8"/>
          <w:szCs w:val="28"/>
        </w:rPr>
      </w:pPr>
    </w:p>
    <w:p>
      <w:pPr>
        <w:pStyle w:val="Heading5"/>
        <w:spacing w:line="240" w:lineRule="auto"/>
        <w:ind w:right="0"/>
        <w:jc w:val="both"/>
        <w:rPr>
          <w:b w:val="0"/>
          <w:bCs w:val="0"/>
        </w:rPr>
      </w:pPr>
      <w:bookmarkStart w:name="（2）合并成本及商誉" w:id="405"/>
      <w:bookmarkEnd w:id="405"/>
      <w:r>
        <w:rPr>
          <w:b w:val="0"/>
          <w:bCs w:val="0"/>
        </w:rPr>
      </w:r>
      <w:r>
        <w:rPr/>
        <w:t>（</w:t>
      </w:r>
      <w:r>
        <w:rPr>
          <w:rFonts w:ascii="Times New Roman" w:hAnsi="Times New Roman" w:cs="Times New Roman" w:eastAsia="Times New Roman" w:hint="default"/>
        </w:rPr>
        <w:t>2</w:t>
      </w:r>
      <w:r>
        <w:rPr/>
        <w:t>）合并成本及商誉</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0" w:right="21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3"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合并成本</w:t>
            </w:r>
          </w:p>
        </w:tc>
        <w:tc>
          <w:tcPr>
            <w:tcW w:w="4784" w:type="dxa"/>
            <w:tcBorders>
              <w:top w:val="single" w:sz="4" w:space="0" w:color="000000"/>
              <w:left w:val="single" w:sz="4" w:space="0" w:color="000000"/>
              <w:bottom w:val="single" w:sz="4" w:space="0" w:color="000000"/>
              <w:right w:val="single" w:sz="4" w:space="0" w:color="000000"/>
            </w:tcBorders>
            <w:shd w:val="clear" w:color="auto" w:fill="E0FFFF"/>
          </w:tcPr>
          <w:p>
            <w:pP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现金</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560,000,000.00</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合并成本合计</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560,000,000.00</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减：取得的可辨认净资产公允价值份额</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90,709,599.06</w:t>
            </w:r>
          </w:p>
        </w:tc>
      </w:tr>
      <w:tr>
        <w:trPr>
          <w:trHeight w:val="715"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22" w:right="199"/>
              <w:jc w:val="left"/>
              <w:rPr>
                <w:rFonts w:ascii="宋体" w:hAnsi="宋体" w:cs="宋体" w:eastAsia="宋体" w:hint="default"/>
                <w:sz w:val="18"/>
                <w:szCs w:val="18"/>
              </w:rPr>
            </w:pPr>
            <w:r>
              <w:rPr>
                <w:rFonts w:ascii="宋体" w:hAnsi="宋体" w:cs="宋体" w:eastAsia="宋体" w:hint="default"/>
                <w:sz w:val="18"/>
                <w:szCs w:val="18"/>
              </w:rPr>
              <w:t>商誉</w:t>
            </w:r>
            <w:r>
              <w:rPr>
                <w:rFonts w:ascii="Times New Roman" w:hAnsi="Times New Roman" w:cs="Times New Roman" w:eastAsia="Times New Roman" w:hint="default"/>
                <w:sz w:val="18"/>
                <w:szCs w:val="18"/>
              </w:rPr>
              <w:t>/</w:t>
            </w:r>
            <w:r>
              <w:rPr>
                <w:rFonts w:ascii="宋体" w:hAnsi="宋体" w:cs="宋体" w:eastAsia="宋体" w:hint="default"/>
                <w:sz w:val="18"/>
                <w:szCs w:val="18"/>
              </w:rPr>
              <w:t>合并成本小于取得的可辨认净资产公允价值份额的金 额</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469,290,400.94</w:t>
            </w:r>
          </w:p>
        </w:tc>
      </w:tr>
    </w:tbl>
    <w:p>
      <w:pPr>
        <w:pStyle w:val="BodyText"/>
        <w:spacing w:line="240" w:lineRule="auto" w:before="51"/>
        <w:ind w:right="103"/>
        <w:jc w:val="left"/>
      </w:pPr>
      <w:r>
        <w:rPr/>
        <w:t>合并成本公允价值的确定方法、或有对价及其变动的说明：</w:t>
      </w:r>
    </w:p>
    <w:p>
      <w:pPr>
        <w:pStyle w:val="Heading6"/>
        <w:spacing w:line="261" w:lineRule="auto" w:before="89"/>
        <w:ind w:right="210" w:firstLine="420"/>
        <w:jc w:val="both"/>
      </w:pPr>
      <w:r>
        <w:rPr>
          <w:spacing w:val="-1"/>
        </w:rPr>
        <w:t>根据本公司与杭州奥能电源设备有限公司签订的《盈利预测补偿协议》，杭州奥能电源设备有限公司</w:t>
      </w:r>
      <w:r>
        <w:rPr/>
        <w:t> </w:t>
      </w:r>
      <w:r>
        <w:rPr>
          <w:rFonts w:ascii="Times New Roman" w:hAnsi="Times New Roman" w:cs="Times New Roman" w:eastAsia="Times New Roman" w:hint="default"/>
        </w:rPr>
        <w:t>2017</w:t>
      </w:r>
      <w:r>
        <w:rPr/>
        <w:t>年度、</w:t>
      </w:r>
      <w:r>
        <w:rPr>
          <w:rFonts w:ascii="Times New Roman" w:hAnsi="Times New Roman" w:cs="Times New Roman" w:eastAsia="Times New Roman" w:hint="default"/>
        </w:rPr>
        <w:t>2018</w:t>
      </w:r>
      <w:r>
        <w:rPr/>
        <w:t>年度、</w:t>
      </w:r>
      <w:r>
        <w:rPr>
          <w:rFonts w:ascii="Times New Roman" w:hAnsi="Times New Roman" w:cs="Times New Roman" w:eastAsia="Times New Roman" w:hint="default"/>
        </w:rPr>
        <w:t>2019</w:t>
      </w:r>
      <w:r>
        <w:rPr/>
        <w:t>年度扣除非经常性损益后实现的净利润不低于</w:t>
      </w:r>
      <w:r>
        <w:rPr>
          <w:rFonts w:ascii="Times New Roman" w:hAnsi="Times New Roman" w:cs="Times New Roman" w:eastAsia="Times New Roman" w:hint="default"/>
        </w:rPr>
        <w:t>3,600</w:t>
      </w:r>
      <w:r>
        <w:rPr/>
        <w:t>万元、</w:t>
      </w:r>
      <w:r>
        <w:rPr>
          <w:rFonts w:ascii="Times New Roman" w:hAnsi="Times New Roman" w:cs="Times New Roman" w:eastAsia="Times New Roman" w:hint="default"/>
        </w:rPr>
        <w:t>5,000</w:t>
      </w:r>
      <w:r>
        <w:rPr/>
        <w:t>万元、</w:t>
      </w:r>
      <w:r>
        <w:rPr>
          <w:rFonts w:ascii="Times New Roman" w:hAnsi="Times New Roman" w:cs="Times New Roman" w:eastAsia="Times New Roman" w:hint="default"/>
        </w:rPr>
        <w:t>6,500</w:t>
      </w:r>
      <w:r>
        <w:rPr/>
        <w:t>万</w:t>
      </w:r>
      <w:r>
        <w:rPr>
          <w:spacing w:val="-80"/>
        </w:rPr>
        <w:t> </w:t>
      </w:r>
      <w:r>
        <w:rPr>
          <w:spacing w:val="-2"/>
        </w:rPr>
        <w:t>元，且每个年度净利润中的非经常性损益不超过</w:t>
      </w:r>
      <w:r>
        <w:rPr>
          <w:rFonts w:ascii="Times New Roman" w:hAnsi="Times New Roman" w:cs="Times New Roman" w:eastAsia="Times New Roman" w:hint="default"/>
          <w:spacing w:val="-2"/>
        </w:rPr>
        <w:t>200</w:t>
      </w:r>
      <w:r>
        <w:rPr>
          <w:spacing w:val="-2"/>
        </w:rPr>
        <w:t>万元</w:t>
      </w:r>
      <w:r>
        <w:rPr>
          <w:rFonts w:ascii="Times New Roman" w:hAnsi="Times New Roman" w:cs="Times New Roman" w:eastAsia="Times New Roman" w:hint="default"/>
          <w:spacing w:val="-2"/>
        </w:rPr>
        <w:t>(</w:t>
      </w:r>
      <w:r>
        <w:rPr>
          <w:spacing w:val="-2"/>
        </w:rPr>
        <w:t>不包含增值税退税</w:t>
      </w:r>
      <w:r>
        <w:rPr>
          <w:rFonts w:ascii="Times New Roman" w:hAnsi="Times New Roman" w:cs="Times New Roman" w:eastAsia="Times New Roman" w:hint="default"/>
          <w:spacing w:val="-2"/>
        </w:rPr>
        <w:t>)</w:t>
      </w:r>
      <w:r>
        <w:rPr>
          <w:spacing w:val="-2"/>
        </w:rPr>
        <w:t>。否则，奥能电源公司原股东</w:t>
      </w:r>
      <w:r>
        <w:rPr>
          <w:spacing w:val="-69"/>
        </w:rPr>
        <w:t> </w:t>
      </w:r>
      <w:r>
        <w:rPr>
          <w:spacing w:val="-69"/>
        </w:rPr>
      </w:r>
      <w:r>
        <w:rPr>
          <w:spacing w:val="3"/>
        </w:rPr>
        <w:t>应依据相关规定对本公司以现金方式予以补偿，具体补偿金额按以下公式计算：当年应补偿的现金金额</w:t>
      </w:r>
    </w:p>
    <w:p>
      <w:pPr>
        <w:pStyle w:val="Heading6"/>
        <w:spacing w:line="256" w:lineRule="auto" w:before="18"/>
        <w:ind w:right="103"/>
        <w:jc w:val="left"/>
      </w:pPr>
      <w:r>
        <w:rPr>
          <w:rFonts w:ascii="Times New Roman" w:hAnsi="Times New Roman" w:cs="Times New Roman" w:eastAsia="Times New Roman" w:hint="default"/>
        </w:rPr>
        <w:t>=(</w:t>
      </w:r>
      <w:r>
        <w:rPr/>
        <w:t>截至当年期末的累计承诺净利润总额－截至当年期末的累计实现净利润总额</w:t>
      </w:r>
      <w:r>
        <w:rPr>
          <w:rFonts w:ascii="Times New Roman" w:hAnsi="Times New Roman" w:cs="Times New Roman" w:eastAsia="Times New Roman" w:hint="default"/>
        </w:rPr>
        <w:t>)÷</w:t>
      </w:r>
      <w:r>
        <w:rPr/>
        <w:t>业绩承诺期内各年度的承</w:t>
      </w:r>
      <w:r>
        <w:rPr>
          <w:spacing w:val="-85"/>
        </w:rPr>
        <w:t> </w:t>
      </w:r>
      <w:r>
        <w:rPr>
          <w:spacing w:val="-85"/>
        </w:rPr>
      </w:r>
      <w:r>
        <w:rPr/>
        <w:t>诺净利润总和</w:t>
      </w:r>
      <w:r>
        <w:rPr>
          <w:rFonts w:ascii="Times New Roman" w:hAnsi="Times New Roman" w:cs="Times New Roman" w:eastAsia="Times New Roman" w:hint="default"/>
        </w:rPr>
        <w:t>×</w:t>
      </w:r>
      <w:r>
        <w:rPr/>
        <w:t>交易总价款－累计已补偿金额。</w:t>
      </w:r>
    </w:p>
    <w:p>
      <w:pPr>
        <w:spacing w:line="240" w:lineRule="auto" w:before="4"/>
        <w:rPr>
          <w:rFonts w:ascii="宋体" w:hAnsi="宋体" w:cs="宋体" w:eastAsia="宋体" w:hint="default"/>
          <w:sz w:val="29"/>
          <w:szCs w:val="29"/>
        </w:rPr>
      </w:pPr>
    </w:p>
    <w:p>
      <w:pPr>
        <w:pStyle w:val="BodyText"/>
        <w:spacing w:line="240" w:lineRule="auto" w:before="0"/>
        <w:ind w:right="103"/>
        <w:jc w:val="left"/>
      </w:pPr>
      <w:r>
        <w:rPr/>
        <w:t>大额商誉形成的主要原因：</w:t>
      </w:r>
    </w:p>
    <w:p>
      <w:pPr>
        <w:pStyle w:val="Heading6"/>
        <w:spacing w:line="256" w:lineRule="auto" w:before="90"/>
        <w:ind w:right="209" w:firstLine="420"/>
        <w:jc w:val="both"/>
      </w:pPr>
      <w:r>
        <w:rPr/>
        <w:t>本期公司非同一控制下企业合并奥能电源公司</w:t>
      </w:r>
      <w:r>
        <w:rPr>
          <w:rFonts w:ascii="Times New Roman" w:hAnsi="Times New Roman" w:cs="Times New Roman" w:eastAsia="Times New Roman" w:hint="default"/>
        </w:rPr>
        <w:t>100.00%</w:t>
      </w:r>
      <w:r>
        <w:rPr/>
        <w:t>股权，以受让价</w:t>
      </w:r>
      <w:r>
        <w:rPr>
          <w:rFonts w:ascii="Times New Roman" w:hAnsi="Times New Roman" w:cs="Times New Roman" w:eastAsia="Times New Roman" w:hint="default"/>
        </w:rPr>
        <w:t>560,000,000.00</w:t>
      </w:r>
      <w:r>
        <w:rPr/>
        <w:t>元高于购买日按 持股比例</w:t>
      </w:r>
      <w:r>
        <w:rPr>
          <w:rFonts w:ascii="Times New Roman" w:hAnsi="Times New Roman" w:cs="Times New Roman" w:eastAsia="Times New Roman" w:hint="default"/>
        </w:rPr>
        <w:t>100.00%</w:t>
      </w:r>
      <w:r>
        <w:rPr/>
        <w:t>计算应享有的该公司可辨认净资产公允价值份额</w:t>
      </w:r>
      <w:r>
        <w:rPr>
          <w:rFonts w:ascii="Times New Roman" w:hAnsi="Times New Roman" w:cs="Times New Roman" w:eastAsia="Times New Roman" w:hint="default"/>
        </w:rPr>
        <w:t>90,709,599.06</w:t>
      </w:r>
      <w:r>
        <w:rPr/>
        <w:t>元的差额</w:t>
      </w:r>
      <w:r>
        <w:rPr>
          <w:rFonts w:ascii="Times New Roman" w:hAnsi="Times New Roman" w:cs="Times New Roman" w:eastAsia="Times New Roman" w:hint="default"/>
        </w:rPr>
        <w:t>469,290,400.94</w:t>
      </w:r>
      <w:r>
        <w:rPr/>
        <w:t>元</w:t>
      </w:r>
      <w:r>
        <w:rPr>
          <w:spacing w:val="-43"/>
        </w:rPr>
        <w:t> </w:t>
      </w:r>
      <w:r>
        <w:rPr/>
        <w:t>确认商誉。</w:t>
      </w:r>
    </w:p>
    <w:p>
      <w:pPr>
        <w:spacing w:after="0" w:line="256" w:lineRule="auto"/>
        <w:jc w:val="both"/>
        <w:sectPr>
          <w:pgSz w:w="11910" w:h="16840"/>
          <w:pgMar w:header="747" w:footer="979" w:top="1060" w:bottom="1160" w:left="980" w:right="9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BodyText"/>
        <w:spacing w:line="240" w:lineRule="auto" w:before="0"/>
        <w:ind w:right="0"/>
        <w:jc w:val="left"/>
      </w:pPr>
      <w:r>
        <w:rPr/>
        <w:t>其他说明：</w:t>
      </w: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bookmarkStart w:name="（3）被购买方于购买日可辨认资产、负债" w:id="406"/>
      <w:bookmarkEnd w:id="406"/>
      <w:r>
        <w:rPr>
          <w:b w:val="0"/>
          <w:bCs w:val="0"/>
        </w:rPr>
      </w:r>
      <w:r>
        <w:rPr/>
        <w:t>（</w:t>
      </w:r>
      <w:r>
        <w:rPr>
          <w:rFonts w:ascii="Times New Roman" w:hAnsi="Times New Roman" w:cs="Times New Roman" w:eastAsia="Times New Roman" w:hint="default"/>
        </w:rPr>
        <w:t>3</w:t>
      </w:r>
      <w:r>
        <w:rPr/>
        <w:t>）被购买方于购买日可辨认资产、负债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1"/>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381" w:type="dxa"/>
            <w:gridSpan w:val="2"/>
            <w:tcBorders>
              <w:top w:val="single" w:sz="4" w:space="0" w:color="000000"/>
              <w:left w:val="single" w:sz="13" w:space="0" w:color="D2D2D2"/>
              <w:bottom w:val="single" w:sz="4" w:space="0" w:color="000000"/>
              <w:right w:val="single" w:sz="4" w:space="0" w:color="000000"/>
            </w:tcBorders>
            <w:shd w:val="clear" w:color="auto" w:fill="E0FFFF"/>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61" w:right="0"/>
              <w:jc w:val="left"/>
              <w:rPr>
                <w:rFonts w:ascii="宋体" w:hAnsi="宋体" w:cs="宋体" w:eastAsia="宋体" w:hint="default"/>
                <w:sz w:val="18"/>
                <w:szCs w:val="18"/>
              </w:rPr>
            </w:pPr>
            <w:r>
              <w:rPr>
                <w:rFonts w:ascii="宋体" w:hAnsi="宋体" w:cs="宋体" w:eastAsia="宋体" w:hint="default"/>
                <w:sz w:val="18"/>
                <w:szCs w:val="18"/>
              </w:rPr>
              <w:t>购买日公允价值</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60" w:right="0"/>
              <w:jc w:val="left"/>
              <w:rPr>
                <w:rFonts w:ascii="宋体" w:hAnsi="宋体" w:cs="宋体" w:eastAsia="宋体" w:hint="default"/>
                <w:sz w:val="18"/>
                <w:szCs w:val="18"/>
              </w:rPr>
            </w:pPr>
            <w:r>
              <w:rPr>
                <w:rFonts w:ascii="宋体" w:hAnsi="宋体" w:cs="宋体" w:eastAsia="宋体" w:hint="default"/>
                <w:sz w:val="18"/>
                <w:szCs w:val="18"/>
              </w:rPr>
              <w:t>购买日账面价值</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w:t>
            </w:r>
          </w:p>
        </w:tc>
        <w:tc>
          <w:tcPr>
            <w:tcW w:w="31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153,712,839.35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137,945,739.35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1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14,925,967.93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14,925,967.93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应收款项</w:t>
            </w:r>
          </w:p>
        </w:tc>
        <w:tc>
          <w:tcPr>
            <w:tcW w:w="31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74,932,917.27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74,932,917.27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1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29,684,077.75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29,684,077.75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1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2,224,136.16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2,224,136.16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1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15,909,407.69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142,307.69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500,000.00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1,298,701.31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1,298,701.31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8,254,257.82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8,254,257.82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71,908.00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71,908.00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3,849,298.33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3,849,298.33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1,712,965.20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1,712,965.20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63,003,240.29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63,003,240.29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借款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7,000,000.00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应付款项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31,049,587.73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31,049,587.73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16,192,404.05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16,192,404.05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4,548,161.92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4,548,161.92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2,399,299.66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2,399,299.66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1,119,104.92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1,119,104.92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12,095.42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12,095.42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682,586.59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682,586.59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90,709,599.06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74,942,499.06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取得的净资产</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90,709,599.06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74,942,499.06</w:t>
            </w:r>
          </w:p>
        </w:tc>
      </w:tr>
    </w:tbl>
    <w:p>
      <w:pPr>
        <w:pStyle w:val="BodyText"/>
        <w:spacing w:line="240" w:lineRule="auto" w:before="51"/>
        <w:ind w:right="0"/>
        <w:jc w:val="left"/>
      </w:pPr>
      <w:r>
        <w:rPr/>
        <w:t>可辨认资产、负债公允价值的确定方法：</w:t>
      </w:r>
    </w:p>
    <w:p>
      <w:pPr>
        <w:pStyle w:val="Heading6"/>
        <w:spacing w:line="273" w:lineRule="auto" w:before="91"/>
        <w:ind w:right="0" w:firstLine="420"/>
        <w:jc w:val="left"/>
      </w:pPr>
      <w:r>
        <w:rPr>
          <w:spacing w:val="-1"/>
        </w:rPr>
        <w:t>根据坤元资产评估有限公司出具的《杭州高新橡塑材料股份有限公司拟收购股权涉及的杭州奥能电源</w:t>
      </w:r>
      <w:r>
        <w:rPr/>
        <w:t> 设备有限公司股东全部权益价值评估报告》</w:t>
      </w:r>
      <w:r>
        <w:rPr>
          <w:rFonts w:ascii="Times New Roman" w:hAnsi="Times New Roman" w:cs="Times New Roman" w:eastAsia="Times New Roman" w:hint="default"/>
        </w:rPr>
        <w:t>(</w:t>
      </w:r>
      <w:r>
        <w:rPr/>
        <w:t>坤元评报〔</w:t>
      </w:r>
      <w:r>
        <w:rPr>
          <w:rFonts w:ascii="Times New Roman" w:hAnsi="Times New Roman" w:cs="Times New Roman" w:eastAsia="Times New Roman" w:hint="default"/>
        </w:rPr>
        <w:t>2017</w:t>
      </w:r>
      <w:r>
        <w:rPr/>
        <w:t>〕</w:t>
      </w:r>
      <w:r>
        <w:rPr>
          <w:rFonts w:ascii="Times New Roman" w:hAnsi="Times New Roman" w:cs="Times New Roman" w:eastAsia="Times New Roman" w:hint="default"/>
        </w:rPr>
        <w:t>344</w:t>
      </w:r>
      <w:r>
        <w:rPr/>
        <w:t>号</w:t>
      </w:r>
      <w:r>
        <w:rPr>
          <w:rFonts w:ascii="Times New Roman" w:hAnsi="Times New Roman" w:cs="Times New Roman" w:eastAsia="Times New Roman" w:hint="default"/>
        </w:rPr>
        <w:t>)</w:t>
      </w:r>
      <w:r>
        <w:rPr/>
        <w:t>确定。</w:t>
      </w:r>
    </w:p>
    <w:p>
      <w:pPr>
        <w:spacing w:line="240" w:lineRule="auto" w:before="1"/>
        <w:rPr>
          <w:rFonts w:ascii="宋体" w:hAnsi="宋体" w:cs="宋体" w:eastAsia="宋体" w:hint="default"/>
          <w:sz w:val="28"/>
          <w:szCs w:val="28"/>
        </w:rPr>
      </w:pPr>
    </w:p>
    <w:p>
      <w:pPr>
        <w:pStyle w:val="BodyText"/>
        <w:spacing w:line="240" w:lineRule="auto" w:before="0"/>
        <w:ind w:right="0"/>
        <w:jc w:val="left"/>
      </w:pPr>
      <w:r>
        <w:rPr/>
        <w:t>企业合并中承担的被购买方的或有负债：</w:t>
      </w:r>
    </w:p>
    <w:p>
      <w:pPr>
        <w:spacing w:after="0" w:line="240" w:lineRule="auto"/>
        <w:jc w:val="left"/>
        <w:sectPr>
          <w:pgSz w:w="11910" w:h="16840"/>
          <w:pgMar w:header="747" w:footer="979" w:top="1060" w:bottom="1160" w:left="980" w:right="980"/>
        </w:sectPr>
      </w:pPr>
    </w:p>
    <w:p>
      <w:pPr>
        <w:spacing w:line="240" w:lineRule="auto" w:before="13"/>
        <w:rPr>
          <w:rFonts w:ascii="宋体" w:hAnsi="宋体" w:cs="宋体" w:eastAsia="宋体" w:hint="default"/>
          <w:sz w:val="25"/>
          <w:szCs w:val="25"/>
        </w:rPr>
      </w:pPr>
    </w:p>
    <w:p>
      <w:pPr>
        <w:pStyle w:val="BodyText"/>
        <w:spacing w:line="240" w:lineRule="auto"/>
        <w:ind w:right="0"/>
        <w:jc w:val="left"/>
      </w:pPr>
      <w:r>
        <w:rPr/>
        <w:t>其他说明：</w:t>
      </w:r>
    </w:p>
    <w:p>
      <w:pPr>
        <w:spacing w:line="240" w:lineRule="auto" w:before="10"/>
        <w:rPr>
          <w:rFonts w:ascii="宋体" w:hAnsi="宋体" w:cs="宋体" w:eastAsia="宋体" w:hint="default"/>
          <w:sz w:val="26"/>
          <w:szCs w:val="26"/>
        </w:rPr>
      </w:pPr>
    </w:p>
    <w:p>
      <w:pPr>
        <w:pStyle w:val="Heading5"/>
        <w:spacing w:line="240" w:lineRule="auto"/>
        <w:ind w:right="0"/>
        <w:jc w:val="left"/>
        <w:rPr>
          <w:b w:val="0"/>
          <w:bCs w:val="0"/>
        </w:rPr>
      </w:pPr>
      <w:bookmarkStart w:name="（4）购买日之前持有的股权按照公允价值重新计量产生的利得或损失" w:id="407"/>
      <w:bookmarkEnd w:id="407"/>
      <w:r>
        <w:rPr>
          <w:b w:val="0"/>
          <w:bCs w:val="0"/>
        </w:rPr>
      </w:r>
      <w:r>
        <w:rPr/>
        <w:t>（</w:t>
      </w:r>
      <w:r>
        <w:rPr>
          <w:rFonts w:ascii="Times New Roman" w:hAnsi="Times New Roman" w:cs="Times New Roman" w:eastAsia="Times New Roman" w:hint="default"/>
        </w:rPr>
        <w:t>4</w:t>
      </w:r>
      <w:r>
        <w:rPr/>
        <w:t>）购买日之前持有的股权按照公允价值重新计量产生的利得或损失</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0"/>
        <w:jc w:val="left"/>
      </w:pPr>
      <w:r>
        <w:rPr/>
        <w:t>是否存在通过多次交易分步实现企业合并且在报告期内取得控制权的交易</w:t>
      </w:r>
    </w:p>
    <w:p>
      <w:pPr>
        <w:pStyle w:val="BodyText"/>
        <w:spacing w:line="240" w:lineRule="auto" w:before="116"/>
        <w:ind w:right="0"/>
        <w:jc w:val="left"/>
      </w:pPr>
      <w:r>
        <w:rPr/>
        <w:t>□ 是 √ 否</w:t>
      </w: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bookmarkStart w:name="（5）购买日或合并当期期末无法合理确定合并对价或被购买方可辨认资产、负债公允价值" w:id="408"/>
      <w:bookmarkEnd w:id="408"/>
      <w:r>
        <w:rPr>
          <w:b w:val="0"/>
          <w:bCs w:val="0"/>
        </w:rPr>
      </w:r>
      <w:r>
        <w:rPr/>
        <w:t>（</w:t>
      </w:r>
      <w:r>
        <w:rPr>
          <w:rFonts w:ascii="Times New Roman" w:hAnsi="Times New Roman" w:cs="Times New Roman" w:eastAsia="Times New Roman" w:hint="default"/>
        </w:rPr>
        <w:t>5</w:t>
      </w:r>
      <w:r>
        <w:rPr/>
        <w:t>）购买日或合并当期期末无法合理确定合并对价或被购买方可辨认资产、负债公允价值的相关说明</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bookmarkStart w:name="（6）其他说明" w:id="409"/>
      <w:bookmarkEnd w:id="409"/>
      <w:r>
        <w:rPr>
          <w:b w:val="0"/>
          <w:bCs w:val="0"/>
        </w:rPr>
      </w:r>
      <w:r>
        <w:rPr/>
        <w:t>（</w:t>
      </w:r>
      <w:r>
        <w:rPr>
          <w:rFonts w:ascii="Times New Roman" w:hAnsi="Times New Roman" w:cs="Times New Roman" w:eastAsia="Times New Roman" w:hint="default"/>
        </w:rPr>
        <w:t>6</w:t>
      </w:r>
      <w:r>
        <w:rPr/>
        <w:t>）其他说明</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bookmarkStart w:name="2、同一控制下企业合并" w:id="410"/>
      <w:bookmarkEnd w:id="410"/>
      <w:r>
        <w:rPr>
          <w:b w:val="0"/>
          <w:bCs w:val="0"/>
        </w:rPr>
      </w:r>
      <w:r>
        <w:rPr>
          <w:rFonts w:ascii="Times New Roman" w:hAnsi="Times New Roman" w:cs="Times New Roman" w:eastAsia="Times New Roman" w:hint="default"/>
        </w:rPr>
        <w:t>2</w:t>
      </w:r>
      <w:r>
        <w:rPr/>
        <w:t>、同一控制下企业合并</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bookmarkStart w:name="（1）本期发生的同一控制下企业合并" w:id="411"/>
      <w:bookmarkEnd w:id="411"/>
      <w:r>
        <w:rPr>
          <w:b w:val="0"/>
          <w:bCs w:val="0"/>
        </w:rPr>
      </w:r>
      <w:r>
        <w:rPr/>
        <w:t>（</w:t>
      </w:r>
      <w:r>
        <w:rPr>
          <w:rFonts w:ascii="Times New Roman" w:hAnsi="Times New Roman" w:cs="Times New Roman" w:eastAsia="Times New Roman" w:hint="default"/>
        </w:rPr>
        <w:t>1</w:t>
      </w:r>
      <w:r>
        <w:rPr/>
        <w:t>）本期发生的同一控制下企业合并</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061"/>
        <w:gridCol w:w="1061"/>
        <w:gridCol w:w="1063"/>
        <w:gridCol w:w="1065"/>
        <w:gridCol w:w="1064"/>
        <w:gridCol w:w="1063"/>
        <w:gridCol w:w="1065"/>
        <w:gridCol w:w="1064"/>
        <w:gridCol w:w="1063"/>
      </w:tblGrid>
      <w:tr>
        <w:trPr>
          <w:trHeight w:val="1338" w:hRule="exact"/>
        </w:trPr>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435" w:right="75" w:hanging="360"/>
              <w:jc w:val="left"/>
              <w:rPr>
                <w:rFonts w:ascii="宋体" w:hAnsi="宋体" w:cs="宋体" w:eastAsia="宋体" w:hint="default"/>
                <w:sz w:val="18"/>
                <w:szCs w:val="18"/>
              </w:rPr>
            </w:pPr>
            <w:r>
              <w:rPr>
                <w:rFonts w:ascii="宋体" w:hAnsi="宋体" w:cs="宋体" w:eastAsia="宋体" w:hint="default"/>
                <w:sz w:val="18"/>
                <w:szCs w:val="18"/>
              </w:rPr>
              <w:t>被合并方名 称</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75" w:right="73"/>
              <w:jc w:val="center"/>
              <w:rPr>
                <w:rFonts w:ascii="宋体" w:hAnsi="宋体" w:cs="宋体" w:eastAsia="宋体" w:hint="default"/>
                <w:sz w:val="18"/>
                <w:szCs w:val="18"/>
              </w:rPr>
            </w:pPr>
            <w:r>
              <w:rPr>
                <w:rFonts w:ascii="宋体" w:hAnsi="宋体" w:cs="宋体" w:eastAsia="宋体" w:hint="default"/>
                <w:sz w:val="18"/>
                <w:szCs w:val="18"/>
              </w:rPr>
              <w:t>企业合并中 取得的权益 比例</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76" w:right="74"/>
              <w:jc w:val="both"/>
              <w:rPr>
                <w:rFonts w:ascii="宋体" w:hAnsi="宋体" w:cs="宋体" w:eastAsia="宋体" w:hint="default"/>
                <w:sz w:val="18"/>
                <w:szCs w:val="18"/>
              </w:rPr>
            </w:pPr>
            <w:r>
              <w:rPr>
                <w:rFonts w:ascii="宋体" w:hAnsi="宋体" w:cs="宋体" w:eastAsia="宋体" w:hint="default"/>
                <w:sz w:val="18"/>
                <w:szCs w:val="18"/>
              </w:rPr>
              <w:t>构成同一控 制下企业合 并的依据</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合并日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56" w:right="77" w:hanging="180"/>
              <w:jc w:val="left"/>
              <w:rPr>
                <w:rFonts w:ascii="宋体" w:hAnsi="宋体" w:cs="宋体" w:eastAsia="宋体" w:hint="default"/>
                <w:sz w:val="18"/>
                <w:szCs w:val="18"/>
              </w:rPr>
            </w:pPr>
            <w:r>
              <w:rPr>
                <w:rFonts w:ascii="宋体" w:hAnsi="宋体" w:cs="宋体" w:eastAsia="宋体" w:hint="default"/>
                <w:sz w:val="18"/>
                <w:szCs w:val="18"/>
              </w:rPr>
              <w:t>合并日的确 定依据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6" w:right="74"/>
              <w:jc w:val="center"/>
              <w:rPr>
                <w:rFonts w:ascii="宋体" w:hAnsi="宋体" w:cs="宋体" w:eastAsia="宋体" w:hint="default"/>
                <w:sz w:val="18"/>
                <w:szCs w:val="18"/>
              </w:rPr>
            </w:pPr>
            <w:r>
              <w:rPr>
                <w:rFonts w:ascii="宋体" w:hAnsi="宋体" w:cs="宋体" w:eastAsia="宋体" w:hint="default"/>
                <w:sz w:val="18"/>
                <w:szCs w:val="18"/>
              </w:rPr>
              <w:t>合并当期期 初至合并日 被合并方的 收入</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6" w:right="76"/>
              <w:jc w:val="center"/>
              <w:rPr>
                <w:rFonts w:ascii="宋体" w:hAnsi="宋体" w:cs="宋体" w:eastAsia="宋体" w:hint="default"/>
                <w:sz w:val="18"/>
                <w:szCs w:val="18"/>
              </w:rPr>
            </w:pPr>
            <w:r>
              <w:rPr>
                <w:rFonts w:ascii="宋体" w:hAnsi="宋体" w:cs="宋体" w:eastAsia="宋体" w:hint="default"/>
                <w:sz w:val="18"/>
                <w:szCs w:val="18"/>
              </w:rPr>
              <w:t>合并当期期 初至合并日 被合并方的 净利润</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76" w:right="77"/>
              <w:jc w:val="center"/>
              <w:rPr>
                <w:rFonts w:ascii="宋体" w:hAnsi="宋体" w:cs="宋体" w:eastAsia="宋体" w:hint="default"/>
                <w:sz w:val="18"/>
                <w:szCs w:val="18"/>
              </w:rPr>
            </w:pPr>
            <w:r>
              <w:rPr>
                <w:rFonts w:ascii="宋体" w:hAnsi="宋体" w:cs="宋体" w:eastAsia="宋体" w:hint="default"/>
                <w:sz w:val="18"/>
                <w:szCs w:val="18"/>
              </w:rPr>
              <w:t>比较期间被 合并方的收 入</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76" w:right="74"/>
              <w:jc w:val="center"/>
              <w:rPr>
                <w:rFonts w:ascii="宋体" w:hAnsi="宋体" w:cs="宋体" w:eastAsia="宋体" w:hint="default"/>
                <w:sz w:val="18"/>
                <w:szCs w:val="18"/>
              </w:rPr>
            </w:pPr>
            <w:r>
              <w:rPr>
                <w:rFonts w:ascii="宋体" w:hAnsi="宋体" w:cs="宋体" w:eastAsia="宋体" w:hint="default"/>
                <w:sz w:val="18"/>
                <w:szCs w:val="18"/>
              </w:rPr>
              <w:t>比较期间被 合并方的净 利润</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bookmarkStart w:name="（2）合并成本" w:id="412"/>
      <w:bookmarkEnd w:id="412"/>
      <w:r>
        <w:rPr>
          <w:b w:val="0"/>
          <w:bCs w:val="0"/>
        </w:rPr>
      </w:r>
      <w:r>
        <w:rPr/>
        <w:t>（</w:t>
      </w:r>
      <w:r>
        <w:rPr>
          <w:rFonts w:ascii="Times New Roman" w:hAnsi="Times New Roman" w:cs="Times New Roman" w:eastAsia="Times New Roman" w:hint="default"/>
        </w:rPr>
        <w:t>2</w:t>
      </w:r>
      <w:r>
        <w:rPr/>
        <w:t>）合并成本</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8"/>
        <w:rPr>
          <w:rFonts w:ascii="宋体" w:hAnsi="宋体" w:cs="宋体" w:eastAsia="宋体" w:hint="default"/>
          <w:sz w:val="7"/>
          <w:szCs w:val="7"/>
        </w:rPr>
      </w:pPr>
    </w:p>
    <w:p>
      <w:pPr>
        <w:spacing w:line="421" w:lineRule="exact"/>
        <w:ind w:left="149"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8.95pt;height:21.1pt;mso-position-horizontal-relative:char;mso-position-vertical-relative:line" coordorigin="0,0" coordsize="9579,422">
            <v:group style="position:absolute;left:21;top:14;width:2;height:393" coordorigin="21,14" coordsize="2,393">
              <v:shape style="position:absolute;left:21;top:14;width:2;height:393" coordorigin="21,14" coordsize="0,393" path="m21,14l21,407e" filled="false" stroked="true" strokeweight="1.140pt" strokecolor="#d2d2d2">
                <v:path arrowok="t"/>
              </v:shape>
            </v:group>
            <v:group style="position:absolute;left:4773;top:14;width:2;height:393" coordorigin="4773,14" coordsize="2,393">
              <v:shape style="position:absolute;left:4773;top:14;width:2;height:393" coordorigin="4773,14" coordsize="0,393" path="m4773,14l4773,407e" filled="false" stroked="true" strokeweight="1.140pt" strokecolor="#d2d2d2">
                <v:path arrowok="t"/>
              </v:shape>
            </v:group>
            <v:group style="position:absolute;left:32;top:14;width:4729;height:393" coordorigin="32,14" coordsize="4729,393">
              <v:shape style="position:absolute;left:32;top:14;width:4729;height:393" coordorigin="32,14" coordsize="4729,393" path="m32,407l4761,407,4761,14,32,14,32,407xe" filled="true" fillcolor="#d2d2d2" stroked="false">
                <v:path arrowok="t"/>
                <v:fill type="solid"/>
              </v:shape>
            </v:group>
            <v:group style="position:absolute;left:4806;top:14;width:2;height:393" coordorigin="4806,14" coordsize="2,393">
              <v:shape style="position:absolute;left:4806;top:14;width:2;height:393" coordorigin="4806,14" coordsize="0,393" path="m4806,14l4806,407e" filled="false" stroked="true" strokeweight="1.140pt" strokecolor="#e0ffff">
                <v:path arrowok="t"/>
              </v:shape>
            </v:group>
            <v:group style="position:absolute;left:9557;top:14;width:2;height:393" coordorigin="9557,14" coordsize="2,393">
              <v:shape style="position:absolute;left:9557;top:14;width:2;height:393" coordorigin="9557,14" coordsize="0,393" path="m9557,14l9557,407e" filled="false" stroked="true" strokeweight="1.140pt" strokecolor="#e0ffff">
                <v:path arrowok="t"/>
              </v:shape>
            </v:group>
            <v:group style="position:absolute;left:4818;top:14;width:4729;height:393" coordorigin="4818,14" coordsize="4729,393">
              <v:shape style="position:absolute;left:4818;top:14;width:4729;height:393" coordorigin="4818,14" coordsize="4729,393" path="m4818,407l9546,407,9546,14,4818,14,4818,407xe" filled="true" fillcolor="#e0ffff" stroked="false">
                <v:path arrowok="t"/>
                <v:fill type="solid"/>
              </v:shape>
            </v:group>
            <v:group style="position:absolute;left:10;top:10;width:4776;height:2" coordorigin="10,10" coordsize="4776,2">
              <v:shape style="position:absolute;left:10;top:10;width:4776;height:2" coordorigin="10,10" coordsize="4776,0" path="m10,10l4785,10e" filled="false" stroked="true" strokeweight=".48001pt" strokecolor="#000000">
                <v:path arrowok="t"/>
              </v:shape>
            </v:group>
            <v:group style="position:absolute;left:4795;top:10;width:4774;height:2" coordorigin="4795,10" coordsize="4774,2">
              <v:shape style="position:absolute;left:4795;top:10;width:4774;height:2" coordorigin="4795,10" coordsize="4774,0" path="m4795,10l9569,10e" filled="false" stroked="true" strokeweight=".48001pt" strokecolor="#000000">
                <v:path arrowok="t"/>
              </v:shape>
            </v:group>
            <v:group style="position:absolute;left:5;top:5;width:2;height:412" coordorigin="5,5" coordsize="2,412">
              <v:shape style="position:absolute;left:5;top:5;width:2;height:412" coordorigin="5,5" coordsize="0,412" path="m5,5l5,416e" filled="false" stroked="true" strokeweight=".48pt" strokecolor="#000000">
                <v:path arrowok="t"/>
              </v:shape>
            </v:group>
            <v:group style="position:absolute;left:10;top:412;width:4776;height:2" coordorigin="10,412" coordsize="4776,2">
              <v:shape style="position:absolute;left:10;top:412;width:4776;height:2" coordorigin="10,412" coordsize="4776,0" path="m10,412l4785,412e" filled="false" stroked="true" strokeweight=".47998pt" strokecolor="#000000">
                <v:path arrowok="t"/>
              </v:shape>
            </v:group>
            <v:group style="position:absolute;left:4790;top:5;width:2;height:412" coordorigin="4790,5" coordsize="2,412">
              <v:shape style="position:absolute;left:4790;top:5;width:2;height:412" coordorigin="4790,5" coordsize="0,412" path="m4790,5l4790,416e" filled="false" stroked="true" strokeweight=".47998pt" strokecolor="#000000">
                <v:path arrowok="t"/>
              </v:shape>
            </v:group>
            <v:group style="position:absolute;left:4795;top:412;width:4774;height:2" coordorigin="4795,412" coordsize="4774,2">
              <v:shape style="position:absolute;left:4795;top:412;width:4774;height:2" coordorigin="4795,412" coordsize="4774,0" path="m4795,412l9569,412e" filled="false" stroked="true" strokeweight=".47998pt" strokecolor="#000000">
                <v:path arrowok="t"/>
              </v:shape>
            </v:group>
            <v:group style="position:absolute;left:9574;top:5;width:2;height:412" coordorigin="9574,5" coordsize="2,412">
              <v:shape style="position:absolute;left:9574;top:5;width:2;height:412" coordorigin="9574,5" coordsize="0,412" path="m9574,5l9574,416e" filled="false" stroked="true" strokeweight=".48004pt" strokecolor="#000000">
                <v:path arrowok="t"/>
              </v:shape>
              <v:shape style="position:absolute;left:5;top:10;width:4785;height:402" type="#_x0000_t202" filled="false" stroked="false">
                <v:textbox inset="0,0,0,0">
                  <w:txbxContent>
                    <w:p>
                      <w:pPr>
                        <w:spacing w:before="56"/>
                        <w:ind w:left="0" w:right="0" w:firstLine="0"/>
                        <w:jc w:val="center"/>
                        <w:rPr>
                          <w:rFonts w:ascii="宋体" w:hAnsi="宋体" w:cs="宋体" w:eastAsia="宋体" w:hint="default"/>
                          <w:sz w:val="18"/>
                          <w:szCs w:val="18"/>
                        </w:rPr>
                      </w:pPr>
                      <w:r>
                        <w:rPr>
                          <w:rFonts w:ascii="宋体" w:hAnsi="宋体" w:cs="宋体" w:eastAsia="宋体" w:hint="default"/>
                          <w:sz w:val="18"/>
                          <w:szCs w:val="18"/>
                        </w:rPr>
                        <w:t>合并成本</w:t>
                      </w:r>
                    </w:p>
                  </w:txbxContent>
                </v:textbox>
                <w10:wrap type="none"/>
              </v:shape>
            </v:group>
          </v:group>
        </w:pict>
      </w:r>
      <w:r>
        <w:rPr>
          <w:rFonts w:ascii="宋体" w:hAnsi="宋体" w:cs="宋体" w:eastAsia="宋体" w:hint="default"/>
          <w:position w:val="-7"/>
          <w:sz w:val="20"/>
          <w:szCs w:val="20"/>
        </w:rPr>
      </w:r>
    </w:p>
    <w:p>
      <w:pPr>
        <w:pStyle w:val="BodyText"/>
        <w:spacing w:line="360" w:lineRule="auto" w:before="46"/>
        <w:ind w:right="7612"/>
        <w:jc w:val="left"/>
      </w:pPr>
      <w:r>
        <w:rPr/>
        <w:t>或有对价及其变动的说明： 其他说明：</w:t>
      </w:r>
    </w:p>
    <w:p>
      <w:pPr>
        <w:spacing w:line="240" w:lineRule="auto" w:before="11"/>
        <w:rPr>
          <w:rFonts w:ascii="宋体" w:hAnsi="宋体" w:cs="宋体" w:eastAsia="宋体" w:hint="default"/>
          <w:sz w:val="19"/>
          <w:szCs w:val="19"/>
        </w:rPr>
      </w:pPr>
    </w:p>
    <w:p>
      <w:pPr>
        <w:pStyle w:val="Heading5"/>
        <w:spacing w:line="240" w:lineRule="auto"/>
        <w:ind w:right="0"/>
        <w:jc w:val="left"/>
        <w:rPr>
          <w:b w:val="0"/>
          <w:bCs w:val="0"/>
        </w:rPr>
      </w:pPr>
      <w:bookmarkStart w:name="（3）合并日被合并方资产、负债的账面价值" w:id="413"/>
      <w:bookmarkEnd w:id="413"/>
      <w:r>
        <w:rPr>
          <w:b w:val="0"/>
          <w:bCs w:val="0"/>
        </w:rPr>
      </w:r>
      <w:r>
        <w:rPr/>
        <w:t>（</w:t>
      </w:r>
      <w:r>
        <w:rPr>
          <w:rFonts w:ascii="Times New Roman" w:hAnsi="Times New Roman" w:cs="Times New Roman" w:eastAsia="Times New Roman" w:hint="default"/>
        </w:rPr>
        <w:t>3</w:t>
      </w:r>
      <w:r>
        <w:rPr/>
        <w:t>）合并日被合并方资产、负债的账面价值</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9"/>
        <w:rPr>
          <w:rFonts w:ascii="宋体" w:hAnsi="宋体" w:cs="宋体" w:eastAsia="宋体" w:hint="default"/>
          <w:sz w:val="7"/>
          <w:szCs w:val="7"/>
        </w:rPr>
      </w:pPr>
    </w:p>
    <w:p>
      <w:pPr>
        <w:spacing w:line="823" w:lineRule="exact"/>
        <w:ind w:left="149" w:right="0" w:firstLine="0"/>
        <w:rPr>
          <w:rFonts w:ascii="宋体" w:hAnsi="宋体" w:cs="宋体" w:eastAsia="宋体" w:hint="default"/>
          <w:sz w:val="20"/>
          <w:szCs w:val="20"/>
        </w:rPr>
      </w:pPr>
      <w:r>
        <w:rPr>
          <w:rFonts w:ascii="宋体" w:hAnsi="宋体" w:cs="宋体" w:eastAsia="宋体" w:hint="default"/>
          <w:position w:val="-15"/>
          <w:sz w:val="20"/>
          <w:szCs w:val="20"/>
        </w:rPr>
        <w:pict>
          <v:group style="width:479.05pt;height:41.2pt;mso-position-horizontal-relative:char;mso-position-vertical-relative:line" coordorigin="0,0" coordsize="9581,824">
            <v:group style="position:absolute;left:21;top:14;width:2;height:393" coordorigin="21,14" coordsize="2,393">
              <v:shape style="position:absolute;left:21;top:14;width:2;height:393" coordorigin="21,14" coordsize="0,393" path="m21,14l21,407e" filled="false" stroked="true" strokeweight="1.140pt" strokecolor="#d2d2d2">
                <v:path arrowok="t"/>
              </v:shape>
            </v:group>
            <v:group style="position:absolute;left:3179;top:14;width:2;height:393" coordorigin="3179,14" coordsize="2,393">
              <v:shape style="position:absolute;left:3179;top:14;width:2;height:393" coordorigin="3179,14" coordsize="0,393" path="m3179,14l3179,407e" filled="false" stroked="true" strokeweight="1.140pt" strokecolor="#d2d2d2">
                <v:path arrowok="t"/>
              </v:shape>
            </v:group>
            <v:group style="position:absolute;left:32;top:14;width:3135;height:393" coordorigin="32,14" coordsize="3135,393">
              <v:shape style="position:absolute;left:32;top:14;width:3135;height:393" coordorigin="32,14" coordsize="3135,393" path="m32,407l3167,407,3167,14,32,14,32,407xe" filled="true" fillcolor="#d2d2d2" stroked="false">
                <v:path arrowok="t"/>
                <v:fill type="solid"/>
              </v:shape>
            </v:group>
            <v:group style="position:absolute;left:3212;top:14;width:2;height:393" coordorigin="3212,14" coordsize="2,393">
              <v:shape style="position:absolute;left:3212;top:14;width:2;height:393" coordorigin="3212,14" coordsize="0,393" path="m3212,14l3212,407e" filled="false" stroked="true" strokeweight="1.2pt" strokecolor="#e0ffff">
                <v:path arrowok="t"/>
              </v:shape>
            </v:group>
            <v:group style="position:absolute;left:9560;top:14;width:2;height:393" coordorigin="9560,14" coordsize="2,393">
              <v:shape style="position:absolute;left:9560;top:14;width:2;height:393" coordorigin="9560,14" coordsize="0,393" path="m9560,14l9560,407e" filled="false" stroked="true" strokeweight="1.140pt" strokecolor="#e0ffff">
                <v:path arrowok="t"/>
              </v:shape>
            </v:group>
            <v:group style="position:absolute;left:3224;top:14;width:6325;height:393" coordorigin="3224,14" coordsize="6325,393">
              <v:shape style="position:absolute;left:3224;top:14;width:6325;height:393" coordorigin="3224,14" coordsize="6325,393" path="m3224,407l9548,407,9548,14,3224,14,3224,407xe" filled="true" fillcolor="#e0ffff" stroked="false">
                <v:path arrowok="t"/>
                <v:fill type="solid"/>
              </v:shape>
            </v:group>
            <v:group style="position:absolute;left:10;top:10;width:3181;height:2" coordorigin="10,10" coordsize="3181,2">
              <v:shape style="position:absolute;left:10;top:10;width:3181;height:2" coordorigin="10,10" coordsize="3181,0" path="m10,10l3190,10e" filled="false" stroked="true" strokeweight=".47998pt" strokecolor="#000000">
                <v:path arrowok="t"/>
              </v:shape>
            </v:group>
            <v:group style="position:absolute;left:3200;top:10;width:6372;height:2" coordorigin="3200,10" coordsize="6372,2">
              <v:shape style="position:absolute;left:3200;top:10;width:6372;height:2" coordorigin="3200,10" coordsize="6372,0" path="m3200,10l9571,10e" filled="false" stroked="true" strokeweight=".47998pt" strokecolor="#000000">
                <v:path arrowok="t"/>
              </v:shape>
            </v:group>
            <v:group style="position:absolute;left:21;top:416;width:2;height:393" coordorigin="21,416" coordsize="2,393">
              <v:shape style="position:absolute;left:21;top:416;width:2;height:393" coordorigin="21,416" coordsize="0,393" path="m21,416l21,809e" filled="false" stroked="true" strokeweight="1.140pt" strokecolor="#d2d2d2">
                <v:path arrowok="t"/>
              </v:shape>
            </v:group>
            <v:group style="position:absolute;left:3179;top:416;width:2;height:393" coordorigin="3179,416" coordsize="2,393">
              <v:shape style="position:absolute;left:3179;top:416;width:2;height:393" coordorigin="3179,416" coordsize="0,393" path="m3179,416l3179,809e" filled="false" stroked="true" strokeweight="1.140pt" strokecolor="#d2d2d2">
                <v:path arrowok="t"/>
              </v:shape>
            </v:group>
            <v:group style="position:absolute;left:32;top:416;width:3135;height:393" coordorigin="32,416" coordsize="3135,393">
              <v:shape style="position:absolute;left:32;top:416;width:3135;height:393" coordorigin="32,416" coordsize="3135,393" path="m32,809l3167,809,3167,416,32,416,32,809xe" filled="true" fillcolor="#d2d2d2" stroked="false">
                <v:path arrowok="t"/>
                <v:fill type="solid"/>
              </v:shape>
            </v:group>
            <v:group style="position:absolute;left:3212;top:416;width:2;height:393" coordorigin="3212,416" coordsize="2,393">
              <v:shape style="position:absolute;left:3212;top:416;width:2;height:393" coordorigin="3212,416" coordsize="0,393" path="m3212,416l3212,809e" filled="false" stroked="true" strokeweight="1.2pt" strokecolor="#d2d2d2">
                <v:path arrowok="t"/>
              </v:shape>
            </v:group>
            <v:group style="position:absolute;left:6369;top:416;width:2;height:393" coordorigin="6369,416" coordsize="2,393">
              <v:shape style="position:absolute;left:6369;top:416;width:2;height:393" coordorigin="6369,416" coordsize="0,393" path="m6369,416l6369,809e" filled="false" stroked="true" strokeweight="1.140pt" strokecolor="#d2d2d2">
                <v:path arrowok="t"/>
              </v:shape>
            </v:group>
            <v:group style="position:absolute;left:3224;top:416;width:3134;height:393" coordorigin="3224,416" coordsize="3134,393">
              <v:shape style="position:absolute;left:3224;top:416;width:3134;height:393" coordorigin="3224,416" coordsize="3134,393" path="m3224,809l6357,809,6357,416,3224,416,3224,809xe" filled="true" fillcolor="#d2d2d2" stroked="false">
                <v:path arrowok="t"/>
                <v:fill type="solid"/>
              </v:shape>
            </v:group>
            <v:group style="position:absolute;left:6402;top:416;width:2;height:393" coordorigin="6402,416" coordsize="2,393">
              <v:shape style="position:absolute;left:6402;top:416;width:2;height:393" coordorigin="6402,416" coordsize="0,393" path="m6402,416l6402,809e" filled="false" stroked="true" strokeweight="1.140pt" strokecolor="#d2d2d2">
                <v:path arrowok="t"/>
              </v:shape>
            </v:group>
            <v:group style="position:absolute;left:9560;top:416;width:2;height:393" coordorigin="9560,416" coordsize="2,393">
              <v:shape style="position:absolute;left:9560;top:416;width:2;height:393" coordorigin="9560,416" coordsize="0,393" path="m9560,416l9560,809e" filled="false" stroked="true" strokeweight="1.140pt" strokecolor="#d2d2d2">
                <v:path arrowok="t"/>
              </v:shape>
            </v:group>
            <v:group style="position:absolute;left:6414;top:416;width:3135;height:393" coordorigin="6414,416" coordsize="3135,393">
              <v:shape style="position:absolute;left:6414;top:416;width:3135;height:393" coordorigin="6414,416" coordsize="3135,393" path="m6414,809l9548,809,9548,416,6414,416,6414,809xe" filled="true" fillcolor="#d2d2d2" stroked="false">
                <v:path arrowok="t"/>
                <v:fill type="solid"/>
              </v:shape>
            </v:group>
            <v:group style="position:absolute;left:10;top:412;width:3181;height:2" coordorigin="10,412" coordsize="3181,2">
              <v:shape style="position:absolute;left:10;top:412;width:3181;height:2" coordorigin="10,412" coordsize="3181,0" path="m10,412l3190,412e" filled="false" stroked="true" strokeweight=".48004pt" strokecolor="#000000">
                <v:path arrowok="t"/>
              </v:shape>
            </v:group>
            <v:group style="position:absolute;left:3200;top:412;width:3182;height:2" coordorigin="3200,412" coordsize="3182,2">
              <v:shape style="position:absolute;left:3200;top:412;width:3182;height:2" coordorigin="3200,412" coordsize="3182,0" path="m3200,412l6381,412e" filled="false" stroked="true" strokeweight=".48004pt" strokecolor="#000000">
                <v:path arrowok="t"/>
              </v:shape>
            </v:group>
            <v:group style="position:absolute;left:6391;top:412;width:3181;height:2" coordorigin="6391,412" coordsize="3181,2">
              <v:shape style="position:absolute;left:6391;top:412;width:3181;height:2" coordorigin="6391,412" coordsize="3181,0" path="m6391,412l9571,412e" filled="false" stroked="true" strokeweight=".48004pt" strokecolor="#000000">
                <v:path arrowok="t"/>
              </v:shape>
            </v:group>
            <v:group style="position:absolute;left:5;top:5;width:2;height:814" coordorigin="5,5" coordsize="2,814">
              <v:shape style="position:absolute;left:5;top:5;width:2;height:814" coordorigin="5,5" coordsize="0,814" path="m5,5l5,818e" filled="false" stroked="true" strokeweight=".48pt" strokecolor="#000000">
                <v:path arrowok="t"/>
              </v:shape>
            </v:group>
            <v:group style="position:absolute;left:10;top:814;width:3181;height:2" coordorigin="10,814" coordsize="3181,2">
              <v:shape style="position:absolute;left:10;top:814;width:3181;height:2" coordorigin="10,814" coordsize="3181,0" path="m10,814l3190,814e" filled="false" stroked="true" strokeweight=".47998pt" strokecolor="#000000">
                <v:path arrowok="t"/>
              </v:shape>
            </v:group>
            <v:group style="position:absolute;left:3195;top:5;width:2;height:814" coordorigin="3195,5" coordsize="2,814">
              <v:shape style="position:absolute;left:3195;top:5;width:2;height:814" coordorigin="3195,5" coordsize="0,814" path="m3195,5l3195,818e" filled="false" stroked="true" strokeweight=".48001pt" strokecolor="#000000">
                <v:path arrowok="t"/>
              </v:shape>
            </v:group>
            <v:group style="position:absolute;left:3200;top:814;width:3182;height:2" coordorigin="3200,814" coordsize="3182,2">
              <v:shape style="position:absolute;left:3200;top:814;width:3182;height:2" coordorigin="3200,814" coordsize="3182,0" path="m3200,814l6381,814e" filled="false" stroked="true" strokeweight=".47998pt" strokecolor="#000000">
                <v:path arrowok="t"/>
              </v:shape>
            </v:group>
            <v:group style="position:absolute;left:6386;top:407;width:2;height:412" coordorigin="6386,407" coordsize="2,412">
              <v:shape style="position:absolute;left:6386;top:407;width:2;height:412" coordorigin="6386,407" coordsize="0,412" path="m6386,407l6386,818e" filled="false" stroked="true" strokeweight=".48001pt" strokecolor="#000000">
                <v:path arrowok="t"/>
              </v:shape>
            </v:group>
            <v:group style="position:absolute;left:6391;top:814;width:3181;height:2" coordorigin="6391,814" coordsize="3181,2">
              <v:shape style="position:absolute;left:6391;top:814;width:3181;height:2" coordorigin="6391,814" coordsize="3181,0" path="m6391,814l9571,814e" filled="false" stroked="true" strokeweight=".47998pt" strokecolor="#000000">
                <v:path arrowok="t"/>
              </v:shape>
            </v:group>
            <v:group style="position:absolute;left:9576;top:5;width:2;height:814" coordorigin="9576,5" coordsize="2,814">
              <v:shape style="position:absolute;left:9576;top:5;width:2;height:814" coordorigin="9576,5" coordsize="0,814" path="m9576,5l9576,818e" filled="false" stroked="true" strokeweight=".48004pt" strokecolor="#000000">
                <v:path arrowok="t"/>
              </v:shape>
              <v:shape style="position:absolute;left:3183;top:412;width:3202;height:402" type="#_x0000_t202" filled="false" stroked="false">
                <v:textbox inset="0,0,0,0">
                  <w:txbxContent>
                    <w:p>
                      <w:pPr>
                        <w:spacing w:before="56"/>
                        <w:ind w:left="13" w:right="0" w:firstLine="0"/>
                        <w:jc w:val="center"/>
                        <w:rPr>
                          <w:rFonts w:ascii="宋体" w:hAnsi="宋体" w:cs="宋体" w:eastAsia="宋体" w:hint="default"/>
                          <w:sz w:val="18"/>
                          <w:szCs w:val="18"/>
                        </w:rPr>
                      </w:pPr>
                      <w:r>
                        <w:rPr>
                          <w:rFonts w:ascii="宋体" w:hAnsi="宋体" w:cs="宋体" w:eastAsia="宋体" w:hint="default"/>
                          <w:sz w:val="18"/>
                          <w:szCs w:val="18"/>
                        </w:rPr>
                        <w:t>合并日</w:t>
                      </w:r>
                    </w:p>
                  </w:txbxContent>
                </v:textbox>
                <w10:wrap type="none"/>
              </v:shape>
              <v:shape style="position:absolute;left:6385;top:412;width:3180;height:402" type="#_x0000_t202" filled="false" stroked="false">
                <v:textbox inset="0,0,0,0">
                  <w:txbxContent>
                    <w:p>
                      <w:pPr>
                        <w:spacing w:before="56"/>
                        <w:ind w:left="12" w:right="0" w:firstLine="0"/>
                        <w:jc w:val="center"/>
                        <w:rPr>
                          <w:rFonts w:ascii="宋体" w:hAnsi="宋体" w:cs="宋体" w:eastAsia="宋体" w:hint="default"/>
                          <w:sz w:val="18"/>
                          <w:szCs w:val="18"/>
                        </w:rPr>
                      </w:pPr>
                      <w:r>
                        <w:rPr>
                          <w:rFonts w:ascii="宋体" w:hAnsi="宋体" w:cs="宋体" w:eastAsia="宋体" w:hint="default"/>
                          <w:sz w:val="18"/>
                          <w:szCs w:val="18"/>
                        </w:rPr>
                        <w:t>上期期末</w:t>
                      </w:r>
                    </w:p>
                  </w:txbxContent>
                </v:textbox>
                <w10:wrap type="none"/>
              </v:shape>
            </v:group>
          </v:group>
        </w:pict>
      </w:r>
      <w:r>
        <w:rPr>
          <w:rFonts w:ascii="宋体" w:hAnsi="宋体" w:cs="宋体" w:eastAsia="宋体" w:hint="default"/>
          <w:position w:val="-15"/>
          <w:sz w:val="20"/>
          <w:szCs w:val="20"/>
        </w:rPr>
      </w:r>
    </w:p>
    <w:p>
      <w:pPr>
        <w:pStyle w:val="BodyText"/>
        <w:spacing w:line="360" w:lineRule="auto" w:before="46"/>
        <w:ind w:right="6532"/>
        <w:jc w:val="left"/>
      </w:pPr>
      <w:r>
        <w:rPr/>
        <w:t>企业合并中承担的被合并方的或有负债： 其他说明：</w:t>
      </w:r>
    </w:p>
    <w:p>
      <w:pPr>
        <w:spacing w:line="240" w:lineRule="auto" w:before="11"/>
        <w:rPr>
          <w:rFonts w:ascii="宋体" w:hAnsi="宋体" w:cs="宋体" w:eastAsia="宋体" w:hint="default"/>
          <w:sz w:val="19"/>
          <w:szCs w:val="19"/>
        </w:rPr>
      </w:pPr>
    </w:p>
    <w:p>
      <w:pPr>
        <w:pStyle w:val="Heading5"/>
        <w:spacing w:line="240" w:lineRule="auto"/>
        <w:ind w:right="0"/>
        <w:jc w:val="left"/>
        <w:rPr>
          <w:b w:val="0"/>
          <w:bCs w:val="0"/>
        </w:rPr>
      </w:pPr>
      <w:bookmarkStart w:name="3、反向购买" w:id="414"/>
      <w:bookmarkEnd w:id="414"/>
      <w:r>
        <w:rPr>
          <w:b w:val="0"/>
          <w:bCs w:val="0"/>
        </w:rPr>
      </w:r>
      <w:r>
        <w:rPr>
          <w:rFonts w:ascii="Times New Roman" w:hAnsi="Times New Roman" w:cs="Times New Roman" w:eastAsia="Times New Roman" w:hint="default"/>
        </w:rPr>
        <w:t>3</w:t>
      </w:r>
      <w:r>
        <w:rPr/>
        <w:t>、反向购买</w:t>
      </w:r>
      <w:r>
        <w:rPr>
          <w:b w:val="0"/>
          <w:bCs w:val="0"/>
        </w:rPr>
      </w:r>
    </w:p>
    <w:p>
      <w:pPr>
        <w:spacing w:line="240" w:lineRule="auto" w:before="8"/>
        <w:rPr>
          <w:rFonts w:ascii="宋体" w:hAnsi="宋体" w:cs="宋体" w:eastAsia="宋体" w:hint="default"/>
          <w:b/>
          <w:bCs/>
          <w:sz w:val="26"/>
          <w:szCs w:val="26"/>
        </w:rPr>
      </w:pPr>
    </w:p>
    <w:p>
      <w:pPr>
        <w:pStyle w:val="BodyText"/>
        <w:spacing w:line="319" w:lineRule="auto" w:before="0"/>
        <w:ind w:right="0"/>
        <w:jc w:val="left"/>
      </w:pPr>
      <w:r>
        <w:rPr>
          <w:spacing w:val="-2"/>
        </w:rPr>
        <w:t>交易基本信息、交易构成反向购买的依据、上市公司保留的资产、负债是否构成业务及其依据、合并成本的确定、按照权益</w:t>
      </w:r>
      <w:r>
        <w:rPr>
          <w:spacing w:val="-66"/>
        </w:rPr>
        <w:t> </w:t>
      </w:r>
      <w:r>
        <w:rPr>
          <w:spacing w:val="-66"/>
        </w:rPr>
      </w:r>
      <w:r>
        <w:rPr/>
        <w:t>性交易处理时调整权益的金额及其计算：</w:t>
      </w:r>
    </w:p>
    <w:p>
      <w:pPr>
        <w:spacing w:after="0" w:line="319" w:lineRule="auto"/>
        <w:jc w:val="left"/>
        <w:sectPr>
          <w:pgSz w:w="11910" w:h="16840"/>
          <w:pgMar w:header="747" w:footer="979" w:top="1060" w:bottom="1160" w:left="980" w:right="980"/>
        </w:sectPr>
      </w:pPr>
    </w:p>
    <w:p>
      <w:pPr>
        <w:spacing w:line="240" w:lineRule="auto" w:before="9"/>
        <w:rPr>
          <w:rFonts w:ascii="宋体" w:hAnsi="宋体" w:cs="宋体" w:eastAsia="宋体" w:hint="default"/>
          <w:sz w:val="24"/>
          <w:szCs w:val="24"/>
        </w:rPr>
      </w:pPr>
    </w:p>
    <w:p>
      <w:pPr>
        <w:pStyle w:val="Heading5"/>
        <w:spacing w:line="240" w:lineRule="auto" w:before="35"/>
        <w:ind w:right="0"/>
        <w:jc w:val="left"/>
        <w:rPr>
          <w:b w:val="0"/>
          <w:bCs w:val="0"/>
        </w:rPr>
      </w:pPr>
      <w:bookmarkStart w:name="4、处置子公司" w:id="415"/>
      <w:bookmarkEnd w:id="415"/>
      <w:r>
        <w:rPr>
          <w:b w:val="0"/>
          <w:bCs w:val="0"/>
        </w:rPr>
      </w:r>
      <w:r>
        <w:rPr>
          <w:rFonts w:ascii="Times New Roman" w:hAnsi="Times New Roman" w:cs="Times New Roman" w:eastAsia="Times New Roman" w:hint="default"/>
        </w:rPr>
        <w:t>4</w:t>
      </w:r>
      <w:r>
        <w:rPr/>
        <w:t>、处置子公司</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0"/>
        <w:jc w:val="left"/>
      </w:pPr>
      <w:r>
        <w:rPr/>
        <w:t>是否存在单次处置对子公司投资即丧失控制权的情形</w:t>
      </w:r>
    </w:p>
    <w:p>
      <w:pPr>
        <w:pStyle w:val="BodyText"/>
        <w:spacing w:line="360" w:lineRule="auto" w:before="116"/>
        <w:ind w:right="4012"/>
        <w:jc w:val="left"/>
      </w:pPr>
      <w:r>
        <w:rPr/>
        <w:t>□ 是 √ 否 是否存在通过多次交易分步处置对子公司投资且在本期丧失控制权的情形</w:t>
      </w:r>
    </w:p>
    <w:p>
      <w:pPr>
        <w:pStyle w:val="BodyText"/>
        <w:spacing w:line="240" w:lineRule="auto" w:before="26"/>
        <w:ind w:right="0"/>
        <w:jc w:val="left"/>
      </w:pPr>
      <w:r>
        <w:rPr/>
        <w:t>□ 是 √ 否</w:t>
      </w:r>
    </w:p>
    <w:p>
      <w:pPr>
        <w:spacing w:line="240" w:lineRule="auto" w:before="10"/>
        <w:rPr>
          <w:rFonts w:ascii="宋体" w:hAnsi="宋体" w:cs="宋体" w:eastAsia="宋体" w:hint="default"/>
          <w:sz w:val="26"/>
          <w:szCs w:val="26"/>
        </w:rPr>
      </w:pPr>
    </w:p>
    <w:p>
      <w:pPr>
        <w:pStyle w:val="Heading5"/>
        <w:spacing w:line="240" w:lineRule="auto"/>
        <w:ind w:right="0"/>
        <w:jc w:val="left"/>
        <w:rPr>
          <w:b w:val="0"/>
          <w:bCs w:val="0"/>
        </w:rPr>
      </w:pPr>
      <w:bookmarkStart w:name="5、其他原因的合并范围变动" w:id="416"/>
      <w:bookmarkEnd w:id="416"/>
      <w:r>
        <w:rPr>
          <w:b w:val="0"/>
          <w:bCs w:val="0"/>
        </w:rPr>
      </w:r>
      <w:r>
        <w:rPr>
          <w:rFonts w:ascii="Times New Roman" w:hAnsi="Times New Roman" w:cs="Times New Roman" w:eastAsia="Times New Roman" w:hint="default"/>
        </w:rPr>
        <w:t>5</w:t>
      </w:r>
      <w:r>
        <w:rPr/>
        <w:t>、其他原因的合并范围变动</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0"/>
        <w:jc w:val="left"/>
      </w:pPr>
      <w:r>
        <w:rPr/>
        <w:t>说明其他原因导致的合并范围变动（如，新设子公司、清算子公司等）及其相关情况：</w:t>
      </w:r>
    </w:p>
    <w:p>
      <w:pPr>
        <w:pStyle w:val="Heading6"/>
        <w:spacing w:line="240" w:lineRule="auto" w:before="89"/>
        <w:ind w:left="658" w:right="0"/>
        <w:jc w:val="left"/>
      </w:pPr>
      <w:r>
        <w:rPr/>
        <w:t>合并范围增加</w:t>
      </w:r>
    </w:p>
    <w:p>
      <w:pPr>
        <w:spacing w:line="240" w:lineRule="auto" w:before="13"/>
        <w:rPr>
          <w:rFonts w:ascii="宋体" w:hAnsi="宋体" w:cs="宋体" w:eastAsia="宋体" w:hint="default"/>
          <w:sz w:val="3"/>
          <w:szCs w:val="3"/>
        </w:rPr>
      </w:pPr>
    </w:p>
    <w:tbl>
      <w:tblPr>
        <w:tblW w:w="0" w:type="auto"/>
        <w:jc w:val="left"/>
        <w:tblInd w:w="146" w:type="dxa"/>
        <w:tblLayout w:type="fixed"/>
        <w:tblCellMar>
          <w:top w:w="0" w:type="dxa"/>
          <w:left w:w="0" w:type="dxa"/>
          <w:bottom w:w="0" w:type="dxa"/>
          <w:right w:w="0" w:type="dxa"/>
        </w:tblCellMar>
        <w:tblLook w:val="01E0"/>
      </w:tblPr>
      <w:tblGrid>
        <w:gridCol w:w="1704"/>
        <w:gridCol w:w="1704"/>
        <w:gridCol w:w="1704"/>
        <w:gridCol w:w="1705"/>
        <w:gridCol w:w="1706"/>
      </w:tblGrid>
      <w:tr>
        <w:trPr>
          <w:trHeight w:val="348" w:hRule="exact"/>
        </w:trPr>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12" w:right="0"/>
              <w:jc w:val="left"/>
              <w:rPr>
                <w:rFonts w:ascii="宋体" w:hAnsi="宋体" w:cs="宋体" w:eastAsia="宋体" w:hint="default"/>
                <w:sz w:val="21"/>
                <w:szCs w:val="21"/>
              </w:rPr>
            </w:pPr>
            <w:r>
              <w:rPr>
                <w:rFonts w:ascii="宋体" w:hAnsi="宋体" w:cs="宋体" w:eastAsia="宋体" w:hint="default"/>
                <w:sz w:val="21"/>
                <w:szCs w:val="21"/>
              </w:rPr>
              <w:t>公司名称</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股权取得方式</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股权取得时点</w:t>
            </w:r>
          </w:p>
        </w:tc>
        <w:tc>
          <w:tcPr>
            <w:tcW w:w="1705"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530" w:right="0"/>
              <w:jc w:val="left"/>
              <w:rPr>
                <w:rFonts w:ascii="宋体" w:hAnsi="宋体" w:cs="宋体" w:eastAsia="宋体" w:hint="default"/>
                <w:sz w:val="21"/>
                <w:szCs w:val="21"/>
              </w:rPr>
            </w:pPr>
            <w:r>
              <w:rPr>
                <w:rFonts w:ascii="宋体" w:hAnsi="宋体" w:cs="宋体" w:eastAsia="宋体" w:hint="default"/>
                <w:sz w:val="21"/>
                <w:szCs w:val="21"/>
              </w:rPr>
              <w:t>出资额</w:t>
            </w:r>
          </w:p>
        </w:tc>
        <w:tc>
          <w:tcPr>
            <w:tcW w:w="1706" w:type="dxa"/>
            <w:tcBorders>
              <w:top w:val="single" w:sz="6" w:space="0" w:color="000000"/>
              <w:left w:val="single" w:sz="6" w:space="0" w:color="000000"/>
              <w:bottom w:val="single" w:sz="6" w:space="0" w:color="000000"/>
              <w:right w:val="nil" w:sz="6" w:space="0" w:color="auto"/>
            </w:tcBorders>
          </w:tcPr>
          <w:p>
            <w:pPr>
              <w:pStyle w:val="TableParagraph"/>
              <w:spacing w:line="271" w:lineRule="exact"/>
              <w:ind w:right="3"/>
              <w:jc w:val="center"/>
              <w:rPr>
                <w:rFonts w:ascii="宋体" w:hAnsi="宋体" w:cs="宋体" w:eastAsia="宋体" w:hint="default"/>
                <w:sz w:val="21"/>
                <w:szCs w:val="21"/>
              </w:rPr>
            </w:pPr>
            <w:r>
              <w:rPr>
                <w:rFonts w:ascii="宋体" w:hAnsi="宋体" w:cs="宋体" w:eastAsia="宋体" w:hint="default"/>
                <w:sz w:val="21"/>
                <w:szCs w:val="21"/>
              </w:rPr>
              <w:t>出资比例</w:t>
            </w:r>
          </w:p>
        </w:tc>
      </w:tr>
      <w:tr>
        <w:trPr>
          <w:trHeight w:val="659" w:hRule="exact"/>
        </w:trPr>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3"/>
              <w:jc w:val="left"/>
              <w:rPr>
                <w:rFonts w:ascii="宋体" w:hAnsi="宋体" w:cs="宋体" w:eastAsia="宋体" w:hint="default"/>
                <w:sz w:val="21"/>
                <w:szCs w:val="21"/>
              </w:rPr>
            </w:pPr>
            <w:r>
              <w:rPr>
                <w:rFonts w:ascii="宋体" w:hAnsi="宋体" w:cs="宋体" w:eastAsia="宋体" w:hint="default"/>
                <w:sz w:val="21"/>
                <w:szCs w:val="21"/>
              </w:rPr>
              <w:t>福建南平太阳高新 材料有限公司</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1"/>
              <w:jc w:val="center"/>
              <w:rPr>
                <w:rFonts w:ascii="宋体" w:hAnsi="宋体" w:cs="宋体" w:eastAsia="宋体" w:hint="default"/>
                <w:sz w:val="21"/>
                <w:szCs w:val="21"/>
              </w:rPr>
            </w:pPr>
            <w:r>
              <w:rPr>
                <w:rFonts w:ascii="宋体" w:hAnsi="宋体" w:cs="宋体" w:eastAsia="宋体" w:hint="default"/>
                <w:sz w:val="21"/>
                <w:szCs w:val="21"/>
              </w:rPr>
              <w:t>新设子公司</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宋体" w:hAnsi="宋体" w:cs="宋体" w:eastAsia="宋体" w:hint="default"/>
                <w:sz w:val="21"/>
                <w:szCs w:val="21"/>
              </w:rPr>
              <w:t>年</w:t>
            </w:r>
            <w:r>
              <w:rPr>
                <w:rFonts w:ascii="Times New Roman" w:hAnsi="Times New Roman" w:cs="Times New Roman" w:eastAsia="Times New Roman" w:hint="default"/>
                <w:sz w:val="21"/>
                <w:szCs w:val="21"/>
              </w:rPr>
              <w:t>2</w:t>
            </w:r>
            <w:r>
              <w:rPr>
                <w:rFonts w:ascii="宋体" w:hAnsi="宋体" w:cs="宋体" w:eastAsia="宋体" w:hint="default"/>
                <w:sz w:val="21"/>
                <w:szCs w:val="21"/>
              </w:rPr>
              <w:t>月</w:t>
            </w:r>
          </w:p>
        </w:tc>
        <w:tc>
          <w:tcPr>
            <w:tcW w:w="17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479" w:right="0"/>
              <w:jc w:val="left"/>
              <w:rPr>
                <w:rFonts w:ascii="Times New Roman" w:hAnsi="Times New Roman" w:cs="Times New Roman" w:eastAsia="Times New Roman" w:hint="default"/>
                <w:sz w:val="21"/>
                <w:szCs w:val="21"/>
              </w:rPr>
            </w:pPr>
            <w:r>
              <w:rPr>
                <w:rFonts w:ascii="Times New Roman"/>
                <w:sz w:val="21"/>
              </w:rPr>
              <w:t>15,300,000.00</w:t>
            </w:r>
          </w:p>
        </w:tc>
        <w:tc>
          <w:tcPr>
            <w:tcW w:w="170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4"/>
              <w:ind w:right="5"/>
              <w:jc w:val="center"/>
              <w:rPr>
                <w:rFonts w:ascii="Times New Roman" w:hAnsi="Times New Roman" w:cs="Times New Roman" w:eastAsia="Times New Roman" w:hint="default"/>
                <w:sz w:val="21"/>
                <w:szCs w:val="21"/>
              </w:rPr>
            </w:pPr>
            <w:r>
              <w:rPr>
                <w:rFonts w:ascii="Times New Roman"/>
                <w:sz w:val="21"/>
              </w:rPr>
              <w:t>51.00%</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3"/>
          <w:szCs w:val="23"/>
        </w:rPr>
      </w:pPr>
    </w:p>
    <w:p>
      <w:pPr>
        <w:spacing w:line="487" w:lineRule="auto" w:before="35"/>
        <w:ind w:left="154" w:right="6610" w:firstLine="0"/>
        <w:jc w:val="left"/>
        <w:rPr>
          <w:rFonts w:ascii="宋体" w:hAnsi="宋体" w:cs="宋体" w:eastAsia="宋体" w:hint="default"/>
          <w:sz w:val="21"/>
          <w:szCs w:val="21"/>
        </w:rPr>
      </w:pPr>
      <w:bookmarkStart w:name="6、其他" w:id="417"/>
      <w:bookmarkEnd w:id="417"/>
      <w:r>
        <w:rPr/>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九、在其他主体中的权益" w:id="418"/>
      <w:bookmarkEnd w:id="418"/>
      <w:r>
        <w:rPr>
          <w:rFonts w:ascii="宋体" w:hAnsi="宋体" w:cs="宋体" w:eastAsia="宋体" w:hint="default"/>
          <w:b/>
          <w:bCs/>
          <w:spacing w:val="1"/>
          <w:w w:val="99"/>
          <w:sz w:val="21"/>
          <w:szCs w:val="21"/>
        </w:rPr>
      </w:r>
      <w:r>
        <w:rPr>
          <w:rFonts w:ascii="宋体" w:hAnsi="宋体" w:cs="宋体" w:eastAsia="宋体" w:hint="default"/>
          <w:b/>
          <w:bCs/>
          <w:w w:val="95"/>
          <w:sz w:val="24"/>
          <w:szCs w:val="24"/>
        </w:rPr>
        <w:t>九、在其他主体中的权益</w:t>
      </w:r>
      <w:r>
        <w:rPr>
          <w:rFonts w:ascii="宋体" w:hAnsi="宋体" w:cs="宋体" w:eastAsia="宋体" w:hint="default"/>
          <w:b/>
          <w:bCs/>
          <w:spacing w:val="7"/>
          <w:w w:val="95"/>
          <w:sz w:val="24"/>
          <w:szCs w:val="24"/>
        </w:rPr>
        <w:t> </w:t>
      </w:r>
      <w:r>
        <w:rPr>
          <w:rFonts w:ascii="宋体" w:hAnsi="宋体" w:cs="宋体" w:eastAsia="宋体" w:hint="default"/>
          <w:b/>
          <w:bCs/>
          <w:spacing w:val="7"/>
          <w:w w:val="95"/>
          <w:sz w:val="24"/>
          <w:szCs w:val="24"/>
        </w:rPr>
      </w:r>
      <w:bookmarkStart w:name="1、在子公司中的权益" w:id="419"/>
      <w:bookmarkEnd w:id="419"/>
      <w:r>
        <w:rPr>
          <w:rFonts w:ascii="宋体" w:hAnsi="宋体" w:cs="宋体" w:eastAsia="宋体" w:hint="default"/>
          <w:b/>
          <w:bCs/>
          <w:spacing w:val="7"/>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、在子公司中的权益</w:t>
      </w:r>
      <w:r>
        <w:rPr>
          <w:rFonts w:ascii="宋体" w:hAnsi="宋体" w:cs="宋体" w:eastAsia="宋体" w:hint="default"/>
          <w:sz w:val="21"/>
          <w:szCs w:val="21"/>
        </w:rPr>
      </w:r>
    </w:p>
    <w:p>
      <w:pPr>
        <w:pStyle w:val="Heading5"/>
        <w:spacing w:line="240" w:lineRule="auto" w:before="84"/>
        <w:ind w:right="0"/>
        <w:jc w:val="left"/>
        <w:rPr>
          <w:b w:val="0"/>
          <w:bCs w:val="0"/>
        </w:rPr>
      </w:pPr>
      <w:bookmarkStart w:name="（1）企业集团的构成" w:id="420"/>
      <w:bookmarkEnd w:id="420"/>
      <w:r>
        <w:rPr>
          <w:b w:val="0"/>
          <w:bCs w:val="0"/>
        </w:rPr>
      </w:r>
      <w:r>
        <w:rPr/>
        <w:t>（</w:t>
      </w:r>
      <w:r>
        <w:rPr>
          <w:rFonts w:ascii="Times New Roman" w:hAnsi="Times New Roman" w:cs="Times New Roman" w:eastAsia="Times New Roman" w:hint="default"/>
        </w:rPr>
        <w:t>1</w:t>
      </w:r>
      <w:r>
        <w:rPr/>
        <w:t>）企业集团的构成</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402" w:hRule="exact"/>
        </w:trPr>
        <w:tc>
          <w:tcPr>
            <w:tcW w:w="13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2" w:hRule="exact"/>
        </w:trPr>
        <w:tc>
          <w:tcPr>
            <w:tcW w:w="1372"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杭州奥能电源设 备有限公司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浙江杭州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浙江杭州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非同一控制下企 业合并取得</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福建南平太阳高 新材料有限公司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福建南平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福建南平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51.00%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bl>
    <w:p>
      <w:pPr>
        <w:pStyle w:val="BodyText"/>
        <w:spacing w:line="360" w:lineRule="auto" w:before="51"/>
        <w:ind w:right="1852"/>
        <w:jc w:val="left"/>
      </w:pPr>
      <w:r>
        <w:rPr/>
        <w:t>在子公司的持股比例不同于表决权比例的说明： 持有半数或以下表决权但仍控制被投资单位、以及持有半数以上表决权但不控制被投资单位的依据： 对于纳入合并范围的重要的结构化主体，控制的依据：</w:t>
      </w:r>
    </w:p>
    <w:p>
      <w:pPr>
        <w:pStyle w:val="BodyText"/>
        <w:spacing w:line="360" w:lineRule="auto" w:before="26"/>
        <w:ind w:right="6712"/>
        <w:jc w:val="left"/>
      </w:pPr>
      <w:r>
        <w:rPr/>
        <w:t>确定公司是代理人还是委托人的依据： 其他说明：</w:t>
      </w:r>
    </w:p>
    <w:p>
      <w:pPr>
        <w:spacing w:line="240" w:lineRule="auto" w:before="11"/>
        <w:rPr>
          <w:rFonts w:ascii="宋体" w:hAnsi="宋体" w:cs="宋体" w:eastAsia="宋体" w:hint="default"/>
          <w:sz w:val="19"/>
          <w:szCs w:val="19"/>
        </w:rPr>
      </w:pPr>
    </w:p>
    <w:p>
      <w:pPr>
        <w:pStyle w:val="Heading5"/>
        <w:spacing w:line="240" w:lineRule="auto"/>
        <w:ind w:right="0"/>
        <w:jc w:val="left"/>
        <w:rPr>
          <w:b w:val="0"/>
          <w:bCs w:val="0"/>
        </w:rPr>
      </w:pPr>
      <w:bookmarkStart w:name="（2）重要的非全资子公司" w:id="421"/>
      <w:bookmarkEnd w:id="421"/>
      <w:r>
        <w:rPr>
          <w:b w:val="0"/>
          <w:bCs w:val="0"/>
        </w:rPr>
      </w:r>
      <w:r>
        <w:rPr/>
        <w:t>（</w:t>
      </w:r>
      <w:r>
        <w:rPr>
          <w:rFonts w:ascii="Times New Roman" w:hAnsi="Times New Roman" w:cs="Times New Roman" w:eastAsia="Times New Roman" w:hint="default"/>
        </w:rPr>
        <w:t>2</w:t>
      </w:r>
      <w:r>
        <w:rPr/>
        <w:t>）重要的非全资子公司</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7"/>
        <w:gridCol w:w="1914"/>
        <w:gridCol w:w="1914"/>
        <w:gridCol w:w="1913"/>
        <w:gridCol w:w="1913"/>
      </w:tblGrid>
      <w:tr>
        <w:trPr>
          <w:trHeight w:val="764" w:hRule="exact"/>
        </w:trPr>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503"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76"/>
              <w:ind w:left="771" w:right="50" w:hanging="720"/>
              <w:jc w:val="left"/>
              <w:rPr>
                <w:rFonts w:ascii="宋体" w:hAnsi="宋体" w:cs="宋体" w:eastAsia="宋体" w:hint="default"/>
                <w:sz w:val="18"/>
                <w:szCs w:val="18"/>
              </w:rPr>
            </w:pPr>
            <w:r>
              <w:rPr>
                <w:rFonts w:ascii="宋体" w:hAnsi="宋体" w:cs="宋体" w:eastAsia="宋体" w:hint="default"/>
                <w:sz w:val="18"/>
                <w:szCs w:val="18"/>
              </w:rPr>
              <w:t>本期归属于少数股东的 损益</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76"/>
              <w:ind w:left="591" w:right="51" w:hanging="540"/>
              <w:jc w:val="left"/>
              <w:rPr>
                <w:rFonts w:ascii="宋体" w:hAnsi="宋体" w:cs="宋体" w:eastAsia="宋体" w:hint="default"/>
                <w:sz w:val="18"/>
                <w:szCs w:val="18"/>
              </w:rPr>
            </w:pPr>
            <w:r>
              <w:rPr>
                <w:rFonts w:ascii="宋体" w:hAnsi="宋体" w:cs="宋体" w:eastAsia="宋体" w:hint="default"/>
                <w:sz w:val="18"/>
                <w:szCs w:val="18"/>
              </w:rPr>
              <w:t>本期向少数股东宣告分 派的股利</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51" w:right="0"/>
              <w:jc w:val="left"/>
              <w:rPr>
                <w:rFonts w:ascii="宋体" w:hAnsi="宋体" w:cs="宋体" w:eastAsia="宋体" w:hint="default"/>
                <w:sz w:val="18"/>
                <w:szCs w:val="18"/>
              </w:rPr>
            </w:pPr>
            <w:r>
              <w:rPr>
                <w:rFonts w:ascii="宋体" w:hAnsi="宋体" w:cs="宋体" w:eastAsia="宋体" w:hint="default"/>
                <w:sz w:val="18"/>
                <w:szCs w:val="18"/>
              </w:rPr>
              <w:t>期末少数股东权益余额</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7"/>
        <w:gridCol w:w="1914"/>
        <w:gridCol w:w="1914"/>
        <w:gridCol w:w="1913"/>
        <w:gridCol w:w="1913"/>
      </w:tblGrid>
      <w:tr>
        <w:trPr>
          <w:trHeight w:val="714"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2"/>
              <w:jc w:val="left"/>
              <w:rPr>
                <w:rFonts w:ascii="宋体" w:hAnsi="宋体" w:cs="宋体" w:eastAsia="宋体" w:hint="default"/>
                <w:sz w:val="18"/>
                <w:szCs w:val="18"/>
              </w:rPr>
            </w:pPr>
            <w:r>
              <w:rPr>
                <w:rFonts w:ascii="宋体" w:hAnsi="宋体" w:cs="宋体" w:eastAsia="宋体" w:hint="default"/>
                <w:sz w:val="18"/>
                <w:szCs w:val="18"/>
              </w:rPr>
              <w:t>福建南平太阳高新材料 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49.00%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90" w:right="0"/>
              <w:jc w:val="left"/>
              <w:rPr>
                <w:rFonts w:ascii="Times New Roman" w:hAnsi="Times New Roman" w:cs="Times New Roman" w:eastAsia="Times New Roman" w:hint="default"/>
                <w:sz w:val="18"/>
                <w:szCs w:val="18"/>
              </w:rPr>
            </w:pPr>
            <w:r>
              <w:rPr>
                <w:rFonts w:ascii="Times New Roman"/>
                <w:sz w:val="18"/>
              </w:rPr>
              <w:t>-5,844.84</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46" w:right="0"/>
              <w:jc w:val="left"/>
              <w:rPr>
                <w:rFonts w:ascii="Times New Roman" w:hAnsi="Times New Roman" w:cs="Times New Roman" w:eastAsia="Times New Roman" w:hint="default"/>
                <w:sz w:val="18"/>
                <w:szCs w:val="18"/>
              </w:rPr>
            </w:pPr>
            <w:r>
              <w:rPr>
                <w:rFonts w:ascii="Times New Roman"/>
                <w:sz w:val="18"/>
              </w:rPr>
              <w:t>14,694,155.16</w:t>
            </w:r>
          </w:p>
        </w:tc>
      </w:tr>
    </w:tbl>
    <w:p>
      <w:pPr>
        <w:pStyle w:val="BodyText"/>
        <w:spacing w:line="360" w:lineRule="auto" w:before="51"/>
        <w:ind w:right="5452"/>
        <w:jc w:val="left"/>
      </w:pPr>
      <w:r>
        <w:rPr/>
        <w:t>子公司少数股东的持股比例不同于表决权比例的说明： 其他说明：</w:t>
      </w:r>
    </w:p>
    <w:p>
      <w:pPr>
        <w:spacing w:line="240" w:lineRule="auto" w:before="12"/>
        <w:rPr>
          <w:rFonts w:ascii="宋体" w:hAnsi="宋体" w:cs="宋体" w:eastAsia="宋体" w:hint="default"/>
          <w:sz w:val="19"/>
          <w:szCs w:val="19"/>
        </w:rPr>
      </w:pPr>
    </w:p>
    <w:p>
      <w:pPr>
        <w:pStyle w:val="Heading5"/>
        <w:spacing w:line="240" w:lineRule="auto"/>
        <w:ind w:right="0"/>
        <w:jc w:val="left"/>
        <w:rPr>
          <w:b w:val="0"/>
          <w:bCs w:val="0"/>
        </w:rPr>
      </w:pPr>
      <w:bookmarkStart w:name="（3）重要非全资子公司的主要财务信息" w:id="422"/>
      <w:bookmarkEnd w:id="422"/>
      <w:r>
        <w:rPr>
          <w:b w:val="0"/>
          <w:bCs w:val="0"/>
        </w:rPr>
      </w:r>
      <w:r>
        <w:rPr/>
        <w:t>（</w:t>
      </w:r>
      <w:r>
        <w:rPr>
          <w:rFonts w:ascii="Times New Roman" w:hAnsi="Times New Roman" w:cs="Times New Roman" w:eastAsia="Times New Roman" w:hint="default"/>
        </w:rPr>
        <w:t>3</w:t>
      </w:r>
      <w:r>
        <w:rPr/>
        <w:t>）重要非全资子公司的主要财务信息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36"/>
        <w:gridCol w:w="737"/>
        <w:gridCol w:w="736"/>
        <w:gridCol w:w="736"/>
        <w:gridCol w:w="737"/>
        <w:gridCol w:w="735"/>
        <w:gridCol w:w="736"/>
        <w:gridCol w:w="734"/>
        <w:gridCol w:w="736"/>
        <w:gridCol w:w="735"/>
        <w:gridCol w:w="737"/>
        <w:gridCol w:w="737"/>
        <w:gridCol w:w="736"/>
      </w:tblGrid>
      <w:tr>
        <w:trPr>
          <w:trHeight w:val="401" w:hRule="exact"/>
        </w:trPr>
        <w:tc>
          <w:tcPr>
            <w:tcW w:w="7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9" w:lineRule="auto"/>
              <w:ind w:left="182" w:right="93" w:hanging="90"/>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4415"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14"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4" w:hRule="exact"/>
        </w:trPr>
        <w:tc>
          <w:tcPr>
            <w:tcW w:w="736" w:type="dxa"/>
            <w:vMerge/>
            <w:tcBorders>
              <w:left w:val="single" w:sz="4" w:space="0" w:color="000000"/>
              <w:bottom w:val="single" w:sz="4" w:space="0" w:color="000000"/>
              <w:right w:val="single" w:sz="4" w:space="0" w:color="000000"/>
            </w:tcBorders>
            <w:shd w:val="clear" w:color="auto" w:fill="D2D2D2"/>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82" w:right="91" w:hanging="90"/>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2" w:right="91"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82" w:right="90"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2"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2" w:right="90"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82" w:right="91" w:hanging="90"/>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2" w:right="90"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83" w:right="91"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2"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r>
      <w:tr>
        <w:trPr>
          <w:trHeight w:val="1651"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61"/>
              <w:jc w:val="both"/>
              <w:rPr>
                <w:rFonts w:ascii="宋体" w:hAnsi="宋体" w:cs="宋体" w:eastAsia="宋体" w:hint="default"/>
                <w:sz w:val="18"/>
                <w:szCs w:val="18"/>
              </w:rPr>
            </w:pPr>
            <w:r>
              <w:rPr>
                <w:rFonts w:ascii="宋体" w:hAnsi="宋体" w:cs="宋体" w:eastAsia="宋体" w:hint="default"/>
                <w:sz w:val="18"/>
                <w:szCs w:val="18"/>
              </w:rPr>
              <w:t>福建南 平太阳 高新材 料有限 公司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22,427,7</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47.39</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19,776,7</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05.69</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42,204,4</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53.08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12,216,3</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81.32</w:t>
            </w:r>
          </w:p>
        </w:tc>
        <w:tc>
          <w:tcPr>
            <w:tcW w:w="735"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12,216,3</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81.32</w:t>
            </w:r>
          </w:p>
        </w:tc>
        <w:tc>
          <w:tcPr>
            <w:tcW w:w="734"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1"/>
        <w:gridCol w:w="1061"/>
        <w:gridCol w:w="1062"/>
        <w:gridCol w:w="1066"/>
        <w:gridCol w:w="1064"/>
        <w:gridCol w:w="1063"/>
        <w:gridCol w:w="1064"/>
        <w:gridCol w:w="1063"/>
        <w:gridCol w:w="1066"/>
      </w:tblGrid>
      <w:tr>
        <w:trPr>
          <w:trHeight w:val="402" w:hRule="exact"/>
        </w:trPr>
        <w:tc>
          <w:tcPr>
            <w:tcW w:w="10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75"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425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2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1061" w:type="dxa"/>
            <w:vMerge/>
            <w:tcBorders>
              <w:left w:val="single" w:sz="4" w:space="0" w:color="000000"/>
              <w:bottom w:val="single" w:sz="4" w:space="0" w:color="000000"/>
              <w:right w:val="single" w:sz="4" w:space="0" w:color="000000"/>
            </w:tcBorders>
            <w:shd w:val="clear" w:color="auto" w:fill="D2D2D2"/>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37" w:right="76"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56" w:right="77"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55"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35" w:right="77"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57" w:right="77"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r>
      <w:tr>
        <w:trPr>
          <w:trHeight w:val="1027"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6"/>
              <w:jc w:val="both"/>
              <w:rPr>
                <w:rFonts w:ascii="宋体" w:hAnsi="宋体" w:cs="宋体" w:eastAsia="宋体" w:hint="default"/>
                <w:sz w:val="18"/>
                <w:szCs w:val="18"/>
              </w:rPr>
            </w:pPr>
            <w:r>
              <w:rPr>
                <w:rFonts w:ascii="宋体" w:hAnsi="宋体" w:cs="宋体" w:eastAsia="宋体" w:hint="default"/>
                <w:sz w:val="18"/>
                <w:szCs w:val="18"/>
              </w:rPr>
              <w:t>福建南平太 阳高新材料 有限公司</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56" w:right="0"/>
              <w:jc w:val="left"/>
              <w:rPr>
                <w:rFonts w:ascii="Times New Roman" w:hAnsi="Times New Roman" w:cs="Times New Roman" w:eastAsia="Times New Roman" w:hint="default"/>
                <w:sz w:val="18"/>
                <w:szCs w:val="18"/>
              </w:rPr>
            </w:pPr>
            <w:r>
              <w:rPr>
                <w:rFonts w:ascii="Times New Roman"/>
                <w:sz w:val="18"/>
              </w:rPr>
              <w:t>-11,928.24</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60" w:right="0"/>
              <w:jc w:val="left"/>
              <w:rPr>
                <w:rFonts w:ascii="Times New Roman" w:hAnsi="Times New Roman" w:cs="Times New Roman" w:eastAsia="Times New Roman" w:hint="default"/>
                <w:sz w:val="18"/>
                <w:szCs w:val="18"/>
              </w:rPr>
            </w:pPr>
            <w:r>
              <w:rPr>
                <w:rFonts w:ascii="Times New Roman"/>
                <w:sz w:val="18"/>
              </w:rPr>
              <w:t>-11,928.24</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-9,318,406.85</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0"/>
        <w:jc w:val="left"/>
      </w:pPr>
      <w:r>
        <w:rPr/>
        <w:t>其他说明：</w:t>
      </w:r>
    </w:p>
    <w:p>
      <w:pPr>
        <w:spacing w:line="240" w:lineRule="auto" w:before="10"/>
        <w:rPr>
          <w:rFonts w:ascii="宋体" w:hAnsi="宋体" w:cs="宋体" w:eastAsia="宋体" w:hint="default"/>
          <w:sz w:val="26"/>
          <w:szCs w:val="26"/>
        </w:rPr>
      </w:pPr>
    </w:p>
    <w:p>
      <w:pPr>
        <w:pStyle w:val="Heading5"/>
        <w:spacing w:line="240" w:lineRule="auto"/>
        <w:ind w:right="0"/>
        <w:jc w:val="left"/>
        <w:rPr>
          <w:b w:val="0"/>
          <w:bCs w:val="0"/>
        </w:rPr>
      </w:pPr>
      <w:bookmarkStart w:name="（4）使用企业集团资产和清偿企业集团债务的重大限制" w:id="423"/>
      <w:bookmarkEnd w:id="423"/>
      <w:r>
        <w:rPr>
          <w:b w:val="0"/>
          <w:bCs w:val="0"/>
        </w:rPr>
      </w:r>
      <w:r>
        <w:rPr/>
        <w:t>（</w:t>
      </w:r>
      <w:r>
        <w:rPr>
          <w:rFonts w:ascii="Times New Roman" w:hAnsi="Times New Roman" w:cs="Times New Roman" w:eastAsia="Times New Roman" w:hint="default"/>
        </w:rPr>
        <w:t>4</w:t>
      </w:r>
      <w:r>
        <w:rPr/>
        <w:t>）使用企业集团资产和清偿企业集团债务的重大限制</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bookmarkStart w:name="（5）向纳入合并财务报表范围的结构化主体提供的财务支持或其他支持" w:id="424"/>
      <w:bookmarkEnd w:id="424"/>
      <w:r>
        <w:rPr>
          <w:b w:val="0"/>
          <w:bCs w:val="0"/>
        </w:rPr>
      </w:r>
      <w:r>
        <w:rPr/>
        <w:t>（</w:t>
      </w:r>
      <w:r>
        <w:rPr>
          <w:rFonts w:ascii="Times New Roman" w:hAnsi="Times New Roman" w:cs="Times New Roman" w:eastAsia="Times New Roman" w:hint="default"/>
        </w:rPr>
        <w:t>5</w:t>
      </w:r>
      <w:r>
        <w:rPr/>
        <w:t>）向纳入合并财务报表范围的结构化主体提供的财务支持或其他支持</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0"/>
        <w:jc w:val="left"/>
      </w:pPr>
      <w:r>
        <w:rPr/>
        <w:t>其他说明：</w:t>
      </w: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bookmarkStart w:name="2、在子公司的所有者权益份额发生变化且仍控制子公司的交易" w:id="425"/>
      <w:bookmarkEnd w:id="425"/>
      <w:r>
        <w:rPr>
          <w:b w:val="0"/>
          <w:bCs w:val="0"/>
        </w:rPr>
      </w:r>
      <w:r>
        <w:rPr>
          <w:rFonts w:ascii="Times New Roman" w:hAnsi="Times New Roman" w:cs="Times New Roman" w:eastAsia="Times New Roman" w:hint="default"/>
        </w:rPr>
        <w:t>2</w:t>
      </w:r>
      <w:r>
        <w:rPr/>
        <w:t>、在子公司的所有者权益份额发生变化且仍控制子公司的交易</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bookmarkStart w:name="（1）在子公司所有者权益份额发生变化的情况说明" w:id="426"/>
      <w:bookmarkEnd w:id="426"/>
      <w:r>
        <w:rPr>
          <w:b w:val="0"/>
          <w:bCs w:val="0"/>
        </w:rPr>
      </w:r>
      <w:r>
        <w:rPr/>
        <w:t>（</w:t>
      </w:r>
      <w:r>
        <w:rPr>
          <w:rFonts w:ascii="Times New Roman" w:hAnsi="Times New Roman" w:cs="Times New Roman" w:eastAsia="Times New Roman" w:hint="default"/>
        </w:rPr>
        <w:t>1</w:t>
      </w:r>
      <w:r>
        <w:rPr/>
        <w:t>）在子公司所有者权益份额发生变化的情况说明</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bookmarkStart w:name="（2）交易对于少数股东权益及归属于母公司所有者权益的影响" w:id="427"/>
      <w:bookmarkEnd w:id="427"/>
      <w:r>
        <w:rPr>
          <w:b w:val="0"/>
          <w:bCs w:val="0"/>
        </w:rPr>
      </w:r>
      <w:r>
        <w:rPr/>
        <w:t>（</w:t>
      </w:r>
      <w:r>
        <w:rPr>
          <w:rFonts w:ascii="Times New Roman" w:hAnsi="Times New Roman" w:cs="Times New Roman" w:eastAsia="Times New Roman" w:hint="default"/>
        </w:rPr>
        <w:t>2</w:t>
      </w:r>
      <w:r>
        <w:rPr/>
        <w:t>）交易对于少数股东权益及归属于母公司所有者权益的影响</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9"/>
        <w:rPr>
          <w:rFonts w:ascii="宋体" w:hAnsi="宋体" w:cs="宋体" w:eastAsia="宋体" w:hint="default"/>
          <w:sz w:val="7"/>
          <w:szCs w:val="7"/>
        </w:rPr>
      </w:pPr>
    </w:p>
    <w:p>
      <w:pPr>
        <w:spacing w:line="421" w:lineRule="exact"/>
        <w:ind w:left="149"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8.95pt;height:21.1pt;mso-position-horizontal-relative:char;mso-position-vertical-relative:line" coordorigin="0,0" coordsize="9579,422">
            <v:group style="position:absolute;left:21;top:14;width:2;height:393" coordorigin="21,14" coordsize="2,393">
              <v:shape style="position:absolute;left:21;top:14;width:2;height:393" coordorigin="21,14" coordsize="0,393" path="m21,14l21,407e" filled="false" stroked="true" strokeweight="1.140pt" strokecolor="#d2d2d2">
                <v:path arrowok="t"/>
              </v:shape>
            </v:group>
            <v:group style="position:absolute;left:4773;top:14;width:2;height:393" coordorigin="4773,14" coordsize="2,393">
              <v:shape style="position:absolute;left:4773;top:14;width:2;height:393" coordorigin="4773,14" coordsize="0,393" path="m4773,14l4773,407e" filled="false" stroked="true" strokeweight="1.140pt" strokecolor="#d2d2d2">
                <v:path arrowok="t"/>
              </v:shape>
            </v:group>
            <v:group style="position:absolute;left:32;top:14;width:4729;height:393" coordorigin="32,14" coordsize="4729,393">
              <v:shape style="position:absolute;left:32;top:14;width:4729;height:393" coordorigin="32,14" coordsize="4729,393" path="m32,407l4761,407,4761,14,32,14,32,407xe" filled="true" fillcolor="#d2d2d2" stroked="false">
                <v:path arrowok="t"/>
                <v:fill type="solid"/>
              </v:shape>
            </v:group>
            <v:group style="position:absolute;left:4806;top:14;width:2;height:393" coordorigin="4806,14" coordsize="2,393">
              <v:shape style="position:absolute;left:4806;top:14;width:2;height:393" coordorigin="4806,14" coordsize="0,393" path="m4806,14l4806,407e" filled="false" stroked="true" strokeweight="1.140pt" strokecolor="#e0ffff">
                <v:path arrowok="t"/>
              </v:shape>
            </v:group>
            <v:group style="position:absolute;left:9557;top:14;width:2;height:393" coordorigin="9557,14" coordsize="2,393">
              <v:shape style="position:absolute;left:9557;top:14;width:2;height:393" coordorigin="9557,14" coordsize="0,393" path="m9557,14l9557,407e" filled="false" stroked="true" strokeweight="1.140pt" strokecolor="#e0ffff">
                <v:path arrowok="t"/>
              </v:shape>
            </v:group>
            <v:group style="position:absolute;left:4818;top:14;width:4729;height:393" coordorigin="4818,14" coordsize="4729,393">
              <v:shape style="position:absolute;left:4818;top:14;width:4729;height:393" coordorigin="4818,14" coordsize="4729,393" path="m4818,407l9546,407,9546,14,4818,14,4818,407xe" filled="true" fillcolor="#e0ffff" stroked="false">
                <v:path arrowok="t"/>
                <v:fill type="solid"/>
              </v:shape>
            </v:group>
            <v:group style="position:absolute;left:10;top:10;width:4776;height:2" coordorigin="10,10" coordsize="4776,2">
              <v:shape style="position:absolute;left:10;top:10;width:4776;height:2" coordorigin="10,10" coordsize="4776,0" path="m10,10l4785,10e" filled="false" stroked="true" strokeweight=".47998pt" strokecolor="#000000">
                <v:path arrowok="t"/>
              </v:shape>
            </v:group>
            <v:group style="position:absolute;left:4795;top:10;width:4774;height:2" coordorigin="4795,10" coordsize="4774,2">
              <v:shape style="position:absolute;left:4795;top:10;width:4774;height:2" coordorigin="4795,10" coordsize="4774,0" path="m4795,10l9569,10e" filled="false" stroked="true" strokeweight=".47998pt" strokecolor="#000000">
                <v:path arrowok="t"/>
              </v:shape>
            </v:group>
            <v:group style="position:absolute;left:5;top:5;width:2;height:412" coordorigin="5,5" coordsize="2,412">
              <v:shape style="position:absolute;left:5;top:5;width:2;height:412" coordorigin="5,5" coordsize="0,412" path="m5,5l5,416e" filled="false" stroked="true" strokeweight=".48pt" strokecolor="#000000">
                <v:path arrowok="t"/>
              </v:shape>
            </v:group>
            <v:group style="position:absolute;left:10;top:412;width:4776;height:2" coordorigin="10,412" coordsize="4776,2">
              <v:shape style="position:absolute;left:10;top:412;width:4776;height:2" coordorigin="10,412" coordsize="4776,0" path="m10,412l4785,412e" filled="false" stroked="true" strokeweight=".48004pt" strokecolor="#000000">
                <v:path arrowok="t"/>
              </v:shape>
            </v:group>
            <v:group style="position:absolute;left:4790;top:5;width:2;height:412" coordorigin="4790,5" coordsize="2,412">
              <v:shape style="position:absolute;left:4790;top:5;width:2;height:412" coordorigin="4790,5" coordsize="0,412" path="m4790,5l4790,416e" filled="false" stroked="true" strokeweight=".47998pt" strokecolor="#000000">
                <v:path arrowok="t"/>
              </v:shape>
            </v:group>
            <v:group style="position:absolute;left:4795;top:412;width:4774;height:2" coordorigin="4795,412" coordsize="4774,2">
              <v:shape style="position:absolute;left:4795;top:412;width:4774;height:2" coordorigin="4795,412" coordsize="4774,0" path="m4795,412l9569,412e" filled="false" stroked="true" strokeweight=".48004pt" strokecolor="#000000">
                <v:path arrowok="t"/>
              </v:shape>
            </v:group>
            <v:group style="position:absolute;left:9574;top:5;width:2;height:412" coordorigin="9574,5" coordsize="2,412">
              <v:shape style="position:absolute;left:9574;top:5;width:2;height:412" coordorigin="9574,5" coordsize="0,412" path="m9574,5l9574,416e" filled="false" stroked="true" strokeweight=".48004pt" strokecolor="#000000">
                <v:path arrowok="t"/>
              </v:shape>
            </v:group>
          </v:group>
        </w:pict>
      </w:r>
      <w:r>
        <w:rPr>
          <w:rFonts w:ascii="宋体" w:hAnsi="宋体" w:cs="宋体" w:eastAsia="宋体" w:hint="default"/>
          <w:position w:val="-7"/>
          <w:sz w:val="20"/>
          <w:szCs w:val="20"/>
        </w:rPr>
      </w:r>
    </w:p>
    <w:p>
      <w:pPr>
        <w:pStyle w:val="BodyText"/>
        <w:spacing w:line="240" w:lineRule="auto" w:before="46"/>
        <w:ind w:right="0"/>
        <w:jc w:val="left"/>
      </w:pPr>
      <w:r>
        <w:rPr/>
        <w:t>其他说明</w:t>
      </w:r>
    </w:p>
    <w:p>
      <w:pPr>
        <w:spacing w:after="0" w:line="240" w:lineRule="auto"/>
        <w:jc w:val="left"/>
        <w:sectPr>
          <w:pgSz w:w="11910" w:h="16840"/>
          <w:pgMar w:header="747" w:footer="979" w:top="1060" w:bottom="1160" w:left="980" w:right="980"/>
        </w:sectPr>
      </w:pPr>
    </w:p>
    <w:p>
      <w:pPr>
        <w:spacing w:line="240" w:lineRule="auto" w:before="9"/>
        <w:rPr>
          <w:rFonts w:ascii="宋体" w:hAnsi="宋体" w:cs="宋体" w:eastAsia="宋体" w:hint="default"/>
          <w:sz w:val="24"/>
          <w:szCs w:val="24"/>
        </w:rPr>
      </w:pPr>
    </w:p>
    <w:p>
      <w:pPr>
        <w:pStyle w:val="Heading5"/>
        <w:spacing w:line="240" w:lineRule="auto" w:before="35"/>
        <w:ind w:right="0"/>
        <w:jc w:val="left"/>
        <w:rPr>
          <w:b w:val="0"/>
          <w:bCs w:val="0"/>
        </w:rPr>
      </w:pPr>
      <w:bookmarkStart w:name="3、在合营安排或联营企业中的权益" w:id="428"/>
      <w:bookmarkEnd w:id="428"/>
      <w:r>
        <w:rPr>
          <w:b w:val="0"/>
          <w:bCs w:val="0"/>
        </w:rPr>
      </w:r>
      <w:r>
        <w:rPr>
          <w:rFonts w:ascii="Times New Roman" w:hAnsi="Times New Roman" w:cs="Times New Roman" w:eastAsia="Times New Roman" w:hint="default"/>
        </w:rPr>
        <w:t>3</w:t>
      </w:r>
      <w:r>
        <w:rPr/>
        <w:t>、在合营安排或联营企业中的权益</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bookmarkStart w:name="（1）重要的合营企业或联营企业" w:id="429"/>
      <w:bookmarkEnd w:id="429"/>
      <w:r>
        <w:rPr>
          <w:b w:val="0"/>
          <w:bCs w:val="0"/>
        </w:rPr>
      </w:r>
      <w:r>
        <w:rPr/>
        <w:t>（</w:t>
      </w:r>
      <w:r>
        <w:rPr>
          <w:rFonts w:ascii="Times New Roman" w:hAnsi="Times New Roman" w:cs="Times New Roman" w:eastAsia="Times New Roman" w:hint="default"/>
        </w:rPr>
        <w:t>1</w:t>
      </w:r>
      <w:r>
        <w:rPr/>
        <w:t>）重要的合营企业或联营企业</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402" w:hRule="exact"/>
        </w:trPr>
        <w:tc>
          <w:tcPr>
            <w:tcW w:w="13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320" w:right="51" w:hanging="270"/>
              <w:jc w:val="left"/>
              <w:rPr>
                <w:rFonts w:ascii="宋体" w:hAnsi="宋体" w:cs="宋体" w:eastAsia="宋体" w:hint="default"/>
                <w:sz w:val="18"/>
                <w:szCs w:val="18"/>
              </w:rPr>
            </w:pPr>
            <w:r>
              <w:rPr>
                <w:rFonts w:ascii="宋体" w:hAnsi="宋体" w:cs="宋体" w:eastAsia="宋体" w:hint="default"/>
                <w:sz w:val="18"/>
                <w:szCs w:val="18"/>
              </w:rPr>
              <w:t>合营企业或联营 企业名称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47" w:right="47"/>
              <w:jc w:val="center"/>
              <w:rPr>
                <w:rFonts w:ascii="宋体" w:hAnsi="宋体" w:cs="宋体" w:eastAsia="宋体" w:hint="default"/>
                <w:sz w:val="18"/>
                <w:szCs w:val="18"/>
              </w:rPr>
            </w:pPr>
            <w:r>
              <w:rPr>
                <w:rFonts w:ascii="宋体" w:hAnsi="宋体" w:cs="宋体" w:eastAsia="宋体" w:hint="default"/>
                <w:sz w:val="18"/>
                <w:szCs w:val="18"/>
              </w:rPr>
              <w:t>对合营企业或联 营企业投资的会 计处理方法</w:t>
            </w:r>
          </w:p>
        </w:tc>
      </w:tr>
      <w:tr>
        <w:trPr>
          <w:trHeight w:val="624" w:hRule="exact"/>
        </w:trPr>
        <w:tc>
          <w:tcPr>
            <w:tcW w:w="1372"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bl>
    <w:p>
      <w:pPr>
        <w:pStyle w:val="BodyText"/>
        <w:spacing w:line="240" w:lineRule="auto" w:before="51"/>
        <w:ind w:right="0"/>
        <w:jc w:val="left"/>
      </w:pPr>
      <w:r>
        <w:rPr/>
        <w:t>在合营企业或联营企业的持股比例不同于表决权比例的说明：</w:t>
      </w:r>
    </w:p>
    <w:p>
      <w:pPr>
        <w:pStyle w:val="BodyText"/>
        <w:spacing w:line="240" w:lineRule="auto" w:before="117"/>
        <w:ind w:right="0"/>
        <w:jc w:val="left"/>
      </w:pPr>
      <w:r>
        <w:rPr/>
        <w:t>持有</w:t>
      </w:r>
      <w:r>
        <w:rPr>
          <w:spacing w:val="-46"/>
        </w:rPr>
        <w:t> </w:t>
      </w:r>
      <w:r>
        <w:rPr>
          <w:rFonts w:ascii="Times New Roman" w:hAnsi="Times New Roman" w:cs="Times New Roman" w:eastAsia="Times New Roman" w:hint="default"/>
        </w:rPr>
        <w:t>20%</w:t>
      </w:r>
      <w:r>
        <w:rPr/>
        <w:t>以下表决权但具有重大影响，或者持有</w:t>
      </w:r>
      <w:r>
        <w:rPr>
          <w:spacing w:val="-46"/>
        </w:rPr>
        <w:t> </w:t>
      </w:r>
      <w:r>
        <w:rPr>
          <w:rFonts w:ascii="Times New Roman" w:hAnsi="Times New Roman" w:cs="Times New Roman" w:eastAsia="Times New Roman" w:hint="default"/>
        </w:rPr>
        <w:t>20%</w:t>
      </w:r>
      <w:r>
        <w:rPr/>
        <w:t>或以上表决权但不具有重大影响的依据：</w:t>
      </w:r>
    </w:p>
    <w:p>
      <w:pPr>
        <w:spacing w:line="240" w:lineRule="auto" w:before="9"/>
        <w:rPr>
          <w:rFonts w:ascii="宋体" w:hAnsi="宋体" w:cs="宋体" w:eastAsia="宋体" w:hint="default"/>
          <w:sz w:val="25"/>
          <w:szCs w:val="25"/>
        </w:rPr>
      </w:pPr>
    </w:p>
    <w:p>
      <w:pPr>
        <w:pStyle w:val="Heading5"/>
        <w:spacing w:line="240" w:lineRule="auto"/>
        <w:ind w:right="0"/>
        <w:jc w:val="left"/>
        <w:rPr>
          <w:b w:val="0"/>
          <w:bCs w:val="0"/>
        </w:rPr>
      </w:pPr>
      <w:bookmarkStart w:name="（2）重要合营企业的主要财务信息" w:id="430"/>
      <w:bookmarkEnd w:id="430"/>
      <w:r>
        <w:rPr>
          <w:b w:val="0"/>
          <w:bCs w:val="0"/>
        </w:rPr>
      </w:r>
      <w:r>
        <w:rPr/>
        <w:t>（</w:t>
      </w:r>
      <w:r>
        <w:rPr>
          <w:rFonts w:ascii="Times New Roman" w:hAnsi="Times New Roman" w:cs="Times New Roman" w:eastAsia="Times New Roman" w:hint="default"/>
        </w:rPr>
        <w:t>2</w:t>
      </w:r>
      <w:r>
        <w:rPr/>
        <w:t>）重要合营企业的主要财务信息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79"/>
        <w:gridCol w:w="3191"/>
        <w:gridCol w:w="3179"/>
      </w:tblGrid>
      <w:tr>
        <w:trPr>
          <w:trHeight w:val="402"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5"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5"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2"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1" w:type="dxa"/>
            <w:tcBorders>
              <w:top w:val="single" w:sz="4" w:space="0" w:color="000000"/>
              <w:left w:val="single" w:sz="13" w:space="0" w:color="D2D2D2"/>
              <w:bottom w:val="single" w:sz="4" w:space="0" w:color="000000"/>
              <w:right w:val="single" w:sz="4" w:space="0" w:color="000000"/>
            </w:tcBorders>
            <w:shd w:val="clear" w:color="auto" w:fill="E0FFFF"/>
          </w:tcPr>
          <w:p>
            <w:pPr/>
          </w:p>
        </w:tc>
        <w:tc>
          <w:tcPr>
            <w:tcW w:w="3179" w:type="dxa"/>
            <w:tcBorders>
              <w:top w:val="single" w:sz="4" w:space="0" w:color="000000"/>
              <w:left w:val="single" w:sz="4" w:space="0" w:color="000000"/>
              <w:bottom w:val="single" w:sz="4" w:space="0" w:color="000000"/>
              <w:right w:val="single" w:sz="4" w:space="0" w:color="000000"/>
            </w:tcBorders>
            <w:shd w:val="clear" w:color="auto" w:fill="E0FFFF"/>
          </w:tcPr>
          <w:p>
            <w:pP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bookmarkStart w:name="（3）重要联营企业的主要财务信息" w:id="431"/>
      <w:bookmarkEnd w:id="431"/>
      <w:r>
        <w:rPr>
          <w:b w:val="0"/>
          <w:bCs w:val="0"/>
        </w:rPr>
      </w:r>
      <w:r>
        <w:rPr/>
        <w:t>（</w:t>
      </w:r>
      <w:r>
        <w:rPr>
          <w:rFonts w:ascii="Times New Roman" w:hAnsi="Times New Roman" w:cs="Times New Roman" w:eastAsia="Times New Roman" w:hint="default"/>
        </w:rPr>
        <w:t>3</w:t>
      </w:r>
      <w:r>
        <w:rPr/>
        <w:t>）重要联营企业的主要财务信息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7"/>
        <w:gridCol w:w="3203"/>
        <w:gridCol w:w="3179"/>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67"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5"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3" w:type="dxa"/>
            <w:tcBorders>
              <w:top w:val="single" w:sz="4" w:space="0" w:color="000000"/>
              <w:left w:val="single" w:sz="13" w:space="0" w:color="D2D2D2"/>
              <w:bottom w:val="single" w:sz="4" w:space="0" w:color="000000"/>
              <w:right w:val="single" w:sz="4" w:space="0" w:color="000000"/>
            </w:tcBorders>
            <w:shd w:val="clear" w:color="auto" w:fill="E0FFFF"/>
          </w:tcPr>
          <w:p>
            <w:pPr/>
          </w:p>
        </w:tc>
        <w:tc>
          <w:tcPr>
            <w:tcW w:w="3179" w:type="dxa"/>
            <w:tcBorders>
              <w:top w:val="single" w:sz="4" w:space="0" w:color="000000"/>
              <w:left w:val="single" w:sz="4" w:space="0" w:color="000000"/>
              <w:bottom w:val="single" w:sz="4" w:space="0" w:color="000000"/>
              <w:right w:val="single" w:sz="4" w:space="0" w:color="000000"/>
            </w:tcBorders>
            <w:shd w:val="clear" w:color="auto" w:fill="E0FFFF"/>
          </w:tcPr>
          <w:p>
            <w:pP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bookmarkStart w:name="（4）不重要的合营企业和联营企业的汇总财务信息" w:id="432"/>
      <w:bookmarkEnd w:id="432"/>
      <w:r>
        <w:rPr>
          <w:b w:val="0"/>
          <w:bCs w:val="0"/>
        </w:rPr>
      </w:r>
      <w:r>
        <w:rPr/>
        <w:t>（</w:t>
      </w:r>
      <w:r>
        <w:rPr>
          <w:rFonts w:ascii="Times New Roman" w:hAnsi="Times New Roman" w:cs="Times New Roman" w:eastAsia="Times New Roman" w:hint="default"/>
        </w:rPr>
        <w:t>4</w:t>
      </w:r>
      <w:r>
        <w:rPr/>
        <w:t>）不重要的合营企业和联营企业的汇总财务信息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24"/>
        <w:gridCol w:w="3059"/>
        <w:gridCol w:w="3175"/>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合营企业：</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bookmarkStart w:name="（5）合营企业或联营企业向本公司转移资金的能力存在重大限制的说明" w:id="433"/>
      <w:bookmarkEnd w:id="433"/>
      <w:r>
        <w:rPr>
          <w:b w:val="0"/>
          <w:bCs w:val="0"/>
        </w:rPr>
      </w:r>
      <w:r>
        <w:rPr/>
        <w:t>（</w:t>
      </w:r>
      <w:r>
        <w:rPr>
          <w:rFonts w:ascii="Times New Roman" w:hAnsi="Times New Roman" w:cs="Times New Roman" w:eastAsia="Times New Roman" w:hint="default"/>
        </w:rPr>
        <w:t>5</w:t>
      </w:r>
      <w:r>
        <w:rPr/>
        <w:t>）合营企业或联营企业向本公司转移资金的能力存在重大限制的说明</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right="0"/>
        <w:jc w:val="left"/>
        <w:rPr>
          <w:b w:val="0"/>
          <w:bCs w:val="0"/>
        </w:rPr>
      </w:pPr>
      <w:bookmarkStart w:name="（6）合营企业或联营企业发生的超额亏损" w:id="434"/>
      <w:bookmarkEnd w:id="434"/>
      <w:r>
        <w:rPr>
          <w:b w:val="0"/>
          <w:bCs w:val="0"/>
        </w:rPr>
      </w:r>
      <w:r>
        <w:rPr/>
        <w:t>（</w:t>
      </w:r>
      <w:r>
        <w:rPr>
          <w:rFonts w:ascii="Times New Roman" w:hAnsi="Times New Roman" w:cs="Times New Roman" w:eastAsia="Times New Roman" w:hint="default"/>
        </w:rPr>
        <w:t>6</w:t>
      </w:r>
      <w:r>
        <w:rPr/>
        <w:t>）合营企业或联营企业发生的超额亏损</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1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79"/>
        <w:gridCol w:w="2393"/>
        <w:gridCol w:w="2393"/>
        <w:gridCol w:w="2382"/>
      </w:tblGrid>
      <w:tr>
        <w:trPr>
          <w:trHeight w:val="382" w:hRule="exact"/>
        </w:trPr>
        <w:tc>
          <w:tcPr>
            <w:tcW w:w="23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187" w:right="0"/>
              <w:jc w:val="left"/>
              <w:rPr>
                <w:rFonts w:ascii="宋体" w:hAnsi="宋体" w:cs="宋体" w:eastAsia="宋体" w:hint="default"/>
                <w:sz w:val="18"/>
                <w:szCs w:val="18"/>
              </w:rPr>
            </w:pPr>
            <w:r>
              <w:rPr>
                <w:rFonts w:ascii="宋体" w:hAnsi="宋体" w:cs="宋体" w:eastAsia="宋体" w:hint="default"/>
                <w:sz w:val="18"/>
                <w:szCs w:val="18"/>
              </w:rPr>
              <w:t>合营企业或联营企业名称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110" w:right="0"/>
              <w:jc w:val="left"/>
              <w:rPr>
                <w:rFonts w:ascii="宋体" w:hAnsi="宋体" w:cs="宋体" w:eastAsia="宋体" w:hint="default"/>
                <w:sz w:val="18"/>
                <w:szCs w:val="18"/>
              </w:rPr>
            </w:pPr>
            <w:r>
              <w:rPr>
                <w:rFonts w:ascii="宋体" w:hAnsi="宋体" w:cs="宋体" w:eastAsia="宋体" w:hint="default"/>
                <w:sz w:val="18"/>
                <w:szCs w:val="18"/>
              </w:rPr>
              <w:t>累积未确认前期累计认的损</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本期未确认的损失（或本期分</w:t>
            </w:r>
          </w:p>
        </w:tc>
        <w:tc>
          <w:tcPr>
            <w:tcW w:w="23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202" w:right="0"/>
              <w:jc w:val="left"/>
              <w:rPr>
                <w:rFonts w:ascii="宋体" w:hAnsi="宋体" w:cs="宋体" w:eastAsia="宋体" w:hint="default"/>
                <w:sz w:val="18"/>
                <w:szCs w:val="18"/>
              </w:rPr>
            </w:pPr>
            <w:r>
              <w:rPr>
                <w:rFonts w:ascii="宋体" w:hAnsi="宋体" w:cs="宋体" w:eastAsia="宋体" w:hint="default"/>
                <w:sz w:val="18"/>
                <w:szCs w:val="18"/>
              </w:rPr>
              <w:t>本期末累积未确认的损失</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1"/>
        <w:gridCol w:w="2392"/>
        <w:gridCol w:w="2392"/>
        <w:gridCol w:w="2394"/>
      </w:tblGrid>
      <w:tr>
        <w:trPr>
          <w:trHeight w:val="36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失</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650" w:right="0"/>
              <w:jc w:val="left"/>
              <w:rPr>
                <w:rFonts w:ascii="宋体" w:hAnsi="宋体" w:cs="宋体" w:eastAsia="宋体" w:hint="default"/>
                <w:sz w:val="18"/>
                <w:szCs w:val="18"/>
              </w:rPr>
            </w:pPr>
            <w:r>
              <w:rPr>
                <w:rFonts w:ascii="宋体" w:hAnsi="宋体" w:cs="宋体" w:eastAsia="宋体" w:hint="default"/>
                <w:sz w:val="18"/>
                <w:szCs w:val="18"/>
              </w:rPr>
              <w:t>享的净利润）</w:t>
            </w:r>
          </w:p>
        </w:tc>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pStyle w:val="BodyText"/>
        <w:spacing w:line="240" w:lineRule="auto" w:before="51"/>
        <w:ind w:right="103"/>
        <w:jc w:val="left"/>
      </w:pPr>
      <w:r>
        <w:rPr/>
        <w:t>其他说明</w:t>
      </w:r>
    </w:p>
    <w:p>
      <w:pPr>
        <w:spacing w:line="240" w:lineRule="auto" w:before="11"/>
        <w:rPr>
          <w:rFonts w:ascii="宋体" w:hAnsi="宋体" w:cs="宋体" w:eastAsia="宋体" w:hint="default"/>
          <w:sz w:val="26"/>
          <w:szCs w:val="26"/>
        </w:rPr>
      </w:pPr>
    </w:p>
    <w:p>
      <w:pPr>
        <w:pStyle w:val="Heading5"/>
        <w:spacing w:line="240" w:lineRule="auto"/>
        <w:ind w:right="103"/>
        <w:jc w:val="left"/>
        <w:rPr>
          <w:b w:val="0"/>
          <w:bCs w:val="0"/>
        </w:rPr>
      </w:pPr>
      <w:bookmarkStart w:name="（7）与合营企业投资相关的未确认承诺" w:id="435"/>
      <w:bookmarkEnd w:id="435"/>
      <w:r>
        <w:rPr>
          <w:b w:val="0"/>
          <w:bCs w:val="0"/>
        </w:rPr>
      </w:r>
      <w:r>
        <w:rPr/>
        <w:t>（</w:t>
      </w:r>
      <w:r>
        <w:rPr>
          <w:rFonts w:ascii="Times New Roman" w:hAnsi="Times New Roman" w:cs="Times New Roman" w:eastAsia="Times New Roman" w:hint="default"/>
        </w:rPr>
        <w:t>7</w:t>
      </w:r>
      <w:r>
        <w:rPr/>
        <w:t>）与合营企业投资相关的未确认承诺</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right="103"/>
        <w:jc w:val="left"/>
        <w:rPr>
          <w:b w:val="0"/>
          <w:bCs w:val="0"/>
        </w:rPr>
      </w:pPr>
      <w:bookmarkStart w:name="（8）与合营企业或联营企业投资相关的或有负债" w:id="436"/>
      <w:bookmarkEnd w:id="436"/>
      <w:r>
        <w:rPr>
          <w:b w:val="0"/>
          <w:bCs w:val="0"/>
        </w:rPr>
      </w:r>
      <w:r>
        <w:rPr/>
        <w:t>（</w:t>
      </w:r>
      <w:r>
        <w:rPr>
          <w:rFonts w:ascii="Times New Roman" w:hAnsi="Times New Roman" w:cs="Times New Roman" w:eastAsia="Times New Roman" w:hint="default"/>
        </w:rPr>
        <w:t>8</w:t>
      </w:r>
      <w:r>
        <w:rPr/>
        <w:t>）与合营企业或联营企业投资相关的或有负债</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103"/>
        <w:jc w:val="left"/>
        <w:rPr>
          <w:b w:val="0"/>
          <w:bCs w:val="0"/>
        </w:rPr>
      </w:pPr>
      <w:bookmarkStart w:name="4、重要的共同经营" w:id="437"/>
      <w:bookmarkEnd w:id="437"/>
      <w:r>
        <w:rPr>
          <w:b w:val="0"/>
          <w:bCs w:val="0"/>
        </w:rPr>
      </w:r>
      <w:r>
        <w:rPr>
          <w:rFonts w:ascii="Times New Roman" w:hAnsi="Times New Roman" w:cs="Times New Roman" w:eastAsia="Times New Roman" w:hint="default"/>
        </w:rPr>
        <w:t>4</w:t>
      </w:r>
      <w:r>
        <w:rPr/>
        <w:t>、重要的共同经营</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8"/>
        <w:gridCol w:w="1594"/>
        <w:gridCol w:w="1595"/>
        <w:gridCol w:w="1594"/>
        <w:gridCol w:w="1594"/>
        <w:gridCol w:w="1594"/>
      </w:tblGrid>
      <w:tr>
        <w:trPr>
          <w:trHeight w:val="402" w:hRule="exact"/>
        </w:trPr>
        <w:tc>
          <w:tcPr>
            <w:tcW w:w="15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left="253" w:right="0"/>
              <w:jc w:val="left"/>
              <w:rPr>
                <w:rFonts w:ascii="宋体" w:hAnsi="宋体" w:cs="宋体" w:eastAsia="宋体" w:hint="default"/>
                <w:sz w:val="18"/>
                <w:szCs w:val="18"/>
              </w:rPr>
            </w:pPr>
            <w:r>
              <w:rPr>
                <w:rFonts w:ascii="宋体" w:hAnsi="宋体" w:cs="宋体" w:eastAsia="宋体" w:hint="default"/>
                <w:sz w:val="18"/>
                <w:szCs w:val="18"/>
              </w:rPr>
              <w:t>共同经营名称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left="341"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left="521"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2" w:right="0"/>
              <w:jc w:val="left"/>
              <w:rPr>
                <w:rFonts w:ascii="宋体" w:hAnsi="宋体" w:cs="宋体" w:eastAsia="宋体" w:hint="default"/>
                <w:sz w:val="18"/>
                <w:szCs w:val="18"/>
              </w:rPr>
            </w:pPr>
            <w:r>
              <w:rPr>
                <w:rFonts w:ascii="宋体" w:hAnsi="宋体" w:cs="宋体" w:eastAsia="宋体" w:hint="default"/>
                <w:sz w:val="18"/>
                <w:szCs w:val="18"/>
              </w:rPr>
              <w:t>持股比例</w:t>
            </w:r>
            <w:r>
              <w:rPr>
                <w:rFonts w:ascii="Times New Roman" w:hAnsi="Times New Roman" w:cs="Times New Roman" w:eastAsia="Times New Roman" w:hint="default"/>
                <w:sz w:val="18"/>
                <w:szCs w:val="18"/>
              </w:rPr>
              <w:t>/</w:t>
            </w:r>
            <w:r>
              <w:rPr>
                <w:rFonts w:ascii="宋体" w:hAnsi="宋体" w:cs="宋体" w:eastAsia="宋体" w:hint="default"/>
                <w:sz w:val="18"/>
                <w:szCs w:val="18"/>
              </w:rPr>
              <w:t>享有的份额</w:t>
            </w:r>
          </w:p>
        </w:tc>
      </w:tr>
      <w:tr>
        <w:trPr>
          <w:trHeight w:val="402" w:hRule="exact"/>
        </w:trPr>
        <w:tc>
          <w:tcPr>
            <w:tcW w:w="1598"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间接</w:t>
            </w:r>
          </w:p>
        </w:tc>
      </w:tr>
    </w:tbl>
    <w:p>
      <w:pPr>
        <w:pStyle w:val="BodyText"/>
        <w:spacing w:line="360" w:lineRule="auto" w:before="51"/>
        <w:ind w:right="4612"/>
        <w:jc w:val="left"/>
      </w:pPr>
      <w:r>
        <w:rPr/>
        <w:t>在共同经营中的持股比例或享有的份额不同于表决权比例的说明： 共同经营为单独主体的，分类为共同经营的依据：</w:t>
      </w:r>
    </w:p>
    <w:p>
      <w:pPr>
        <w:pStyle w:val="BodyText"/>
        <w:spacing w:line="240" w:lineRule="auto" w:before="26"/>
        <w:ind w:right="103"/>
        <w:jc w:val="left"/>
      </w:pPr>
      <w:r>
        <w:rPr/>
        <w:t>其他说明</w:t>
      </w:r>
    </w:p>
    <w:p>
      <w:pPr>
        <w:spacing w:line="240" w:lineRule="auto" w:before="10"/>
        <w:rPr>
          <w:rFonts w:ascii="宋体" w:hAnsi="宋体" w:cs="宋体" w:eastAsia="宋体" w:hint="default"/>
          <w:sz w:val="26"/>
          <w:szCs w:val="26"/>
        </w:rPr>
      </w:pPr>
    </w:p>
    <w:p>
      <w:pPr>
        <w:pStyle w:val="Heading5"/>
        <w:spacing w:line="240" w:lineRule="auto"/>
        <w:ind w:right="103"/>
        <w:jc w:val="left"/>
        <w:rPr>
          <w:b w:val="0"/>
          <w:bCs w:val="0"/>
        </w:rPr>
      </w:pPr>
      <w:bookmarkStart w:name="5、在未纳入合并财务报表范围的结构化主体中的权益" w:id="438"/>
      <w:bookmarkEnd w:id="438"/>
      <w:r>
        <w:rPr>
          <w:b w:val="0"/>
          <w:bCs w:val="0"/>
        </w:rPr>
      </w:r>
      <w:r>
        <w:rPr>
          <w:rFonts w:ascii="Times New Roman" w:hAnsi="Times New Roman" w:cs="Times New Roman" w:eastAsia="Times New Roman" w:hint="default"/>
        </w:rPr>
        <w:t>5</w:t>
      </w:r>
      <w:r>
        <w:rPr/>
        <w:t>、在未纳入合并财务报表范围的结构化主体中的权益</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103"/>
        <w:jc w:val="left"/>
      </w:pPr>
      <w:r>
        <w:rPr/>
        <w:t>未纳入合并财务报表范围的结构化主体的相关说明：</w:t>
      </w:r>
    </w:p>
    <w:p>
      <w:pPr>
        <w:spacing w:line="240" w:lineRule="auto" w:before="10"/>
        <w:rPr>
          <w:rFonts w:ascii="宋体" w:hAnsi="宋体" w:cs="宋体" w:eastAsia="宋体" w:hint="default"/>
          <w:sz w:val="26"/>
          <w:szCs w:val="26"/>
        </w:rPr>
      </w:pPr>
    </w:p>
    <w:p>
      <w:pPr>
        <w:pStyle w:val="Heading5"/>
        <w:spacing w:line="240" w:lineRule="auto"/>
        <w:ind w:right="103"/>
        <w:jc w:val="left"/>
        <w:rPr>
          <w:b w:val="0"/>
          <w:bCs w:val="0"/>
        </w:rPr>
      </w:pPr>
      <w:bookmarkStart w:name="6、其他" w:id="439"/>
      <w:bookmarkEnd w:id="439"/>
      <w:r>
        <w:rPr>
          <w:b w:val="0"/>
          <w:bCs w:val="0"/>
        </w:rPr>
      </w:r>
      <w:r>
        <w:rPr>
          <w:rFonts w:ascii="Times New Roman" w:hAnsi="Times New Roman" w:cs="Times New Roman" w:eastAsia="Times New Roman" w:hint="default"/>
        </w:rPr>
        <w:t>6</w:t>
      </w:r>
      <w:r>
        <w:rPr/>
        <w:t>、其他</w:t>
      </w:r>
      <w:r>
        <w:rPr>
          <w:b w:val="0"/>
          <w:bCs w:val="0"/>
        </w:rPr>
      </w:r>
    </w:p>
    <w:p>
      <w:pPr>
        <w:spacing w:line="240" w:lineRule="auto" w:before="0"/>
        <w:rPr>
          <w:rFonts w:ascii="宋体" w:hAnsi="宋体" w:cs="宋体" w:eastAsia="宋体" w:hint="default"/>
          <w:b/>
          <w:bCs/>
          <w:sz w:val="23"/>
          <w:szCs w:val="23"/>
        </w:rPr>
      </w:pPr>
    </w:p>
    <w:p>
      <w:pPr>
        <w:pStyle w:val="Heading2"/>
        <w:spacing w:line="240" w:lineRule="auto"/>
        <w:ind w:right="103"/>
        <w:jc w:val="left"/>
        <w:rPr>
          <w:b w:val="0"/>
          <w:bCs w:val="0"/>
        </w:rPr>
      </w:pPr>
      <w:bookmarkStart w:name="十、与金融工具相关的风险" w:id="440"/>
      <w:bookmarkEnd w:id="440"/>
      <w:r>
        <w:rPr>
          <w:b w:val="0"/>
          <w:bCs w:val="0"/>
        </w:rPr>
      </w:r>
      <w:r>
        <w:rPr/>
        <w:t>十、与金融工具相关的风险</w:t>
      </w:r>
      <w:r>
        <w:rPr>
          <w:b w:val="0"/>
          <w:bCs w:val="0"/>
        </w:rPr>
      </w:r>
    </w:p>
    <w:p>
      <w:pPr>
        <w:spacing w:line="240" w:lineRule="auto" w:before="7"/>
        <w:rPr>
          <w:rFonts w:ascii="宋体" w:hAnsi="宋体" w:cs="宋体" w:eastAsia="宋体" w:hint="default"/>
          <w:b/>
          <w:bCs/>
          <w:sz w:val="24"/>
          <w:szCs w:val="24"/>
        </w:rPr>
      </w:pPr>
    </w:p>
    <w:p>
      <w:pPr>
        <w:pStyle w:val="Heading6"/>
        <w:spacing w:line="273" w:lineRule="auto"/>
        <w:ind w:right="211" w:firstLine="420"/>
        <w:jc w:val="both"/>
      </w:pPr>
      <w:r>
        <w:rPr>
          <w:spacing w:val="-1"/>
        </w:rPr>
        <w:t>本公司从事风险管理的目标是在风险和收益之间取得平衡，将风险对本公司经营业绩的负面影响降至</w:t>
      </w:r>
      <w:r>
        <w:rPr/>
        <w:t> </w:t>
      </w:r>
      <w:r>
        <w:rPr>
          <w:spacing w:val="-1"/>
        </w:rPr>
        <w:t>最低水平，使股东和其他权益投资者的利益最大化。基于该风险管理目标，本公司风险管理的基本策略是</w:t>
      </w:r>
      <w:r>
        <w:rPr>
          <w:spacing w:val="-83"/>
        </w:rPr>
        <w:t> </w:t>
      </w:r>
      <w:r>
        <w:rPr>
          <w:spacing w:val="-83"/>
        </w:rPr>
      </w:r>
      <w:r>
        <w:rPr>
          <w:spacing w:val="-1"/>
        </w:rPr>
        <w:t>确认和分析本公司面临的各种风险，建立适当的风险承受底线和进行风险管理，并及时可靠地对各种风险</w:t>
      </w:r>
      <w:r>
        <w:rPr>
          <w:spacing w:val="-81"/>
        </w:rPr>
        <w:t> </w:t>
      </w:r>
      <w:r>
        <w:rPr>
          <w:spacing w:val="-81"/>
        </w:rPr>
      </w:r>
      <w:r>
        <w:rPr/>
        <w:t>进行监督，将风险控制在限定的范围内。</w:t>
      </w:r>
    </w:p>
    <w:p>
      <w:pPr>
        <w:pStyle w:val="Heading6"/>
        <w:spacing w:line="273" w:lineRule="auto" w:before="7"/>
        <w:ind w:right="211" w:firstLine="420"/>
        <w:jc w:val="both"/>
      </w:pPr>
      <w:r>
        <w:rPr>
          <w:spacing w:val="-1"/>
        </w:rPr>
        <w:t>本公司在日常活动中面临各种与金融工具相关的风险，主要包括信用风险、流动风险及市场风险。管</w:t>
      </w:r>
      <w:r>
        <w:rPr/>
        <w:t> 理层已审议并批准管理这些风险的政策，概括如下。</w:t>
      </w:r>
    </w:p>
    <w:p>
      <w:pPr>
        <w:pStyle w:val="Heading6"/>
        <w:spacing w:line="256" w:lineRule="auto" w:before="7"/>
        <w:ind w:left="574" w:right="1852"/>
        <w:jc w:val="left"/>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r>
      <w:r>
        <w:rPr>
          <w:rFonts w:ascii="Times New Roman" w:hAnsi="Times New Roman" w:cs="Times New Roman" w:eastAsia="Times New Roman" w:hint="default"/>
          <w:spacing w:val="30"/>
        </w:rPr>
        <w:t> </w:t>
      </w:r>
      <w:r>
        <w:rPr/>
        <w:t>信用风险</w:t>
      </w:r>
      <w:r>
        <w:rPr>
          <w:w w:val="99"/>
        </w:rPr>
        <w:t> </w:t>
      </w:r>
      <w:r>
        <w:rPr/>
        <w:t>信用风险，是指金融工具的一方不能履行义务，造成另一方发生财务损失的风险。</w:t>
      </w:r>
    </w:p>
    <w:p>
      <w:pPr>
        <w:pStyle w:val="Heading6"/>
        <w:spacing w:line="240" w:lineRule="auto" w:before="22"/>
        <w:ind w:left="574" w:right="0"/>
        <w:jc w:val="left"/>
      </w:pPr>
      <w:r>
        <w:rPr>
          <w:spacing w:val="-3"/>
        </w:rPr>
        <w:t>本公司的信用风险主要来自银行存款和应收款项。为控制上述相关风险，本公司分别采取了以下措施。</w:t>
      </w:r>
    </w:p>
    <w:p>
      <w:pPr>
        <w:pStyle w:val="Heading6"/>
        <w:spacing w:line="264" w:lineRule="auto" w:before="37"/>
        <w:ind w:left="574" w:right="2692"/>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32"/>
        </w:rPr>
        <w:t> </w:t>
      </w:r>
      <w:r>
        <w:rPr/>
        <w:t>银行存款 本公司将银行存款存放于信用评级较高的金融机构，故其信用风险较低。 </w:t>
      </w:r>
      <w:r>
        <w:rPr>
          <w:rFonts w:ascii="Times New Roman" w:hAnsi="Times New Roman" w:cs="Times New Roman" w:eastAsia="Times New Roman" w:hint="default"/>
        </w:rPr>
        <w:t>2.</w:t>
      </w:r>
      <w:r>
        <w:rPr>
          <w:rFonts w:ascii="Times New Roman" w:hAnsi="Times New Roman" w:cs="Times New Roman" w:eastAsia="Times New Roman" w:hint="default"/>
          <w:spacing w:val="32"/>
        </w:rPr>
        <w:t> </w:t>
      </w:r>
      <w:r>
        <w:rPr/>
        <w:t>应收款项</w:t>
      </w:r>
    </w:p>
    <w:p>
      <w:pPr>
        <w:pStyle w:val="Heading6"/>
        <w:spacing w:line="273" w:lineRule="auto"/>
        <w:ind w:right="211" w:firstLine="420"/>
        <w:jc w:val="both"/>
      </w:pPr>
      <w:r>
        <w:rPr>
          <w:spacing w:val="-1"/>
        </w:rPr>
        <w:t>本公司持续对采用信用方式交易的客户进行信用评估。根据信用评估结果，本公司选择与经认可的且</w:t>
      </w:r>
      <w:r>
        <w:rPr/>
        <w:t> 信用良好的客户进行交易，并对其应收款项余额进行监控，以确保本公司不会面临重大坏账风险。</w:t>
      </w:r>
    </w:p>
    <w:p>
      <w:pPr>
        <w:pStyle w:val="Heading6"/>
        <w:spacing w:line="256" w:lineRule="auto" w:before="7"/>
        <w:ind w:right="211" w:firstLine="420"/>
        <w:jc w:val="both"/>
      </w:pPr>
      <w:r>
        <w:rPr>
          <w:spacing w:val="-1"/>
        </w:rPr>
        <w:t>由于本公司的应收账款风险点分布于多个合作方和多个客户，截至</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日，本公司应收账款</w:t>
      </w:r>
      <w:r>
        <w:rPr/>
        <w:t> 的</w:t>
      </w:r>
      <w:r>
        <w:rPr>
          <w:rFonts w:ascii="Times New Roman" w:hAnsi="Times New Roman" w:cs="Times New Roman" w:eastAsia="Times New Roman" w:hint="default"/>
        </w:rPr>
        <w:t>21.19</w:t>
      </w:r>
      <w:r>
        <w:rPr>
          <w:rFonts w:ascii="Times New Roman" w:hAnsi="Times New Roman" w:cs="Times New Roman" w:eastAsia="Times New Roman" w:hint="default"/>
          <w:spacing w:val="-4"/>
        </w:rPr>
        <w:t> </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w:t>
      </w:r>
      <w:r>
        <w:rPr>
          <w:rFonts w:ascii="Times New Roman" w:hAnsi="Times New Roman" w:cs="Times New Roman" w:eastAsia="Times New Roman" w:hint="default"/>
        </w:rPr>
        <w:t>21.28%)</w:t>
      </w:r>
      <w:r>
        <w:rPr/>
        <w:t>源于余额前五名客户，本公司不存在重大的信用集中风险。</w:t>
      </w:r>
    </w:p>
    <w:p>
      <w:pPr>
        <w:pStyle w:val="Heading6"/>
        <w:spacing w:line="240" w:lineRule="auto" w:before="5"/>
        <w:ind w:left="574"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t>本公司的应收款项中未逾期且未减值的金额，以及虽已逾期但未减值的金额和逾期账龄分析如下：</w:t>
      </w:r>
    </w:p>
    <w:p>
      <w:pPr>
        <w:spacing w:line="240" w:lineRule="auto" w:before="10"/>
        <w:rPr>
          <w:rFonts w:ascii="宋体" w:hAnsi="宋体" w:cs="宋体" w:eastAsia="宋体" w:hint="default"/>
          <w:sz w:val="2"/>
          <w:szCs w:val="2"/>
        </w:rPr>
      </w:pPr>
    </w:p>
    <w:tbl>
      <w:tblPr>
        <w:tblW w:w="0" w:type="auto"/>
        <w:jc w:val="left"/>
        <w:tblInd w:w="146" w:type="dxa"/>
        <w:tblLayout w:type="fixed"/>
        <w:tblCellMar>
          <w:top w:w="0" w:type="dxa"/>
          <w:left w:w="0" w:type="dxa"/>
          <w:bottom w:w="0" w:type="dxa"/>
          <w:right w:w="0" w:type="dxa"/>
        </w:tblCellMar>
        <w:tblLook w:val="01E0"/>
      </w:tblPr>
      <w:tblGrid>
        <w:gridCol w:w="1242"/>
        <w:gridCol w:w="1702"/>
        <w:gridCol w:w="1276"/>
        <w:gridCol w:w="1276"/>
        <w:gridCol w:w="1277"/>
        <w:gridCol w:w="1751"/>
      </w:tblGrid>
      <w:tr>
        <w:trPr>
          <w:trHeight w:val="347" w:hRule="exact"/>
        </w:trPr>
        <w:tc>
          <w:tcPr>
            <w:tcW w:w="1242" w:type="dxa"/>
            <w:vMerge w:val="restart"/>
            <w:tcBorders>
              <w:top w:val="single" w:sz="6" w:space="0" w:color="000000"/>
              <w:left w:val="single" w:sz="6" w:space="0" w:color="000000"/>
              <w:right w:val="single" w:sz="6" w:space="0" w:color="000000"/>
            </w:tcBorders>
          </w:tcPr>
          <w:p>
            <w:pPr>
              <w:pStyle w:val="TableParagraph"/>
              <w:spacing w:line="271" w:lineRule="exact"/>
              <w:ind w:left="107" w:right="0"/>
              <w:jc w:val="left"/>
              <w:rPr>
                <w:rFonts w:ascii="宋体" w:hAnsi="宋体" w:cs="宋体" w:eastAsia="宋体" w:hint="default"/>
                <w:sz w:val="21"/>
                <w:szCs w:val="21"/>
              </w:rPr>
            </w:pPr>
            <w:r>
              <w:rPr>
                <w:rFonts w:ascii="宋体" w:hAnsi="宋体" w:cs="宋体" w:eastAsia="宋体" w:hint="default"/>
                <w:sz w:val="21"/>
                <w:szCs w:val="21"/>
              </w:rPr>
              <w:t>项</w:t>
            </w:r>
            <w:r>
              <w:rPr>
                <w:rFonts w:ascii="宋体" w:hAnsi="宋体" w:cs="宋体" w:eastAsia="宋体" w:hint="default"/>
                <w:spacing w:val="63"/>
                <w:sz w:val="21"/>
                <w:szCs w:val="21"/>
              </w:rPr>
              <w:t> </w:t>
            </w:r>
            <w:r>
              <w:rPr>
                <w:rFonts w:ascii="宋体" w:hAnsi="宋体" w:cs="宋体" w:eastAsia="宋体" w:hint="default"/>
                <w:sz w:val="21"/>
                <w:szCs w:val="21"/>
              </w:rPr>
              <w:t>目</w:t>
            </w:r>
          </w:p>
        </w:tc>
        <w:tc>
          <w:tcPr>
            <w:tcW w:w="7281" w:type="dxa"/>
            <w:gridSpan w:val="5"/>
            <w:tcBorders>
              <w:top w:val="single" w:sz="6" w:space="0" w:color="000000"/>
              <w:left w:val="single" w:sz="6" w:space="0" w:color="000000"/>
              <w:bottom w:val="single" w:sz="6" w:space="0" w:color="000000"/>
              <w:right w:val="nil" w:sz="6" w:space="0" w:color="auto"/>
            </w:tcBorders>
          </w:tcPr>
          <w:p>
            <w:pPr>
              <w:pStyle w:val="TableParagraph"/>
              <w:spacing w:line="271" w:lineRule="exact"/>
              <w:ind w:right="7"/>
              <w:jc w:val="center"/>
              <w:rPr>
                <w:rFonts w:ascii="宋体" w:hAnsi="宋体" w:cs="宋体" w:eastAsia="宋体" w:hint="default"/>
                <w:sz w:val="21"/>
                <w:szCs w:val="21"/>
              </w:rPr>
            </w:pPr>
            <w:r>
              <w:rPr>
                <w:rFonts w:ascii="宋体" w:hAnsi="宋体" w:cs="宋体" w:eastAsia="宋体" w:hint="default"/>
                <w:sz w:val="21"/>
                <w:szCs w:val="21"/>
              </w:rPr>
              <w:t>期末数</w:t>
            </w:r>
          </w:p>
        </w:tc>
      </w:tr>
      <w:tr>
        <w:trPr>
          <w:trHeight w:val="347" w:hRule="exact"/>
        </w:trPr>
        <w:tc>
          <w:tcPr>
            <w:tcW w:w="1242" w:type="dxa"/>
            <w:vMerge/>
            <w:tcBorders>
              <w:left w:val="single" w:sz="6" w:space="0" w:color="000000"/>
              <w:right w:val="single" w:sz="6" w:space="0" w:color="000000"/>
            </w:tcBorders>
          </w:tcPr>
          <w:p>
            <w:pPr/>
          </w:p>
        </w:tc>
        <w:tc>
          <w:tcPr>
            <w:tcW w:w="1702" w:type="dxa"/>
            <w:vMerge w:val="restart"/>
            <w:tcBorders>
              <w:top w:val="single" w:sz="6" w:space="0" w:color="000000"/>
              <w:left w:val="single" w:sz="6" w:space="0" w:color="000000"/>
              <w:right w:val="single" w:sz="6" w:space="0" w:color="000000"/>
            </w:tcBorders>
          </w:tcPr>
          <w:p>
            <w:pPr>
              <w:pStyle w:val="TableParagraph"/>
              <w:spacing w:line="271" w:lineRule="exact"/>
              <w:ind w:left="212" w:right="0"/>
              <w:jc w:val="left"/>
              <w:rPr>
                <w:rFonts w:ascii="宋体" w:hAnsi="宋体" w:cs="宋体" w:eastAsia="宋体" w:hint="default"/>
                <w:sz w:val="21"/>
                <w:szCs w:val="21"/>
              </w:rPr>
            </w:pPr>
            <w:r>
              <w:rPr>
                <w:rFonts w:ascii="宋体" w:hAnsi="宋体" w:cs="宋体" w:eastAsia="宋体" w:hint="default"/>
                <w:sz w:val="21"/>
                <w:szCs w:val="21"/>
              </w:rPr>
              <w:t>未逾期未减值</w:t>
            </w:r>
          </w:p>
        </w:tc>
        <w:tc>
          <w:tcPr>
            <w:tcW w:w="3828" w:type="dxa"/>
            <w:gridSpan w:val="3"/>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已逾期未减值</w:t>
            </w:r>
          </w:p>
        </w:tc>
        <w:tc>
          <w:tcPr>
            <w:tcW w:w="1751" w:type="dxa"/>
            <w:vMerge w:val="restart"/>
            <w:tcBorders>
              <w:top w:val="single" w:sz="6" w:space="0" w:color="000000"/>
              <w:left w:val="single" w:sz="6" w:space="0" w:color="000000"/>
              <w:right w:val="nil" w:sz="6" w:space="0" w:color="auto"/>
            </w:tcBorders>
          </w:tcPr>
          <w:p>
            <w:pPr>
              <w:pStyle w:val="TableParagraph"/>
              <w:spacing w:line="271" w:lineRule="exact"/>
              <w:ind w:right="7"/>
              <w:jc w:val="center"/>
              <w:rPr>
                <w:rFonts w:ascii="宋体" w:hAnsi="宋体" w:cs="宋体" w:eastAsia="宋体" w:hint="default"/>
                <w:sz w:val="21"/>
                <w:szCs w:val="21"/>
              </w:rPr>
            </w:pPr>
            <w:r>
              <w:rPr>
                <w:rFonts w:ascii="宋体" w:hAnsi="宋体" w:cs="宋体" w:eastAsia="宋体" w:hint="default"/>
                <w:sz w:val="21"/>
                <w:szCs w:val="21"/>
              </w:rPr>
              <w:t>合</w:t>
            </w:r>
            <w:r>
              <w:rPr>
                <w:rFonts w:ascii="宋体" w:hAnsi="宋体" w:cs="宋体" w:eastAsia="宋体" w:hint="default"/>
                <w:spacing w:val="-21"/>
                <w:sz w:val="21"/>
                <w:szCs w:val="21"/>
              </w:rPr>
              <w:t> </w:t>
            </w:r>
            <w:r>
              <w:rPr>
                <w:rFonts w:ascii="宋体" w:hAnsi="宋体" w:cs="宋体" w:eastAsia="宋体" w:hint="default"/>
                <w:sz w:val="21"/>
                <w:szCs w:val="21"/>
              </w:rPr>
              <w:t>计</w:t>
            </w:r>
          </w:p>
        </w:tc>
      </w:tr>
      <w:tr>
        <w:trPr>
          <w:trHeight w:val="348" w:hRule="exact"/>
        </w:trPr>
        <w:tc>
          <w:tcPr>
            <w:tcW w:w="1242" w:type="dxa"/>
            <w:vMerge/>
            <w:tcBorders>
              <w:left w:val="single" w:sz="6" w:space="0" w:color="000000"/>
              <w:bottom w:val="single" w:sz="6" w:space="0" w:color="000000"/>
              <w:right w:val="single" w:sz="6" w:space="0" w:color="000000"/>
            </w:tcBorders>
          </w:tcPr>
          <w:p>
            <w:pPr/>
          </w:p>
        </w:tc>
        <w:tc>
          <w:tcPr>
            <w:tcW w:w="1702" w:type="dxa"/>
            <w:vMerge/>
            <w:tcBorders>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26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年以内</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38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w:t>
            </w:r>
            <w:r>
              <w:rPr>
                <w:rFonts w:ascii="宋体" w:hAnsi="宋体" w:cs="宋体" w:eastAsia="宋体" w:hint="default"/>
                <w:sz w:val="21"/>
                <w:szCs w:val="21"/>
              </w:rPr>
              <w:t>年</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26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年以上</w:t>
            </w:r>
          </w:p>
        </w:tc>
        <w:tc>
          <w:tcPr>
            <w:tcW w:w="1751" w:type="dxa"/>
            <w:vMerge/>
            <w:tcBorders>
              <w:left w:val="single" w:sz="6" w:space="0" w:color="000000"/>
              <w:bottom w:val="single" w:sz="6" w:space="0" w:color="000000"/>
              <w:right w:val="nil" w:sz="6" w:space="0" w:color="auto"/>
            </w:tcBorders>
          </w:tcPr>
          <w:p>
            <w:pPr/>
          </w:p>
        </w:tc>
      </w:tr>
    </w:tbl>
    <w:p>
      <w:pPr>
        <w:spacing w:after="0"/>
        <w:sectPr>
          <w:pgSz w:w="11910" w:h="16840"/>
          <w:pgMar w:header="747" w:footer="979" w:top="1060" w:bottom="1160" w:left="980" w:right="92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1242"/>
        <w:gridCol w:w="1702"/>
        <w:gridCol w:w="1276"/>
        <w:gridCol w:w="1276"/>
        <w:gridCol w:w="1277"/>
        <w:gridCol w:w="1751"/>
      </w:tblGrid>
      <w:tr>
        <w:trPr>
          <w:trHeight w:val="347" w:hRule="exact"/>
        </w:trPr>
        <w:tc>
          <w:tcPr>
            <w:tcW w:w="1242"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381"/>
              <w:jc w:val="center"/>
              <w:rPr>
                <w:rFonts w:ascii="宋体" w:hAnsi="宋体" w:cs="宋体" w:eastAsia="宋体" w:hint="default"/>
                <w:sz w:val="21"/>
                <w:szCs w:val="21"/>
              </w:rPr>
            </w:pPr>
            <w:r>
              <w:rPr>
                <w:rFonts w:ascii="宋体" w:hAnsi="宋体" w:cs="宋体" w:eastAsia="宋体" w:hint="default"/>
                <w:sz w:val="21"/>
                <w:szCs w:val="21"/>
              </w:rPr>
              <w:t>应收票据</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right"/>
              <w:rPr>
                <w:rFonts w:ascii="Times New Roman" w:hAnsi="Times New Roman" w:cs="Times New Roman" w:eastAsia="Times New Roman" w:hint="default"/>
                <w:sz w:val="21"/>
                <w:szCs w:val="21"/>
              </w:rPr>
            </w:pPr>
            <w:r>
              <w:rPr>
                <w:rFonts w:ascii="Times New Roman"/>
                <w:spacing w:val="-1"/>
                <w:sz w:val="21"/>
              </w:rPr>
              <w:t>104,733,379.08</w:t>
            </w:r>
          </w:p>
        </w:tc>
        <w:tc>
          <w:tcPr>
            <w:tcW w:w="1276"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75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5"/>
              <w:ind w:right="6"/>
              <w:jc w:val="right"/>
              <w:rPr>
                <w:rFonts w:ascii="Times New Roman" w:hAnsi="Times New Roman" w:cs="Times New Roman" w:eastAsia="Times New Roman" w:hint="default"/>
                <w:sz w:val="21"/>
                <w:szCs w:val="21"/>
              </w:rPr>
            </w:pPr>
            <w:r>
              <w:rPr>
                <w:rFonts w:ascii="Times New Roman"/>
                <w:spacing w:val="-1"/>
                <w:sz w:val="21"/>
              </w:rPr>
              <w:t>104,733,379.08</w:t>
            </w:r>
          </w:p>
        </w:tc>
      </w:tr>
      <w:tr>
        <w:trPr>
          <w:trHeight w:val="348" w:hRule="exact"/>
        </w:trPr>
        <w:tc>
          <w:tcPr>
            <w:tcW w:w="1242"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421"/>
              <w:jc w:val="center"/>
              <w:rPr>
                <w:rFonts w:ascii="宋体" w:hAnsi="宋体" w:cs="宋体" w:eastAsia="宋体" w:hint="default"/>
                <w:sz w:val="21"/>
                <w:szCs w:val="21"/>
              </w:rPr>
            </w:pPr>
            <w:r>
              <w:rPr>
                <w:rFonts w:ascii="宋体" w:hAnsi="宋体" w:cs="宋体" w:eastAsia="宋体" w:hint="default"/>
                <w:sz w:val="21"/>
                <w:szCs w:val="21"/>
              </w:rPr>
              <w:t>小</w:t>
            </w:r>
            <w:r>
              <w:rPr>
                <w:rFonts w:ascii="宋体" w:hAnsi="宋体" w:cs="宋体" w:eastAsia="宋体" w:hint="default"/>
                <w:spacing w:val="63"/>
                <w:sz w:val="21"/>
                <w:szCs w:val="21"/>
              </w:rPr>
              <w:t> </w:t>
            </w:r>
            <w:r>
              <w:rPr>
                <w:rFonts w:ascii="宋体" w:hAnsi="宋体" w:cs="宋体" w:eastAsia="宋体" w:hint="default"/>
                <w:sz w:val="21"/>
                <w:szCs w:val="21"/>
              </w:rPr>
              <w:t>计</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right"/>
              <w:rPr>
                <w:rFonts w:ascii="Times New Roman" w:hAnsi="Times New Roman" w:cs="Times New Roman" w:eastAsia="Times New Roman" w:hint="default"/>
                <w:sz w:val="21"/>
                <w:szCs w:val="21"/>
              </w:rPr>
            </w:pPr>
            <w:r>
              <w:rPr>
                <w:rFonts w:ascii="Times New Roman"/>
                <w:spacing w:val="-1"/>
                <w:sz w:val="21"/>
              </w:rPr>
              <w:t>104,733,379.08</w:t>
            </w:r>
          </w:p>
        </w:tc>
        <w:tc>
          <w:tcPr>
            <w:tcW w:w="1276"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75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5"/>
              <w:ind w:right="6"/>
              <w:jc w:val="right"/>
              <w:rPr>
                <w:rFonts w:ascii="Times New Roman" w:hAnsi="Times New Roman" w:cs="Times New Roman" w:eastAsia="Times New Roman" w:hint="default"/>
                <w:sz w:val="21"/>
                <w:szCs w:val="21"/>
              </w:rPr>
            </w:pPr>
            <w:r>
              <w:rPr>
                <w:rFonts w:ascii="Times New Roman"/>
                <w:spacing w:val="-1"/>
                <w:sz w:val="21"/>
              </w:rPr>
              <w:t>104,733,379.08</w:t>
            </w:r>
          </w:p>
        </w:tc>
      </w:tr>
    </w:tbl>
    <w:p>
      <w:pPr>
        <w:pStyle w:val="Heading6"/>
        <w:spacing w:line="276" w:lineRule="exact"/>
        <w:ind w:left="574" w:right="512"/>
        <w:jc w:val="left"/>
        <w:rPr>
          <w:rFonts w:ascii="Times New Roman" w:hAnsi="Times New Roman" w:cs="Times New Roman" w:eastAsia="Times New Roman" w:hint="default"/>
        </w:rPr>
      </w:pPr>
      <w:r>
        <w:rPr>
          <w:rFonts w:ascii="Times New Roman" w:hAnsi="Times New Roman" w:cs="Times New Roman" w:eastAsia="Times New Roman" w:hint="default"/>
        </w:rPr>
        <w:t>(</w:t>
      </w:r>
      <w:r>
        <w:rPr/>
        <w:t>续上表</w:t>
      </w:r>
      <w:r>
        <w:rPr>
          <w:rFonts w:ascii="Times New Roman" w:hAnsi="Times New Roman" w:cs="Times New Roman" w:eastAsia="Times New Roman" w:hint="default"/>
        </w:rPr>
        <w:t>)</w:t>
      </w:r>
    </w:p>
    <w:p>
      <w:pPr>
        <w:spacing w:line="240" w:lineRule="auto" w:before="2"/>
        <w:rPr>
          <w:rFonts w:ascii="Times New Roman" w:hAnsi="Times New Roman" w:cs="Times New Roman" w:eastAsia="Times New Roman" w:hint="default"/>
          <w:sz w:val="3"/>
          <w:szCs w:val="3"/>
        </w:rPr>
      </w:pPr>
    </w:p>
    <w:tbl>
      <w:tblPr>
        <w:tblW w:w="0" w:type="auto"/>
        <w:jc w:val="left"/>
        <w:tblInd w:w="146" w:type="dxa"/>
        <w:tblLayout w:type="fixed"/>
        <w:tblCellMar>
          <w:top w:w="0" w:type="dxa"/>
          <w:left w:w="0" w:type="dxa"/>
          <w:bottom w:w="0" w:type="dxa"/>
          <w:right w:w="0" w:type="dxa"/>
        </w:tblCellMar>
        <w:tblLook w:val="01E0"/>
      </w:tblPr>
      <w:tblGrid>
        <w:gridCol w:w="1378"/>
        <w:gridCol w:w="1662"/>
        <w:gridCol w:w="1374"/>
        <w:gridCol w:w="1243"/>
        <w:gridCol w:w="1284"/>
        <w:gridCol w:w="1582"/>
      </w:tblGrid>
      <w:tr>
        <w:trPr>
          <w:trHeight w:val="347" w:hRule="exact"/>
        </w:trPr>
        <w:tc>
          <w:tcPr>
            <w:tcW w:w="1378" w:type="dxa"/>
            <w:vMerge w:val="restart"/>
            <w:tcBorders>
              <w:top w:val="single" w:sz="6" w:space="0" w:color="000000"/>
              <w:left w:val="single" w:sz="6" w:space="0" w:color="000000"/>
              <w:right w:val="single" w:sz="6" w:space="0" w:color="000000"/>
            </w:tcBorders>
          </w:tcPr>
          <w:p>
            <w:pPr>
              <w:pStyle w:val="TableParagraph"/>
              <w:spacing w:line="271" w:lineRule="exact"/>
              <w:ind w:left="107" w:right="0"/>
              <w:jc w:val="left"/>
              <w:rPr>
                <w:rFonts w:ascii="宋体" w:hAnsi="宋体" w:cs="宋体" w:eastAsia="宋体" w:hint="default"/>
                <w:sz w:val="21"/>
                <w:szCs w:val="21"/>
              </w:rPr>
            </w:pPr>
            <w:r>
              <w:rPr>
                <w:rFonts w:ascii="宋体" w:hAnsi="宋体" w:cs="宋体" w:eastAsia="宋体" w:hint="default"/>
                <w:sz w:val="21"/>
                <w:szCs w:val="21"/>
              </w:rPr>
              <w:t>项</w:t>
            </w:r>
            <w:r>
              <w:rPr>
                <w:rFonts w:ascii="宋体" w:hAnsi="宋体" w:cs="宋体" w:eastAsia="宋体" w:hint="default"/>
                <w:spacing w:val="63"/>
                <w:sz w:val="21"/>
                <w:szCs w:val="21"/>
              </w:rPr>
              <w:t> </w:t>
            </w:r>
            <w:r>
              <w:rPr>
                <w:rFonts w:ascii="宋体" w:hAnsi="宋体" w:cs="宋体" w:eastAsia="宋体" w:hint="default"/>
                <w:sz w:val="21"/>
                <w:szCs w:val="21"/>
              </w:rPr>
              <w:t>目</w:t>
            </w:r>
          </w:p>
        </w:tc>
        <w:tc>
          <w:tcPr>
            <w:tcW w:w="7146" w:type="dxa"/>
            <w:gridSpan w:val="5"/>
            <w:tcBorders>
              <w:top w:val="single" w:sz="6" w:space="0" w:color="000000"/>
              <w:left w:val="single" w:sz="6" w:space="0" w:color="000000"/>
              <w:bottom w:val="single" w:sz="6" w:space="0" w:color="000000"/>
              <w:right w:val="nil" w:sz="6" w:space="0" w:color="auto"/>
            </w:tcBorders>
          </w:tcPr>
          <w:p>
            <w:pPr>
              <w:pStyle w:val="TableParagraph"/>
              <w:spacing w:line="271" w:lineRule="exact"/>
              <w:ind w:left="-1" w:right="5"/>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347" w:hRule="exact"/>
        </w:trPr>
        <w:tc>
          <w:tcPr>
            <w:tcW w:w="1378" w:type="dxa"/>
            <w:vMerge/>
            <w:tcBorders>
              <w:left w:val="single" w:sz="6" w:space="0" w:color="000000"/>
              <w:right w:val="single" w:sz="6" w:space="0" w:color="000000"/>
            </w:tcBorders>
          </w:tcPr>
          <w:p>
            <w:pPr/>
          </w:p>
        </w:tc>
        <w:tc>
          <w:tcPr>
            <w:tcW w:w="1662" w:type="dxa"/>
            <w:vMerge w:val="restart"/>
            <w:tcBorders>
              <w:top w:val="single" w:sz="6" w:space="0" w:color="000000"/>
              <w:left w:val="single" w:sz="6" w:space="0" w:color="000000"/>
              <w:right w:val="single" w:sz="6" w:space="0" w:color="000000"/>
            </w:tcBorders>
          </w:tcPr>
          <w:p>
            <w:pPr>
              <w:pStyle w:val="TableParagraph"/>
              <w:spacing w:line="271" w:lineRule="exact"/>
              <w:ind w:left="194" w:right="0"/>
              <w:jc w:val="left"/>
              <w:rPr>
                <w:rFonts w:ascii="宋体" w:hAnsi="宋体" w:cs="宋体" w:eastAsia="宋体" w:hint="default"/>
                <w:sz w:val="21"/>
                <w:szCs w:val="21"/>
              </w:rPr>
            </w:pPr>
            <w:r>
              <w:rPr>
                <w:rFonts w:ascii="宋体" w:hAnsi="宋体" w:cs="宋体" w:eastAsia="宋体" w:hint="default"/>
                <w:sz w:val="21"/>
                <w:szCs w:val="21"/>
              </w:rPr>
              <w:t>未逾期未减值</w:t>
            </w:r>
          </w:p>
        </w:tc>
        <w:tc>
          <w:tcPr>
            <w:tcW w:w="3902" w:type="dxa"/>
            <w:gridSpan w:val="3"/>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已逾期未减值</w:t>
            </w:r>
          </w:p>
        </w:tc>
        <w:tc>
          <w:tcPr>
            <w:tcW w:w="1582" w:type="dxa"/>
            <w:vMerge w:val="restart"/>
            <w:tcBorders>
              <w:top w:val="single" w:sz="6" w:space="0" w:color="000000"/>
              <w:left w:val="single" w:sz="6" w:space="0" w:color="000000"/>
              <w:right w:val="nil" w:sz="6" w:space="0" w:color="auto"/>
            </w:tcBorders>
          </w:tcPr>
          <w:p>
            <w:pPr>
              <w:pStyle w:val="TableParagraph"/>
              <w:spacing w:line="271" w:lineRule="exact"/>
              <w:ind w:right="4"/>
              <w:jc w:val="center"/>
              <w:rPr>
                <w:rFonts w:ascii="宋体" w:hAnsi="宋体" w:cs="宋体" w:eastAsia="宋体" w:hint="default"/>
                <w:sz w:val="21"/>
                <w:szCs w:val="21"/>
              </w:rPr>
            </w:pPr>
            <w:r>
              <w:rPr>
                <w:rFonts w:ascii="宋体" w:hAnsi="宋体" w:cs="宋体" w:eastAsia="宋体" w:hint="default"/>
                <w:sz w:val="21"/>
                <w:szCs w:val="21"/>
              </w:rPr>
              <w:t>合</w:t>
            </w:r>
            <w:r>
              <w:rPr>
                <w:rFonts w:ascii="宋体" w:hAnsi="宋体" w:cs="宋体" w:eastAsia="宋体" w:hint="default"/>
                <w:spacing w:val="-21"/>
                <w:sz w:val="21"/>
                <w:szCs w:val="21"/>
              </w:rPr>
              <w:t> </w:t>
            </w:r>
            <w:r>
              <w:rPr>
                <w:rFonts w:ascii="宋体" w:hAnsi="宋体" w:cs="宋体" w:eastAsia="宋体" w:hint="default"/>
                <w:sz w:val="21"/>
                <w:szCs w:val="21"/>
              </w:rPr>
              <w:t>计</w:t>
            </w:r>
          </w:p>
        </w:tc>
      </w:tr>
      <w:tr>
        <w:trPr>
          <w:trHeight w:val="347" w:hRule="exact"/>
        </w:trPr>
        <w:tc>
          <w:tcPr>
            <w:tcW w:w="1378" w:type="dxa"/>
            <w:vMerge/>
            <w:tcBorders>
              <w:left w:val="single" w:sz="6" w:space="0" w:color="000000"/>
              <w:bottom w:val="single" w:sz="6" w:space="0" w:color="000000"/>
              <w:right w:val="single" w:sz="6" w:space="0" w:color="000000"/>
            </w:tcBorders>
          </w:tcPr>
          <w:p>
            <w:pPr/>
          </w:p>
        </w:tc>
        <w:tc>
          <w:tcPr>
            <w:tcW w:w="1662" w:type="dxa"/>
            <w:vMerge/>
            <w:tcBorders>
              <w:left w:val="single" w:sz="6" w:space="0" w:color="000000"/>
              <w:bottom w:val="single" w:sz="6" w:space="0" w:color="000000"/>
              <w:right w:val="single" w:sz="6" w:space="0" w:color="000000"/>
            </w:tcBorders>
          </w:tcPr>
          <w:p>
            <w:pPr/>
          </w:p>
        </w:tc>
        <w:tc>
          <w:tcPr>
            <w:tcW w:w="1374"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31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年以内</w:t>
            </w:r>
          </w:p>
        </w:tc>
        <w:tc>
          <w:tcPr>
            <w:tcW w:w="1243"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36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w:t>
            </w:r>
            <w:r>
              <w:rPr>
                <w:rFonts w:ascii="宋体" w:hAnsi="宋体" w:cs="宋体" w:eastAsia="宋体" w:hint="default"/>
                <w:sz w:val="21"/>
                <w:szCs w:val="21"/>
              </w:rPr>
              <w:t>年</w:t>
            </w:r>
          </w:p>
        </w:tc>
        <w:tc>
          <w:tcPr>
            <w:tcW w:w="1284"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26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年以上</w:t>
            </w:r>
          </w:p>
        </w:tc>
        <w:tc>
          <w:tcPr>
            <w:tcW w:w="1582" w:type="dxa"/>
            <w:vMerge/>
            <w:tcBorders>
              <w:left w:val="single" w:sz="6" w:space="0" w:color="000000"/>
              <w:bottom w:val="single" w:sz="6" w:space="0" w:color="000000"/>
              <w:right w:val="nil" w:sz="6" w:space="0" w:color="auto"/>
            </w:tcBorders>
          </w:tcPr>
          <w:p>
            <w:pPr/>
          </w:p>
        </w:tc>
      </w:tr>
      <w:tr>
        <w:trPr>
          <w:trHeight w:val="348" w:hRule="exact"/>
        </w:trPr>
        <w:tc>
          <w:tcPr>
            <w:tcW w:w="1378"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516"/>
              <w:jc w:val="center"/>
              <w:rPr>
                <w:rFonts w:ascii="宋体" w:hAnsi="宋体" w:cs="宋体" w:eastAsia="宋体" w:hint="default"/>
                <w:sz w:val="21"/>
                <w:szCs w:val="21"/>
              </w:rPr>
            </w:pPr>
            <w:r>
              <w:rPr>
                <w:rFonts w:ascii="宋体" w:hAnsi="宋体" w:cs="宋体" w:eastAsia="宋体" w:hint="default"/>
                <w:sz w:val="21"/>
                <w:szCs w:val="21"/>
              </w:rPr>
              <w:t>应收票据</w:t>
            </w:r>
          </w:p>
        </w:tc>
        <w:tc>
          <w:tcPr>
            <w:tcW w:w="16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z w:val="21"/>
              </w:rPr>
              <w:t>75,046,060.79</w:t>
            </w:r>
          </w:p>
        </w:tc>
        <w:tc>
          <w:tcPr>
            <w:tcW w:w="1374" w:type="dxa"/>
            <w:tcBorders>
              <w:top w:val="single" w:sz="6" w:space="0" w:color="000000"/>
              <w:left w:val="single" w:sz="6" w:space="0" w:color="000000"/>
              <w:bottom w:val="single" w:sz="6" w:space="0" w:color="000000"/>
              <w:right w:val="single" w:sz="6" w:space="0" w:color="000000"/>
            </w:tcBorders>
          </w:tcPr>
          <w:p>
            <w:pPr/>
          </w:p>
        </w:tc>
        <w:tc>
          <w:tcPr>
            <w:tcW w:w="1243" w:type="dxa"/>
            <w:tcBorders>
              <w:top w:val="single" w:sz="6" w:space="0" w:color="000000"/>
              <w:left w:val="single" w:sz="6" w:space="0" w:color="000000"/>
              <w:bottom w:val="single" w:sz="6" w:space="0" w:color="000000"/>
              <w:right w:val="single" w:sz="6" w:space="0" w:color="000000"/>
            </w:tcBorders>
          </w:tcPr>
          <w:p>
            <w:pPr/>
          </w:p>
        </w:tc>
        <w:tc>
          <w:tcPr>
            <w:tcW w:w="1284"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5"/>
              <w:ind w:right="7"/>
              <w:jc w:val="right"/>
              <w:rPr>
                <w:rFonts w:ascii="Times New Roman" w:hAnsi="Times New Roman" w:cs="Times New Roman" w:eastAsia="Times New Roman" w:hint="default"/>
                <w:sz w:val="21"/>
                <w:szCs w:val="21"/>
              </w:rPr>
            </w:pPr>
            <w:r>
              <w:rPr>
                <w:rFonts w:ascii="Times New Roman"/>
                <w:sz w:val="21"/>
              </w:rPr>
              <w:t>75,046,060.79</w:t>
            </w:r>
          </w:p>
        </w:tc>
      </w:tr>
      <w:tr>
        <w:trPr>
          <w:trHeight w:val="347" w:hRule="exact"/>
        </w:trPr>
        <w:tc>
          <w:tcPr>
            <w:tcW w:w="1378"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557"/>
              <w:jc w:val="center"/>
              <w:rPr>
                <w:rFonts w:ascii="宋体" w:hAnsi="宋体" w:cs="宋体" w:eastAsia="宋体" w:hint="default"/>
                <w:sz w:val="21"/>
                <w:szCs w:val="21"/>
              </w:rPr>
            </w:pPr>
            <w:r>
              <w:rPr>
                <w:rFonts w:ascii="宋体" w:hAnsi="宋体" w:cs="宋体" w:eastAsia="宋体" w:hint="default"/>
                <w:sz w:val="21"/>
                <w:szCs w:val="21"/>
              </w:rPr>
              <w:t>小</w:t>
            </w:r>
            <w:r>
              <w:rPr>
                <w:rFonts w:ascii="宋体" w:hAnsi="宋体" w:cs="宋体" w:eastAsia="宋体" w:hint="default"/>
                <w:spacing w:val="63"/>
                <w:sz w:val="21"/>
                <w:szCs w:val="21"/>
              </w:rPr>
              <w:t> </w:t>
            </w:r>
            <w:r>
              <w:rPr>
                <w:rFonts w:ascii="宋体" w:hAnsi="宋体" w:cs="宋体" w:eastAsia="宋体" w:hint="default"/>
                <w:sz w:val="21"/>
                <w:szCs w:val="21"/>
              </w:rPr>
              <w:t>计</w:t>
            </w:r>
          </w:p>
        </w:tc>
        <w:tc>
          <w:tcPr>
            <w:tcW w:w="16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sz w:val="21"/>
              </w:rPr>
              <w:t>75,046,060.79</w:t>
            </w:r>
          </w:p>
        </w:tc>
        <w:tc>
          <w:tcPr>
            <w:tcW w:w="1374" w:type="dxa"/>
            <w:tcBorders>
              <w:top w:val="single" w:sz="6" w:space="0" w:color="000000"/>
              <w:left w:val="single" w:sz="6" w:space="0" w:color="000000"/>
              <w:bottom w:val="single" w:sz="6" w:space="0" w:color="000000"/>
              <w:right w:val="single" w:sz="6" w:space="0" w:color="000000"/>
            </w:tcBorders>
          </w:tcPr>
          <w:p>
            <w:pPr/>
          </w:p>
        </w:tc>
        <w:tc>
          <w:tcPr>
            <w:tcW w:w="1243" w:type="dxa"/>
            <w:tcBorders>
              <w:top w:val="single" w:sz="6" w:space="0" w:color="000000"/>
              <w:left w:val="single" w:sz="6" w:space="0" w:color="000000"/>
              <w:bottom w:val="single" w:sz="6" w:space="0" w:color="000000"/>
              <w:right w:val="single" w:sz="6" w:space="0" w:color="000000"/>
            </w:tcBorders>
          </w:tcPr>
          <w:p>
            <w:pPr/>
          </w:p>
        </w:tc>
        <w:tc>
          <w:tcPr>
            <w:tcW w:w="1284"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4"/>
              <w:ind w:right="7"/>
              <w:jc w:val="right"/>
              <w:rPr>
                <w:rFonts w:ascii="Times New Roman" w:hAnsi="Times New Roman" w:cs="Times New Roman" w:eastAsia="Times New Roman" w:hint="default"/>
                <w:sz w:val="21"/>
                <w:szCs w:val="21"/>
              </w:rPr>
            </w:pPr>
            <w:r>
              <w:rPr>
                <w:rFonts w:ascii="Times New Roman"/>
                <w:sz w:val="21"/>
              </w:rPr>
              <w:t>75,046,060.79</w:t>
            </w:r>
          </w:p>
        </w:tc>
      </w:tr>
    </w:tbl>
    <w:p>
      <w:pPr>
        <w:pStyle w:val="Heading6"/>
        <w:spacing w:line="276" w:lineRule="exact"/>
        <w:ind w:left="574" w:right="512"/>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31"/>
        </w:rPr>
        <w:t> </w:t>
      </w:r>
      <w:r>
        <w:rPr/>
        <w:t>单项计提减值的应收款项情况见本财务报表附注合并财务报表项目注释之应收款项说明。</w:t>
      </w:r>
    </w:p>
    <w:p>
      <w:pPr>
        <w:pStyle w:val="Heading6"/>
        <w:spacing w:line="256" w:lineRule="auto" w:before="21"/>
        <w:ind w:left="574" w:right="512"/>
        <w:jc w:val="left"/>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30"/>
        </w:rPr>
        <w:t> </w:t>
      </w:r>
      <w:r>
        <w:rPr/>
        <w:t>流动风险</w:t>
      </w:r>
      <w:r>
        <w:rPr>
          <w:w w:val="99"/>
        </w:rPr>
        <w:t> </w:t>
      </w:r>
      <w:r>
        <w:rPr/>
        <w:t>流动风险，是指本公司在履行以交付现金或其他金融资产的方式结算的义务时发生资金短缺的风险。</w:t>
      </w:r>
    </w:p>
    <w:p>
      <w:pPr>
        <w:pStyle w:val="Heading6"/>
        <w:spacing w:line="273" w:lineRule="auto" w:before="22"/>
        <w:ind w:right="512"/>
        <w:jc w:val="left"/>
      </w:pPr>
      <w:r>
        <w:rPr>
          <w:spacing w:val="-1"/>
        </w:rPr>
        <w:t>流动风险可能源于无法尽快以公允价值售出金融资产；或者源于对方无法偿还其合同债务；或者源于提前</w:t>
      </w:r>
      <w:r>
        <w:rPr>
          <w:spacing w:val="-81"/>
        </w:rPr>
        <w:t> </w:t>
      </w:r>
      <w:r>
        <w:rPr>
          <w:spacing w:val="-81"/>
        </w:rPr>
      </w:r>
      <w:r>
        <w:rPr/>
        <w:t>到期的债务；或者源于无法产生预期的现金流量。</w:t>
      </w:r>
    </w:p>
    <w:p>
      <w:pPr>
        <w:pStyle w:val="Heading4"/>
        <w:spacing w:line="259" w:lineRule="auto"/>
        <w:ind w:right="551" w:firstLine="420"/>
        <w:jc w:val="both"/>
        <w:rPr>
          <w:i w:val="0"/>
        </w:rPr>
      </w:pPr>
      <w:r>
        <w:rPr>
          <w:spacing w:val="-1"/>
          <w:w w:val="95"/>
        </w:rPr>
        <w:t>为控制该项风险，本公司综合运用票据结算、银行借款等多种融资手段，并采取长、短期融资方式适</w:t>
      </w:r>
      <w:r>
        <w:rPr>
          <w:w w:val="95"/>
        </w:rPr>
        <w:t> </w:t>
      </w:r>
      <w:r>
        <w:rPr>
          <w:spacing w:val="-1"/>
          <w:w w:val="95"/>
        </w:rPr>
        <w:t>当结合，优化融资结构的方法，保持融资持续性与灵活性之间的平衡。本公司已从多家商业银行取得银行</w:t>
      </w:r>
      <w:r>
        <w:rPr>
          <w:spacing w:val="-37"/>
          <w:w w:val="95"/>
        </w:rPr>
        <w:t> </w:t>
      </w:r>
      <w:r>
        <w:rPr>
          <w:spacing w:val="-37"/>
          <w:w w:val="95"/>
        </w:rPr>
      </w:r>
      <w:r>
        <w:rPr/>
        <w:t>授信额度以满足营运资金需求和资本开支。</w:t>
      </w:r>
      <w:r>
        <w:rPr>
          <w:i w:val="0"/>
        </w:rPr>
      </w:r>
    </w:p>
    <w:p>
      <w:pPr>
        <w:pStyle w:val="Heading6"/>
        <w:spacing w:line="240" w:lineRule="auto" w:before="18"/>
        <w:ind w:left="574" w:right="512"/>
        <w:jc w:val="left"/>
      </w:pPr>
      <w:r>
        <w:rPr/>
        <w:t>金融负债按剩余到期日分类</w:t>
      </w:r>
    </w:p>
    <w:p>
      <w:pPr>
        <w:spacing w:line="240" w:lineRule="auto" w:before="13"/>
        <w:rPr>
          <w:rFonts w:ascii="宋体" w:hAnsi="宋体" w:cs="宋体" w:eastAsia="宋体" w:hint="default"/>
          <w:sz w:val="3"/>
          <w:szCs w:val="3"/>
        </w:rPr>
      </w:pPr>
    </w:p>
    <w:tbl>
      <w:tblPr>
        <w:tblW w:w="0" w:type="auto"/>
        <w:jc w:val="left"/>
        <w:tblInd w:w="146" w:type="dxa"/>
        <w:tblLayout w:type="fixed"/>
        <w:tblCellMar>
          <w:top w:w="0" w:type="dxa"/>
          <w:left w:w="0" w:type="dxa"/>
          <w:bottom w:w="0" w:type="dxa"/>
          <w:right w:w="0" w:type="dxa"/>
        </w:tblCellMar>
        <w:tblLook w:val="01E0"/>
      </w:tblPr>
      <w:tblGrid>
        <w:gridCol w:w="1378"/>
        <w:gridCol w:w="1754"/>
        <w:gridCol w:w="1755"/>
        <w:gridCol w:w="1805"/>
        <w:gridCol w:w="1686"/>
        <w:gridCol w:w="1688"/>
      </w:tblGrid>
      <w:tr>
        <w:trPr>
          <w:trHeight w:val="347" w:hRule="exact"/>
        </w:trPr>
        <w:tc>
          <w:tcPr>
            <w:tcW w:w="1378" w:type="dxa"/>
            <w:vMerge w:val="restart"/>
            <w:tcBorders>
              <w:top w:val="single" w:sz="6" w:space="0" w:color="000000"/>
              <w:left w:val="single" w:sz="6" w:space="0" w:color="000000"/>
              <w:right w:val="single" w:sz="6" w:space="0" w:color="000000"/>
            </w:tcBorders>
          </w:tcPr>
          <w:p>
            <w:pPr>
              <w:pStyle w:val="TableParagraph"/>
              <w:spacing w:line="271" w:lineRule="exact"/>
              <w:ind w:left="212" w:right="0"/>
              <w:jc w:val="left"/>
              <w:rPr>
                <w:rFonts w:ascii="宋体" w:hAnsi="宋体" w:cs="宋体" w:eastAsia="宋体" w:hint="default"/>
                <w:sz w:val="21"/>
                <w:szCs w:val="21"/>
              </w:rPr>
            </w:pPr>
            <w:r>
              <w:rPr>
                <w:rFonts w:ascii="宋体" w:hAnsi="宋体" w:cs="宋体" w:eastAsia="宋体" w:hint="default"/>
                <w:sz w:val="21"/>
                <w:szCs w:val="21"/>
              </w:rPr>
              <w:t>项</w:t>
            </w:r>
            <w:r>
              <w:rPr>
                <w:rFonts w:ascii="宋体" w:hAnsi="宋体" w:cs="宋体" w:eastAsia="宋体" w:hint="default"/>
                <w:spacing w:val="63"/>
                <w:sz w:val="21"/>
                <w:szCs w:val="21"/>
              </w:rPr>
              <w:t> </w:t>
            </w:r>
            <w:r>
              <w:rPr>
                <w:rFonts w:ascii="宋体" w:hAnsi="宋体" w:cs="宋体" w:eastAsia="宋体" w:hint="default"/>
                <w:sz w:val="21"/>
                <w:szCs w:val="21"/>
              </w:rPr>
              <w:t>目</w:t>
            </w:r>
          </w:p>
        </w:tc>
        <w:tc>
          <w:tcPr>
            <w:tcW w:w="8689" w:type="dxa"/>
            <w:gridSpan w:val="5"/>
            <w:tcBorders>
              <w:top w:val="single" w:sz="6" w:space="0" w:color="000000"/>
              <w:left w:val="single" w:sz="6" w:space="0" w:color="000000"/>
              <w:bottom w:val="single" w:sz="6" w:space="0" w:color="000000"/>
              <w:right w:val="nil" w:sz="6" w:space="0" w:color="auto"/>
            </w:tcBorders>
          </w:tcPr>
          <w:p>
            <w:pPr>
              <w:pStyle w:val="TableParagraph"/>
              <w:spacing w:line="271" w:lineRule="exact"/>
              <w:ind w:left="-1" w:right="5"/>
              <w:jc w:val="center"/>
              <w:rPr>
                <w:rFonts w:ascii="宋体" w:hAnsi="宋体" w:cs="宋体" w:eastAsia="宋体" w:hint="default"/>
                <w:sz w:val="21"/>
                <w:szCs w:val="21"/>
              </w:rPr>
            </w:pPr>
            <w:r>
              <w:rPr>
                <w:rFonts w:ascii="宋体" w:hAnsi="宋体" w:cs="宋体" w:eastAsia="宋体" w:hint="default"/>
                <w:sz w:val="21"/>
                <w:szCs w:val="21"/>
              </w:rPr>
              <w:t>期末数</w:t>
            </w:r>
          </w:p>
        </w:tc>
      </w:tr>
      <w:tr>
        <w:trPr>
          <w:trHeight w:val="347" w:hRule="exact"/>
        </w:trPr>
        <w:tc>
          <w:tcPr>
            <w:tcW w:w="1378" w:type="dxa"/>
            <w:vMerge/>
            <w:tcBorders>
              <w:left w:val="single" w:sz="6" w:space="0" w:color="000000"/>
              <w:bottom w:val="single" w:sz="6" w:space="0" w:color="000000"/>
              <w:right w:val="single" w:sz="6" w:space="0" w:color="000000"/>
            </w:tcBorders>
          </w:tcPr>
          <w:p>
            <w:pPr/>
          </w:p>
        </w:tc>
        <w:tc>
          <w:tcPr>
            <w:tcW w:w="175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450"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755"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134" w:right="0"/>
              <w:jc w:val="left"/>
              <w:rPr>
                <w:rFonts w:ascii="宋体" w:hAnsi="宋体" w:cs="宋体" w:eastAsia="宋体" w:hint="default"/>
                <w:sz w:val="21"/>
                <w:szCs w:val="21"/>
              </w:rPr>
            </w:pPr>
            <w:r>
              <w:rPr>
                <w:rFonts w:ascii="宋体" w:hAnsi="宋体" w:cs="宋体" w:eastAsia="宋体" w:hint="default"/>
                <w:sz w:val="21"/>
                <w:szCs w:val="21"/>
              </w:rPr>
              <w:t>未折现合同金额</w:t>
            </w: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52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年以内</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1-3</w:t>
            </w:r>
            <w:r>
              <w:rPr>
                <w:rFonts w:ascii="宋体" w:hAnsi="宋体" w:cs="宋体" w:eastAsia="宋体" w:hint="default"/>
                <w:sz w:val="21"/>
                <w:szCs w:val="21"/>
              </w:rPr>
              <w:t>年</w:t>
            </w:r>
          </w:p>
        </w:tc>
        <w:tc>
          <w:tcPr>
            <w:tcW w:w="1688" w:type="dxa"/>
            <w:tcBorders>
              <w:top w:val="single" w:sz="6" w:space="0" w:color="000000"/>
              <w:left w:val="single" w:sz="6" w:space="0" w:color="000000"/>
              <w:bottom w:val="single" w:sz="6" w:space="0" w:color="000000"/>
              <w:right w:val="nil" w:sz="6" w:space="0" w:color="auto"/>
            </w:tcBorders>
          </w:tcPr>
          <w:p>
            <w:pPr>
              <w:pStyle w:val="TableParagraph"/>
              <w:spacing w:line="287" w:lineRule="exact"/>
              <w:ind w:left="46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年以上</w:t>
            </w:r>
          </w:p>
        </w:tc>
      </w:tr>
      <w:tr>
        <w:trPr>
          <w:trHeight w:val="348" w:hRule="exact"/>
        </w:trPr>
        <w:tc>
          <w:tcPr>
            <w:tcW w:w="1378"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银行借款</w:t>
            </w:r>
          </w:p>
        </w:tc>
        <w:tc>
          <w:tcPr>
            <w:tcW w:w="17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pacing w:val="-1"/>
                <w:sz w:val="21"/>
              </w:rPr>
              <w:t>280,600,000.00</w:t>
            </w:r>
          </w:p>
        </w:tc>
        <w:tc>
          <w:tcPr>
            <w:tcW w:w="17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pacing w:val="-1"/>
                <w:sz w:val="21"/>
              </w:rPr>
              <w:t>298,801,445.14</w:t>
            </w: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pacing w:val="-1"/>
                <w:sz w:val="21"/>
              </w:rPr>
              <w:t>205,350,822.92</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z w:val="21"/>
              </w:rPr>
              <w:t>50,873,161.11</w:t>
            </w:r>
          </w:p>
        </w:tc>
        <w:tc>
          <w:tcPr>
            <w:tcW w:w="168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5"/>
              <w:ind w:left="463" w:right="0"/>
              <w:jc w:val="left"/>
              <w:rPr>
                <w:rFonts w:ascii="Times New Roman" w:hAnsi="Times New Roman" w:cs="Times New Roman" w:eastAsia="Times New Roman" w:hint="default"/>
                <w:sz w:val="21"/>
                <w:szCs w:val="21"/>
              </w:rPr>
            </w:pPr>
            <w:r>
              <w:rPr>
                <w:rFonts w:ascii="Times New Roman"/>
                <w:sz w:val="21"/>
              </w:rPr>
              <w:t>42,577,461.11</w:t>
            </w:r>
          </w:p>
        </w:tc>
      </w:tr>
      <w:tr>
        <w:trPr>
          <w:trHeight w:val="347" w:hRule="exact"/>
        </w:trPr>
        <w:tc>
          <w:tcPr>
            <w:tcW w:w="1378"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2"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17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sz w:val="21"/>
              </w:rPr>
              <w:t>24,843,443.10</w:t>
            </w:r>
          </w:p>
        </w:tc>
        <w:tc>
          <w:tcPr>
            <w:tcW w:w="17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sz w:val="21"/>
              </w:rPr>
              <w:t>24,843,443.10</w:t>
            </w: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sz w:val="21"/>
              </w:rPr>
              <w:t>24,843,443.10</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8" w:type="dxa"/>
            <w:tcBorders>
              <w:top w:val="single" w:sz="6" w:space="0" w:color="000000"/>
              <w:left w:val="single" w:sz="6" w:space="0" w:color="000000"/>
              <w:bottom w:val="single" w:sz="6" w:space="0" w:color="000000"/>
              <w:right w:val="nil" w:sz="6" w:space="0" w:color="auto"/>
            </w:tcBorders>
          </w:tcPr>
          <w:p>
            <w:pPr/>
          </w:p>
        </w:tc>
      </w:tr>
      <w:tr>
        <w:trPr>
          <w:trHeight w:val="347" w:hRule="exact"/>
        </w:trPr>
        <w:tc>
          <w:tcPr>
            <w:tcW w:w="1378"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17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pacing w:val="-1"/>
                <w:sz w:val="21"/>
              </w:rPr>
              <w:t>105,576,038.47</w:t>
            </w:r>
          </w:p>
        </w:tc>
        <w:tc>
          <w:tcPr>
            <w:tcW w:w="17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pacing w:val="-1"/>
                <w:sz w:val="21"/>
              </w:rPr>
              <w:t>105,576,038.47</w:t>
            </w: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pacing w:val="-1"/>
                <w:sz w:val="21"/>
              </w:rPr>
              <w:t>105,576,038.47</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8" w:type="dxa"/>
            <w:tcBorders>
              <w:top w:val="single" w:sz="6" w:space="0" w:color="000000"/>
              <w:left w:val="single" w:sz="6" w:space="0" w:color="000000"/>
              <w:bottom w:val="single" w:sz="6" w:space="0" w:color="000000"/>
              <w:right w:val="nil" w:sz="6" w:space="0" w:color="auto"/>
            </w:tcBorders>
          </w:tcPr>
          <w:p>
            <w:pPr/>
          </w:p>
        </w:tc>
      </w:tr>
      <w:tr>
        <w:trPr>
          <w:trHeight w:val="347" w:hRule="exact"/>
        </w:trPr>
        <w:tc>
          <w:tcPr>
            <w:tcW w:w="1378"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17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right"/>
              <w:rPr>
                <w:rFonts w:ascii="Times New Roman" w:hAnsi="Times New Roman" w:cs="Times New Roman" w:eastAsia="Times New Roman" w:hint="default"/>
                <w:sz w:val="21"/>
                <w:szCs w:val="21"/>
              </w:rPr>
            </w:pPr>
            <w:r>
              <w:rPr>
                <w:rFonts w:ascii="Times New Roman"/>
                <w:spacing w:val="-1"/>
                <w:sz w:val="21"/>
              </w:rPr>
              <w:t>406,006.25</w:t>
            </w:r>
          </w:p>
        </w:tc>
        <w:tc>
          <w:tcPr>
            <w:tcW w:w="17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pacing w:val="-1"/>
                <w:sz w:val="21"/>
              </w:rPr>
              <w:t>406,006.25</w:t>
            </w: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right"/>
              <w:rPr>
                <w:rFonts w:ascii="Times New Roman" w:hAnsi="Times New Roman" w:cs="Times New Roman" w:eastAsia="Times New Roman" w:hint="default"/>
                <w:sz w:val="21"/>
                <w:szCs w:val="21"/>
              </w:rPr>
            </w:pPr>
            <w:r>
              <w:rPr>
                <w:rFonts w:ascii="Times New Roman"/>
                <w:spacing w:val="-1"/>
                <w:sz w:val="21"/>
              </w:rPr>
              <w:t>406,006.25</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8" w:type="dxa"/>
            <w:tcBorders>
              <w:top w:val="single" w:sz="6" w:space="0" w:color="000000"/>
              <w:left w:val="single" w:sz="6" w:space="0" w:color="000000"/>
              <w:bottom w:val="single" w:sz="6" w:space="0" w:color="000000"/>
              <w:right w:val="nil" w:sz="6" w:space="0" w:color="auto"/>
            </w:tcBorders>
          </w:tcPr>
          <w:p>
            <w:pPr/>
          </w:p>
        </w:tc>
      </w:tr>
      <w:tr>
        <w:trPr>
          <w:trHeight w:val="347" w:hRule="exact"/>
        </w:trPr>
        <w:tc>
          <w:tcPr>
            <w:tcW w:w="1378"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17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right"/>
              <w:rPr>
                <w:rFonts w:ascii="Times New Roman" w:hAnsi="Times New Roman" w:cs="Times New Roman" w:eastAsia="Times New Roman" w:hint="default"/>
                <w:sz w:val="21"/>
                <w:szCs w:val="21"/>
              </w:rPr>
            </w:pPr>
            <w:r>
              <w:rPr>
                <w:rFonts w:ascii="Times New Roman"/>
                <w:spacing w:val="-1"/>
                <w:sz w:val="21"/>
              </w:rPr>
              <w:t>3,590,737.25</w:t>
            </w:r>
          </w:p>
        </w:tc>
        <w:tc>
          <w:tcPr>
            <w:tcW w:w="17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pacing w:val="-1"/>
                <w:sz w:val="21"/>
              </w:rPr>
              <w:t>3,590,737.25</w:t>
            </w: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right"/>
              <w:rPr>
                <w:rFonts w:ascii="Times New Roman" w:hAnsi="Times New Roman" w:cs="Times New Roman" w:eastAsia="Times New Roman" w:hint="default"/>
                <w:sz w:val="21"/>
                <w:szCs w:val="21"/>
              </w:rPr>
            </w:pPr>
            <w:r>
              <w:rPr>
                <w:rFonts w:ascii="Times New Roman"/>
                <w:spacing w:val="-1"/>
                <w:sz w:val="21"/>
              </w:rPr>
              <w:t>3,590,737.25</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8" w:type="dxa"/>
            <w:tcBorders>
              <w:top w:val="single" w:sz="6" w:space="0" w:color="000000"/>
              <w:left w:val="single" w:sz="6" w:space="0" w:color="000000"/>
              <w:bottom w:val="single" w:sz="6" w:space="0" w:color="000000"/>
              <w:right w:val="nil" w:sz="6" w:space="0" w:color="auto"/>
            </w:tcBorders>
          </w:tcPr>
          <w:p>
            <w:pPr/>
          </w:p>
        </w:tc>
      </w:tr>
      <w:tr>
        <w:trPr>
          <w:trHeight w:val="348" w:hRule="exact"/>
        </w:trPr>
        <w:tc>
          <w:tcPr>
            <w:tcW w:w="1378"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17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pacing w:val="-1"/>
                <w:sz w:val="21"/>
              </w:rPr>
              <w:t>364,000,000.00</w:t>
            </w:r>
          </w:p>
        </w:tc>
        <w:tc>
          <w:tcPr>
            <w:tcW w:w="17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pacing w:val="-1"/>
                <w:sz w:val="21"/>
              </w:rPr>
              <w:t>364,000,000.00</w:t>
            </w:r>
          </w:p>
        </w:tc>
        <w:tc>
          <w:tcPr>
            <w:tcW w:w="1805"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right"/>
              <w:rPr>
                <w:rFonts w:ascii="Times New Roman" w:hAnsi="Times New Roman" w:cs="Times New Roman" w:eastAsia="Times New Roman" w:hint="default"/>
                <w:sz w:val="21"/>
                <w:szCs w:val="21"/>
              </w:rPr>
            </w:pPr>
            <w:r>
              <w:rPr>
                <w:rFonts w:ascii="Times New Roman"/>
                <w:spacing w:val="-1"/>
                <w:sz w:val="21"/>
              </w:rPr>
              <w:t>364,000,000.00</w:t>
            </w:r>
          </w:p>
        </w:tc>
        <w:tc>
          <w:tcPr>
            <w:tcW w:w="1688" w:type="dxa"/>
            <w:tcBorders>
              <w:top w:val="single" w:sz="6" w:space="0" w:color="000000"/>
              <w:left w:val="single" w:sz="6" w:space="0" w:color="000000"/>
              <w:bottom w:val="single" w:sz="6" w:space="0" w:color="000000"/>
              <w:right w:val="nil" w:sz="6" w:space="0" w:color="auto"/>
            </w:tcBorders>
          </w:tcPr>
          <w:p>
            <w:pPr/>
          </w:p>
        </w:tc>
      </w:tr>
      <w:tr>
        <w:trPr>
          <w:trHeight w:val="347" w:hRule="exact"/>
        </w:trPr>
        <w:tc>
          <w:tcPr>
            <w:tcW w:w="1378"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212" w:right="0"/>
              <w:jc w:val="left"/>
              <w:rPr>
                <w:rFonts w:ascii="宋体" w:hAnsi="宋体" w:cs="宋体" w:eastAsia="宋体" w:hint="default"/>
                <w:sz w:val="21"/>
                <w:szCs w:val="21"/>
              </w:rPr>
            </w:pPr>
            <w:r>
              <w:rPr>
                <w:rFonts w:ascii="宋体" w:hAnsi="宋体" w:cs="宋体" w:eastAsia="宋体" w:hint="default"/>
                <w:sz w:val="21"/>
                <w:szCs w:val="21"/>
              </w:rPr>
              <w:t>小</w:t>
            </w:r>
            <w:r>
              <w:rPr>
                <w:rFonts w:ascii="宋体" w:hAnsi="宋体" w:cs="宋体" w:eastAsia="宋体" w:hint="default"/>
                <w:spacing w:val="63"/>
                <w:sz w:val="21"/>
                <w:szCs w:val="21"/>
              </w:rPr>
              <w:t> </w:t>
            </w:r>
            <w:r>
              <w:rPr>
                <w:rFonts w:ascii="宋体" w:hAnsi="宋体" w:cs="宋体" w:eastAsia="宋体" w:hint="default"/>
                <w:sz w:val="21"/>
                <w:szCs w:val="21"/>
              </w:rPr>
              <w:t>计</w:t>
            </w:r>
          </w:p>
        </w:tc>
        <w:tc>
          <w:tcPr>
            <w:tcW w:w="17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spacing w:val="-1"/>
                <w:sz w:val="21"/>
              </w:rPr>
              <w:t>779,016,225.07</w:t>
            </w:r>
          </w:p>
        </w:tc>
        <w:tc>
          <w:tcPr>
            <w:tcW w:w="17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spacing w:val="-1"/>
                <w:sz w:val="21"/>
              </w:rPr>
              <w:t>797,217,670.21</w:t>
            </w: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spacing w:val="-1"/>
                <w:sz w:val="21"/>
              </w:rPr>
              <w:t>339,767,047.99</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414,873,161.11</w:t>
            </w:r>
          </w:p>
        </w:tc>
        <w:tc>
          <w:tcPr>
            <w:tcW w:w="168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4"/>
              <w:ind w:left="463" w:right="0"/>
              <w:jc w:val="left"/>
              <w:rPr>
                <w:rFonts w:ascii="Times New Roman" w:hAnsi="Times New Roman" w:cs="Times New Roman" w:eastAsia="Times New Roman" w:hint="default"/>
                <w:sz w:val="21"/>
                <w:szCs w:val="21"/>
              </w:rPr>
            </w:pPr>
            <w:r>
              <w:rPr>
                <w:rFonts w:ascii="Times New Roman"/>
                <w:sz w:val="21"/>
              </w:rPr>
              <w:t>42,577,461.11</w:t>
            </w:r>
          </w:p>
        </w:tc>
      </w:tr>
    </w:tbl>
    <w:p>
      <w:pPr>
        <w:pStyle w:val="Heading6"/>
        <w:spacing w:line="276" w:lineRule="exact"/>
        <w:ind w:left="574" w:right="512"/>
        <w:jc w:val="left"/>
        <w:rPr>
          <w:rFonts w:ascii="Times New Roman" w:hAnsi="Times New Roman" w:cs="Times New Roman" w:eastAsia="Times New Roman" w:hint="default"/>
        </w:rPr>
      </w:pPr>
      <w:r>
        <w:rPr>
          <w:rFonts w:ascii="Times New Roman" w:hAnsi="Times New Roman" w:cs="Times New Roman" w:eastAsia="Times New Roman" w:hint="default"/>
        </w:rPr>
        <w:t>(</w:t>
      </w:r>
      <w:r>
        <w:rPr/>
        <w:t>续上表</w:t>
      </w:r>
      <w:r>
        <w:rPr>
          <w:rFonts w:ascii="Times New Roman" w:hAnsi="Times New Roman" w:cs="Times New Roman" w:eastAsia="Times New Roman" w:hint="default"/>
        </w:rPr>
        <w:t>)</w:t>
      </w:r>
    </w:p>
    <w:p>
      <w:pPr>
        <w:spacing w:line="240" w:lineRule="auto" w:before="2"/>
        <w:rPr>
          <w:rFonts w:ascii="Times New Roman" w:hAnsi="Times New Roman" w:cs="Times New Roman" w:eastAsia="Times New Roman" w:hint="default"/>
          <w:sz w:val="3"/>
          <w:szCs w:val="3"/>
        </w:rPr>
      </w:pPr>
    </w:p>
    <w:tbl>
      <w:tblPr>
        <w:tblW w:w="0" w:type="auto"/>
        <w:jc w:val="left"/>
        <w:tblInd w:w="146" w:type="dxa"/>
        <w:tblLayout w:type="fixed"/>
        <w:tblCellMar>
          <w:top w:w="0" w:type="dxa"/>
          <w:left w:w="0" w:type="dxa"/>
          <w:bottom w:w="0" w:type="dxa"/>
          <w:right w:w="0" w:type="dxa"/>
        </w:tblCellMar>
        <w:tblLook w:val="01E0"/>
      </w:tblPr>
      <w:tblGrid>
        <w:gridCol w:w="1419"/>
        <w:gridCol w:w="1700"/>
        <w:gridCol w:w="1844"/>
        <w:gridCol w:w="1702"/>
        <w:gridCol w:w="1701"/>
        <w:gridCol w:w="1702"/>
      </w:tblGrid>
      <w:tr>
        <w:trPr>
          <w:trHeight w:val="347" w:hRule="exact"/>
        </w:trPr>
        <w:tc>
          <w:tcPr>
            <w:tcW w:w="1419" w:type="dxa"/>
            <w:vMerge w:val="restart"/>
            <w:tcBorders>
              <w:top w:val="single" w:sz="6" w:space="0" w:color="000000"/>
              <w:left w:val="single" w:sz="6" w:space="0" w:color="000000"/>
              <w:right w:val="single" w:sz="6" w:space="0" w:color="000000"/>
            </w:tcBorders>
          </w:tcPr>
          <w:p>
            <w:pPr>
              <w:pStyle w:val="TableParagraph"/>
              <w:spacing w:line="271" w:lineRule="exact"/>
              <w:ind w:left="212" w:right="0"/>
              <w:jc w:val="left"/>
              <w:rPr>
                <w:rFonts w:ascii="宋体" w:hAnsi="宋体" w:cs="宋体" w:eastAsia="宋体" w:hint="default"/>
                <w:sz w:val="21"/>
                <w:szCs w:val="21"/>
              </w:rPr>
            </w:pPr>
            <w:r>
              <w:rPr>
                <w:rFonts w:ascii="宋体" w:hAnsi="宋体" w:cs="宋体" w:eastAsia="宋体" w:hint="default"/>
                <w:sz w:val="21"/>
                <w:szCs w:val="21"/>
              </w:rPr>
              <w:t>项</w:t>
            </w:r>
            <w:r>
              <w:rPr>
                <w:rFonts w:ascii="宋体" w:hAnsi="宋体" w:cs="宋体" w:eastAsia="宋体" w:hint="default"/>
                <w:spacing w:val="63"/>
                <w:sz w:val="21"/>
                <w:szCs w:val="21"/>
              </w:rPr>
              <w:t> </w:t>
            </w:r>
            <w:r>
              <w:rPr>
                <w:rFonts w:ascii="宋体" w:hAnsi="宋体" w:cs="宋体" w:eastAsia="宋体" w:hint="default"/>
                <w:sz w:val="21"/>
                <w:szCs w:val="21"/>
              </w:rPr>
              <w:t>目</w:t>
            </w:r>
          </w:p>
        </w:tc>
        <w:tc>
          <w:tcPr>
            <w:tcW w:w="8648" w:type="dxa"/>
            <w:gridSpan w:val="5"/>
            <w:tcBorders>
              <w:top w:val="single" w:sz="6" w:space="0" w:color="000000"/>
              <w:left w:val="single" w:sz="6" w:space="0" w:color="000000"/>
              <w:bottom w:val="single" w:sz="6" w:space="0" w:color="000000"/>
              <w:right w:val="nil" w:sz="6" w:space="0" w:color="auto"/>
            </w:tcBorders>
          </w:tcPr>
          <w:p>
            <w:pPr>
              <w:pStyle w:val="TableParagraph"/>
              <w:spacing w:line="271" w:lineRule="exact"/>
              <w:ind w:right="6"/>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348" w:hRule="exact"/>
        </w:trPr>
        <w:tc>
          <w:tcPr>
            <w:tcW w:w="1419" w:type="dxa"/>
            <w:vMerge/>
            <w:tcBorders>
              <w:left w:val="single" w:sz="6" w:space="0" w:color="000000"/>
              <w:bottom w:val="single" w:sz="6" w:space="0" w:color="000000"/>
              <w:right w:val="single" w:sz="6" w:space="0" w:color="000000"/>
            </w:tcBorders>
          </w:tcPr>
          <w:p>
            <w:pP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422"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178" w:right="0"/>
              <w:jc w:val="left"/>
              <w:rPr>
                <w:rFonts w:ascii="宋体" w:hAnsi="宋体" w:cs="宋体" w:eastAsia="宋体" w:hint="default"/>
                <w:sz w:val="21"/>
                <w:szCs w:val="21"/>
              </w:rPr>
            </w:pPr>
            <w:r>
              <w:rPr>
                <w:rFonts w:ascii="宋体" w:hAnsi="宋体" w:cs="宋体" w:eastAsia="宋体" w:hint="default"/>
                <w:sz w:val="21"/>
                <w:szCs w:val="21"/>
              </w:rPr>
              <w:t>未折现合同金额</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47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年以内</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1-3</w:t>
            </w:r>
            <w:r>
              <w:rPr>
                <w:rFonts w:ascii="宋体" w:hAnsi="宋体" w:cs="宋体" w:eastAsia="宋体" w:hint="default"/>
                <w:sz w:val="21"/>
                <w:szCs w:val="21"/>
              </w:rPr>
              <w:t>年</w:t>
            </w:r>
          </w:p>
        </w:tc>
        <w:tc>
          <w:tcPr>
            <w:tcW w:w="1702" w:type="dxa"/>
            <w:tcBorders>
              <w:top w:val="single" w:sz="6" w:space="0" w:color="000000"/>
              <w:left w:val="single" w:sz="6" w:space="0" w:color="000000"/>
              <w:bottom w:val="single" w:sz="6" w:space="0" w:color="000000"/>
              <w:right w:val="nil" w:sz="6" w:space="0" w:color="auto"/>
            </w:tcBorders>
          </w:tcPr>
          <w:p>
            <w:pPr>
              <w:pStyle w:val="TableParagraph"/>
              <w:spacing w:line="287" w:lineRule="exact"/>
              <w:ind w:left="47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年以上</w:t>
            </w:r>
          </w:p>
        </w:tc>
      </w:tr>
      <w:tr>
        <w:trPr>
          <w:trHeight w:val="347" w:hRule="exact"/>
        </w:trPr>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2" w:right="0"/>
              <w:jc w:val="left"/>
              <w:rPr>
                <w:rFonts w:ascii="宋体" w:hAnsi="宋体" w:cs="宋体" w:eastAsia="宋体" w:hint="default"/>
                <w:sz w:val="21"/>
                <w:szCs w:val="21"/>
              </w:rPr>
            </w:pPr>
            <w:r>
              <w:rPr>
                <w:rFonts w:ascii="宋体" w:hAnsi="宋体" w:cs="宋体" w:eastAsia="宋体" w:hint="default"/>
                <w:sz w:val="21"/>
                <w:szCs w:val="21"/>
              </w:rPr>
              <w:t>银行借款</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sz w:val="21"/>
              </w:rPr>
              <w:t>40,000,000.00</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sz w:val="21"/>
              </w:rPr>
              <w:t>41,039,166.67</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sz w:val="21"/>
              </w:rPr>
              <w:t>41,039,166.67</w:t>
            </w:r>
          </w:p>
        </w:tc>
        <w:tc>
          <w:tcPr>
            <w:tcW w:w="1701"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nil" w:sz="6" w:space="0" w:color="auto"/>
            </w:tcBorders>
          </w:tcPr>
          <w:p>
            <w:pPr/>
          </w:p>
        </w:tc>
      </w:tr>
      <w:tr>
        <w:trPr>
          <w:trHeight w:val="347" w:hRule="exact"/>
        </w:trPr>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right"/>
              <w:rPr>
                <w:rFonts w:ascii="Times New Roman" w:hAnsi="Times New Roman" w:cs="Times New Roman" w:eastAsia="Times New Roman" w:hint="default"/>
                <w:sz w:val="21"/>
                <w:szCs w:val="21"/>
              </w:rPr>
            </w:pPr>
            <w:r>
              <w:rPr>
                <w:rFonts w:ascii="Times New Roman"/>
                <w:spacing w:val="-1"/>
                <w:sz w:val="21"/>
              </w:rPr>
              <w:t>5,200,000.00</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pacing w:val="-1"/>
                <w:sz w:val="21"/>
              </w:rPr>
              <w:t>5,200,000.00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pacing w:val="-1"/>
                <w:sz w:val="21"/>
              </w:rPr>
              <w:t>5,200,000.00</w:t>
            </w:r>
          </w:p>
        </w:tc>
        <w:tc>
          <w:tcPr>
            <w:tcW w:w="1701"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nil" w:sz="6" w:space="0" w:color="auto"/>
            </w:tcBorders>
          </w:tcPr>
          <w:p>
            <w:pPr/>
          </w:p>
        </w:tc>
      </w:tr>
      <w:tr>
        <w:trPr>
          <w:trHeight w:val="347" w:hRule="exact"/>
        </w:trPr>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z w:val="21"/>
              </w:rPr>
              <w:t>47,368,536.71</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z w:val="21"/>
              </w:rPr>
              <w:t>47,368,536.71</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z w:val="21"/>
              </w:rPr>
              <w:t>47,368,536.71</w:t>
            </w:r>
          </w:p>
        </w:tc>
        <w:tc>
          <w:tcPr>
            <w:tcW w:w="1701"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nil" w:sz="6" w:space="0" w:color="auto"/>
            </w:tcBorders>
          </w:tcPr>
          <w:p>
            <w:pPr/>
          </w:p>
        </w:tc>
      </w:tr>
      <w:tr>
        <w:trPr>
          <w:trHeight w:val="347" w:hRule="exact"/>
        </w:trPr>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right"/>
              <w:rPr>
                <w:rFonts w:ascii="Times New Roman" w:hAnsi="Times New Roman" w:cs="Times New Roman" w:eastAsia="Times New Roman" w:hint="default"/>
                <w:sz w:val="21"/>
                <w:szCs w:val="21"/>
              </w:rPr>
            </w:pPr>
            <w:r>
              <w:rPr>
                <w:rFonts w:ascii="Times New Roman"/>
                <w:sz w:val="21"/>
              </w:rPr>
              <w:t>53,831.25</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z w:val="21"/>
              </w:rPr>
              <w:t>53,831.25</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z w:val="21"/>
              </w:rPr>
              <w:t>53,831.25</w:t>
            </w:r>
          </w:p>
        </w:tc>
        <w:tc>
          <w:tcPr>
            <w:tcW w:w="1701"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nil" w:sz="6" w:space="0" w:color="auto"/>
            </w:tcBorders>
          </w:tcPr>
          <w:p>
            <w:pPr/>
          </w:p>
        </w:tc>
      </w:tr>
      <w:tr>
        <w:trPr>
          <w:trHeight w:val="347" w:hRule="exact"/>
        </w:trPr>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right"/>
              <w:rPr>
                <w:rFonts w:ascii="Times New Roman" w:hAnsi="Times New Roman" w:cs="Times New Roman" w:eastAsia="Times New Roman" w:hint="default"/>
                <w:sz w:val="21"/>
                <w:szCs w:val="21"/>
              </w:rPr>
            </w:pPr>
            <w:r>
              <w:rPr>
                <w:rFonts w:ascii="Times New Roman"/>
                <w:spacing w:val="-1"/>
                <w:sz w:val="21"/>
              </w:rPr>
              <w:t>443,195.99</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pacing w:val="-1"/>
                <w:sz w:val="21"/>
              </w:rPr>
              <w:t>443,195.99</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pacing w:val="-1"/>
                <w:sz w:val="21"/>
              </w:rPr>
              <w:t>443,195.99</w:t>
            </w:r>
          </w:p>
        </w:tc>
        <w:tc>
          <w:tcPr>
            <w:tcW w:w="1701"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nil" w:sz="6" w:space="0" w:color="auto"/>
            </w:tcBorders>
          </w:tcPr>
          <w:p>
            <w:pPr/>
          </w:p>
        </w:tc>
      </w:tr>
      <w:tr>
        <w:trPr>
          <w:trHeight w:val="348" w:hRule="exact"/>
        </w:trPr>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1700"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701"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nil" w:sz="6" w:space="0" w:color="auto"/>
            </w:tcBorders>
          </w:tcPr>
          <w:p>
            <w:pPr/>
          </w:p>
        </w:tc>
      </w:tr>
      <w:tr>
        <w:trPr>
          <w:trHeight w:val="347" w:hRule="exact"/>
        </w:trPr>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212" w:right="0"/>
              <w:jc w:val="left"/>
              <w:rPr>
                <w:rFonts w:ascii="宋体" w:hAnsi="宋体" w:cs="宋体" w:eastAsia="宋体" w:hint="default"/>
                <w:sz w:val="21"/>
                <w:szCs w:val="21"/>
              </w:rPr>
            </w:pPr>
            <w:r>
              <w:rPr>
                <w:rFonts w:ascii="宋体" w:hAnsi="宋体" w:cs="宋体" w:eastAsia="宋体" w:hint="default"/>
                <w:sz w:val="21"/>
                <w:szCs w:val="21"/>
              </w:rPr>
              <w:t>小</w:t>
            </w:r>
            <w:r>
              <w:rPr>
                <w:rFonts w:ascii="宋体" w:hAnsi="宋体" w:cs="宋体" w:eastAsia="宋体" w:hint="default"/>
                <w:spacing w:val="63"/>
                <w:sz w:val="21"/>
                <w:szCs w:val="21"/>
              </w:rPr>
              <w:t> </w:t>
            </w:r>
            <w:r>
              <w:rPr>
                <w:rFonts w:ascii="宋体" w:hAnsi="宋体" w:cs="宋体" w:eastAsia="宋体" w:hint="default"/>
                <w:sz w:val="21"/>
                <w:szCs w:val="21"/>
              </w:rPr>
              <w:t>计</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sz w:val="21"/>
              </w:rPr>
              <w:t>93,065,563.95</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sz w:val="21"/>
              </w:rPr>
              <w:t>94,104,730.62</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sz w:val="21"/>
              </w:rPr>
              <w:t>94,104,730.62</w:t>
            </w:r>
          </w:p>
        </w:tc>
        <w:tc>
          <w:tcPr>
            <w:tcW w:w="1701"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nil" w:sz="6" w:space="0" w:color="auto"/>
            </w:tcBorders>
          </w:tcPr>
          <w:p>
            <w:pPr/>
          </w:p>
        </w:tc>
      </w:tr>
    </w:tbl>
    <w:p>
      <w:pPr>
        <w:pStyle w:val="Heading6"/>
        <w:spacing w:line="276" w:lineRule="exact"/>
        <w:ind w:left="574" w:right="512"/>
        <w:jc w:val="left"/>
      </w:pPr>
      <w:r>
        <w:rPr>
          <w:rFonts w:ascii="Times New Roman" w:hAnsi="Times New Roman" w:cs="Times New Roman" w:eastAsia="Times New Roman" w:hint="default"/>
        </w:rPr>
        <w:t>(</w:t>
      </w:r>
      <w:r>
        <w:rPr/>
        <w:t>三</w:t>
      </w:r>
      <w:r>
        <w:rPr>
          <w:rFonts w:ascii="Times New Roman" w:hAnsi="Times New Roman" w:cs="Times New Roman" w:eastAsia="Times New Roman" w:hint="default"/>
        </w:rPr>
        <w:t>)</w:t>
      </w:r>
      <w:r>
        <w:rPr>
          <w:rFonts w:ascii="Times New Roman" w:hAnsi="Times New Roman" w:cs="Times New Roman" w:eastAsia="Times New Roman" w:hint="default"/>
          <w:spacing w:val="31"/>
        </w:rPr>
        <w:t> </w:t>
      </w:r>
      <w:r>
        <w:rPr/>
        <w:t>市场风险</w:t>
      </w:r>
    </w:p>
    <w:p>
      <w:pPr>
        <w:pStyle w:val="Heading6"/>
        <w:spacing w:line="273" w:lineRule="auto" w:before="21"/>
        <w:ind w:right="512" w:firstLine="420"/>
        <w:jc w:val="left"/>
      </w:pPr>
      <w:r>
        <w:rPr>
          <w:spacing w:val="-1"/>
        </w:rPr>
        <w:t>市场风险，是指金融工具的公允价值或未来现金流量因市场价格变动而发生波动的风险。市场风险主</w:t>
      </w:r>
      <w:r>
        <w:rPr/>
        <w:t> 要包括利率风险和外汇风险。</w:t>
      </w:r>
    </w:p>
    <w:p>
      <w:pPr>
        <w:pStyle w:val="Heading6"/>
        <w:spacing w:line="256" w:lineRule="auto" w:before="7"/>
        <w:ind w:left="574" w:right="512"/>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32"/>
        </w:rPr>
        <w:t> </w:t>
      </w:r>
      <w:r>
        <w:rPr/>
        <w:t>利率风险 </w:t>
      </w:r>
      <w:r>
        <w:rPr>
          <w:spacing w:val="-1"/>
        </w:rPr>
        <w:t>利率风险，是指金融工具的公允价值或未来现金流量因市场利率变动而发生波动的风险。本公司面临</w:t>
      </w:r>
    </w:p>
    <w:p>
      <w:pPr>
        <w:spacing w:after="0" w:line="256" w:lineRule="auto"/>
        <w:jc w:val="left"/>
        <w:sectPr>
          <w:pgSz w:w="11910" w:h="16840"/>
          <w:pgMar w:header="747" w:footer="979" w:top="1060" w:bottom="1160" w:left="980" w:right="580"/>
        </w:sectPr>
      </w:pPr>
    </w:p>
    <w:p>
      <w:pPr>
        <w:spacing w:line="240" w:lineRule="auto" w:before="9"/>
        <w:rPr>
          <w:rFonts w:ascii="宋体" w:hAnsi="宋体" w:cs="宋体" w:eastAsia="宋体" w:hint="default"/>
          <w:sz w:val="24"/>
          <w:szCs w:val="24"/>
        </w:rPr>
      </w:pPr>
    </w:p>
    <w:p>
      <w:pPr>
        <w:pStyle w:val="Heading6"/>
        <w:spacing w:line="273" w:lineRule="auto" w:before="35"/>
        <w:ind w:left="574" w:right="0" w:hanging="420"/>
        <w:jc w:val="left"/>
      </w:pPr>
      <w:r>
        <w:rPr/>
        <w:t>的市场利率变动的风险主要与本公司以浮动利率计息的借款有关。 截至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日，本公司以浮动利率计息的银行借款人民币</w:t>
      </w:r>
      <w:r>
        <w:rPr>
          <w:rFonts w:ascii="Times New Roman" w:hAnsi="Times New Roman" w:cs="Times New Roman" w:eastAsia="Times New Roman" w:hint="default"/>
        </w:rPr>
        <w:t>163,000,000.00</w:t>
      </w:r>
      <w:r>
        <w:rPr/>
        <w:t>元</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w:t>
      </w:r>
    </w:p>
    <w:p>
      <w:pPr>
        <w:pStyle w:val="Heading6"/>
        <w:spacing w:line="256" w:lineRule="auto"/>
        <w:ind w:right="149"/>
        <w:jc w:val="left"/>
      </w:pPr>
      <w:r>
        <w:rPr>
          <w:spacing w:val="-1"/>
        </w:rPr>
        <w:t>人民币</w:t>
      </w:r>
      <w:r>
        <w:rPr>
          <w:rFonts w:ascii="Times New Roman" w:hAnsi="Times New Roman" w:cs="Times New Roman" w:eastAsia="Times New Roman" w:hint="default"/>
          <w:spacing w:val="-1"/>
        </w:rPr>
        <w:t>40,000,000.00</w:t>
      </w:r>
      <w:r>
        <w:rPr>
          <w:spacing w:val="-1"/>
        </w:rPr>
        <w:t>元</w:t>
      </w:r>
      <w:r>
        <w:rPr>
          <w:rFonts w:ascii="Times New Roman" w:hAnsi="Times New Roman" w:cs="Times New Roman" w:eastAsia="Times New Roman" w:hint="default"/>
          <w:spacing w:val="-1"/>
        </w:rPr>
        <w:t>)</w:t>
      </w:r>
      <w:r>
        <w:rPr>
          <w:spacing w:val="-1"/>
        </w:rPr>
        <w:t>，在其他变量不变的假设下，假定利率变动</w:t>
      </w:r>
      <w:r>
        <w:rPr>
          <w:rFonts w:ascii="Times New Roman" w:hAnsi="Times New Roman" w:cs="Times New Roman" w:eastAsia="Times New Roman" w:hint="default"/>
          <w:spacing w:val="-1"/>
        </w:rPr>
        <w:t>50</w:t>
      </w:r>
      <w:r>
        <w:rPr>
          <w:spacing w:val="-1"/>
        </w:rPr>
        <w:t>个基准点，不会对本公司的利润总额</w:t>
      </w:r>
      <w:r>
        <w:rPr>
          <w:spacing w:val="-96"/>
        </w:rPr>
        <w:t> </w:t>
      </w:r>
      <w:r>
        <w:rPr>
          <w:spacing w:val="-96"/>
        </w:rPr>
      </w:r>
      <w:r>
        <w:rPr/>
        <w:t>和股东权益产生重大的影响。</w:t>
      </w:r>
    </w:p>
    <w:p>
      <w:pPr>
        <w:pStyle w:val="Heading6"/>
        <w:spacing w:line="240" w:lineRule="auto" w:before="23"/>
        <w:ind w:left="574"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32"/>
        </w:rPr>
        <w:t> </w:t>
      </w:r>
      <w:r>
        <w:rPr/>
        <w:t>外汇风险</w:t>
      </w:r>
    </w:p>
    <w:p>
      <w:pPr>
        <w:spacing w:line="240" w:lineRule="auto" w:before="12"/>
        <w:rPr>
          <w:rFonts w:ascii="宋体" w:hAnsi="宋体" w:cs="宋体" w:eastAsia="宋体" w:hint="default"/>
          <w:sz w:val="22"/>
          <w:szCs w:val="22"/>
        </w:rPr>
      </w:pPr>
    </w:p>
    <w:p>
      <w:pPr>
        <w:pStyle w:val="Heading2"/>
        <w:spacing w:line="240" w:lineRule="auto"/>
        <w:ind w:right="0"/>
        <w:jc w:val="left"/>
        <w:rPr>
          <w:b w:val="0"/>
          <w:bCs w:val="0"/>
        </w:rPr>
      </w:pPr>
      <w:bookmarkStart w:name="十一、公允价值的披露" w:id="441"/>
      <w:bookmarkEnd w:id="441"/>
      <w:r>
        <w:rPr>
          <w:b w:val="0"/>
          <w:bCs w:val="0"/>
        </w:rPr>
      </w:r>
      <w:r>
        <w:rPr/>
        <w:t>十一、公允价值的披露</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bookmarkStart w:name="1、以公允价值计量的资产和负债的期末公允价值" w:id="442"/>
      <w:bookmarkEnd w:id="442"/>
      <w:r>
        <w:rPr>
          <w:b w:val="0"/>
          <w:bCs w:val="0"/>
        </w:rPr>
      </w:r>
      <w:r>
        <w:rPr>
          <w:rFonts w:ascii="Times New Roman" w:hAnsi="Times New Roman" w:cs="Times New Roman" w:eastAsia="Times New Roman" w:hint="default"/>
        </w:rPr>
        <w:t>1</w:t>
      </w:r>
      <w:r>
        <w:rPr/>
        <w:t>、以公允价值计量的资产和负债的期末公允价值</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95"/>
        <w:gridCol w:w="1838"/>
        <w:gridCol w:w="1913"/>
        <w:gridCol w:w="1913"/>
        <w:gridCol w:w="1913"/>
      </w:tblGrid>
      <w:tr>
        <w:trPr>
          <w:trHeight w:val="402" w:hRule="exact"/>
        </w:trPr>
        <w:tc>
          <w:tcPr>
            <w:tcW w:w="19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757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期末公允价值</w:t>
            </w:r>
          </w:p>
        </w:tc>
      </w:tr>
      <w:tr>
        <w:trPr>
          <w:trHeight w:val="714" w:hRule="exact"/>
        </w:trPr>
        <w:tc>
          <w:tcPr>
            <w:tcW w:w="1995" w:type="dxa"/>
            <w:vMerge/>
            <w:tcBorders>
              <w:left w:val="single" w:sz="4" w:space="0" w:color="000000"/>
              <w:bottom w:val="single" w:sz="4" w:space="0" w:color="000000"/>
              <w:right w:val="single" w:sz="4" w:space="0" w:color="000000"/>
            </w:tcBorders>
            <w:shd w:val="clear" w:color="auto" w:fill="D2D2D2"/>
          </w:tcPr>
          <w:p>
            <w:pPr/>
          </w:p>
        </w:tc>
        <w:tc>
          <w:tcPr>
            <w:tcW w:w="1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823" w:right="102" w:hanging="720"/>
              <w:jc w:val="left"/>
              <w:rPr>
                <w:rFonts w:ascii="宋体" w:hAnsi="宋体" w:cs="宋体" w:eastAsia="宋体" w:hint="default"/>
                <w:sz w:val="18"/>
                <w:szCs w:val="18"/>
              </w:rPr>
            </w:pPr>
            <w:r>
              <w:rPr>
                <w:rFonts w:ascii="宋体" w:hAnsi="宋体" w:cs="宋体" w:eastAsia="宋体" w:hint="default"/>
                <w:sz w:val="18"/>
                <w:szCs w:val="18"/>
              </w:rPr>
              <w:t>第一层次公允价值计 量</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第二层次公允价值计量</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第三层次公允价值计量</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pacing w:val="-4"/>
                <w:sz w:val="18"/>
                <w:szCs w:val="18"/>
              </w:rPr>
              <w:t>一、持续的公允价值计量</w:t>
            </w:r>
          </w:p>
        </w:tc>
        <w:tc>
          <w:tcPr>
            <w:tcW w:w="1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714"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22"/>
              <w:jc w:val="left"/>
              <w:rPr>
                <w:rFonts w:ascii="宋体" w:hAnsi="宋体" w:cs="宋体" w:eastAsia="宋体" w:hint="default"/>
                <w:sz w:val="18"/>
                <w:szCs w:val="18"/>
              </w:rPr>
            </w:pPr>
            <w:r>
              <w:rPr>
                <w:rFonts w:ascii="宋体" w:hAnsi="宋体" w:cs="宋体" w:eastAsia="宋体" w:hint="default"/>
                <w:spacing w:val="-4"/>
                <w:sz w:val="18"/>
                <w:szCs w:val="18"/>
              </w:rPr>
              <w:t>二、非持续的公允价值计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量</w:t>
            </w:r>
          </w:p>
        </w:tc>
        <w:tc>
          <w:tcPr>
            <w:tcW w:w="1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5"/>
        <w:spacing w:line="240" w:lineRule="auto" w:before="35"/>
        <w:ind w:right="0"/>
        <w:jc w:val="left"/>
        <w:rPr>
          <w:b w:val="0"/>
          <w:bCs w:val="0"/>
        </w:rPr>
      </w:pPr>
      <w:bookmarkStart w:name="2、持续和非持续第一层次公允价值计量项目市价的确定依据" w:id="443"/>
      <w:bookmarkEnd w:id="443"/>
      <w:r>
        <w:rPr>
          <w:b w:val="0"/>
          <w:bCs w:val="0"/>
        </w:rPr>
      </w:r>
      <w:r>
        <w:rPr>
          <w:rFonts w:ascii="Times New Roman" w:hAnsi="Times New Roman" w:cs="Times New Roman" w:eastAsia="Times New Roman" w:hint="default"/>
        </w:rPr>
        <w:t>2</w:t>
      </w:r>
      <w:r>
        <w:rPr/>
        <w:t>、持续和非持续第一层次公允价值计量项目市价的确定依据</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bookmarkStart w:name="3、持续和非持续第二层次公允价值计量项目，采用的估值技术和重要参数的定性及定量信" w:id="444"/>
      <w:bookmarkEnd w:id="444"/>
      <w:r>
        <w:rPr>
          <w:b w:val="0"/>
          <w:bCs w:val="0"/>
        </w:rPr>
      </w:r>
      <w:r>
        <w:rPr>
          <w:rFonts w:ascii="Times New Roman" w:hAnsi="Times New Roman" w:cs="Times New Roman" w:eastAsia="Times New Roman" w:hint="default"/>
        </w:rPr>
        <w:t>3</w:t>
      </w:r>
      <w:r>
        <w:rPr/>
        <w:t>、持续和非持续第二层次公允价值计量项目，采用的估值技术和重要参数的定性及定量信息</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right="0"/>
        <w:jc w:val="left"/>
        <w:rPr>
          <w:b w:val="0"/>
          <w:bCs w:val="0"/>
        </w:rPr>
      </w:pPr>
      <w:bookmarkStart w:name="4、持续和非持续第三层次公允价值计量项目，采用的估值技术和重要参数的定性及定量信" w:id="445"/>
      <w:bookmarkEnd w:id="445"/>
      <w:r>
        <w:rPr>
          <w:b w:val="0"/>
          <w:bCs w:val="0"/>
        </w:rPr>
      </w:r>
      <w:r>
        <w:rPr>
          <w:rFonts w:ascii="Times New Roman" w:hAnsi="Times New Roman" w:cs="Times New Roman" w:eastAsia="Times New Roman" w:hint="default"/>
        </w:rPr>
        <w:t>4</w:t>
      </w:r>
      <w:r>
        <w:rPr/>
        <w:t>、持续和非持续第三层次公允价值计量项目，采用的估值技术和重要参数的定性及定量信息</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bookmarkStart w:name="5、持续的第三层次公允价值计量项目，期初与期末账面价值间的调节信息及不可观察参数" w:id="446"/>
      <w:bookmarkEnd w:id="446"/>
      <w:r>
        <w:rPr>
          <w:b w:val="0"/>
          <w:bCs w:val="0"/>
        </w:rPr>
      </w:r>
      <w:r>
        <w:rPr>
          <w:rFonts w:ascii="Times New Roman" w:hAnsi="Times New Roman" w:cs="Times New Roman" w:eastAsia="Times New Roman" w:hint="default"/>
        </w:rPr>
        <w:t>5</w:t>
      </w:r>
      <w:r>
        <w:rPr/>
        <w:t>、持续的第三层次公允价值计量项目，期初与期末账面价值间的调节信息及不可观察参数敏感性分析</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bookmarkStart w:name="6、持续的公允价值计量项目，本期内发生各层级之间转换的，转换的原因及确定转换时点" w:id="447"/>
      <w:bookmarkEnd w:id="447"/>
      <w:r>
        <w:rPr>
          <w:b w:val="0"/>
          <w:bCs w:val="0"/>
        </w:rPr>
      </w:r>
      <w:r>
        <w:rPr>
          <w:rFonts w:ascii="Times New Roman" w:hAnsi="Times New Roman" w:cs="Times New Roman" w:eastAsia="Times New Roman" w:hint="default"/>
        </w:rPr>
        <w:t>6</w:t>
      </w:r>
      <w:r>
        <w:rPr/>
        <w:t>、持续的公允价值计量项目，本期内发生各层级之间转换的，转换的原因及确定转换时点的政策</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bookmarkStart w:name="7、本期内发生的估值技术变更及变更原因" w:id="448"/>
      <w:bookmarkEnd w:id="448"/>
      <w:r>
        <w:rPr>
          <w:b w:val="0"/>
          <w:bCs w:val="0"/>
        </w:rPr>
      </w:r>
      <w:r>
        <w:rPr>
          <w:rFonts w:ascii="Times New Roman" w:hAnsi="Times New Roman" w:cs="Times New Roman" w:eastAsia="Times New Roman" w:hint="default"/>
        </w:rPr>
        <w:t>7</w:t>
      </w:r>
      <w:r>
        <w:rPr/>
        <w:t>、本期内发生的估值技术变更及变更原因</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bookmarkStart w:name="8、不以公允价值计量的金融资产和金融负债的公允价值情况" w:id="449"/>
      <w:bookmarkEnd w:id="449"/>
      <w:r>
        <w:rPr>
          <w:b w:val="0"/>
          <w:bCs w:val="0"/>
        </w:rPr>
      </w:r>
      <w:r>
        <w:rPr>
          <w:rFonts w:ascii="Times New Roman" w:hAnsi="Times New Roman" w:cs="Times New Roman" w:eastAsia="Times New Roman" w:hint="default"/>
        </w:rPr>
        <w:t>8</w:t>
      </w:r>
      <w:r>
        <w:rPr/>
        <w:t>、不以公允价值计量的金融资产和金融负债的公允价值情况</w:t>
      </w:r>
      <w:r>
        <w:rPr>
          <w:b w:val="0"/>
          <w:bCs w:val="0"/>
        </w:rPr>
      </w:r>
    </w:p>
    <w:p>
      <w:pPr>
        <w:spacing w:line="240" w:lineRule="auto" w:before="8"/>
        <w:rPr>
          <w:rFonts w:ascii="宋体" w:hAnsi="宋体" w:cs="宋体" w:eastAsia="宋体" w:hint="default"/>
          <w:b/>
          <w:bCs/>
          <w:sz w:val="24"/>
          <w:szCs w:val="24"/>
        </w:rPr>
      </w:pPr>
    </w:p>
    <w:p>
      <w:pPr>
        <w:spacing w:line="487" w:lineRule="auto" w:before="0"/>
        <w:ind w:left="154" w:right="6610" w:firstLine="0"/>
        <w:jc w:val="left"/>
        <w:rPr>
          <w:rFonts w:ascii="宋体" w:hAnsi="宋体" w:cs="宋体" w:eastAsia="宋体" w:hint="default"/>
          <w:sz w:val="21"/>
          <w:szCs w:val="21"/>
        </w:rPr>
      </w:pPr>
      <w:bookmarkStart w:name="9、其他" w:id="450"/>
      <w:bookmarkEnd w:id="450"/>
      <w:r>
        <w:rPr/>
      </w:r>
      <w:r>
        <w:rPr>
          <w:rFonts w:ascii="Times New Roman" w:hAnsi="Times New Roman" w:cs="Times New Roman" w:eastAsia="Times New Roman" w:hint="default"/>
          <w:b/>
          <w:bCs/>
          <w:sz w:val="21"/>
          <w:szCs w:val="21"/>
        </w:rPr>
        <w:t>9</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二、关联方及关联交易" w:id="451"/>
      <w:bookmarkEnd w:id="451"/>
      <w:r>
        <w:rPr>
          <w:rFonts w:ascii="宋体" w:hAnsi="宋体" w:cs="宋体" w:eastAsia="宋体" w:hint="default"/>
          <w:b/>
          <w:bCs/>
          <w:spacing w:val="1"/>
          <w:w w:val="99"/>
          <w:sz w:val="21"/>
          <w:szCs w:val="21"/>
        </w:rPr>
      </w:r>
      <w:r>
        <w:rPr>
          <w:rFonts w:ascii="宋体" w:hAnsi="宋体" w:cs="宋体" w:eastAsia="宋体" w:hint="default"/>
          <w:b/>
          <w:bCs/>
          <w:w w:val="95"/>
          <w:sz w:val="24"/>
          <w:szCs w:val="24"/>
        </w:rPr>
        <w:t>十二、关联方及关联交易</w:t>
      </w:r>
      <w:r>
        <w:rPr>
          <w:rFonts w:ascii="宋体" w:hAnsi="宋体" w:cs="宋体" w:eastAsia="宋体" w:hint="default"/>
          <w:b/>
          <w:bCs/>
          <w:spacing w:val="7"/>
          <w:w w:val="95"/>
          <w:sz w:val="24"/>
          <w:szCs w:val="24"/>
        </w:rPr>
        <w:t> </w:t>
      </w:r>
      <w:r>
        <w:rPr>
          <w:rFonts w:ascii="宋体" w:hAnsi="宋体" w:cs="宋体" w:eastAsia="宋体" w:hint="default"/>
          <w:b/>
          <w:bCs/>
          <w:spacing w:val="7"/>
          <w:w w:val="95"/>
          <w:sz w:val="24"/>
          <w:szCs w:val="24"/>
        </w:rPr>
      </w:r>
      <w:bookmarkStart w:name="1、本企业的母公司情况" w:id="452"/>
      <w:bookmarkEnd w:id="452"/>
      <w:r>
        <w:rPr>
          <w:rFonts w:ascii="宋体" w:hAnsi="宋体" w:cs="宋体" w:eastAsia="宋体" w:hint="default"/>
          <w:b/>
          <w:bCs/>
          <w:spacing w:val="7"/>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、本企业的母公司情况</w:t>
      </w:r>
      <w:r>
        <w:rPr>
          <w:rFonts w:ascii="宋体" w:hAnsi="宋体" w:cs="宋体" w:eastAsia="宋体" w:hint="default"/>
          <w:sz w:val="21"/>
          <w:szCs w:val="21"/>
        </w:rPr>
      </w:r>
    </w:p>
    <w:p>
      <w:pPr>
        <w:spacing w:line="240" w:lineRule="auto" w:before="5"/>
        <w:rPr>
          <w:rFonts w:ascii="宋体" w:hAnsi="宋体" w:cs="宋体" w:eastAsia="宋体" w:hint="default"/>
          <w:b/>
          <w:bCs/>
          <w:sz w:val="7"/>
          <w:szCs w:val="7"/>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4"/>
        <w:gridCol w:w="1594"/>
        <w:gridCol w:w="1595"/>
        <w:gridCol w:w="1595"/>
      </w:tblGrid>
      <w:tr>
        <w:trPr>
          <w:trHeight w:val="714"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342"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22"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32" w:right="71" w:hanging="360"/>
              <w:jc w:val="left"/>
              <w:rPr>
                <w:rFonts w:ascii="宋体" w:hAnsi="宋体" w:cs="宋体" w:eastAsia="宋体" w:hint="default"/>
                <w:sz w:val="18"/>
                <w:szCs w:val="18"/>
              </w:rPr>
            </w:pPr>
            <w:r>
              <w:rPr>
                <w:rFonts w:ascii="宋体" w:hAnsi="宋体" w:cs="宋体" w:eastAsia="宋体" w:hint="default"/>
                <w:sz w:val="18"/>
                <w:szCs w:val="18"/>
              </w:rPr>
              <w:t>母公司对本企业的 持股比例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41" w:right="71" w:hanging="270"/>
              <w:jc w:val="left"/>
              <w:rPr>
                <w:rFonts w:ascii="宋体" w:hAnsi="宋体" w:cs="宋体" w:eastAsia="宋体" w:hint="default"/>
                <w:sz w:val="18"/>
                <w:szCs w:val="18"/>
              </w:rPr>
            </w:pPr>
            <w:r>
              <w:rPr>
                <w:rFonts w:ascii="宋体" w:hAnsi="宋体" w:cs="宋体" w:eastAsia="宋体" w:hint="default"/>
                <w:sz w:val="18"/>
                <w:szCs w:val="18"/>
              </w:rPr>
              <w:t>母公司对本企业的 表决权比例</w:t>
            </w: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高兴控股集团有限 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浙江杭州</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10"/>
                <w:sz w:val="18"/>
                <w:szCs w:val="18"/>
              </w:rPr>
              <w:t>企业投资、管理；旅</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游景点开发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50,000,000.00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007" w:right="0"/>
              <w:jc w:val="left"/>
              <w:rPr>
                <w:rFonts w:ascii="Times New Roman" w:hAnsi="Times New Roman" w:cs="Times New Roman" w:eastAsia="Times New Roman" w:hint="default"/>
                <w:sz w:val="18"/>
                <w:szCs w:val="18"/>
              </w:rPr>
            </w:pPr>
            <w:r>
              <w:rPr>
                <w:rFonts w:ascii="Times New Roman"/>
                <w:sz w:val="18"/>
              </w:rPr>
              <w:t>38.25%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006" w:right="0"/>
              <w:jc w:val="left"/>
              <w:rPr>
                <w:rFonts w:ascii="Times New Roman" w:hAnsi="Times New Roman" w:cs="Times New Roman" w:eastAsia="Times New Roman" w:hint="default"/>
                <w:sz w:val="18"/>
                <w:szCs w:val="18"/>
              </w:rPr>
            </w:pPr>
            <w:r>
              <w:rPr>
                <w:rFonts w:ascii="Times New Roman"/>
                <w:sz w:val="18"/>
              </w:rPr>
              <w:t>38.25%</w:t>
            </w:r>
          </w:p>
        </w:tc>
      </w:tr>
    </w:tbl>
    <w:p>
      <w:pPr>
        <w:pStyle w:val="BodyText"/>
        <w:spacing w:line="240" w:lineRule="auto" w:before="51"/>
        <w:ind w:right="0"/>
        <w:jc w:val="left"/>
      </w:pPr>
      <w:r>
        <w:rPr/>
        <w:t>本企业的母公司情况的说明</w:t>
      </w:r>
    </w:p>
    <w:p>
      <w:pPr>
        <w:spacing w:after="0" w:line="240" w:lineRule="auto"/>
        <w:jc w:val="left"/>
        <w:sectPr>
          <w:pgSz w:w="11910" w:h="16840"/>
          <w:pgMar w:header="747" w:footer="979" w:top="1060" w:bottom="1160" w:left="980" w:right="980"/>
        </w:sectPr>
      </w:pPr>
    </w:p>
    <w:p>
      <w:pPr>
        <w:spacing w:line="240" w:lineRule="auto" w:before="9"/>
        <w:rPr>
          <w:rFonts w:ascii="宋体" w:hAnsi="宋体" w:cs="宋体" w:eastAsia="宋体" w:hint="default"/>
          <w:sz w:val="24"/>
          <w:szCs w:val="24"/>
        </w:rPr>
      </w:pPr>
    </w:p>
    <w:p>
      <w:pPr>
        <w:pStyle w:val="Heading6"/>
        <w:spacing w:line="256" w:lineRule="auto" w:before="35"/>
        <w:ind w:right="82" w:firstLine="420"/>
        <w:jc w:val="left"/>
      </w:pPr>
      <w:r>
        <w:rPr/>
        <w:t>高兴控股集团有限公司系由杭州高新塑料厂、楼永娣共同投资设立，于</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18</w:t>
      </w:r>
      <w:r>
        <w:rPr/>
        <w:t>日在杭州市工商 行政管理局余杭分局登记注册，取得注册号为</w:t>
      </w:r>
      <w:r>
        <w:rPr>
          <w:rFonts w:ascii="Times New Roman" w:hAnsi="Times New Roman" w:cs="Times New Roman" w:eastAsia="Times New Roman" w:hint="default"/>
        </w:rPr>
        <w:t>330184000199364</w:t>
      </w:r>
      <w:r>
        <w:rPr/>
        <w:t>的营业执照。现有注册资本</w:t>
      </w:r>
      <w:r>
        <w:rPr>
          <w:rFonts w:ascii="Times New Roman" w:hAnsi="Times New Roman" w:cs="Times New Roman" w:eastAsia="Times New Roman" w:hint="default"/>
        </w:rPr>
        <w:t>5,000</w:t>
      </w:r>
      <w:r>
        <w:rPr/>
        <w:t>万元，其</w:t>
      </w:r>
      <w:r>
        <w:rPr>
          <w:spacing w:val="-80"/>
        </w:rPr>
        <w:t> </w:t>
      </w:r>
      <w:r>
        <w:rPr>
          <w:spacing w:val="-80"/>
        </w:rPr>
      </w:r>
      <w:r>
        <w:rPr/>
        <w:t>中杭州高新塑料厂出资</w:t>
      </w:r>
      <w:r>
        <w:rPr>
          <w:rFonts w:ascii="Times New Roman" w:hAnsi="Times New Roman" w:cs="Times New Roman" w:eastAsia="Times New Roman" w:hint="default"/>
        </w:rPr>
        <w:t>4,500</w:t>
      </w:r>
      <w:r>
        <w:rPr/>
        <w:t>万元，占注册资本的</w:t>
      </w:r>
      <w:r>
        <w:rPr>
          <w:rFonts w:ascii="Times New Roman" w:hAnsi="Times New Roman" w:cs="Times New Roman" w:eastAsia="Times New Roman" w:hint="default"/>
        </w:rPr>
        <w:t>90%</w:t>
      </w:r>
      <w:r>
        <w:rPr/>
        <w:t>；楼永娣出资</w:t>
      </w:r>
      <w:r>
        <w:rPr>
          <w:rFonts w:ascii="Times New Roman" w:hAnsi="Times New Roman" w:cs="Times New Roman" w:eastAsia="Times New Roman" w:hint="default"/>
        </w:rPr>
        <w:t>500</w:t>
      </w:r>
      <w:r>
        <w:rPr/>
        <w:t>万元，占注册资本的</w:t>
      </w:r>
      <w:r>
        <w:rPr>
          <w:rFonts w:ascii="Times New Roman" w:hAnsi="Times New Roman" w:cs="Times New Roman" w:eastAsia="Times New Roman" w:hint="default"/>
        </w:rPr>
        <w:t>10%</w:t>
      </w:r>
      <w:r>
        <w:rPr/>
        <w:t>。经营范</w:t>
      </w:r>
      <w:r>
        <w:rPr>
          <w:spacing w:val="-19"/>
        </w:rPr>
        <w:t> </w:t>
      </w:r>
      <w:r>
        <w:rPr>
          <w:spacing w:val="-19"/>
        </w:rPr>
      </w:r>
      <w:r>
        <w:rPr>
          <w:spacing w:val="-3"/>
        </w:rPr>
        <w:t>围：企业投资、管理；旅游景点开发；货物及技术进出口</w:t>
      </w:r>
      <w:r>
        <w:rPr>
          <w:rFonts w:ascii="Times New Roman" w:hAnsi="Times New Roman" w:cs="Times New Roman" w:eastAsia="Times New Roman" w:hint="default"/>
          <w:spacing w:val="-3"/>
        </w:rPr>
        <w:t>(</w:t>
      </w:r>
      <w:r>
        <w:rPr>
          <w:spacing w:val="-3"/>
        </w:rPr>
        <w:t>法律、行政法规禁止经营的项目除外，法律、行</w:t>
      </w:r>
      <w:r>
        <w:rPr>
          <w:spacing w:val="-63"/>
        </w:rPr>
        <w:t> </w:t>
      </w:r>
      <w:r>
        <w:rPr>
          <w:spacing w:val="-63"/>
        </w:rPr>
      </w:r>
      <w:r>
        <w:rPr/>
        <w:t>政法规限制经营的项目取得许可证后方可经营</w:t>
      </w:r>
      <w:r>
        <w:rPr>
          <w:rFonts w:ascii="Times New Roman" w:hAnsi="Times New Roman" w:cs="Times New Roman" w:eastAsia="Times New Roman" w:hint="default"/>
        </w:rPr>
        <w:t>)</w:t>
      </w:r>
      <w:r>
        <w:rPr/>
        <w:t>；建筑装潢材料、金属材料、化工原料及产品</w:t>
      </w:r>
      <w:r>
        <w:rPr>
          <w:rFonts w:ascii="Times New Roman" w:hAnsi="Times New Roman" w:cs="Times New Roman" w:eastAsia="Times New Roman" w:hint="default"/>
        </w:rPr>
        <w:t>(</w:t>
      </w:r>
      <w:r>
        <w:rPr/>
        <w:t>除易制毒化</w:t>
      </w:r>
      <w:r>
        <w:rPr>
          <w:spacing w:val="-61"/>
        </w:rPr>
        <w:t> </w:t>
      </w:r>
      <w:r>
        <w:rPr>
          <w:spacing w:val="-61"/>
        </w:rPr>
      </w:r>
      <w:r>
        <w:rPr>
          <w:spacing w:val="-3"/>
        </w:rPr>
        <w:t>学品和化学危险品</w:t>
      </w:r>
      <w:r>
        <w:rPr>
          <w:rFonts w:ascii="Times New Roman" w:hAnsi="Times New Roman" w:cs="Times New Roman" w:eastAsia="Times New Roman" w:hint="default"/>
          <w:spacing w:val="-3"/>
        </w:rPr>
        <w:t>)</w:t>
      </w:r>
      <w:r>
        <w:rPr>
          <w:spacing w:val="-3"/>
        </w:rPr>
        <w:t>、橡塑制品、一类医疗器械、机械设备及配件、五金交电、通讯器材、服装面料、办公</w:t>
      </w:r>
      <w:r>
        <w:rPr>
          <w:spacing w:val="-63"/>
        </w:rPr>
        <w:t> </w:t>
      </w:r>
      <w:r>
        <w:rPr>
          <w:spacing w:val="-63"/>
        </w:rPr>
      </w:r>
      <w:r>
        <w:rPr/>
        <w:t>用品、日用百货的销售；投资管理咨询</w:t>
      </w:r>
      <w:r>
        <w:rPr>
          <w:rFonts w:ascii="Times New Roman" w:hAnsi="Times New Roman" w:cs="Times New Roman" w:eastAsia="Times New Roman" w:hint="default"/>
        </w:rPr>
        <w:t>(</w:t>
      </w:r>
      <w:r>
        <w:rPr/>
        <w:t>除证券、期货</w:t>
      </w:r>
      <w:r>
        <w:rPr>
          <w:rFonts w:ascii="Times New Roman" w:hAnsi="Times New Roman" w:cs="Times New Roman" w:eastAsia="Times New Roman" w:hint="default"/>
        </w:rPr>
        <w:t>)</w:t>
      </w:r>
      <w:r>
        <w:rPr/>
        <w:t>，商务咨询</w:t>
      </w:r>
      <w:r>
        <w:rPr>
          <w:rFonts w:ascii="Times New Roman" w:hAnsi="Times New Roman" w:cs="Times New Roman" w:eastAsia="Times New Roman" w:hint="default"/>
        </w:rPr>
        <w:t>(</w:t>
      </w:r>
      <w:r>
        <w:rPr/>
        <w:t>除证券、期货及商品中介</w:t>
      </w:r>
      <w:r>
        <w:rPr>
          <w:rFonts w:ascii="Times New Roman" w:hAnsi="Times New Roman" w:cs="Times New Roman" w:eastAsia="Times New Roman" w:hint="default"/>
        </w:rPr>
        <w:t>)</w:t>
      </w:r>
      <w:r>
        <w:rPr/>
        <w:t>，会展服务， 计算机及网络科技领域内的技术开发、技术转让、技术服务、技术咨询。</w:t>
      </w:r>
    </w:p>
    <w:p>
      <w:pPr>
        <w:pStyle w:val="BodyText"/>
        <w:spacing w:line="360" w:lineRule="auto" w:before="88"/>
        <w:ind w:right="7472"/>
        <w:jc w:val="left"/>
      </w:pPr>
      <w:r>
        <w:rPr/>
        <w:t>本企业最终控制方是高长虹。 其他说明：</w:t>
      </w:r>
    </w:p>
    <w:p>
      <w:pPr>
        <w:spacing w:line="240" w:lineRule="auto" w:before="11"/>
        <w:rPr>
          <w:rFonts w:ascii="宋体" w:hAnsi="宋体" w:cs="宋体" w:eastAsia="宋体" w:hint="default"/>
          <w:sz w:val="19"/>
          <w:szCs w:val="19"/>
        </w:rPr>
      </w:pPr>
    </w:p>
    <w:p>
      <w:pPr>
        <w:pStyle w:val="Heading5"/>
        <w:spacing w:line="240" w:lineRule="auto"/>
        <w:ind w:right="92"/>
        <w:jc w:val="left"/>
        <w:rPr>
          <w:b w:val="0"/>
          <w:bCs w:val="0"/>
        </w:rPr>
      </w:pPr>
      <w:bookmarkStart w:name="2、本企业的子公司情况" w:id="453"/>
      <w:bookmarkEnd w:id="453"/>
      <w:r>
        <w:rPr>
          <w:b w:val="0"/>
          <w:bCs w:val="0"/>
        </w:rPr>
      </w:r>
      <w:r>
        <w:rPr>
          <w:rFonts w:ascii="Times New Roman" w:hAnsi="Times New Roman" w:cs="Times New Roman" w:eastAsia="Times New Roman" w:hint="default"/>
        </w:rPr>
        <w:t>2</w:t>
      </w:r>
      <w:r>
        <w:rPr/>
        <w:t>、本企业的子公司情况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92"/>
        <w:jc w:val="left"/>
      </w:pPr>
      <w:r>
        <w:rPr/>
        <w:t>本企业子公司的情况详见附注八。</w:t>
      </w:r>
    </w:p>
    <w:p>
      <w:pPr>
        <w:spacing w:line="240" w:lineRule="auto" w:before="10"/>
        <w:rPr>
          <w:rFonts w:ascii="宋体" w:hAnsi="宋体" w:cs="宋体" w:eastAsia="宋体" w:hint="default"/>
          <w:sz w:val="26"/>
          <w:szCs w:val="26"/>
        </w:rPr>
      </w:pPr>
    </w:p>
    <w:p>
      <w:pPr>
        <w:pStyle w:val="Heading5"/>
        <w:spacing w:line="240" w:lineRule="auto"/>
        <w:ind w:right="92"/>
        <w:jc w:val="left"/>
        <w:rPr>
          <w:b w:val="0"/>
          <w:bCs w:val="0"/>
        </w:rPr>
      </w:pPr>
      <w:bookmarkStart w:name="3、本企业合营和联营企业情况" w:id="454"/>
      <w:bookmarkEnd w:id="454"/>
      <w:r>
        <w:rPr>
          <w:b w:val="0"/>
          <w:bCs w:val="0"/>
        </w:rPr>
      </w:r>
      <w:r>
        <w:rPr>
          <w:rFonts w:ascii="Times New Roman" w:hAnsi="Times New Roman" w:cs="Times New Roman" w:eastAsia="Times New Roman" w:hint="default"/>
        </w:rPr>
        <w:t>3</w:t>
      </w:r>
      <w:r>
        <w:rPr/>
        <w:t>、本企业合营和联营企业情况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before="0"/>
        <w:ind w:right="1352"/>
        <w:jc w:val="left"/>
      </w:pPr>
      <w:r>
        <w:rPr/>
        <w:t>本企业重要的合营或联营企业详见附注。 本期与本公司发生关联方交易，或前期与本公司发生关联方交易形成余额的其他合营或联营企业情况如下：</w:t>
      </w: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576" w:right="0"/>
              <w:jc w:val="left"/>
              <w:rPr>
                <w:rFonts w:ascii="宋体" w:hAnsi="宋体" w:cs="宋体" w:eastAsia="宋体" w:hint="default"/>
                <w:sz w:val="18"/>
                <w:szCs w:val="18"/>
              </w:rPr>
            </w:pPr>
            <w:r>
              <w:rPr>
                <w:rFonts w:ascii="宋体" w:hAnsi="宋体" w:cs="宋体" w:eastAsia="宋体" w:hint="default"/>
                <w:sz w:val="18"/>
                <w:szCs w:val="18"/>
              </w:rPr>
              <w:t>合营或联营企业名称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与本企业关系</w:t>
            </w:r>
          </w:p>
        </w:tc>
      </w:tr>
    </w:tbl>
    <w:p>
      <w:pPr>
        <w:pStyle w:val="BodyText"/>
        <w:spacing w:line="240" w:lineRule="auto" w:before="68"/>
        <w:ind w:right="92"/>
        <w:jc w:val="left"/>
      </w:pPr>
      <w:r>
        <w:rPr/>
        <w:t>其他说明</w:t>
      </w:r>
    </w:p>
    <w:p>
      <w:pPr>
        <w:spacing w:line="240" w:lineRule="auto" w:before="10"/>
        <w:rPr>
          <w:rFonts w:ascii="宋体" w:hAnsi="宋体" w:cs="宋体" w:eastAsia="宋体" w:hint="default"/>
          <w:sz w:val="26"/>
          <w:szCs w:val="26"/>
        </w:rPr>
      </w:pPr>
    </w:p>
    <w:p>
      <w:pPr>
        <w:pStyle w:val="Heading5"/>
        <w:spacing w:line="240" w:lineRule="auto"/>
        <w:ind w:right="92"/>
        <w:jc w:val="left"/>
        <w:rPr>
          <w:b w:val="0"/>
          <w:bCs w:val="0"/>
        </w:rPr>
      </w:pPr>
      <w:bookmarkStart w:name="4、其他关联方情况" w:id="455"/>
      <w:bookmarkEnd w:id="455"/>
      <w:r>
        <w:rPr>
          <w:b w:val="0"/>
          <w:bCs w:val="0"/>
        </w:rPr>
      </w:r>
      <w:r>
        <w:rPr>
          <w:rFonts w:ascii="Times New Roman" w:hAnsi="Times New Roman" w:cs="Times New Roman" w:eastAsia="Times New Roman" w:hint="default"/>
        </w:rPr>
        <w:t>4</w:t>
      </w:r>
      <w:r>
        <w:rPr/>
        <w:t>、其他关联方情况</w:t>
      </w:r>
      <w:r>
        <w:rPr>
          <w:b w:val="0"/>
          <w:bCs w:val="0"/>
        </w:rPr>
      </w:r>
    </w:p>
    <w:p>
      <w:pPr>
        <w:spacing w:line="240" w:lineRule="auto" w:before="11"/>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398"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高长虹</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实际控制人</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楼永娣</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与实际控制人为夫妻关系</w:t>
            </w:r>
          </w:p>
        </w:tc>
      </w:tr>
    </w:tbl>
    <w:p>
      <w:pPr>
        <w:pStyle w:val="BodyText"/>
        <w:spacing w:line="240" w:lineRule="auto" w:before="51"/>
        <w:ind w:right="92"/>
        <w:jc w:val="left"/>
      </w:pPr>
      <w:r>
        <w:rPr/>
        <w:t>其他说明</w:t>
      </w:r>
    </w:p>
    <w:p>
      <w:pPr>
        <w:spacing w:line="240" w:lineRule="auto" w:before="10"/>
        <w:rPr>
          <w:rFonts w:ascii="宋体" w:hAnsi="宋体" w:cs="宋体" w:eastAsia="宋体" w:hint="default"/>
          <w:sz w:val="26"/>
          <w:szCs w:val="26"/>
        </w:rPr>
      </w:pPr>
    </w:p>
    <w:p>
      <w:pPr>
        <w:pStyle w:val="Heading5"/>
        <w:spacing w:line="240" w:lineRule="auto"/>
        <w:ind w:right="92"/>
        <w:jc w:val="left"/>
        <w:rPr>
          <w:b w:val="0"/>
          <w:bCs w:val="0"/>
        </w:rPr>
      </w:pPr>
      <w:bookmarkStart w:name="5、关联交易情况" w:id="456"/>
      <w:bookmarkEnd w:id="456"/>
      <w:r>
        <w:rPr>
          <w:b w:val="0"/>
          <w:bCs w:val="0"/>
        </w:rPr>
      </w:r>
      <w:r>
        <w:rPr>
          <w:rFonts w:ascii="Times New Roman" w:hAnsi="Times New Roman" w:cs="Times New Roman" w:eastAsia="Times New Roman" w:hint="default"/>
        </w:rPr>
        <w:t>5</w:t>
      </w:r>
      <w:r>
        <w:rPr/>
        <w:t>、关联交易情况</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92"/>
        <w:jc w:val="left"/>
        <w:rPr>
          <w:b w:val="0"/>
          <w:bCs w:val="0"/>
        </w:rPr>
      </w:pPr>
      <w:bookmarkStart w:name="（1）购销商品、提供和接受劳务的关联交易" w:id="457"/>
      <w:bookmarkEnd w:id="457"/>
      <w:r>
        <w:rPr>
          <w:b w:val="0"/>
          <w:bCs w:val="0"/>
        </w:rPr>
      </w: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right="92"/>
        <w:jc w:val="left"/>
      </w:pPr>
      <w:r>
        <w:rPr/>
        <w:t>采购商品</w:t>
      </w:r>
      <w:r>
        <w:rPr>
          <w:rFonts w:ascii="Times New Roman" w:hAnsi="Times New Roman" w:cs="Times New Roman" w:eastAsia="Times New Roman" w:hint="default"/>
        </w:rPr>
        <w:t>/</w:t>
      </w:r>
      <w:r>
        <w:rPr/>
        <w:t>接受劳务情况表</w:t>
      </w:r>
    </w:p>
    <w:p>
      <w:pPr>
        <w:pStyle w:val="BodyText"/>
        <w:spacing w:line="240" w:lineRule="auto" w:before="102"/>
        <w:ind w:left="0" w:right="19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40"/>
        <w:gridCol w:w="1454"/>
        <w:gridCol w:w="1455"/>
        <w:gridCol w:w="1706"/>
        <w:gridCol w:w="1708"/>
        <w:gridCol w:w="1695"/>
      </w:tblGrid>
      <w:tr>
        <w:trPr>
          <w:trHeight w:val="402" w:hRule="exact"/>
        </w:trPr>
        <w:tc>
          <w:tcPr>
            <w:tcW w:w="1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4"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82"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获批的交易额度</w:t>
            </w:r>
          </w:p>
        </w:tc>
        <w:tc>
          <w:tcPr>
            <w:tcW w:w="1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8" w:right="0"/>
              <w:jc w:val="left"/>
              <w:rPr>
                <w:rFonts w:ascii="宋体" w:hAnsi="宋体" w:cs="宋体" w:eastAsia="宋体" w:hint="default"/>
                <w:sz w:val="18"/>
                <w:szCs w:val="18"/>
              </w:rPr>
            </w:pPr>
            <w:r>
              <w:rPr>
                <w:rFonts w:ascii="宋体" w:hAnsi="宋体" w:cs="宋体" w:eastAsia="宋体" w:hint="default"/>
                <w:sz w:val="18"/>
                <w:szCs w:val="18"/>
              </w:rPr>
              <w:t>是否超过交易额度</w:t>
            </w:r>
          </w:p>
        </w:tc>
        <w:tc>
          <w:tcPr>
            <w:tcW w:w="1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98"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51"/>
        <w:ind w:right="92"/>
        <w:jc w:val="left"/>
      </w:pPr>
      <w:r>
        <w:rPr/>
        <w:t>出售商品</w:t>
      </w:r>
      <w:r>
        <w:rPr>
          <w:rFonts w:ascii="Times New Roman" w:hAnsi="Times New Roman" w:cs="Times New Roman" w:eastAsia="Times New Roman" w:hint="default"/>
        </w:rPr>
        <w:t>/</w:t>
      </w:r>
      <w:r>
        <w:rPr/>
        <w:t>提供劳务情况表</w:t>
      </w:r>
    </w:p>
    <w:p>
      <w:pPr>
        <w:pStyle w:val="BodyText"/>
        <w:spacing w:line="240" w:lineRule="auto" w:before="103"/>
        <w:ind w:left="0" w:right="19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8"/>
        <w:gridCol w:w="2259"/>
        <w:gridCol w:w="2260"/>
        <w:gridCol w:w="2652"/>
      </w:tblGrid>
      <w:tr>
        <w:trPr>
          <w:trHeight w:val="402" w:hRule="exact"/>
        </w:trPr>
        <w:tc>
          <w:tcPr>
            <w:tcW w:w="2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84"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7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7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51"/>
        <w:ind w:right="92"/>
        <w:jc w:val="left"/>
      </w:pPr>
      <w:r>
        <w:rPr/>
        <w:t>购销商品、提供和接受劳务的关联交易说明</w:t>
      </w:r>
    </w:p>
    <w:p>
      <w:pPr>
        <w:spacing w:after="0" w:line="240" w:lineRule="auto"/>
        <w:jc w:val="left"/>
        <w:sectPr>
          <w:pgSz w:w="11910" w:h="16840"/>
          <w:pgMar w:header="747" w:footer="979" w:top="1060" w:bottom="1160" w:left="980" w:right="940"/>
        </w:sectPr>
      </w:pPr>
    </w:p>
    <w:p>
      <w:pPr>
        <w:spacing w:line="240" w:lineRule="auto" w:before="9"/>
        <w:rPr>
          <w:rFonts w:ascii="宋体" w:hAnsi="宋体" w:cs="宋体" w:eastAsia="宋体" w:hint="default"/>
          <w:sz w:val="24"/>
          <w:szCs w:val="24"/>
        </w:rPr>
      </w:pPr>
    </w:p>
    <w:p>
      <w:pPr>
        <w:pStyle w:val="Heading5"/>
        <w:spacing w:line="240" w:lineRule="auto" w:before="35"/>
        <w:ind w:right="0"/>
        <w:jc w:val="left"/>
        <w:rPr>
          <w:b w:val="0"/>
          <w:bCs w:val="0"/>
        </w:rPr>
      </w:pPr>
      <w:bookmarkStart w:name="（2）关联受托管理/承包及委托管理/出包情况" w:id="458"/>
      <w:bookmarkEnd w:id="458"/>
      <w:r>
        <w:rPr>
          <w:b w:val="0"/>
          <w:bCs w:val="0"/>
        </w:rPr>
      </w:r>
      <w:r>
        <w:rPr/>
        <w:t>（</w:t>
      </w:r>
      <w:r>
        <w:rPr>
          <w:rFonts w:ascii="Times New Roman" w:hAnsi="Times New Roman" w:cs="Times New Roman" w:eastAsia="Times New Roman" w:hint="default"/>
        </w:rPr>
        <w:t>2</w:t>
      </w:r>
      <w:r>
        <w:rPr/>
        <w:t>）关联受托管理</w:t>
      </w:r>
      <w:r>
        <w:rPr>
          <w:rFonts w:ascii="Times New Roman" w:hAnsi="Times New Roman" w:cs="Times New Roman" w:eastAsia="Times New Roman" w:hint="default"/>
        </w:rPr>
        <w:t>/</w:t>
      </w:r>
      <w:r>
        <w:rPr/>
        <w:t>承包及委托管理</w:t>
      </w:r>
      <w:r>
        <w:rPr>
          <w:rFonts w:ascii="Times New Roman" w:hAnsi="Times New Roman" w:cs="Times New Roman" w:eastAsia="Times New Roman" w:hint="default"/>
        </w:rPr>
        <w:t>/</w:t>
      </w:r>
      <w:r>
        <w:rPr/>
        <w:t>出包情况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right="0"/>
        <w:jc w:val="left"/>
      </w:pPr>
      <w:r>
        <w:rPr/>
        <w:t>本公司受托管理</w:t>
      </w:r>
      <w:r>
        <w:rPr>
          <w:rFonts w:ascii="Times New Roman" w:hAnsi="Times New Roman" w:cs="Times New Roman" w:eastAsia="Times New Roman" w:hint="default"/>
        </w:rPr>
        <w:t>/</w:t>
      </w:r>
      <w:r>
        <w:rPr/>
        <w:t>承包情况表：</w:t>
      </w:r>
    </w:p>
    <w:p>
      <w:pPr>
        <w:pStyle w:val="BodyText"/>
        <w:spacing w:line="240" w:lineRule="auto" w:before="102"/>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7"/>
        <w:gridCol w:w="1368"/>
        <w:gridCol w:w="1367"/>
        <w:gridCol w:w="1368"/>
        <w:gridCol w:w="1367"/>
        <w:gridCol w:w="1367"/>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588" w:right="23" w:hanging="566"/>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出包方名 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587" w:right="23" w:hanging="566"/>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承包方名 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588" w:right="23" w:hanging="566"/>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承包资产类 型</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承包起始日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承包终止日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8" w:right="23" w:hanging="206"/>
              <w:jc w:val="left"/>
              <w:rPr>
                <w:rFonts w:ascii="宋体" w:hAnsi="宋体" w:cs="宋体" w:eastAsia="宋体" w:hint="default"/>
                <w:sz w:val="18"/>
                <w:szCs w:val="18"/>
              </w:rPr>
            </w:pPr>
            <w:r>
              <w:rPr>
                <w:rFonts w:ascii="宋体" w:hAnsi="宋体" w:cs="宋体" w:eastAsia="宋体" w:hint="default"/>
                <w:sz w:val="18"/>
                <w:szCs w:val="18"/>
              </w:rPr>
              <w:t>托管收益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承包收 益定价依据</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2" w:right="47" w:hanging="65"/>
              <w:jc w:val="left"/>
              <w:rPr>
                <w:rFonts w:ascii="宋体" w:hAnsi="宋体" w:cs="宋体" w:eastAsia="宋体" w:hint="default"/>
                <w:sz w:val="18"/>
                <w:szCs w:val="18"/>
              </w:rPr>
            </w:pPr>
            <w:r>
              <w:rPr>
                <w:rFonts w:ascii="宋体" w:hAnsi="宋体" w:cs="宋体" w:eastAsia="宋体" w:hint="default"/>
                <w:sz w:val="18"/>
                <w:szCs w:val="18"/>
              </w:rPr>
              <w:t>本期确认的托管 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承包收益</w:t>
            </w:r>
          </w:p>
        </w:tc>
      </w:tr>
    </w:tbl>
    <w:p>
      <w:pPr>
        <w:spacing w:after="0" w:line="316" w:lineRule="auto"/>
        <w:jc w:val="left"/>
        <w:rPr>
          <w:rFonts w:ascii="宋体" w:hAnsi="宋体" w:cs="宋体" w:eastAsia="宋体" w:hint="default"/>
          <w:sz w:val="18"/>
          <w:szCs w:val="18"/>
        </w:rPr>
        <w:sectPr>
          <w:pgSz w:w="11910" w:h="16840"/>
          <w:pgMar w:header="747" w:footer="979" w:top="1060" w:bottom="1160" w:left="980" w:right="980"/>
        </w:sectPr>
      </w:pPr>
    </w:p>
    <w:p>
      <w:pPr>
        <w:pStyle w:val="BodyText"/>
        <w:spacing w:line="340" w:lineRule="auto" w:before="51"/>
        <w:ind w:right="-20"/>
        <w:jc w:val="left"/>
      </w:pPr>
      <w:r>
        <w:rPr/>
        <w:t>关联托管</w:t>
      </w:r>
      <w:r>
        <w:rPr>
          <w:rFonts w:ascii="Times New Roman" w:hAnsi="Times New Roman" w:cs="Times New Roman" w:eastAsia="Times New Roman" w:hint="default"/>
        </w:rPr>
        <w:t>/</w:t>
      </w:r>
      <w:r>
        <w:rPr/>
        <w:t>承包情况说明 本公司委托管理</w:t>
      </w:r>
      <w:r>
        <w:rPr>
          <w:rFonts w:ascii="Times New Roman" w:hAnsi="Times New Roman" w:cs="Times New Roman" w:eastAsia="Times New Roman" w:hint="default"/>
        </w:rPr>
        <w:t>/</w:t>
      </w:r>
      <w:r>
        <w:rPr/>
        <w:t>出包情况表：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before="0"/>
        <w:ind w:left="153" w:right="0"/>
        <w:jc w:val="left"/>
      </w:pPr>
      <w:r>
        <w:rPr/>
        <w:t>单位： 元</w:t>
      </w:r>
    </w:p>
    <w:p>
      <w:pPr>
        <w:spacing w:after="0" w:line="240" w:lineRule="auto"/>
        <w:jc w:val="left"/>
        <w:sectPr>
          <w:type w:val="continuous"/>
          <w:pgSz w:w="11910" w:h="16840"/>
          <w:pgMar w:top="1060" w:bottom="1160" w:left="980" w:right="980"/>
          <w:cols w:num="2" w:equalWidth="0">
            <w:col w:w="2545" w:space="6284"/>
            <w:col w:w="1121"/>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7"/>
        <w:gridCol w:w="1368"/>
        <w:gridCol w:w="1367"/>
        <w:gridCol w:w="1368"/>
        <w:gridCol w:w="1367"/>
        <w:gridCol w:w="1367"/>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588" w:right="23" w:hanging="566"/>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出包方名 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587" w:right="23" w:hanging="566"/>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承包方名 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588" w:right="23" w:hanging="566"/>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出包资产类 型</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出包起始日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出包终止日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408" w:right="23" w:hanging="386"/>
              <w:jc w:val="left"/>
              <w:rPr>
                <w:rFonts w:ascii="宋体" w:hAnsi="宋体" w:cs="宋体" w:eastAsia="宋体" w:hint="default"/>
                <w:sz w:val="18"/>
                <w:szCs w:val="18"/>
              </w:rPr>
            </w:pPr>
            <w:r>
              <w:rPr>
                <w:rFonts w:ascii="宋体" w:hAnsi="宋体" w:cs="宋体" w:eastAsia="宋体" w:hint="default"/>
                <w:sz w:val="18"/>
                <w:szCs w:val="18"/>
              </w:rPr>
              <w:t>托管费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出包费定 价依据</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92" w:right="47" w:hanging="245"/>
              <w:jc w:val="left"/>
              <w:rPr>
                <w:rFonts w:ascii="宋体" w:hAnsi="宋体" w:cs="宋体" w:eastAsia="宋体" w:hint="default"/>
                <w:sz w:val="18"/>
                <w:szCs w:val="18"/>
              </w:rPr>
            </w:pPr>
            <w:r>
              <w:rPr>
                <w:rFonts w:ascii="宋体" w:hAnsi="宋体" w:cs="宋体" w:eastAsia="宋体" w:hint="default"/>
                <w:sz w:val="18"/>
                <w:szCs w:val="18"/>
              </w:rPr>
              <w:t>本期确认的托管 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w:t>
            </w:r>
          </w:p>
        </w:tc>
      </w:tr>
    </w:tbl>
    <w:p>
      <w:pPr>
        <w:pStyle w:val="BodyText"/>
        <w:spacing w:line="240" w:lineRule="auto" w:before="52"/>
        <w:ind w:right="0"/>
        <w:jc w:val="left"/>
      </w:pPr>
      <w:r>
        <w:rPr/>
        <w:t>关联管理</w:t>
      </w:r>
      <w:r>
        <w:rPr>
          <w:rFonts w:ascii="Times New Roman" w:hAnsi="Times New Roman" w:cs="Times New Roman" w:eastAsia="Times New Roman" w:hint="default"/>
        </w:rPr>
        <w:t>/</w:t>
      </w:r>
      <w:r>
        <w:rPr/>
        <w:t>出包情况说明</w:t>
      </w:r>
    </w:p>
    <w:p>
      <w:pPr>
        <w:spacing w:line="240" w:lineRule="auto" w:before="9"/>
        <w:rPr>
          <w:rFonts w:ascii="宋体" w:hAnsi="宋体" w:cs="宋体" w:eastAsia="宋体" w:hint="default"/>
          <w:sz w:val="25"/>
          <w:szCs w:val="25"/>
        </w:rPr>
      </w:pPr>
    </w:p>
    <w:p>
      <w:pPr>
        <w:pStyle w:val="Heading5"/>
        <w:spacing w:line="240" w:lineRule="auto"/>
        <w:ind w:right="0"/>
        <w:jc w:val="left"/>
        <w:rPr>
          <w:b w:val="0"/>
          <w:bCs w:val="0"/>
        </w:rPr>
      </w:pPr>
      <w:bookmarkStart w:name="（3）关联租赁情况" w:id="459"/>
      <w:bookmarkEnd w:id="459"/>
      <w:r>
        <w:rPr>
          <w:b w:val="0"/>
          <w:bCs w:val="0"/>
        </w:rPr>
      </w:r>
      <w:r>
        <w:rPr/>
        <w:t>（</w:t>
      </w:r>
      <w:r>
        <w:rPr>
          <w:rFonts w:ascii="Times New Roman" w:hAnsi="Times New Roman" w:cs="Times New Roman" w:eastAsia="Times New Roman" w:hint="default"/>
        </w:rPr>
        <w:t>3</w:t>
      </w:r>
      <w:r>
        <w:rPr/>
        <w:t>）关联租赁情况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right="0"/>
        <w:jc w:val="left"/>
      </w:pPr>
      <w:r>
        <w:rPr/>
        <w:t>本公司作为出租方：</w:t>
      </w:r>
    </w:p>
    <w:p>
      <w:pPr>
        <w:pStyle w:val="BodyText"/>
        <w:spacing w:line="240" w:lineRule="auto" w:before="116"/>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88"/>
        <w:gridCol w:w="2394"/>
        <w:gridCol w:w="2393"/>
        <w:gridCol w:w="2393"/>
      </w:tblGrid>
      <w:tr>
        <w:trPr>
          <w:trHeight w:val="402"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8" w:right="0"/>
              <w:jc w:val="left"/>
              <w:rPr>
                <w:rFonts w:ascii="宋体" w:hAnsi="宋体" w:cs="宋体" w:eastAsia="宋体" w:hint="default"/>
                <w:sz w:val="18"/>
                <w:szCs w:val="18"/>
              </w:rPr>
            </w:pPr>
            <w:r>
              <w:rPr>
                <w:rFonts w:ascii="宋体" w:hAnsi="宋体" w:cs="宋体" w:eastAsia="宋体" w:hint="default"/>
                <w:sz w:val="18"/>
                <w:szCs w:val="18"/>
              </w:rPr>
              <w:t>承租方名称</w:t>
            </w:r>
          </w:p>
        </w:tc>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1"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1" w:right="0"/>
              <w:jc w:val="left"/>
              <w:rPr>
                <w:rFonts w:ascii="宋体" w:hAnsi="宋体" w:cs="宋体" w:eastAsia="宋体" w:hint="default"/>
                <w:sz w:val="18"/>
                <w:szCs w:val="18"/>
              </w:rPr>
            </w:pPr>
            <w:r>
              <w:rPr>
                <w:rFonts w:ascii="宋体" w:hAnsi="宋体" w:cs="宋体" w:eastAsia="宋体" w:hint="default"/>
                <w:sz w:val="18"/>
                <w:szCs w:val="18"/>
              </w:rPr>
              <w:t>本期确认的租赁收入</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1" w:right="0"/>
              <w:jc w:val="left"/>
              <w:rPr>
                <w:rFonts w:ascii="宋体" w:hAnsi="宋体" w:cs="宋体" w:eastAsia="宋体" w:hint="default"/>
                <w:sz w:val="18"/>
                <w:szCs w:val="18"/>
              </w:rPr>
            </w:pPr>
            <w:r>
              <w:rPr>
                <w:rFonts w:ascii="宋体" w:hAnsi="宋体" w:cs="宋体" w:eastAsia="宋体" w:hint="default"/>
                <w:sz w:val="18"/>
                <w:szCs w:val="18"/>
              </w:rPr>
              <w:t>上期确认的租赁收入</w:t>
            </w:r>
          </w:p>
        </w:tc>
      </w:tr>
      <w:tr>
        <w:trPr>
          <w:trHeight w:val="402"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高兴控股集团有限公司</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办公楼</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50" w:right="0"/>
              <w:jc w:val="left"/>
              <w:rPr>
                <w:rFonts w:ascii="Times New Roman" w:hAnsi="Times New Roman" w:cs="Times New Roman" w:eastAsia="Times New Roman" w:hint="default"/>
                <w:sz w:val="18"/>
                <w:szCs w:val="18"/>
              </w:rPr>
            </w:pPr>
            <w:r>
              <w:rPr>
                <w:rFonts w:ascii="Times New Roman"/>
                <w:sz w:val="18"/>
              </w:rPr>
              <w:t>132,043.42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50" w:right="0"/>
              <w:jc w:val="left"/>
              <w:rPr>
                <w:rFonts w:ascii="Times New Roman" w:hAnsi="Times New Roman" w:cs="Times New Roman" w:eastAsia="Times New Roman" w:hint="default"/>
                <w:sz w:val="18"/>
                <w:szCs w:val="18"/>
              </w:rPr>
            </w:pPr>
            <w:r>
              <w:rPr>
                <w:rFonts w:ascii="Times New Roman"/>
                <w:sz w:val="18"/>
              </w:rPr>
              <w:t>120,039.47</w:t>
            </w:r>
          </w:p>
        </w:tc>
      </w:tr>
    </w:tbl>
    <w:p>
      <w:pPr>
        <w:pStyle w:val="BodyText"/>
        <w:spacing w:line="240" w:lineRule="auto" w:before="51"/>
        <w:ind w:right="0"/>
        <w:jc w:val="left"/>
      </w:pPr>
      <w:r>
        <w:rPr/>
        <w:t>本公司作为承租方：</w:t>
      </w:r>
    </w:p>
    <w:p>
      <w:pPr>
        <w:pStyle w:val="BodyText"/>
        <w:spacing w:line="240" w:lineRule="auto" w:before="117"/>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出租方名称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1"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0" w:right="0"/>
              <w:jc w:val="left"/>
              <w:rPr>
                <w:rFonts w:ascii="宋体" w:hAnsi="宋体" w:cs="宋体" w:eastAsia="宋体" w:hint="default"/>
                <w:sz w:val="18"/>
                <w:szCs w:val="18"/>
              </w:rPr>
            </w:pPr>
            <w:r>
              <w:rPr>
                <w:rFonts w:ascii="宋体" w:hAnsi="宋体" w:cs="宋体" w:eastAsia="宋体" w:hint="default"/>
                <w:sz w:val="18"/>
                <w:szCs w:val="18"/>
              </w:rPr>
              <w:t>本期确认的租赁费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0" w:right="0"/>
              <w:jc w:val="left"/>
              <w:rPr>
                <w:rFonts w:ascii="宋体" w:hAnsi="宋体" w:cs="宋体" w:eastAsia="宋体" w:hint="default"/>
                <w:sz w:val="18"/>
                <w:szCs w:val="18"/>
              </w:rPr>
            </w:pPr>
            <w:r>
              <w:rPr>
                <w:rFonts w:ascii="宋体" w:hAnsi="宋体" w:cs="宋体" w:eastAsia="宋体" w:hint="default"/>
                <w:sz w:val="18"/>
                <w:szCs w:val="18"/>
              </w:rPr>
              <w:t>上期确认的租赁费</w:t>
            </w:r>
          </w:p>
        </w:tc>
      </w:tr>
    </w:tbl>
    <w:p>
      <w:pPr>
        <w:pStyle w:val="BodyText"/>
        <w:spacing w:line="240" w:lineRule="auto" w:before="51"/>
        <w:ind w:right="0"/>
        <w:jc w:val="left"/>
      </w:pPr>
      <w:r>
        <w:rPr/>
        <w:t>关联租赁情况说明</w:t>
      </w: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bookmarkStart w:name="（4）关联担保情况" w:id="460"/>
      <w:bookmarkEnd w:id="460"/>
      <w:r>
        <w:rPr>
          <w:b w:val="0"/>
          <w:bCs w:val="0"/>
        </w:rPr>
      </w:r>
      <w:r>
        <w:rPr/>
        <w:t>（</w:t>
      </w:r>
      <w:r>
        <w:rPr>
          <w:rFonts w:ascii="Times New Roman" w:hAnsi="Times New Roman" w:cs="Times New Roman" w:eastAsia="Times New Roman" w:hint="default"/>
        </w:rPr>
        <w:t>4</w:t>
      </w:r>
      <w:r>
        <w:rPr/>
        <w:t>）关联担保情况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right="0"/>
        <w:jc w:val="left"/>
      </w:pPr>
      <w:r>
        <w:rPr/>
        <w:t>本公司作为担保方</w:t>
      </w:r>
    </w:p>
    <w:p>
      <w:pPr>
        <w:pStyle w:val="BodyText"/>
        <w:spacing w:line="240" w:lineRule="auto" w:before="116"/>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3"/>
        <w:gridCol w:w="1916"/>
        <w:gridCol w:w="1914"/>
        <w:gridCol w:w="1914"/>
        <w:gridCol w:w="1903"/>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被担保方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bl>
    <w:p>
      <w:pPr>
        <w:pStyle w:val="BodyText"/>
        <w:spacing w:line="240" w:lineRule="auto" w:before="51"/>
        <w:ind w:right="0"/>
        <w:jc w:val="left"/>
      </w:pPr>
      <w:r>
        <w:rPr/>
        <w:t>本公司作为被担保方</w:t>
      </w:r>
    </w:p>
    <w:p>
      <w:pPr>
        <w:pStyle w:val="BodyText"/>
        <w:spacing w:line="240" w:lineRule="auto" w:before="117"/>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3"/>
        <w:gridCol w:w="1916"/>
        <w:gridCol w:w="1914"/>
        <w:gridCol w:w="1914"/>
        <w:gridCol w:w="1914"/>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7"/>
              <w:jc w:val="center"/>
              <w:rPr>
                <w:rFonts w:ascii="宋体" w:hAnsi="宋体" w:cs="宋体" w:eastAsia="宋体" w:hint="default"/>
                <w:sz w:val="18"/>
                <w:szCs w:val="18"/>
              </w:rPr>
            </w:pPr>
            <w:r>
              <w:rPr>
                <w:rFonts w:ascii="宋体" w:hAnsi="宋体" w:cs="宋体" w:eastAsia="宋体" w:hint="default"/>
                <w:sz w:val="18"/>
                <w:szCs w:val="18"/>
              </w:rPr>
              <w:t>高兴控股集团有限公司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7"/>
              <w:jc w:val="center"/>
              <w:rPr>
                <w:rFonts w:ascii="宋体" w:hAnsi="宋体" w:cs="宋体" w:eastAsia="宋体" w:hint="default"/>
                <w:sz w:val="18"/>
                <w:szCs w:val="18"/>
              </w:rPr>
            </w:pPr>
            <w:r>
              <w:rPr>
                <w:rFonts w:ascii="宋体" w:hAnsi="宋体" w:cs="宋体" w:eastAsia="宋体" w:hint="default"/>
                <w:sz w:val="18"/>
                <w:szCs w:val="18"/>
              </w:rPr>
              <w:t>高兴控股集团有限公司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58"/>
              <w:jc w:val="left"/>
              <w:rPr>
                <w:rFonts w:ascii="宋体" w:hAnsi="宋体" w:cs="宋体" w:eastAsia="宋体" w:hint="default"/>
                <w:sz w:val="18"/>
                <w:szCs w:val="18"/>
              </w:rPr>
            </w:pPr>
            <w:r>
              <w:rPr>
                <w:rFonts w:ascii="宋体" w:hAnsi="宋体" w:cs="宋体" w:eastAsia="宋体" w:hint="default"/>
                <w:sz w:val="18"/>
                <w:szCs w:val="18"/>
              </w:rPr>
              <w:t>高兴控股集团有限公 司、高长虹、楼永娣</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58"/>
              <w:jc w:val="left"/>
              <w:rPr>
                <w:rFonts w:ascii="宋体" w:hAnsi="宋体" w:cs="宋体" w:eastAsia="宋体" w:hint="default"/>
                <w:sz w:val="18"/>
                <w:szCs w:val="18"/>
              </w:rPr>
            </w:pPr>
            <w:r>
              <w:rPr>
                <w:rFonts w:ascii="宋体" w:hAnsi="宋体" w:cs="宋体" w:eastAsia="宋体" w:hint="default"/>
                <w:sz w:val="18"/>
                <w:szCs w:val="18"/>
              </w:rPr>
              <w:t>高兴控股集团有限公 司、高长虹、楼永娣</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type w:val="continuous"/>
          <w:pgSz w:w="11910" w:h="16840"/>
          <w:pgMar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3"/>
        <w:gridCol w:w="1916"/>
        <w:gridCol w:w="1914"/>
        <w:gridCol w:w="1914"/>
        <w:gridCol w:w="1914"/>
      </w:tblGrid>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58"/>
              <w:jc w:val="left"/>
              <w:rPr>
                <w:rFonts w:ascii="宋体" w:hAnsi="宋体" w:cs="宋体" w:eastAsia="宋体" w:hint="default"/>
                <w:sz w:val="18"/>
                <w:szCs w:val="18"/>
              </w:rPr>
            </w:pPr>
            <w:r>
              <w:rPr>
                <w:rFonts w:ascii="宋体" w:hAnsi="宋体" w:cs="宋体" w:eastAsia="宋体" w:hint="default"/>
                <w:sz w:val="18"/>
                <w:szCs w:val="18"/>
              </w:rPr>
              <w:t>高兴控股集团有限公 司、高长虹、楼永娣</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58"/>
              <w:jc w:val="left"/>
              <w:rPr>
                <w:rFonts w:ascii="宋体" w:hAnsi="宋体" w:cs="宋体" w:eastAsia="宋体" w:hint="default"/>
                <w:sz w:val="18"/>
                <w:szCs w:val="18"/>
              </w:rPr>
            </w:pPr>
            <w:r>
              <w:rPr>
                <w:rFonts w:ascii="宋体" w:hAnsi="宋体" w:cs="宋体" w:eastAsia="宋体" w:hint="default"/>
                <w:sz w:val="18"/>
                <w:szCs w:val="18"/>
              </w:rPr>
              <w:t>高兴控股集团有限公 司、高长虹、楼永娣</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58"/>
              <w:jc w:val="left"/>
              <w:rPr>
                <w:rFonts w:ascii="宋体" w:hAnsi="宋体" w:cs="宋体" w:eastAsia="宋体" w:hint="default"/>
                <w:sz w:val="18"/>
                <w:szCs w:val="18"/>
              </w:rPr>
            </w:pPr>
            <w:r>
              <w:rPr>
                <w:rFonts w:ascii="宋体" w:hAnsi="宋体" w:cs="宋体" w:eastAsia="宋体" w:hint="default"/>
                <w:sz w:val="18"/>
                <w:szCs w:val="18"/>
              </w:rPr>
              <w:t>高兴控股集团有限公 司、高长虹、楼永娣</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17,600,000.00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51"/>
        <w:ind w:right="0"/>
        <w:jc w:val="left"/>
      </w:pPr>
      <w:r>
        <w:rPr/>
        <w:t>关联担保情况说明</w:t>
      </w: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bookmarkStart w:name="（5）关联方资金拆借" w:id="461"/>
      <w:bookmarkEnd w:id="461"/>
      <w:r>
        <w:rPr>
          <w:b w:val="0"/>
          <w:bCs w:val="0"/>
        </w:rPr>
      </w:r>
      <w:r>
        <w:rPr/>
        <w:t>（</w:t>
      </w:r>
      <w:r>
        <w:rPr>
          <w:rFonts w:ascii="Times New Roman" w:hAnsi="Times New Roman" w:cs="Times New Roman" w:eastAsia="Times New Roman" w:hint="default"/>
        </w:rPr>
        <w:t>5</w:t>
      </w:r>
      <w:r>
        <w:rPr/>
        <w:t>）关联方资金拆借</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3"/>
        <w:gridCol w:w="1914"/>
        <w:gridCol w:w="1915"/>
        <w:gridCol w:w="1914"/>
        <w:gridCol w:w="1903"/>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拆借金额</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956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拆入</w:t>
            </w:r>
          </w:p>
        </w:tc>
      </w:tr>
      <w:tr>
        <w:trPr>
          <w:trHeight w:val="402" w:hRule="exact"/>
        </w:trPr>
        <w:tc>
          <w:tcPr>
            <w:tcW w:w="956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拆出</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bookmarkStart w:name="（6）关联方资产转让、债务重组情况" w:id="462"/>
      <w:bookmarkEnd w:id="462"/>
      <w:r>
        <w:rPr>
          <w:b w:val="0"/>
          <w:bCs w:val="0"/>
        </w:rPr>
      </w:r>
      <w:r>
        <w:rPr/>
        <w:t>（</w:t>
      </w:r>
      <w:r>
        <w:rPr>
          <w:rFonts w:ascii="Times New Roman" w:hAnsi="Times New Roman" w:cs="Times New Roman" w:eastAsia="Times New Roman" w:hint="default"/>
        </w:rPr>
        <w:t>6</w:t>
      </w:r>
      <w:r>
        <w:rPr/>
        <w:t>）关联方资产转让、债务重组情况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1"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line="240" w:lineRule="auto" w:before="3"/>
        <w:rPr>
          <w:rFonts w:ascii="宋体" w:hAnsi="宋体" w:cs="宋体" w:eastAsia="宋体" w:hint="default"/>
          <w:sz w:val="19"/>
          <w:szCs w:val="19"/>
        </w:rPr>
      </w:pPr>
    </w:p>
    <w:p>
      <w:pPr>
        <w:pStyle w:val="Heading5"/>
        <w:spacing w:line="240" w:lineRule="auto" w:before="35"/>
        <w:ind w:right="0"/>
        <w:jc w:val="left"/>
        <w:rPr>
          <w:b w:val="0"/>
          <w:bCs w:val="0"/>
        </w:rPr>
      </w:pPr>
      <w:bookmarkStart w:name="（7）关键管理人员报酬" w:id="463"/>
      <w:bookmarkEnd w:id="463"/>
      <w:r>
        <w:rPr>
          <w:b w:val="0"/>
          <w:bCs w:val="0"/>
        </w:rPr>
      </w:r>
      <w:r>
        <w:rPr/>
        <w:t>（</w:t>
      </w:r>
      <w:r>
        <w:rPr>
          <w:rFonts w:ascii="Times New Roman" w:hAnsi="Times New Roman" w:cs="Times New Roman" w:eastAsia="Times New Roman" w:hint="default"/>
        </w:rPr>
        <w:t>7</w:t>
      </w:r>
      <w:r>
        <w:rPr/>
        <w:t>）关键管理人员报酬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1"/>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关键管理人员报酬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360.59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353.53</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bookmarkStart w:name="（8）其他关联交易" w:id="464"/>
      <w:bookmarkEnd w:id="464"/>
      <w:r>
        <w:rPr>
          <w:b w:val="0"/>
          <w:bCs w:val="0"/>
        </w:rPr>
      </w:r>
      <w:r>
        <w:rPr/>
        <w:t>（</w:t>
      </w:r>
      <w:r>
        <w:rPr>
          <w:rFonts w:ascii="Times New Roman" w:hAnsi="Times New Roman" w:cs="Times New Roman" w:eastAsia="Times New Roman" w:hint="default"/>
        </w:rPr>
        <w:t>8</w:t>
      </w:r>
      <w:r>
        <w:rPr/>
        <w:t>）其他关联交易</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bookmarkStart w:name="6、关联方应收应付款项" w:id="465"/>
      <w:bookmarkEnd w:id="465"/>
      <w:r>
        <w:rPr>
          <w:b w:val="0"/>
          <w:bCs w:val="0"/>
        </w:rPr>
      </w:r>
      <w:r>
        <w:rPr>
          <w:rFonts w:ascii="Times New Roman" w:hAnsi="Times New Roman" w:cs="Times New Roman" w:eastAsia="Times New Roman" w:hint="default"/>
        </w:rPr>
        <w:t>6</w:t>
      </w:r>
      <w:r>
        <w:rPr/>
        <w:t>、关联方应收应付款项</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bookmarkStart w:name="（1）应收项目" w:id="466"/>
      <w:bookmarkEnd w:id="466"/>
      <w:r>
        <w:rPr>
          <w:b w:val="0"/>
          <w:bCs w:val="0"/>
        </w:rPr>
      </w:r>
      <w:r>
        <w:rPr/>
        <w:t>（</w:t>
      </w:r>
      <w:r>
        <w:rPr>
          <w:rFonts w:ascii="Times New Roman" w:hAnsi="Times New Roman" w:cs="Times New Roman" w:eastAsia="Times New Roman" w:hint="default"/>
        </w:rPr>
        <w:t>1</w:t>
      </w:r>
      <w:r>
        <w:rPr/>
        <w:t>）应收项目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402" w:hRule="exact"/>
        </w:trPr>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522"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595" w:type="dxa"/>
            <w:vMerge/>
            <w:tcBorders>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6"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120"/>
              <w:jc w:val="left"/>
              <w:rPr>
                <w:rFonts w:ascii="宋体" w:hAnsi="宋体" w:cs="宋体" w:eastAsia="宋体" w:hint="default"/>
                <w:sz w:val="18"/>
                <w:szCs w:val="18"/>
              </w:rPr>
            </w:pPr>
            <w:r>
              <w:rPr>
                <w:rFonts w:ascii="宋体" w:hAnsi="宋体" w:cs="宋体" w:eastAsia="宋体" w:hint="default"/>
                <w:sz w:val="18"/>
                <w:szCs w:val="18"/>
              </w:rPr>
              <w:t>高兴控股集团有限 公司</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51" w:right="0"/>
              <w:jc w:val="left"/>
              <w:rPr>
                <w:rFonts w:ascii="Times New Roman" w:hAnsi="Times New Roman" w:cs="Times New Roman" w:eastAsia="Times New Roman" w:hint="default"/>
                <w:sz w:val="18"/>
                <w:szCs w:val="18"/>
              </w:rPr>
            </w:pPr>
            <w:r>
              <w:rPr>
                <w:rFonts w:ascii="Times New Roman"/>
                <w:sz w:val="18"/>
              </w:rPr>
              <w:t>120,039.47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32" w:right="0"/>
              <w:jc w:val="left"/>
              <w:rPr>
                <w:rFonts w:ascii="Times New Roman" w:hAnsi="Times New Roman" w:cs="Times New Roman" w:eastAsia="Times New Roman" w:hint="default"/>
                <w:sz w:val="18"/>
                <w:szCs w:val="18"/>
              </w:rPr>
            </w:pPr>
            <w:r>
              <w:rPr>
                <w:rFonts w:ascii="Times New Roman"/>
                <w:sz w:val="18"/>
              </w:rPr>
              <w:t>6,001.97</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bookmarkStart w:name="（2）应付项目" w:id="467"/>
      <w:bookmarkEnd w:id="467"/>
      <w:r>
        <w:rPr>
          <w:b w:val="0"/>
          <w:bCs w:val="0"/>
        </w:rPr>
      </w:r>
      <w:r>
        <w:rPr/>
        <w:t>（</w:t>
      </w:r>
      <w:r>
        <w:rPr>
          <w:rFonts w:ascii="Times New Roman" w:hAnsi="Times New Roman" w:cs="Times New Roman" w:eastAsia="Times New Roman" w:hint="default"/>
        </w:rPr>
        <w:t>2</w:t>
      </w:r>
      <w:r>
        <w:rPr/>
        <w:t>）应付项目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after="0" w:line="240" w:lineRule="auto"/>
        <w:jc w:val="right"/>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bookmarkStart w:name="7、关联方承诺" w:id="468"/>
      <w:bookmarkEnd w:id="468"/>
      <w:r>
        <w:rPr>
          <w:b w:val="0"/>
          <w:bCs w:val="0"/>
        </w:rPr>
      </w:r>
      <w:r>
        <w:rPr>
          <w:rFonts w:ascii="Times New Roman" w:hAnsi="Times New Roman" w:cs="Times New Roman" w:eastAsia="Times New Roman" w:hint="default"/>
        </w:rPr>
        <w:t>7</w:t>
      </w:r>
      <w:r>
        <w:rPr/>
        <w:t>、关联方承诺</w:t>
      </w:r>
      <w:r>
        <w:rPr>
          <w:b w:val="0"/>
          <w:bCs w:val="0"/>
        </w:rPr>
      </w:r>
    </w:p>
    <w:p>
      <w:pPr>
        <w:spacing w:line="240" w:lineRule="auto" w:before="9"/>
        <w:rPr>
          <w:rFonts w:ascii="宋体" w:hAnsi="宋体" w:cs="宋体" w:eastAsia="宋体" w:hint="default"/>
          <w:b/>
          <w:bCs/>
          <w:sz w:val="24"/>
          <w:szCs w:val="24"/>
        </w:rPr>
      </w:pPr>
    </w:p>
    <w:p>
      <w:pPr>
        <w:spacing w:line="487" w:lineRule="auto" w:before="0"/>
        <w:ind w:left="154" w:right="7770" w:firstLine="0"/>
        <w:jc w:val="left"/>
        <w:rPr>
          <w:rFonts w:ascii="宋体" w:hAnsi="宋体" w:cs="宋体" w:eastAsia="宋体" w:hint="default"/>
          <w:sz w:val="21"/>
          <w:szCs w:val="21"/>
        </w:rPr>
      </w:pPr>
      <w:bookmarkStart w:name="8、其他" w:id="469"/>
      <w:bookmarkEnd w:id="469"/>
      <w:r>
        <w:rPr/>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三、股份支付" w:id="470"/>
      <w:bookmarkEnd w:id="470"/>
      <w:r>
        <w:rPr>
          <w:rFonts w:ascii="宋体" w:hAnsi="宋体" w:cs="宋体" w:eastAsia="宋体" w:hint="default"/>
          <w:b/>
          <w:bCs/>
          <w:spacing w:val="1"/>
          <w:w w:val="99"/>
          <w:sz w:val="21"/>
          <w:szCs w:val="21"/>
        </w:rPr>
      </w:r>
      <w:r>
        <w:rPr>
          <w:rFonts w:ascii="宋体" w:hAnsi="宋体" w:cs="宋体" w:eastAsia="宋体" w:hint="default"/>
          <w:b/>
          <w:bCs/>
          <w:sz w:val="24"/>
          <w:szCs w:val="24"/>
        </w:rPr>
        <w:t>十三、股份支付</w:t>
      </w:r>
      <w:r>
        <w:rPr>
          <w:rFonts w:ascii="宋体" w:hAnsi="宋体" w:cs="宋体" w:eastAsia="宋体" w:hint="default"/>
          <w:b/>
          <w:bCs/>
          <w:w w:val="99"/>
          <w:sz w:val="24"/>
          <w:szCs w:val="24"/>
        </w:rPr>
        <w:t> </w:t>
      </w:r>
      <w:bookmarkStart w:name="1、股份支付总体情况" w:id="471"/>
      <w:bookmarkEnd w:id="471"/>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、股份支付总体情况</w:t>
      </w:r>
      <w:r>
        <w:rPr>
          <w:rFonts w:ascii="宋体" w:hAnsi="宋体" w:cs="宋体" w:eastAsia="宋体" w:hint="default"/>
          <w:sz w:val="21"/>
          <w:szCs w:val="21"/>
        </w:rPr>
      </w:r>
    </w:p>
    <w:p>
      <w:pPr>
        <w:pStyle w:val="BodyText"/>
        <w:spacing w:line="240" w:lineRule="auto" w:before="108"/>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5"/>
        <w:spacing w:line="240" w:lineRule="auto"/>
        <w:ind w:right="0"/>
        <w:jc w:val="left"/>
        <w:rPr>
          <w:b w:val="0"/>
          <w:bCs w:val="0"/>
        </w:rPr>
      </w:pPr>
      <w:bookmarkStart w:name="2、以权益结算的股份支付情况" w:id="472"/>
      <w:bookmarkEnd w:id="472"/>
      <w:r>
        <w:rPr>
          <w:b w:val="0"/>
          <w:bCs w:val="0"/>
        </w:rPr>
      </w:r>
      <w:r>
        <w:rPr>
          <w:rFonts w:ascii="Times New Roman" w:hAnsi="Times New Roman" w:cs="Times New Roman" w:eastAsia="Times New Roman" w:hint="default"/>
        </w:rPr>
        <w:t>2</w:t>
      </w:r>
      <w:r>
        <w:rPr/>
        <w:t>、以权益结算的股份支付情况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5"/>
        <w:spacing w:line="240" w:lineRule="auto"/>
        <w:ind w:right="0"/>
        <w:jc w:val="left"/>
        <w:rPr>
          <w:b w:val="0"/>
          <w:bCs w:val="0"/>
        </w:rPr>
      </w:pPr>
      <w:bookmarkStart w:name="3、以现金结算的股份支付情况" w:id="473"/>
      <w:bookmarkEnd w:id="473"/>
      <w:r>
        <w:rPr>
          <w:b w:val="0"/>
          <w:bCs w:val="0"/>
        </w:rPr>
      </w:r>
      <w:r>
        <w:rPr>
          <w:rFonts w:ascii="Times New Roman" w:hAnsi="Times New Roman" w:cs="Times New Roman" w:eastAsia="Times New Roman" w:hint="default"/>
        </w:rPr>
        <w:t>3</w:t>
      </w:r>
      <w:r>
        <w:rPr/>
        <w:t>、以现金结算的股份支付情况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5"/>
        <w:spacing w:line="240" w:lineRule="auto"/>
        <w:ind w:right="0"/>
        <w:jc w:val="left"/>
        <w:rPr>
          <w:b w:val="0"/>
          <w:bCs w:val="0"/>
        </w:rPr>
      </w:pPr>
      <w:bookmarkStart w:name="4、股份支付的修改、终止情况" w:id="474"/>
      <w:bookmarkEnd w:id="474"/>
      <w:r>
        <w:rPr>
          <w:b w:val="0"/>
          <w:bCs w:val="0"/>
        </w:rPr>
      </w:r>
      <w:r>
        <w:rPr>
          <w:rFonts w:ascii="Times New Roman" w:hAnsi="Times New Roman" w:cs="Times New Roman" w:eastAsia="Times New Roman" w:hint="default"/>
        </w:rPr>
        <w:t>4</w:t>
      </w:r>
      <w:r>
        <w:rPr/>
        <w:t>、股份支付的修改、终止情况</w:t>
      </w:r>
      <w:r>
        <w:rPr>
          <w:b w:val="0"/>
          <w:bCs w:val="0"/>
        </w:rPr>
      </w:r>
    </w:p>
    <w:p>
      <w:pPr>
        <w:spacing w:line="240" w:lineRule="auto" w:before="10"/>
        <w:rPr>
          <w:rFonts w:ascii="宋体" w:hAnsi="宋体" w:cs="宋体" w:eastAsia="宋体" w:hint="default"/>
          <w:b/>
          <w:bCs/>
          <w:sz w:val="24"/>
          <w:szCs w:val="24"/>
        </w:rPr>
      </w:pPr>
    </w:p>
    <w:p>
      <w:pPr>
        <w:spacing w:line="487" w:lineRule="auto" w:before="0"/>
        <w:ind w:left="154" w:right="7432" w:firstLine="0"/>
        <w:jc w:val="left"/>
        <w:rPr>
          <w:rFonts w:ascii="宋体" w:hAnsi="宋体" w:cs="宋体" w:eastAsia="宋体" w:hint="default"/>
          <w:sz w:val="21"/>
          <w:szCs w:val="21"/>
        </w:rPr>
      </w:pPr>
      <w:bookmarkStart w:name="5、其他" w:id="475"/>
      <w:bookmarkEnd w:id="475"/>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四、承诺及或有事项" w:id="476"/>
      <w:bookmarkEnd w:id="476"/>
      <w:r>
        <w:rPr>
          <w:rFonts w:ascii="宋体" w:hAnsi="宋体" w:cs="宋体" w:eastAsia="宋体" w:hint="default"/>
          <w:b/>
          <w:bCs/>
          <w:spacing w:val="1"/>
          <w:w w:val="99"/>
          <w:sz w:val="21"/>
          <w:szCs w:val="21"/>
        </w:rPr>
      </w:r>
      <w:r>
        <w:rPr>
          <w:rFonts w:ascii="宋体" w:hAnsi="宋体" w:cs="宋体" w:eastAsia="宋体" w:hint="default"/>
          <w:b/>
          <w:bCs/>
          <w:w w:val="95"/>
          <w:sz w:val="24"/>
          <w:szCs w:val="24"/>
        </w:rPr>
        <w:t>十四、承诺及或有事项</w:t>
      </w:r>
      <w:r>
        <w:rPr>
          <w:rFonts w:ascii="宋体" w:hAnsi="宋体" w:cs="宋体" w:eastAsia="宋体" w:hint="default"/>
          <w:b/>
          <w:bCs/>
          <w:spacing w:val="-4"/>
          <w:w w:val="95"/>
          <w:sz w:val="24"/>
          <w:szCs w:val="24"/>
        </w:rPr>
        <w:t> </w:t>
      </w:r>
      <w:r>
        <w:rPr>
          <w:rFonts w:ascii="宋体" w:hAnsi="宋体" w:cs="宋体" w:eastAsia="宋体" w:hint="default"/>
          <w:b/>
          <w:bCs/>
          <w:spacing w:val="-4"/>
          <w:w w:val="95"/>
          <w:sz w:val="24"/>
          <w:szCs w:val="24"/>
        </w:rPr>
      </w:r>
      <w:bookmarkStart w:name="1、重要承诺事项" w:id="477"/>
      <w:bookmarkEnd w:id="477"/>
      <w:r>
        <w:rPr>
          <w:rFonts w:ascii="宋体" w:hAnsi="宋体" w:cs="宋体" w:eastAsia="宋体" w:hint="default"/>
          <w:b/>
          <w:bCs/>
          <w:spacing w:val="-4"/>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、重要承诺事项</w:t>
      </w:r>
      <w:r>
        <w:rPr>
          <w:rFonts w:ascii="宋体" w:hAnsi="宋体" w:cs="宋体" w:eastAsia="宋体" w:hint="default"/>
          <w:sz w:val="21"/>
          <w:szCs w:val="21"/>
        </w:rPr>
      </w:r>
    </w:p>
    <w:p>
      <w:pPr>
        <w:pStyle w:val="BodyText"/>
        <w:spacing w:line="240" w:lineRule="auto" w:before="108"/>
        <w:ind w:right="0"/>
        <w:jc w:val="left"/>
      </w:pPr>
      <w:r>
        <w:rPr/>
        <w:t>资产负债表日存在的重要承诺</w:t>
      </w:r>
    </w:p>
    <w:p>
      <w:pPr>
        <w:pStyle w:val="Heading6"/>
        <w:spacing w:line="240" w:lineRule="auto" w:before="89"/>
        <w:ind w:left="574" w:right="0"/>
        <w:jc w:val="left"/>
      </w:pPr>
      <w:r>
        <w:rPr/>
        <w:t>本公司在资产负债表日，不存在需要披露的重大承诺事项。</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9"/>
          <w:szCs w:val="29"/>
        </w:rPr>
      </w:pPr>
    </w:p>
    <w:p>
      <w:pPr>
        <w:pStyle w:val="Heading5"/>
        <w:spacing w:line="240" w:lineRule="auto"/>
        <w:ind w:right="0"/>
        <w:jc w:val="left"/>
        <w:rPr>
          <w:b w:val="0"/>
          <w:bCs w:val="0"/>
        </w:rPr>
      </w:pPr>
      <w:bookmarkStart w:name="2、或有事项" w:id="478"/>
      <w:bookmarkEnd w:id="478"/>
      <w:r>
        <w:rPr>
          <w:b w:val="0"/>
          <w:bCs w:val="0"/>
        </w:rPr>
      </w:r>
      <w:r>
        <w:rPr>
          <w:rFonts w:ascii="Times New Roman" w:hAnsi="Times New Roman" w:cs="Times New Roman" w:eastAsia="Times New Roman" w:hint="default"/>
        </w:rPr>
        <w:t>2</w:t>
      </w:r>
      <w:r>
        <w:rPr/>
        <w:t>、或有事项</w:t>
      </w:r>
      <w:r>
        <w:rPr>
          <w:b w:val="0"/>
          <w:bCs w:val="0"/>
        </w:rPr>
      </w:r>
    </w:p>
    <w:p>
      <w:pPr>
        <w:spacing w:line="240" w:lineRule="auto" w:before="10"/>
        <w:rPr>
          <w:rFonts w:ascii="宋体" w:hAnsi="宋体" w:cs="宋体" w:eastAsia="宋体" w:hint="default"/>
          <w:b/>
          <w:bCs/>
          <w:sz w:val="24"/>
          <w:szCs w:val="24"/>
        </w:rPr>
      </w:pPr>
    </w:p>
    <w:p>
      <w:pPr>
        <w:spacing w:line="506" w:lineRule="auto" w:before="0"/>
        <w:ind w:left="574" w:right="3892" w:hanging="420"/>
        <w:jc w:val="left"/>
        <w:rPr>
          <w:rFonts w:ascii="宋体" w:hAnsi="宋体" w:cs="宋体" w:eastAsia="宋体" w:hint="default"/>
          <w:sz w:val="21"/>
          <w:szCs w:val="21"/>
        </w:rPr>
      </w:pPr>
      <w:bookmarkStart w:name="（1）资产负债表日存在的重要或有事项" w:id="479"/>
      <w:bookmarkEnd w:id="479"/>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）资产负债表日存在的重要或有事项</w:t>
      </w:r>
      <w:r>
        <w:rPr>
          <w:rFonts w:ascii="宋体" w:hAnsi="宋体" w:cs="宋体" w:eastAsia="宋体" w:hint="default"/>
          <w:b/>
          <w:bCs/>
          <w:w w:val="99"/>
          <w:sz w:val="21"/>
          <w:szCs w:val="21"/>
        </w:rPr>
        <w:t> </w:t>
      </w:r>
      <w:r>
        <w:rPr>
          <w:rFonts w:ascii="宋体" w:hAnsi="宋体" w:cs="宋体" w:eastAsia="宋体" w:hint="default"/>
          <w:sz w:val="21"/>
          <w:szCs w:val="21"/>
        </w:rPr>
        <w:t>本公司在资产负债表日，不存在需要披露的重大或有事项。</w:t>
      </w:r>
    </w:p>
    <w:p>
      <w:pPr>
        <w:spacing w:line="240" w:lineRule="auto" w:before="0"/>
        <w:rPr>
          <w:rFonts w:ascii="宋体" w:hAnsi="宋体" w:cs="宋体" w:eastAsia="宋体" w:hint="default"/>
          <w:sz w:val="20"/>
          <w:szCs w:val="20"/>
        </w:rPr>
      </w:pPr>
    </w:p>
    <w:p>
      <w:pPr>
        <w:pStyle w:val="Heading5"/>
        <w:spacing w:line="240" w:lineRule="auto" w:before="155"/>
        <w:ind w:right="0"/>
        <w:jc w:val="left"/>
        <w:rPr>
          <w:b w:val="0"/>
          <w:bCs w:val="0"/>
        </w:rPr>
      </w:pPr>
      <w:bookmarkStart w:name="（2）公司没有需要披露的重要或有事项，也应予以说明" w:id="480"/>
      <w:bookmarkEnd w:id="480"/>
      <w:r>
        <w:rPr>
          <w:b w:val="0"/>
          <w:bCs w:val="0"/>
        </w:rPr>
      </w:r>
      <w:r>
        <w:rPr/>
        <w:t>（</w:t>
      </w:r>
      <w:r>
        <w:rPr>
          <w:rFonts w:ascii="Times New Roman" w:hAnsi="Times New Roman" w:cs="Times New Roman" w:eastAsia="Times New Roman" w:hint="default"/>
        </w:rPr>
        <w:t>2</w:t>
      </w:r>
      <w:r>
        <w:rPr/>
        <w:t>）公司没有需要披露的重要或有事项，也应予以说明</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0"/>
        <w:jc w:val="left"/>
      </w:pPr>
      <w:r>
        <w:rPr/>
        <w:t>公司不存在需要披露的重要或有事项。</w:t>
      </w:r>
    </w:p>
    <w:p>
      <w:pPr>
        <w:spacing w:after="0" w:line="240" w:lineRule="auto"/>
        <w:jc w:val="left"/>
        <w:sectPr>
          <w:pgSz w:w="11910" w:h="16840"/>
          <w:pgMar w:header="747" w:footer="979" w:top="1060" w:bottom="1160" w:left="980" w:right="980"/>
        </w:sectPr>
      </w:pPr>
    </w:p>
    <w:p>
      <w:pPr>
        <w:spacing w:line="240" w:lineRule="auto" w:before="9"/>
        <w:rPr>
          <w:rFonts w:ascii="宋体" w:hAnsi="宋体" w:cs="宋体" w:eastAsia="宋体" w:hint="default"/>
          <w:sz w:val="24"/>
          <w:szCs w:val="24"/>
        </w:rPr>
      </w:pPr>
    </w:p>
    <w:p>
      <w:pPr>
        <w:spacing w:line="487" w:lineRule="auto" w:before="35"/>
        <w:ind w:left="154" w:right="6610" w:firstLine="0"/>
        <w:jc w:val="left"/>
        <w:rPr>
          <w:rFonts w:ascii="宋体" w:hAnsi="宋体" w:cs="宋体" w:eastAsia="宋体" w:hint="default"/>
          <w:sz w:val="21"/>
          <w:szCs w:val="21"/>
        </w:rPr>
      </w:pPr>
      <w:bookmarkStart w:name="3、其他" w:id="481"/>
      <w:bookmarkEnd w:id="481"/>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五、资产负债表日后事项" w:id="482"/>
      <w:bookmarkEnd w:id="482"/>
      <w:r>
        <w:rPr>
          <w:rFonts w:ascii="宋体" w:hAnsi="宋体" w:cs="宋体" w:eastAsia="宋体" w:hint="default"/>
          <w:b/>
          <w:bCs/>
          <w:spacing w:val="1"/>
          <w:w w:val="99"/>
          <w:sz w:val="21"/>
          <w:szCs w:val="21"/>
        </w:rPr>
      </w:r>
      <w:r>
        <w:rPr>
          <w:rFonts w:ascii="宋体" w:hAnsi="宋体" w:cs="宋体" w:eastAsia="宋体" w:hint="default"/>
          <w:b/>
          <w:bCs/>
          <w:w w:val="95"/>
          <w:sz w:val="24"/>
          <w:szCs w:val="24"/>
        </w:rPr>
        <w:t>十五、资产负债表日后事项</w:t>
      </w:r>
      <w:r>
        <w:rPr>
          <w:rFonts w:ascii="宋体" w:hAnsi="宋体" w:cs="宋体" w:eastAsia="宋体" w:hint="default"/>
          <w:b/>
          <w:bCs/>
          <w:spacing w:val="18"/>
          <w:w w:val="95"/>
          <w:sz w:val="24"/>
          <w:szCs w:val="24"/>
        </w:rPr>
        <w:t> </w:t>
      </w:r>
      <w:r>
        <w:rPr>
          <w:rFonts w:ascii="宋体" w:hAnsi="宋体" w:cs="宋体" w:eastAsia="宋体" w:hint="default"/>
          <w:b/>
          <w:bCs/>
          <w:spacing w:val="18"/>
          <w:w w:val="95"/>
          <w:sz w:val="24"/>
          <w:szCs w:val="24"/>
        </w:rPr>
      </w:r>
      <w:bookmarkStart w:name="1、重要的非调整事项" w:id="483"/>
      <w:bookmarkEnd w:id="483"/>
      <w:r>
        <w:rPr>
          <w:rFonts w:ascii="宋体" w:hAnsi="宋体" w:cs="宋体" w:eastAsia="宋体" w:hint="default"/>
          <w:b/>
          <w:bCs/>
          <w:spacing w:val="18"/>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、重要的非调整事项</w:t>
      </w:r>
      <w:r>
        <w:rPr>
          <w:rFonts w:ascii="宋体" w:hAnsi="宋体" w:cs="宋体" w:eastAsia="宋体" w:hint="default"/>
          <w:sz w:val="21"/>
          <w:szCs w:val="21"/>
        </w:rPr>
      </w:r>
    </w:p>
    <w:p>
      <w:pPr>
        <w:pStyle w:val="BodyText"/>
        <w:spacing w:line="240" w:lineRule="auto" w:before="108"/>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4"/>
        <w:gridCol w:w="2295"/>
        <w:gridCol w:w="2391"/>
        <w:gridCol w:w="2389"/>
      </w:tblGrid>
      <w:tr>
        <w:trPr>
          <w:trHeight w:val="714"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内容</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09" w:right="111" w:hanging="900"/>
              <w:jc w:val="left"/>
              <w:rPr>
                <w:rFonts w:ascii="宋体" w:hAnsi="宋体" w:cs="宋体" w:eastAsia="宋体" w:hint="default"/>
                <w:sz w:val="18"/>
                <w:szCs w:val="18"/>
              </w:rPr>
            </w:pPr>
            <w:r>
              <w:rPr>
                <w:rFonts w:ascii="宋体" w:hAnsi="宋体" w:cs="宋体" w:eastAsia="宋体" w:hint="default"/>
                <w:sz w:val="18"/>
                <w:szCs w:val="18"/>
              </w:rPr>
              <w:t>对财务状况和经营成果的影 响数</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9" w:right="0"/>
              <w:jc w:val="left"/>
              <w:rPr>
                <w:rFonts w:ascii="宋体" w:hAnsi="宋体" w:cs="宋体" w:eastAsia="宋体" w:hint="default"/>
                <w:sz w:val="18"/>
                <w:szCs w:val="18"/>
              </w:rPr>
            </w:pPr>
            <w:r>
              <w:rPr>
                <w:rFonts w:ascii="宋体" w:hAnsi="宋体" w:cs="宋体" w:eastAsia="宋体" w:hint="default"/>
                <w:sz w:val="18"/>
                <w:szCs w:val="18"/>
              </w:rPr>
              <w:t>无法估计影响数的原因</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bookmarkStart w:name="2、利润分配情况" w:id="484"/>
      <w:bookmarkEnd w:id="484"/>
      <w:r>
        <w:rPr>
          <w:b w:val="0"/>
          <w:bCs w:val="0"/>
        </w:rPr>
      </w:r>
      <w:r>
        <w:rPr>
          <w:rFonts w:ascii="Times New Roman" w:hAnsi="Times New Roman" w:cs="Times New Roman" w:eastAsia="Times New Roman" w:hint="default"/>
        </w:rPr>
        <w:t>2</w:t>
      </w:r>
      <w:r>
        <w:rPr/>
        <w:t>、利润分配情况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984"/>
        <w:gridCol w:w="4585"/>
      </w:tblGrid>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拟分配的利润或股利</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10,000,500.00</w:t>
            </w:r>
          </w:p>
        </w:tc>
      </w:tr>
      <w:tr>
        <w:trPr>
          <w:trHeight w:val="403"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经审议批准宣告发放的利润或股利</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10,000,500.00</w:t>
            </w:r>
          </w:p>
        </w:tc>
      </w:tr>
    </w:tbl>
    <w:p>
      <w:pPr>
        <w:spacing w:line="240" w:lineRule="auto" w:before="2"/>
        <w:rPr>
          <w:rFonts w:ascii="宋体" w:hAnsi="宋体" w:cs="宋体" w:eastAsia="宋体" w:hint="default"/>
          <w:sz w:val="19"/>
          <w:szCs w:val="19"/>
        </w:rPr>
      </w:pPr>
    </w:p>
    <w:p>
      <w:pPr>
        <w:pStyle w:val="Heading5"/>
        <w:spacing w:line="240" w:lineRule="auto" w:before="35"/>
        <w:ind w:right="0"/>
        <w:jc w:val="both"/>
        <w:rPr>
          <w:b w:val="0"/>
          <w:bCs w:val="0"/>
        </w:rPr>
      </w:pPr>
      <w:bookmarkStart w:name="3、销售退回" w:id="485"/>
      <w:bookmarkEnd w:id="485"/>
      <w:r>
        <w:rPr>
          <w:b w:val="0"/>
          <w:bCs w:val="0"/>
        </w:rPr>
      </w:r>
      <w:r>
        <w:rPr>
          <w:rFonts w:ascii="Times New Roman" w:hAnsi="Times New Roman" w:cs="Times New Roman" w:eastAsia="Times New Roman" w:hint="default"/>
        </w:rPr>
        <w:t>3</w:t>
      </w:r>
      <w:r>
        <w:rPr/>
        <w:t>、销售退回</w:t>
      </w:r>
      <w:r>
        <w:rPr>
          <w:b w:val="0"/>
          <w:bCs w:val="0"/>
        </w:rPr>
      </w:r>
    </w:p>
    <w:p>
      <w:pPr>
        <w:spacing w:line="610" w:lineRule="atLeast" w:before="3"/>
        <w:ind w:left="574" w:right="0" w:hanging="420"/>
        <w:jc w:val="left"/>
        <w:rPr>
          <w:rFonts w:ascii="宋体" w:hAnsi="宋体" w:cs="宋体" w:eastAsia="宋体" w:hint="default"/>
          <w:sz w:val="21"/>
          <w:szCs w:val="21"/>
        </w:rPr>
      </w:pPr>
      <w:bookmarkStart w:name="4、其他资产负债表日后事项说明" w:id="486"/>
      <w:bookmarkEnd w:id="486"/>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、其他资产负债表日后事项说明</w:t>
      </w:r>
      <w:r>
        <w:rPr>
          <w:rFonts w:ascii="宋体" w:hAnsi="宋体" w:cs="宋体" w:eastAsia="宋体" w:hint="default"/>
          <w:b/>
          <w:bCs/>
          <w:w w:val="99"/>
          <w:sz w:val="21"/>
          <w:szCs w:val="21"/>
        </w:rPr>
        <w:t> </w:t>
      </w:r>
      <w:r>
        <w:rPr>
          <w:rFonts w:ascii="宋体" w:hAnsi="宋体" w:cs="宋体" w:eastAsia="宋体" w:hint="default"/>
          <w:sz w:val="21"/>
          <w:szCs w:val="21"/>
        </w:rPr>
        <w:t>经第三届董事会第二次会议批准，公司以截止</w:t>
      </w:r>
      <w:r>
        <w:rPr>
          <w:rFonts w:ascii="Times New Roman" w:hAnsi="Times New Roman" w:cs="Times New Roman" w:eastAsia="Times New Roman" w:hint="default"/>
          <w:sz w:val="21"/>
          <w:szCs w:val="21"/>
        </w:rPr>
        <w:t>2017</w:t>
      </w:r>
      <w:r>
        <w:rPr>
          <w:rFonts w:ascii="宋体" w:hAnsi="宋体" w:cs="宋体" w:eastAsia="宋体" w:hint="default"/>
          <w:sz w:val="21"/>
          <w:szCs w:val="21"/>
        </w:rPr>
        <w:t>年</w:t>
      </w:r>
      <w:r>
        <w:rPr>
          <w:rFonts w:ascii="Times New Roman" w:hAnsi="Times New Roman" w:cs="Times New Roman" w:eastAsia="Times New Roman" w:hint="default"/>
          <w:sz w:val="21"/>
          <w:szCs w:val="21"/>
        </w:rPr>
        <w:t>12</w:t>
      </w:r>
      <w:r>
        <w:rPr>
          <w:rFonts w:ascii="宋体" w:hAnsi="宋体" w:cs="宋体" w:eastAsia="宋体" w:hint="default"/>
          <w:sz w:val="21"/>
          <w:szCs w:val="21"/>
        </w:rPr>
        <w:t>月</w:t>
      </w:r>
      <w:r>
        <w:rPr>
          <w:rFonts w:ascii="Times New Roman" w:hAnsi="Times New Roman" w:cs="Times New Roman" w:eastAsia="Times New Roman" w:hint="default"/>
          <w:sz w:val="21"/>
          <w:szCs w:val="21"/>
        </w:rPr>
        <w:t>31</w:t>
      </w:r>
      <w:r>
        <w:rPr>
          <w:rFonts w:ascii="宋体" w:hAnsi="宋体" w:cs="宋体" w:eastAsia="宋体" w:hint="default"/>
          <w:sz w:val="21"/>
          <w:szCs w:val="21"/>
        </w:rPr>
        <w:t>日的总股本</w:t>
      </w:r>
      <w:r>
        <w:rPr>
          <w:rFonts w:ascii="Times New Roman" w:hAnsi="Times New Roman" w:cs="Times New Roman" w:eastAsia="Times New Roman" w:hint="default"/>
          <w:sz w:val="21"/>
          <w:szCs w:val="21"/>
        </w:rPr>
        <w:t>66,670,000</w:t>
      </w:r>
      <w:r>
        <w:rPr>
          <w:rFonts w:ascii="宋体" w:hAnsi="宋体" w:cs="宋体" w:eastAsia="宋体" w:hint="default"/>
          <w:sz w:val="21"/>
          <w:szCs w:val="21"/>
        </w:rPr>
        <w:t>股为基数，向全体</w:t>
      </w:r>
    </w:p>
    <w:p>
      <w:pPr>
        <w:pStyle w:val="Heading6"/>
        <w:spacing w:line="256" w:lineRule="auto" w:before="21"/>
        <w:ind w:right="147"/>
        <w:jc w:val="both"/>
      </w:pPr>
      <w:r>
        <w:rPr>
          <w:spacing w:val="9"/>
        </w:rPr>
        <w:t>股东每</w:t>
      </w:r>
      <w:r>
        <w:rPr>
          <w:rFonts w:ascii="Times New Roman" w:hAnsi="Times New Roman" w:cs="Times New Roman" w:eastAsia="Times New Roman" w:hint="default"/>
          <w:spacing w:val="9"/>
        </w:rPr>
        <w:t>10</w:t>
      </w:r>
      <w:r>
        <w:rPr>
          <w:spacing w:val="9"/>
        </w:rPr>
        <w:t>股派发现金股利人民币</w:t>
      </w:r>
      <w:r>
        <w:rPr>
          <w:rFonts w:ascii="Times New Roman" w:hAnsi="Times New Roman" w:cs="Times New Roman" w:eastAsia="Times New Roman" w:hint="default"/>
          <w:spacing w:val="9"/>
        </w:rPr>
        <w:t>1.5</w:t>
      </w:r>
      <w:r>
        <w:rPr>
          <w:spacing w:val="9"/>
        </w:rPr>
        <w:t>元（含税）同时以资本公积向全体股东每</w:t>
      </w:r>
      <w:r>
        <w:rPr>
          <w:rFonts w:ascii="Times New Roman" w:hAnsi="Times New Roman" w:cs="Times New Roman" w:eastAsia="Times New Roman" w:hint="default"/>
          <w:spacing w:val="9"/>
        </w:rPr>
        <w:t>10</w:t>
      </w:r>
      <w:r>
        <w:rPr>
          <w:spacing w:val="9"/>
        </w:rPr>
        <w:t>股转增</w:t>
      </w:r>
      <w:r>
        <w:rPr>
          <w:rFonts w:ascii="Times New Roman" w:hAnsi="Times New Roman" w:cs="Times New Roman" w:eastAsia="Times New Roman" w:hint="default"/>
          <w:spacing w:val="9"/>
        </w:rPr>
        <w:t>9</w:t>
      </w:r>
      <w:r>
        <w:rPr>
          <w:spacing w:val="9"/>
        </w:rPr>
        <w:t>股，共计转增</w:t>
      </w:r>
      <w:r>
        <w:rPr/>
        <w:t> </w:t>
      </w:r>
      <w:r>
        <w:rPr>
          <w:rFonts w:ascii="Times New Roman" w:hAnsi="Times New Roman" w:cs="Times New Roman" w:eastAsia="Times New Roman" w:hint="default"/>
        </w:rPr>
        <w:t>60,003,000</w:t>
      </w:r>
      <w:r>
        <w:rPr/>
        <w:t>股，转增后公司总股本将增加至</w:t>
      </w:r>
      <w:r>
        <w:rPr>
          <w:rFonts w:ascii="Times New Roman" w:hAnsi="Times New Roman" w:cs="Times New Roman" w:eastAsia="Times New Roman" w:hint="default"/>
        </w:rPr>
        <w:t>126,673,000</w:t>
      </w:r>
      <w:r>
        <w:rPr/>
        <w:t>股。本预案尚需提交</w:t>
      </w:r>
      <w:r>
        <w:rPr>
          <w:rFonts w:ascii="Times New Roman" w:hAnsi="Times New Roman" w:cs="Times New Roman" w:eastAsia="Times New Roman" w:hint="default"/>
        </w:rPr>
        <w:t>2017</w:t>
      </w:r>
      <w:r>
        <w:rPr/>
        <w:t>年度股东大会审议通过方</w:t>
      </w:r>
      <w:r>
        <w:rPr>
          <w:spacing w:val="-26"/>
        </w:rPr>
        <w:t> </w:t>
      </w:r>
      <w:r>
        <w:rPr>
          <w:spacing w:val="-26"/>
        </w:rPr>
      </w:r>
      <w:r>
        <w:rPr/>
        <w:t>可实施。</w:t>
      </w:r>
    </w:p>
    <w:p>
      <w:pPr>
        <w:spacing w:line="240" w:lineRule="auto" w:before="13"/>
        <w:rPr>
          <w:rFonts w:ascii="宋体" w:hAnsi="宋体" w:cs="宋体" w:eastAsia="宋体" w:hint="default"/>
          <w:sz w:val="22"/>
          <w:szCs w:val="22"/>
        </w:rPr>
      </w:pPr>
    </w:p>
    <w:p>
      <w:pPr>
        <w:pStyle w:val="Heading2"/>
        <w:spacing w:line="240" w:lineRule="auto"/>
        <w:ind w:right="0"/>
        <w:jc w:val="both"/>
        <w:rPr>
          <w:b w:val="0"/>
          <w:bCs w:val="0"/>
        </w:rPr>
      </w:pPr>
      <w:bookmarkStart w:name="十六、其他重要事项" w:id="487"/>
      <w:bookmarkEnd w:id="487"/>
      <w:r>
        <w:rPr>
          <w:b w:val="0"/>
          <w:bCs w:val="0"/>
        </w:rPr>
      </w:r>
      <w:r>
        <w:rPr/>
        <w:t>十六、其他重要事项</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both"/>
        <w:rPr>
          <w:b w:val="0"/>
          <w:bCs w:val="0"/>
        </w:rPr>
      </w:pPr>
      <w:bookmarkStart w:name="1、前期会计差错更正" w:id="488"/>
      <w:bookmarkEnd w:id="488"/>
      <w:r>
        <w:rPr>
          <w:b w:val="0"/>
          <w:bCs w:val="0"/>
        </w:rPr>
      </w:r>
      <w:r>
        <w:rPr>
          <w:rFonts w:ascii="Times New Roman" w:hAnsi="Times New Roman" w:cs="Times New Roman" w:eastAsia="Times New Roman" w:hint="default"/>
        </w:rPr>
        <w:t>1</w:t>
      </w:r>
      <w:r>
        <w:rPr/>
        <w:t>、前期会计差错更正</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both"/>
        <w:rPr>
          <w:b w:val="0"/>
          <w:bCs w:val="0"/>
        </w:rPr>
      </w:pPr>
      <w:bookmarkStart w:name="（1）追溯重述法" w:id="489"/>
      <w:bookmarkEnd w:id="489"/>
      <w:r>
        <w:rPr>
          <w:b w:val="0"/>
          <w:bCs w:val="0"/>
        </w:rPr>
      </w:r>
      <w:r>
        <w:rPr/>
        <w:t>（</w:t>
      </w:r>
      <w:r>
        <w:rPr>
          <w:rFonts w:ascii="Times New Roman" w:hAnsi="Times New Roman" w:cs="Times New Roman" w:eastAsia="Times New Roman" w:hint="default"/>
        </w:rPr>
        <w:t>1</w:t>
      </w:r>
      <w:r>
        <w:rPr/>
        <w:t>）追溯重述法</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4"/>
        <w:gridCol w:w="2295"/>
        <w:gridCol w:w="2391"/>
        <w:gridCol w:w="2389"/>
      </w:tblGrid>
      <w:tr>
        <w:trPr>
          <w:trHeight w:val="714"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0"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处理程序</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829" w:right="111" w:hanging="720"/>
              <w:jc w:val="left"/>
              <w:rPr>
                <w:rFonts w:ascii="宋体" w:hAnsi="宋体" w:cs="宋体" w:eastAsia="宋体" w:hint="default"/>
                <w:sz w:val="18"/>
                <w:szCs w:val="18"/>
              </w:rPr>
            </w:pPr>
            <w:r>
              <w:rPr>
                <w:rFonts w:ascii="宋体" w:hAnsi="宋体" w:cs="宋体" w:eastAsia="宋体" w:hint="default"/>
                <w:sz w:val="18"/>
                <w:szCs w:val="18"/>
              </w:rPr>
              <w:t>受影响的各个比较期间报表 项目名称</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39" w:right="0"/>
              <w:jc w:val="left"/>
              <w:rPr>
                <w:rFonts w:ascii="宋体" w:hAnsi="宋体" w:cs="宋体" w:eastAsia="宋体" w:hint="default"/>
                <w:sz w:val="18"/>
                <w:szCs w:val="18"/>
              </w:rPr>
            </w:pPr>
            <w:r>
              <w:rPr>
                <w:rFonts w:ascii="宋体" w:hAnsi="宋体" w:cs="宋体" w:eastAsia="宋体" w:hint="default"/>
                <w:sz w:val="18"/>
                <w:szCs w:val="18"/>
              </w:rPr>
              <w:t>累积影响数</w:t>
            </w:r>
          </w:p>
        </w:tc>
      </w:tr>
    </w:tbl>
    <w:p>
      <w:pPr>
        <w:spacing w:line="240" w:lineRule="auto" w:before="3"/>
        <w:rPr>
          <w:rFonts w:ascii="宋体" w:hAnsi="宋体" w:cs="宋体" w:eastAsia="宋体" w:hint="default"/>
          <w:sz w:val="19"/>
          <w:szCs w:val="19"/>
        </w:rPr>
      </w:pPr>
    </w:p>
    <w:p>
      <w:pPr>
        <w:pStyle w:val="Heading5"/>
        <w:spacing w:line="240" w:lineRule="auto" w:before="35"/>
        <w:ind w:right="0"/>
        <w:jc w:val="left"/>
        <w:rPr>
          <w:b w:val="0"/>
          <w:bCs w:val="0"/>
        </w:rPr>
      </w:pPr>
      <w:bookmarkStart w:name="（2）未来适用法" w:id="490"/>
      <w:bookmarkEnd w:id="490"/>
      <w:r>
        <w:rPr>
          <w:b w:val="0"/>
          <w:bCs w:val="0"/>
        </w:rPr>
      </w:r>
      <w:r>
        <w:rPr/>
        <w:t>（</w:t>
      </w:r>
      <w:r>
        <w:rPr>
          <w:rFonts w:ascii="Times New Roman" w:hAnsi="Times New Roman" w:cs="Times New Roman" w:eastAsia="Times New Roman" w:hint="default"/>
        </w:rPr>
        <w:t>2</w:t>
      </w:r>
      <w:r>
        <w:rPr/>
        <w:t>）未来适用法</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324"/>
        <w:gridCol w:w="3059"/>
        <w:gridCol w:w="3175"/>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46"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批准程序</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7" w:right="0"/>
              <w:jc w:val="left"/>
              <w:rPr>
                <w:rFonts w:ascii="宋体" w:hAnsi="宋体" w:cs="宋体" w:eastAsia="宋体" w:hint="default"/>
                <w:sz w:val="18"/>
                <w:szCs w:val="18"/>
              </w:rPr>
            </w:pPr>
            <w:r>
              <w:rPr>
                <w:rFonts w:ascii="宋体" w:hAnsi="宋体" w:cs="宋体" w:eastAsia="宋体" w:hint="default"/>
                <w:sz w:val="18"/>
                <w:szCs w:val="18"/>
              </w:rPr>
              <w:t>采用未来适用法的原因</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10"/>
        <w:rPr>
          <w:rFonts w:ascii="宋体" w:hAnsi="宋体" w:cs="宋体" w:eastAsia="宋体" w:hint="default"/>
          <w:b/>
          <w:bCs/>
          <w:sz w:val="24"/>
          <w:szCs w:val="24"/>
        </w:rPr>
      </w:pPr>
    </w:p>
    <w:p>
      <w:pPr>
        <w:pStyle w:val="Heading5"/>
        <w:spacing w:line="240" w:lineRule="auto" w:before="35"/>
        <w:ind w:right="0"/>
        <w:jc w:val="left"/>
        <w:rPr>
          <w:b w:val="0"/>
          <w:bCs w:val="0"/>
        </w:rPr>
      </w:pPr>
      <w:bookmarkStart w:name="2、债务重组" w:id="491"/>
      <w:bookmarkEnd w:id="491"/>
      <w:r>
        <w:rPr>
          <w:b w:val="0"/>
          <w:bCs w:val="0"/>
        </w:rPr>
      </w:r>
      <w:r>
        <w:rPr>
          <w:rFonts w:ascii="Times New Roman" w:hAnsi="Times New Roman" w:cs="Times New Roman" w:eastAsia="Times New Roman" w:hint="default"/>
        </w:rPr>
        <w:t>2</w:t>
      </w:r>
      <w:r>
        <w:rPr/>
        <w:t>、债务重组</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bookmarkStart w:name="3、资产置换" w:id="492"/>
      <w:bookmarkEnd w:id="492"/>
      <w:r>
        <w:rPr>
          <w:b w:val="0"/>
          <w:bCs w:val="0"/>
        </w:rPr>
      </w:r>
      <w:r>
        <w:rPr>
          <w:rFonts w:ascii="Times New Roman" w:hAnsi="Times New Roman" w:cs="Times New Roman" w:eastAsia="Times New Roman" w:hint="default"/>
        </w:rPr>
        <w:t>3</w:t>
      </w:r>
      <w:r>
        <w:rPr/>
        <w:t>、资产置换</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right="0"/>
        <w:jc w:val="left"/>
        <w:rPr>
          <w:b w:val="0"/>
          <w:bCs w:val="0"/>
        </w:rPr>
      </w:pPr>
      <w:bookmarkStart w:name="（1）非货币性资产交换" w:id="493"/>
      <w:bookmarkEnd w:id="493"/>
      <w:r>
        <w:rPr>
          <w:b w:val="0"/>
          <w:bCs w:val="0"/>
        </w:rPr>
      </w:r>
      <w:r>
        <w:rPr/>
        <w:t>（</w:t>
      </w:r>
      <w:r>
        <w:rPr>
          <w:rFonts w:ascii="Times New Roman" w:hAnsi="Times New Roman" w:cs="Times New Roman" w:eastAsia="Times New Roman" w:hint="default"/>
        </w:rPr>
        <w:t>1</w:t>
      </w:r>
      <w:r>
        <w:rPr/>
        <w:t>）非货币性资产交换</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bookmarkStart w:name="（2）其他资产置换" w:id="494"/>
      <w:bookmarkEnd w:id="494"/>
      <w:r>
        <w:rPr>
          <w:b w:val="0"/>
          <w:bCs w:val="0"/>
        </w:rPr>
      </w:r>
      <w:r>
        <w:rPr/>
        <w:t>（</w:t>
      </w:r>
      <w:r>
        <w:rPr>
          <w:rFonts w:ascii="Times New Roman" w:hAnsi="Times New Roman" w:cs="Times New Roman" w:eastAsia="Times New Roman" w:hint="default"/>
        </w:rPr>
        <w:t>2</w:t>
      </w:r>
      <w:r>
        <w:rPr/>
        <w:t>）其他资产置换</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bookmarkStart w:name="4、年金计划" w:id="495"/>
      <w:bookmarkEnd w:id="495"/>
      <w:r>
        <w:rPr>
          <w:b w:val="0"/>
          <w:bCs w:val="0"/>
        </w:rPr>
      </w:r>
      <w:r>
        <w:rPr>
          <w:rFonts w:ascii="Times New Roman" w:hAnsi="Times New Roman" w:cs="Times New Roman" w:eastAsia="Times New Roman" w:hint="default"/>
        </w:rPr>
        <w:t>4</w:t>
      </w:r>
      <w:r>
        <w:rPr/>
        <w:t>、年金计划</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bookmarkStart w:name="5、终止经营" w:id="496"/>
      <w:bookmarkEnd w:id="496"/>
      <w:r>
        <w:rPr>
          <w:b w:val="0"/>
          <w:bCs w:val="0"/>
        </w:rPr>
      </w:r>
      <w:r>
        <w:rPr>
          <w:rFonts w:ascii="Times New Roman" w:hAnsi="Times New Roman" w:cs="Times New Roman" w:eastAsia="Times New Roman" w:hint="default"/>
        </w:rPr>
        <w:t>5</w:t>
      </w:r>
      <w:r>
        <w:rPr/>
        <w:t>、终止经营</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1026"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费用</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9"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408"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7" w:right="47"/>
              <w:jc w:val="center"/>
              <w:rPr>
                <w:rFonts w:ascii="宋体" w:hAnsi="宋体" w:cs="宋体" w:eastAsia="宋体" w:hint="default"/>
                <w:sz w:val="18"/>
                <w:szCs w:val="18"/>
              </w:rPr>
            </w:pPr>
            <w:r>
              <w:rPr>
                <w:rFonts w:ascii="宋体" w:hAnsi="宋体" w:cs="宋体" w:eastAsia="宋体" w:hint="default"/>
                <w:sz w:val="18"/>
                <w:szCs w:val="18"/>
              </w:rPr>
              <w:t>归属于母公司所 有者的终止经营 利润</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bookmarkStart w:name="6、分部信息" w:id="497"/>
      <w:bookmarkEnd w:id="497"/>
      <w:r>
        <w:rPr>
          <w:b w:val="0"/>
          <w:bCs w:val="0"/>
        </w:rPr>
      </w:r>
      <w:r>
        <w:rPr>
          <w:rFonts w:ascii="Times New Roman" w:hAnsi="Times New Roman" w:cs="Times New Roman" w:eastAsia="Times New Roman" w:hint="default"/>
        </w:rPr>
        <w:t>6</w:t>
      </w:r>
      <w:r>
        <w:rPr/>
        <w:t>、分部信息</w:t>
      </w:r>
      <w:r>
        <w:rPr>
          <w:b w:val="0"/>
          <w:bCs w:val="0"/>
        </w:rPr>
      </w:r>
    </w:p>
    <w:p>
      <w:pPr>
        <w:spacing w:line="590" w:lineRule="atLeast" w:before="24"/>
        <w:ind w:left="574" w:right="0" w:hanging="420"/>
        <w:jc w:val="left"/>
        <w:rPr>
          <w:rFonts w:ascii="宋体" w:hAnsi="宋体" w:cs="宋体" w:eastAsia="宋体" w:hint="default"/>
          <w:sz w:val="21"/>
          <w:szCs w:val="21"/>
        </w:rPr>
      </w:pPr>
      <w:bookmarkStart w:name="（1）报告分部的确定依据与会计政策" w:id="498"/>
      <w:bookmarkEnd w:id="498"/>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）报告分部的确定依据与会计政策</w:t>
      </w:r>
      <w:r>
        <w:rPr>
          <w:rFonts w:ascii="宋体" w:hAnsi="宋体" w:cs="宋体" w:eastAsia="宋体" w:hint="default"/>
          <w:b/>
          <w:bCs/>
          <w:w w:val="99"/>
          <w:sz w:val="21"/>
          <w:szCs w:val="21"/>
        </w:rPr>
        <w:t> </w:t>
      </w:r>
      <w:r>
        <w:rPr>
          <w:rFonts w:ascii="宋体" w:hAnsi="宋体" w:cs="宋体" w:eastAsia="宋体" w:hint="default"/>
          <w:spacing w:val="-1"/>
          <w:sz w:val="21"/>
          <w:szCs w:val="21"/>
        </w:rPr>
        <w:t>公司以内部组织结构、管理要求、内部报告制度等为依据确定报告分部，并以产品分部为基础确定报</w:t>
      </w:r>
    </w:p>
    <w:p>
      <w:pPr>
        <w:pStyle w:val="Heading6"/>
        <w:spacing w:line="240" w:lineRule="auto" w:before="37"/>
        <w:ind w:right="0"/>
        <w:jc w:val="left"/>
      </w:pPr>
      <w:r>
        <w:rPr/>
        <w:t>告分部。分别对电线电缆用高分子材料、智能化电源设备和新能源设备的经营业绩进行考核。</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9"/>
          <w:szCs w:val="29"/>
        </w:rPr>
      </w:pPr>
    </w:p>
    <w:p>
      <w:pPr>
        <w:pStyle w:val="Heading5"/>
        <w:spacing w:line="240" w:lineRule="auto"/>
        <w:ind w:right="0"/>
        <w:jc w:val="left"/>
        <w:rPr>
          <w:b w:val="0"/>
          <w:bCs w:val="0"/>
        </w:rPr>
      </w:pPr>
      <w:bookmarkStart w:name="（2）报告分部的财务信息" w:id="499"/>
      <w:bookmarkEnd w:id="499"/>
      <w:r>
        <w:rPr>
          <w:b w:val="0"/>
          <w:bCs w:val="0"/>
        </w:rPr>
      </w:r>
      <w:r>
        <w:rPr/>
        <w:t>（</w:t>
      </w:r>
      <w:r>
        <w:rPr>
          <w:rFonts w:ascii="Times New Roman" w:hAnsi="Times New Roman" w:cs="Times New Roman" w:eastAsia="Times New Roman" w:hint="default"/>
        </w:rPr>
        <w:t>2</w:t>
      </w:r>
      <w:r>
        <w:rPr/>
        <w:t>）报告分部的财务信息</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03"/>
        <w:gridCol w:w="1926"/>
        <w:gridCol w:w="1914"/>
        <w:gridCol w:w="1914"/>
        <w:gridCol w:w="1914"/>
      </w:tblGrid>
      <w:tr>
        <w:trPr>
          <w:trHeight w:val="161" w:hRule="exact"/>
        </w:trPr>
        <w:tc>
          <w:tcPr>
            <w:tcW w:w="1903" w:type="dxa"/>
            <w:vMerge w:val="restart"/>
            <w:tcBorders>
              <w:top w:val="single" w:sz="4" w:space="0" w:color="000000"/>
              <w:left w:val="single" w:sz="4" w:space="0" w:color="000000"/>
              <w:right w:val="single" w:sz="9" w:space="0" w:color="E0FFFF"/>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6" w:type="dxa"/>
            <w:tcBorders>
              <w:top w:val="single" w:sz="4" w:space="0" w:color="000000"/>
              <w:left w:val="single" w:sz="4" w:space="0" w:color="000000"/>
              <w:bottom w:val="nil" w:sz="6" w:space="0" w:color="auto"/>
              <w:right w:val="single" w:sz="4" w:space="0" w:color="000000"/>
            </w:tcBorders>
            <w:shd w:val="clear" w:color="auto" w:fill="E0FFFF"/>
          </w:tcPr>
          <w:p>
            <w:pPr/>
          </w:p>
        </w:tc>
        <w:tc>
          <w:tcPr>
            <w:tcW w:w="1914" w:type="dxa"/>
            <w:vMerge w:val="restart"/>
            <w:tcBorders>
              <w:top w:val="single" w:sz="4" w:space="0" w:color="000000"/>
              <w:left w:val="single" w:sz="4" w:space="0" w:color="000000"/>
              <w:right w:val="single" w:sz="4" w:space="0" w:color="000000"/>
            </w:tcBorders>
            <w:shd w:val="clear" w:color="auto" w:fill="E0FFFF"/>
          </w:tcPr>
          <w:p>
            <w:pPr>
              <w:pStyle w:val="TableParagraph"/>
              <w:spacing w:line="319" w:lineRule="auto" w:before="51"/>
              <w:ind w:left="681" w:right="50" w:hanging="630"/>
              <w:jc w:val="left"/>
              <w:rPr>
                <w:rFonts w:ascii="宋体" w:hAnsi="宋体" w:cs="宋体" w:eastAsia="宋体" w:hint="default"/>
                <w:sz w:val="18"/>
                <w:szCs w:val="18"/>
              </w:rPr>
            </w:pPr>
            <w:r>
              <w:rPr>
                <w:rFonts w:ascii="宋体" w:hAnsi="宋体" w:cs="宋体" w:eastAsia="宋体" w:hint="default"/>
                <w:sz w:val="18"/>
                <w:szCs w:val="18"/>
              </w:rPr>
              <w:t>智能化电源设备和新能 源设备</w:t>
            </w:r>
          </w:p>
        </w:tc>
        <w:tc>
          <w:tcPr>
            <w:tcW w:w="1914" w:type="dxa"/>
            <w:vMerge w:val="restart"/>
            <w:tcBorders>
              <w:top w:val="single" w:sz="4" w:space="0" w:color="000000"/>
              <w:left w:val="single" w:sz="13" w:space="0" w:color="E0FFFF"/>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90" w:right="0"/>
              <w:jc w:val="left"/>
              <w:rPr>
                <w:rFonts w:ascii="宋体" w:hAnsi="宋体" w:cs="宋体" w:eastAsia="宋体" w:hint="default"/>
                <w:sz w:val="18"/>
                <w:szCs w:val="18"/>
              </w:rPr>
            </w:pPr>
            <w:r>
              <w:rPr>
                <w:rFonts w:ascii="宋体" w:hAnsi="宋体" w:cs="宋体" w:eastAsia="宋体" w:hint="default"/>
                <w:sz w:val="18"/>
                <w:szCs w:val="18"/>
              </w:rPr>
              <w:t>分部间抵销</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92" w:hRule="exact"/>
        </w:trPr>
        <w:tc>
          <w:tcPr>
            <w:tcW w:w="1903" w:type="dxa"/>
            <w:vMerge/>
            <w:tcBorders>
              <w:left w:val="single" w:sz="4" w:space="0" w:color="000000"/>
              <w:right w:val="single" w:sz="9" w:space="0" w:color="E0FFFF"/>
            </w:tcBorders>
            <w:shd w:val="clear" w:color="auto" w:fill="D2D2D2"/>
          </w:tcPr>
          <w:p>
            <w:pPr/>
          </w:p>
        </w:tc>
        <w:tc>
          <w:tcPr>
            <w:tcW w:w="1926" w:type="dxa"/>
            <w:tcBorders>
              <w:top w:val="nil" w:sz="6" w:space="0" w:color="auto"/>
              <w:left w:val="single" w:sz="4" w:space="0" w:color="000000"/>
              <w:bottom w:val="nil" w:sz="6" w:space="0" w:color="auto"/>
              <w:right w:val="single" w:sz="4" w:space="0" w:color="000000"/>
            </w:tcBorders>
            <w:shd w:val="clear" w:color="auto" w:fill="E0FFFF"/>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电线电缆用高分子材料</w:t>
            </w:r>
          </w:p>
        </w:tc>
        <w:tc>
          <w:tcPr>
            <w:tcW w:w="1914" w:type="dxa"/>
            <w:vMerge/>
            <w:tcBorders>
              <w:left w:val="single" w:sz="4" w:space="0" w:color="000000"/>
              <w:right w:val="single" w:sz="4" w:space="0" w:color="000000"/>
            </w:tcBorders>
            <w:shd w:val="clear" w:color="auto" w:fill="E0FFFF"/>
          </w:tcPr>
          <w:p>
            <w:pPr/>
          </w:p>
        </w:tc>
        <w:tc>
          <w:tcPr>
            <w:tcW w:w="1914" w:type="dxa"/>
            <w:vMerge/>
            <w:tcBorders>
              <w:left w:val="single" w:sz="13" w:space="0" w:color="E0FFFF"/>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r>
      <w:tr>
        <w:trPr>
          <w:trHeight w:val="161" w:hRule="exact"/>
        </w:trPr>
        <w:tc>
          <w:tcPr>
            <w:tcW w:w="1903" w:type="dxa"/>
            <w:vMerge/>
            <w:tcBorders>
              <w:left w:val="single" w:sz="4" w:space="0" w:color="000000"/>
              <w:bottom w:val="single" w:sz="4" w:space="0" w:color="000000"/>
              <w:right w:val="single" w:sz="9" w:space="0" w:color="E0FFFF"/>
            </w:tcBorders>
            <w:shd w:val="clear" w:color="auto" w:fill="D2D2D2"/>
          </w:tcPr>
          <w:p>
            <w:pPr/>
          </w:p>
        </w:tc>
        <w:tc>
          <w:tcPr>
            <w:tcW w:w="1926" w:type="dxa"/>
            <w:tcBorders>
              <w:top w:val="nil" w:sz="6" w:space="0" w:color="auto"/>
              <w:left w:val="single" w:sz="4" w:space="0" w:color="000000"/>
              <w:bottom w:val="single" w:sz="4" w:space="0" w:color="000000"/>
              <w:right w:val="single" w:sz="4" w:space="0" w:color="000000"/>
            </w:tcBorders>
            <w:shd w:val="clear" w:color="auto" w:fill="E0FFFF"/>
          </w:tcPr>
          <w:p>
            <w:pPr/>
          </w:p>
        </w:tc>
        <w:tc>
          <w:tcPr>
            <w:tcW w:w="1914" w:type="dxa"/>
            <w:vMerge/>
            <w:tcBorders>
              <w:left w:val="single" w:sz="4" w:space="0" w:color="000000"/>
              <w:bottom w:val="single" w:sz="4" w:space="0" w:color="000000"/>
              <w:right w:val="single" w:sz="4" w:space="0" w:color="000000"/>
            </w:tcBorders>
            <w:shd w:val="clear" w:color="auto" w:fill="E0FFFF"/>
          </w:tcPr>
          <w:p>
            <w:pPr/>
          </w:p>
        </w:tc>
        <w:tc>
          <w:tcPr>
            <w:tcW w:w="1914" w:type="dxa"/>
            <w:vMerge/>
            <w:tcBorders>
              <w:left w:val="single" w:sz="13" w:space="0" w:color="E0FFFF"/>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0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1926"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580,755,676.63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65,873,454.89</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646,629,131.52</w:t>
            </w:r>
          </w:p>
        </w:tc>
      </w:tr>
      <w:tr>
        <w:trPr>
          <w:trHeight w:val="402" w:hRule="exact"/>
        </w:trPr>
        <w:tc>
          <w:tcPr>
            <w:tcW w:w="190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主营业务成本</w:t>
            </w:r>
          </w:p>
        </w:tc>
        <w:tc>
          <w:tcPr>
            <w:tcW w:w="1926"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465,564,101.59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34,134,523.86</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499,698,625.45</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bookmarkStart w:name="（3）公司无报告分部的，或者不能披露各报告分部的资产总额和负债总额的，应说明原因" w:id="500"/>
      <w:bookmarkEnd w:id="500"/>
      <w:r>
        <w:rPr>
          <w:b w:val="0"/>
          <w:bCs w:val="0"/>
        </w:rPr>
      </w:r>
      <w:r>
        <w:rPr/>
        <w:t>（</w:t>
      </w:r>
      <w:r>
        <w:rPr>
          <w:rFonts w:ascii="Times New Roman" w:hAnsi="Times New Roman" w:cs="Times New Roman" w:eastAsia="Times New Roman" w:hint="default"/>
        </w:rPr>
        <w:t>3</w:t>
      </w:r>
      <w:r>
        <w:rPr/>
        <w:t>）公司无报告分部的，或者不能披露各报告分部的资产总额和负债总额的，应说明原因</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bookmarkStart w:name="（4）其他说明" w:id="501"/>
      <w:bookmarkEnd w:id="501"/>
      <w:r>
        <w:rPr>
          <w:b w:val="0"/>
          <w:bCs w:val="0"/>
        </w:rPr>
      </w:r>
      <w:r>
        <w:rPr/>
        <w:t>（</w:t>
      </w:r>
      <w:r>
        <w:rPr>
          <w:rFonts w:ascii="Times New Roman" w:hAnsi="Times New Roman" w:cs="Times New Roman" w:eastAsia="Times New Roman" w:hint="default"/>
        </w:rPr>
        <w:t>4</w:t>
      </w:r>
      <w:r>
        <w:rPr/>
        <w:t>）其他说明</w:t>
      </w:r>
      <w:r>
        <w:rPr>
          <w:b w:val="0"/>
          <w:bCs w:val="0"/>
        </w:rPr>
      </w:r>
    </w:p>
    <w:p>
      <w:pPr>
        <w:spacing w:line="240" w:lineRule="auto" w:before="10"/>
        <w:rPr>
          <w:rFonts w:ascii="宋体" w:hAnsi="宋体" w:cs="宋体" w:eastAsia="宋体" w:hint="default"/>
          <w:b/>
          <w:bCs/>
          <w:sz w:val="24"/>
          <w:szCs w:val="24"/>
        </w:rPr>
      </w:pPr>
    </w:p>
    <w:p>
      <w:pPr>
        <w:spacing w:line="506" w:lineRule="auto" w:before="0"/>
        <w:ind w:left="574" w:right="4102" w:hanging="420"/>
        <w:jc w:val="left"/>
        <w:rPr>
          <w:rFonts w:ascii="宋体" w:hAnsi="宋体" w:cs="宋体" w:eastAsia="宋体" w:hint="default"/>
          <w:sz w:val="21"/>
          <w:szCs w:val="21"/>
        </w:rPr>
      </w:pPr>
      <w:r>
        <w:rPr/>
        <w:pict>
          <v:shape style="position:absolute;margin-left:56.34pt;margin-top:46.963646pt;width:454.8pt;height:33.7pt;mso-position-horizontal-relative:page;mso-position-vertical-relative:paragraph;z-index:164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128"/>
                    <w:gridCol w:w="2410"/>
                    <w:gridCol w:w="1276"/>
                    <w:gridCol w:w="1702"/>
                    <w:gridCol w:w="1559"/>
                  </w:tblGrid>
                  <w:tr>
                    <w:trPr>
                      <w:trHeight w:val="659" w:hRule="exact"/>
                    </w:trPr>
                    <w:tc>
                      <w:tcPr>
                        <w:tcW w:w="2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62" w:right="0"/>
                          <w:jc w:val="left"/>
                          <w:rPr>
                            <w:rFonts w:ascii="宋体" w:hAnsi="宋体" w:cs="宋体" w:eastAsia="宋体" w:hint="default"/>
                            <w:sz w:val="18"/>
                            <w:szCs w:val="18"/>
                          </w:rPr>
                        </w:pPr>
                        <w:r>
                          <w:rPr>
                            <w:rFonts w:ascii="宋体" w:hAnsi="宋体" w:cs="宋体" w:eastAsia="宋体" w:hint="default"/>
                            <w:sz w:val="18"/>
                            <w:szCs w:val="18"/>
                          </w:rPr>
                          <w:t>股</w:t>
                        </w:r>
                        <w:r>
                          <w:rPr>
                            <w:rFonts w:ascii="宋体" w:hAnsi="宋体" w:cs="宋体" w:eastAsia="宋体" w:hint="default"/>
                            <w:spacing w:val="55"/>
                            <w:sz w:val="18"/>
                            <w:szCs w:val="18"/>
                          </w:rPr>
                          <w:t> </w:t>
                        </w:r>
                        <w:r>
                          <w:rPr>
                            <w:rFonts w:ascii="宋体" w:hAnsi="宋体" w:cs="宋体" w:eastAsia="宋体" w:hint="default"/>
                            <w:sz w:val="18"/>
                            <w:szCs w:val="18"/>
                          </w:rPr>
                          <w:t>东</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质押方</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49" w:right="0" w:hanging="448"/>
                          <w:jc w:val="left"/>
                          <w:rPr>
                            <w:rFonts w:ascii="宋体" w:hAnsi="宋体" w:cs="宋体" w:eastAsia="宋体" w:hint="default"/>
                            <w:sz w:val="18"/>
                            <w:szCs w:val="18"/>
                          </w:rPr>
                        </w:pPr>
                        <w:r>
                          <w:rPr>
                            <w:rFonts w:ascii="宋体" w:hAnsi="宋体" w:cs="宋体" w:eastAsia="宋体" w:hint="default"/>
                            <w:sz w:val="18"/>
                            <w:szCs w:val="18"/>
                          </w:rPr>
                          <w:t>质押股份数（万 股）</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92" w:right="0"/>
                          <w:jc w:val="left"/>
                          <w:rPr>
                            <w:rFonts w:ascii="宋体" w:hAnsi="宋体" w:cs="宋体" w:eastAsia="宋体" w:hint="default"/>
                            <w:sz w:val="18"/>
                            <w:szCs w:val="18"/>
                          </w:rPr>
                        </w:pPr>
                        <w:r>
                          <w:rPr>
                            <w:rFonts w:ascii="宋体" w:hAnsi="宋体" w:cs="宋体" w:eastAsia="宋体" w:hint="default"/>
                            <w:sz w:val="18"/>
                            <w:szCs w:val="18"/>
                          </w:rPr>
                          <w:t>初始交易日</w:t>
                        </w:r>
                      </w:p>
                    </w:tc>
                    <w:tc>
                      <w:tcPr>
                        <w:tcW w:w="155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0"/>
                          <w:ind w:left="321" w:right="0"/>
                          <w:jc w:val="left"/>
                          <w:rPr>
                            <w:rFonts w:ascii="宋体" w:hAnsi="宋体" w:cs="宋体" w:eastAsia="宋体" w:hint="default"/>
                            <w:sz w:val="18"/>
                            <w:szCs w:val="18"/>
                          </w:rPr>
                        </w:pPr>
                        <w:r>
                          <w:rPr>
                            <w:rFonts w:ascii="宋体" w:hAnsi="宋体" w:cs="宋体" w:eastAsia="宋体" w:hint="default"/>
                            <w:sz w:val="18"/>
                            <w:szCs w:val="18"/>
                          </w:rPr>
                          <w:t>购回交易日</w:t>
                        </w:r>
                      </w:p>
                    </w:tc>
                  </w:tr>
                </w:tbl>
                <w:p>
                  <w:pPr/>
                </w:p>
              </w:txbxContent>
            </v:textbox>
            <w10:wrap type="none"/>
          </v:shape>
        </w:pict>
      </w:r>
      <w:bookmarkStart w:name="7、其他对投资者决策有影响的重要交易和事项" w:id="502"/>
      <w:bookmarkEnd w:id="502"/>
      <w:r>
        <w:rPr/>
      </w: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、其他对投资者决策有影响的重要交易和事项</w:t>
      </w:r>
      <w:r>
        <w:rPr>
          <w:rFonts w:ascii="宋体" w:hAnsi="宋体" w:cs="宋体" w:eastAsia="宋体" w:hint="default"/>
          <w:b/>
          <w:bCs/>
          <w:w w:val="99"/>
          <w:sz w:val="21"/>
          <w:szCs w:val="21"/>
        </w:rPr>
        <w:t> </w:t>
      </w:r>
      <w:r>
        <w:rPr>
          <w:rFonts w:ascii="宋体" w:hAnsi="宋体" w:cs="宋体" w:eastAsia="宋体" w:hint="default"/>
          <w:sz w:val="21"/>
          <w:szCs w:val="21"/>
        </w:rPr>
        <w:t>截至</w:t>
      </w:r>
      <w:r>
        <w:rPr>
          <w:rFonts w:ascii="Times New Roman" w:hAnsi="Times New Roman" w:cs="Times New Roman" w:eastAsia="Times New Roman" w:hint="default"/>
          <w:sz w:val="21"/>
          <w:szCs w:val="21"/>
        </w:rPr>
        <w:t>2017</w:t>
      </w:r>
      <w:r>
        <w:rPr>
          <w:rFonts w:ascii="宋体" w:hAnsi="宋体" w:cs="宋体" w:eastAsia="宋体" w:hint="default"/>
          <w:sz w:val="21"/>
          <w:szCs w:val="21"/>
        </w:rPr>
        <w:t>年</w:t>
      </w:r>
      <w:r>
        <w:rPr>
          <w:rFonts w:ascii="Times New Roman" w:hAnsi="Times New Roman" w:cs="Times New Roman" w:eastAsia="Times New Roman" w:hint="default"/>
          <w:sz w:val="21"/>
          <w:szCs w:val="21"/>
        </w:rPr>
        <w:t>12</w:t>
      </w:r>
      <w:r>
        <w:rPr>
          <w:rFonts w:ascii="宋体" w:hAnsi="宋体" w:cs="宋体" w:eastAsia="宋体" w:hint="default"/>
          <w:sz w:val="21"/>
          <w:szCs w:val="21"/>
        </w:rPr>
        <w:t>月</w:t>
      </w:r>
      <w:r>
        <w:rPr>
          <w:rFonts w:ascii="Times New Roman" w:hAnsi="Times New Roman" w:cs="Times New Roman" w:eastAsia="Times New Roman" w:hint="default"/>
          <w:sz w:val="21"/>
          <w:szCs w:val="21"/>
        </w:rPr>
        <w:t>31</w:t>
      </w:r>
      <w:r>
        <w:rPr>
          <w:rFonts w:ascii="宋体" w:hAnsi="宋体" w:cs="宋体" w:eastAsia="宋体" w:hint="default"/>
          <w:sz w:val="21"/>
          <w:szCs w:val="21"/>
        </w:rPr>
        <w:t>日，公司的限售流通股质押情况如下：</w:t>
      </w:r>
    </w:p>
    <w:p>
      <w:pPr>
        <w:spacing w:after="0" w:line="506" w:lineRule="auto"/>
        <w:jc w:val="left"/>
        <w:rPr>
          <w:rFonts w:ascii="宋体" w:hAnsi="宋体" w:cs="宋体" w:eastAsia="宋体" w:hint="default"/>
          <w:sz w:val="21"/>
          <w:szCs w:val="21"/>
        </w:rPr>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2128"/>
        <w:gridCol w:w="2410"/>
        <w:gridCol w:w="1276"/>
        <w:gridCol w:w="1702"/>
        <w:gridCol w:w="1559"/>
      </w:tblGrid>
      <w:tr>
        <w:trPr>
          <w:trHeight w:val="347" w:hRule="exact"/>
        </w:trPr>
        <w:tc>
          <w:tcPr>
            <w:tcW w:w="2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高兴控股集团有限公司</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海通证券股份有限公司</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1,093.97</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8"/>
                <w:sz w:val="18"/>
                <w:szCs w:val="18"/>
              </w:rPr>
              <w:t> </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4</w:t>
            </w:r>
            <w:r>
              <w:rPr>
                <w:rFonts w:ascii="宋体" w:hAnsi="宋体" w:cs="宋体" w:eastAsia="宋体" w:hint="default"/>
                <w:sz w:val="18"/>
                <w:szCs w:val="18"/>
              </w:rPr>
              <w:t>日</w:t>
            </w:r>
          </w:p>
        </w:tc>
        <w:tc>
          <w:tcPr>
            <w:tcW w:w="155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8"/>
                <w:sz w:val="18"/>
                <w:szCs w:val="18"/>
              </w:rPr>
              <w:t> </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3</w:t>
            </w:r>
            <w:r>
              <w:rPr>
                <w:rFonts w:ascii="宋体" w:hAnsi="宋体" w:cs="宋体" w:eastAsia="宋体" w:hint="default"/>
                <w:sz w:val="18"/>
                <w:szCs w:val="18"/>
              </w:rPr>
              <w:t>日</w:t>
            </w:r>
          </w:p>
        </w:tc>
      </w:tr>
      <w:tr>
        <w:trPr>
          <w:trHeight w:val="347" w:hRule="exact"/>
        </w:trPr>
        <w:tc>
          <w:tcPr>
            <w:tcW w:w="2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高兴控股集团有限公司</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海通证券股份有限公司</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78.03</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8"/>
                <w:sz w:val="18"/>
                <w:szCs w:val="18"/>
              </w:rPr>
              <w:t> </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7</w:t>
            </w:r>
            <w:r>
              <w:rPr>
                <w:rFonts w:ascii="宋体" w:hAnsi="宋体" w:cs="宋体" w:eastAsia="宋体" w:hint="default"/>
                <w:sz w:val="18"/>
                <w:szCs w:val="18"/>
              </w:rPr>
              <w:t>日</w:t>
            </w:r>
          </w:p>
        </w:tc>
        <w:tc>
          <w:tcPr>
            <w:tcW w:w="155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r>
      <w:tr>
        <w:trPr>
          <w:trHeight w:val="659" w:hRule="exact"/>
        </w:trPr>
        <w:tc>
          <w:tcPr>
            <w:tcW w:w="2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高兴控股集团有限公司</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2"/>
              <w:jc w:val="left"/>
              <w:rPr>
                <w:rFonts w:ascii="宋体" w:hAnsi="宋体" w:cs="宋体" w:eastAsia="宋体" w:hint="default"/>
                <w:sz w:val="18"/>
                <w:szCs w:val="18"/>
              </w:rPr>
            </w:pPr>
            <w:r>
              <w:rPr>
                <w:rFonts w:ascii="宋体" w:hAnsi="宋体" w:cs="宋体" w:eastAsia="宋体" w:hint="default"/>
                <w:spacing w:val="3"/>
                <w:sz w:val="18"/>
                <w:szCs w:val="18"/>
              </w:rPr>
              <w:t>华夏银行股份有限公司杭州余</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杭支行</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450.00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w:t>
            </w:r>
            <w:r>
              <w:rPr>
                <w:rFonts w:ascii="Times New Roman" w:hAnsi="Times New Roman" w:cs="Times New Roman" w:eastAsia="Times New Roman" w:hint="default"/>
                <w:sz w:val="18"/>
                <w:szCs w:val="18"/>
              </w:rPr>
              <w:t>4</w:t>
            </w:r>
            <w:r>
              <w:rPr>
                <w:rFonts w:ascii="宋体" w:hAnsi="宋体" w:cs="宋体" w:eastAsia="宋体" w:hint="default"/>
                <w:sz w:val="18"/>
                <w:szCs w:val="18"/>
              </w:rPr>
              <w:t>日</w:t>
            </w:r>
          </w:p>
        </w:tc>
        <w:tc>
          <w:tcPr>
            <w:tcW w:w="155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14</w:t>
            </w:r>
            <w:r>
              <w:rPr>
                <w:rFonts w:ascii="宋体" w:hAnsi="宋体" w:cs="宋体" w:eastAsia="宋体" w:hint="default"/>
                <w:sz w:val="18"/>
                <w:szCs w:val="18"/>
              </w:rPr>
              <w:t>日</w:t>
            </w:r>
          </w:p>
        </w:tc>
      </w:tr>
      <w:tr>
        <w:trPr>
          <w:trHeight w:val="660" w:hRule="exact"/>
        </w:trPr>
        <w:tc>
          <w:tcPr>
            <w:tcW w:w="2128"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1"/>
              <w:ind w:left="2" w:right="2"/>
              <w:jc w:val="left"/>
              <w:rPr>
                <w:rFonts w:ascii="宋体" w:hAnsi="宋体" w:cs="宋体" w:eastAsia="宋体" w:hint="default"/>
                <w:sz w:val="18"/>
                <w:szCs w:val="18"/>
              </w:rPr>
            </w:pPr>
            <w:r>
              <w:rPr>
                <w:rFonts w:ascii="宋体" w:hAnsi="宋体" w:cs="宋体" w:eastAsia="宋体" w:hint="default"/>
                <w:spacing w:val="5"/>
                <w:sz w:val="18"/>
                <w:szCs w:val="18"/>
              </w:rPr>
              <w:t>中国双帆投资控股集团</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香</w:t>
            </w:r>
            <w:r>
              <w:rPr>
                <w:rFonts w:ascii="宋体" w:hAnsi="宋体" w:cs="宋体" w:eastAsia="宋体" w:hint="default"/>
                <w:spacing w:val="-85"/>
                <w:sz w:val="18"/>
                <w:szCs w:val="18"/>
              </w:rPr>
              <w:t> </w:t>
            </w:r>
            <w:r>
              <w:rPr>
                <w:rFonts w:ascii="宋体" w:hAnsi="宋体" w:cs="宋体" w:eastAsia="宋体" w:hint="default"/>
                <w:sz w:val="18"/>
                <w:szCs w:val="18"/>
              </w:rPr>
              <w:t>港</w:t>
            </w:r>
            <w:r>
              <w:rPr>
                <w:rFonts w:ascii="Times New Roman" w:hAnsi="Times New Roman" w:cs="Times New Roman" w:eastAsia="Times New Roman" w:hint="default"/>
                <w:sz w:val="18"/>
                <w:szCs w:val="18"/>
              </w:rPr>
              <w:t>)</w:t>
            </w:r>
            <w:r>
              <w:rPr>
                <w:rFonts w:ascii="宋体" w:hAnsi="宋体" w:cs="宋体" w:eastAsia="宋体" w:hint="default"/>
                <w:sz w:val="18"/>
                <w:szCs w:val="18"/>
              </w:rPr>
              <w:t>有限公司</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华融证券有些责任公司</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1,189.78</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25</w:t>
            </w:r>
            <w:r>
              <w:rPr>
                <w:rFonts w:ascii="宋体" w:hAnsi="宋体" w:cs="宋体" w:eastAsia="宋体" w:hint="default"/>
                <w:sz w:val="18"/>
                <w:szCs w:val="18"/>
              </w:rPr>
              <w:t>日</w:t>
            </w:r>
          </w:p>
        </w:tc>
        <w:tc>
          <w:tcPr>
            <w:tcW w:w="155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25</w:t>
            </w:r>
            <w:r>
              <w:rPr>
                <w:rFonts w:ascii="宋体" w:hAnsi="宋体" w:cs="宋体" w:eastAsia="宋体" w:hint="default"/>
                <w:sz w:val="18"/>
                <w:szCs w:val="18"/>
              </w:rPr>
              <w:t>日</w:t>
            </w:r>
          </w:p>
        </w:tc>
      </w:tr>
      <w:tr>
        <w:trPr>
          <w:trHeight w:val="659" w:hRule="exact"/>
        </w:trPr>
        <w:tc>
          <w:tcPr>
            <w:tcW w:w="2128"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0"/>
              <w:ind w:left="2" w:right="2"/>
              <w:jc w:val="left"/>
              <w:rPr>
                <w:rFonts w:ascii="宋体" w:hAnsi="宋体" w:cs="宋体" w:eastAsia="宋体" w:hint="default"/>
                <w:sz w:val="18"/>
                <w:szCs w:val="18"/>
              </w:rPr>
            </w:pPr>
            <w:r>
              <w:rPr>
                <w:rFonts w:ascii="宋体" w:hAnsi="宋体" w:cs="宋体" w:eastAsia="宋体" w:hint="default"/>
                <w:spacing w:val="5"/>
                <w:sz w:val="18"/>
                <w:szCs w:val="18"/>
              </w:rPr>
              <w:t>中国双帆投资控股集团</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香</w:t>
            </w:r>
            <w:r>
              <w:rPr>
                <w:rFonts w:ascii="宋体" w:hAnsi="宋体" w:cs="宋体" w:eastAsia="宋体" w:hint="default"/>
                <w:spacing w:val="-85"/>
                <w:sz w:val="18"/>
                <w:szCs w:val="18"/>
              </w:rPr>
              <w:t> </w:t>
            </w:r>
            <w:r>
              <w:rPr>
                <w:rFonts w:ascii="宋体" w:hAnsi="宋体" w:cs="宋体" w:eastAsia="宋体" w:hint="default"/>
                <w:sz w:val="18"/>
                <w:szCs w:val="18"/>
              </w:rPr>
              <w:t>港</w:t>
            </w:r>
            <w:r>
              <w:rPr>
                <w:rFonts w:ascii="Times New Roman" w:hAnsi="Times New Roman" w:cs="Times New Roman" w:eastAsia="Times New Roman" w:hint="default"/>
                <w:sz w:val="18"/>
                <w:szCs w:val="18"/>
              </w:rPr>
              <w:t>)</w:t>
            </w:r>
            <w:r>
              <w:rPr>
                <w:rFonts w:ascii="宋体" w:hAnsi="宋体" w:cs="宋体" w:eastAsia="宋体" w:hint="default"/>
                <w:sz w:val="18"/>
                <w:szCs w:val="18"/>
              </w:rPr>
              <w:t>有限公司</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华融证券有些责任公司</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60.22</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宋体" w:hAnsi="宋体" w:cs="宋体" w:eastAsia="宋体" w:hint="default"/>
                <w:sz w:val="18"/>
                <w:szCs w:val="18"/>
              </w:rPr>
              <w:t>月</w:t>
            </w:r>
            <w:r>
              <w:rPr>
                <w:rFonts w:ascii="Times New Roman" w:hAnsi="Times New Roman" w:cs="Times New Roman" w:eastAsia="Times New Roman" w:hint="default"/>
                <w:sz w:val="18"/>
                <w:szCs w:val="18"/>
              </w:rPr>
              <w:t>24</w:t>
            </w:r>
            <w:r>
              <w:rPr>
                <w:rFonts w:ascii="宋体" w:hAnsi="宋体" w:cs="宋体" w:eastAsia="宋体" w:hint="default"/>
                <w:sz w:val="18"/>
                <w:szCs w:val="18"/>
              </w:rPr>
              <w:t>日</w:t>
            </w:r>
          </w:p>
        </w:tc>
        <w:tc>
          <w:tcPr>
            <w:tcW w:w="155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25</w:t>
            </w:r>
            <w:r>
              <w:rPr>
                <w:rFonts w:ascii="宋体" w:hAnsi="宋体" w:cs="宋体" w:eastAsia="宋体" w:hint="default"/>
                <w:sz w:val="18"/>
                <w:szCs w:val="18"/>
              </w:rPr>
              <w:t>日</w:t>
            </w:r>
          </w:p>
        </w:tc>
      </w:tr>
      <w:tr>
        <w:trPr>
          <w:trHeight w:val="347" w:hRule="exact"/>
        </w:trPr>
        <w:tc>
          <w:tcPr>
            <w:tcW w:w="2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高兴控股集团有限公司</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海通证券股份有限公司</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37.00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29</w:t>
            </w:r>
            <w:r>
              <w:rPr>
                <w:rFonts w:ascii="宋体" w:hAnsi="宋体" w:cs="宋体" w:eastAsia="宋体" w:hint="default"/>
                <w:sz w:val="18"/>
                <w:szCs w:val="18"/>
              </w:rPr>
              <w:t>日</w:t>
            </w:r>
          </w:p>
        </w:tc>
        <w:tc>
          <w:tcPr>
            <w:tcW w:w="155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27</w:t>
            </w:r>
            <w:r>
              <w:rPr>
                <w:rFonts w:ascii="宋体" w:hAnsi="宋体" w:cs="宋体" w:eastAsia="宋体" w:hint="default"/>
                <w:sz w:val="18"/>
                <w:szCs w:val="18"/>
              </w:rPr>
              <w:t>日</w:t>
            </w:r>
          </w:p>
        </w:tc>
      </w:tr>
      <w:tr>
        <w:trPr>
          <w:trHeight w:val="347" w:hRule="exact"/>
        </w:trPr>
        <w:tc>
          <w:tcPr>
            <w:tcW w:w="2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高兴控股集团有限公司</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国泰君安证券股份有限公司</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100.00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26</w:t>
            </w:r>
            <w:r>
              <w:rPr>
                <w:rFonts w:ascii="宋体" w:hAnsi="宋体" w:cs="宋体" w:eastAsia="宋体" w:hint="default"/>
                <w:sz w:val="18"/>
                <w:szCs w:val="18"/>
              </w:rPr>
              <w:t>日</w:t>
            </w:r>
          </w:p>
        </w:tc>
        <w:tc>
          <w:tcPr>
            <w:tcW w:w="155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w:t>
            </w:r>
            <w:r>
              <w:rPr>
                <w:rFonts w:ascii="Times New Roman" w:hAnsi="Times New Roman" w:cs="Times New Roman" w:eastAsia="Times New Roman" w:hint="default"/>
                <w:sz w:val="18"/>
                <w:szCs w:val="18"/>
              </w:rPr>
              <w:t>26</w:t>
            </w:r>
            <w:r>
              <w:rPr>
                <w:rFonts w:ascii="宋体" w:hAnsi="宋体" w:cs="宋体" w:eastAsia="宋体" w:hint="default"/>
                <w:sz w:val="18"/>
                <w:szCs w:val="18"/>
              </w:rPr>
              <w:t>日</w:t>
            </w:r>
          </w:p>
        </w:tc>
      </w:tr>
      <w:tr>
        <w:trPr>
          <w:trHeight w:val="659" w:hRule="exact"/>
        </w:trPr>
        <w:tc>
          <w:tcPr>
            <w:tcW w:w="2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高兴控股集团有限公司</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2"/>
              <w:jc w:val="left"/>
              <w:rPr>
                <w:rFonts w:ascii="宋体" w:hAnsi="宋体" w:cs="宋体" w:eastAsia="宋体" w:hint="default"/>
                <w:sz w:val="18"/>
                <w:szCs w:val="18"/>
              </w:rPr>
            </w:pPr>
            <w:r>
              <w:rPr>
                <w:rFonts w:ascii="宋体" w:hAnsi="宋体" w:cs="宋体" w:eastAsia="宋体" w:hint="default"/>
                <w:spacing w:val="3"/>
                <w:sz w:val="18"/>
                <w:szCs w:val="18"/>
              </w:rPr>
              <w:t>华夏银行股份有限公司杭州余</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杭支行</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450.00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w:t>
            </w:r>
            <w:r>
              <w:rPr>
                <w:rFonts w:ascii="Times New Roman" w:hAnsi="Times New Roman" w:cs="Times New Roman" w:eastAsia="Times New Roman" w:hint="default"/>
                <w:sz w:val="18"/>
                <w:szCs w:val="18"/>
              </w:rPr>
              <w:t>7</w:t>
            </w:r>
            <w:r>
              <w:rPr>
                <w:rFonts w:ascii="宋体" w:hAnsi="宋体" w:cs="宋体" w:eastAsia="宋体" w:hint="default"/>
                <w:sz w:val="18"/>
                <w:szCs w:val="18"/>
              </w:rPr>
              <w:t>日</w:t>
            </w:r>
          </w:p>
        </w:tc>
        <w:tc>
          <w:tcPr>
            <w:tcW w:w="155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w:t>
            </w:r>
            <w:r>
              <w:rPr>
                <w:rFonts w:ascii="Times New Roman" w:hAnsi="Times New Roman" w:cs="Times New Roman" w:eastAsia="Times New Roman" w:hint="default"/>
                <w:sz w:val="18"/>
                <w:szCs w:val="18"/>
              </w:rPr>
              <w:t>7</w:t>
            </w:r>
            <w:r>
              <w:rPr>
                <w:rFonts w:ascii="宋体" w:hAnsi="宋体" w:cs="宋体" w:eastAsia="宋体" w:hint="default"/>
                <w:sz w:val="18"/>
                <w:szCs w:val="18"/>
              </w:rPr>
              <w:t>日</w:t>
            </w:r>
          </w:p>
        </w:tc>
      </w:tr>
      <w:tr>
        <w:trPr>
          <w:trHeight w:val="347" w:hRule="exact"/>
        </w:trPr>
        <w:tc>
          <w:tcPr>
            <w:tcW w:w="2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高兴控股集团有限公司</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深圳市高新投集团有限公司</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260.00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5</w:t>
            </w:r>
            <w:r>
              <w:rPr>
                <w:rFonts w:ascii="宋体" w:hAnsi="宋体" w:cs="宋体" w:eastAsia="宋体" w:hint="default"/>
                <w:sz w:val="18"/>
                <w:szCs w:val="18"/>
              </w:rPr>
              <w:t>日</w:t>
            </w:r>
          </w:p>
        </w:tc>
        <w:tc>
          <w:tcPr>
            <w:tcW w:w="155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5</w:t>
            </w:r>
            <w:r>
              <w:rPr>
                <w:rFonts w:ascii="宋体" w:hAnsi="宋体" w:cs="宋体" w:eastAsia="宋体" w:hint="default"/>
                <w:sz w:val="18"/>
                <w:szCs w:val="18"/>
              </w:rPr>
              <w:t>日</w:t>
            </w:r>
          </w:p>
        </w:tc>
      </w:tr>
      <w:tr>
        <w:trPr>
          <w:trHeight w:val="660" w:hRule="exact"/>
        </w:trPr>
        <w:tc>
          <w:tcPr>
            <w:tcW w:w="2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杭州天眼投资有限公司</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2"/>
              <w:jc w:val="left"/>
              <w:rPr>
                <w:rFonts w:ascii="宋体" w:hAnsi="宋体" w:cs="宋体" w:eastAsia="宋体" w:hint="default"/>
                <w:sz w:val="18"/>
                <w:szCs w:val="18"/>
              </w:rPr>
            </w:pPr>
            <w:r>
              <w:rPr>
                <w:rFonts w:ascii="宋体" w:hAnsi="宋体" w:cs="宋体" w:eastAsia="宋体" w:hint="default"/>
                <w:spacing w:val="3"/>
                <w:sz w:val="18"/>
                <w:szCs w:val="18"/>
              </w:rPr>
              <w:t>招商银行股份有限公司杭州凤</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起支行</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450.00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27</w:t>
            </w:r>
            <w:r>
              <w:rPr>
                <w:rFonts w:ascii="宋体" w:hAnsi="宋体" w:cs="宋体" w:eastAsia="宋体" w:hint="default"/>
                <w:sz w:val="18"/>
                <w:szCs w:val="18"/>
              </w:rPr>
              <w:t>日</w:t>
            </w:r>
          </w:p>
        </w:tc>
        <w:tc>
          <w:tcPr>
            <w:tcW w:w="155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26</w:t>
            </w:r>
            <w:r>
              <w:rPr>
                <w:rFonts w:ascii="宋体" w:hAnsi="宋体" w:cs="宋体" w:eastAsia="宋体" w:hint="default"/>
                <w:sz w:val="18"/>
                <w:szCs w:val="18"/>
              </w:rPr>
              <w:t>日</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3"/>
          <w:szCs w:val="23"/>
        </w:rPr>
      </w:pPr>
    </w:p>
    <w:p>
      <w:pPr>
        <w:spacing w:line="487" w:lineRule="auto" w:before="35"/>
        <w:ind w:left="154" w:right="5992" w:firstLine="0"/>
        <w:jc w:val="left"/>
        <w:rPr>
          <w:rFonts w:ascii="宋体" w:hAnsi="宋体" w:cs="宋体" w:eastAsia="宋体" w:hint="default"/>
          <w:sz w:val="21"/>
          <w:szCs w:val="21"/>
        </w:rPr>
      </w:pPr>
      <w:bookmarkStart w:name="8、其他" w:id="503"/>
      <w:bookmarkEnd w:id="503"/>
      <w:r>
        <w:rPr/>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七、母公司财务报表主要项目注释" w:id="504"/>
      <w:bookmarkEnd w:id="504"/>
      <w:r>
        <w:rPr>
          <w:rFonts w:ascii="宋体" w:hAnsi="宋体" w:cs="宋体" w:eastAsia="宋体" w:hint="default"/>
          <w:b/>
          <w:bCs/>
          <w:spacing w:val="1"/>
          <w:w w:val="99"/>
          <w:sz w:val="21"/>
          <w:szCs w:val="21"/>
        </w:rPr>
      </w:r>
      <w:r>
        <w:rPr>
          <w:rFonts w:ascii="宋体" w:hAnsi="宋体" w:cs="宋体" w:eastAsia="宋体" w:hint="default"/>
          <w:b/>
          <w:bCs/>
          <w:w w:val="95"/>
          <w:sz w:val="24"/>
          <w:szCs w:val="24"/>
        </w:rPr>
        <w:t>十七、母公司财务报表主要项目注释</w:t>
      </w:r>
      <w:r>
        <w:rPr>
          <w:rFonts w:ascii="宋体" w:hAnsi="宋体" w:cs="宋体" w:eastAsia="宋体" w:hint="default"/>
          <w:b/>
          <w:bCs/>
          <w:spacing w:val="62"/>
          <w:w w:val="95"/>
          <w:sz w:val="24"/>
          <w:szCs w:val="24"/>
        </w:rPr>
        <w:t> </w:t>
      </w:r>
      <w:r>
        <w:rPr>
          <w:rFonts w:ascii="宋体" w:hAnsi="宋体" w:cs="宋体" w:eastAsia="宋体" w:hint="default"/>
          <w:b/>
          <w:bCs/>
          <w:spacing w:val="62"/>
          <w:w w:val="95"/>
          <w:sz w:val="24"/>
          <w:szCs w:val="24"/>
        </w:rPr>
      </w:r>
      <w:bookmarkStart w:name="1、应收账款" w:id="505"/>
      <w:bookmarkEnd w:id="505"/>
      <w:r>
        <w:rPr>
          <w:rFonts w:ascii="宋体" w:hAnsi="宋体" w:cs="宋体" w:eastAsia="宋体" w:hint="default"/>
          <w:b/>
          <w:bCs/>
          <w:spacing w:val="62"/>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、应收账款</w:t>
      </w:r>
      <w:r>
        <w:rPr>
          <w:rFonts w:ascii="宋体" w:hAnsi="宋体" w:cs="宋体" w:eastAsia="宋体" w:hint="default"/>
          <w:sz w:val="21"/>
          <w:szCs w:val="21"/>
        </w:rPr>
      </w:r>
    </w:p>
    <w:p>
      <w:pPr>
        <w:pStyle w:val="Heading5"/>
        <w:spacing w:line="240" w:lineRule="auto" w:before="83"/>
        <w:ind w:right="0"/>
        <w:jc w:val="left"/>
        <w:rPr>
          <w:b w:val="0"/>
          <w:bCs w:val="0"/>
        </w:rPr>
      </w:pPr>
      <w:bookmarkStart w:name="（1）应收账款分类披露" w:id="506"/>
      <w:bookmarkEnd w:id="506"/>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611"/>
        <w:gridCol w:w="775"/>
        <w:gridCol w:w="762"/>
        <w:gridCol w:w="762"/>
        <w:gridCol w:w="762"/>
        <w:gridCol w:w="790"/>
        <w:gridCol w:w="654"/>
        <w:gridCol w:w="762"/>
        <w:gridCol w:w="813"/>
        <w:gridCol w:w="932"/>
        <w:gridCol w:w="932"/>
      </w:tblGrid>
      <w:tr>
        <w:trPr>
          <w:trHeight w:val="397" w:hRule="exact"/>
        </w:trPr>
        <w:tc>
          <w:tcPr>
            <w:tcW w:w="1611" w:type="dxa"/>
            <w:vMerge w:val="restart"/>
            <w:tcBorders>
              <w:top w:val="single" w:sz="4" w:space="0" w:color="000000"/>
              <w:left w:val="single" w:sz="4" w:space="0" w:color="000000"/>
              <w:right w:val="single" w:sz="4" w:space="0" w:color="000000"/>
            </w:tcBorders>
            <w:shd w:val="clear" w:color="auto" w:fill="D2D2D2"/>
          </w:tcPr>
          <w:p>
            <w:pPr/>
          </w:p>
        </w:tc>
        <w:tc>
          <w:tcPr>
            <w:tcW w:w="385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11" w:type="dxa"/>
            <w:vMerge/>
            <w:tcBorders>
              <w:left w:val="single" w:sz="4" w:space="0" w:color="000000"/>
              <w:bottom w:val="nil" w:sz="6" w:space="0" w:color="auto"/>
              <w:right w:val="single" w:sz="4" w:space="0" w:color="000000"/>
            </w:tcBorders>
            <w:shd w:val="clear" w:color="auto" w:fill="D2D2D2"/>
          </w:tcPr>
          <w:p>
            <w:pPr/>
          </w:p>
        </w:tc>
        <w:tc>
          <w:tcPr>
            <w:tcW w:w="153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1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37"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11" w:type="dxa"/>
            <w:vMerge/>
            <w:tcBorders>
              <w:left w:val="single" w:sz="4" w:space="0" w:color="000000"/>
              <w:bottom w:val="single" w:sz="4" w:space="0" w:color="FFFFFF"/>
              <w:right w:val="single" w:sz="4" w:space="0" w:color="000000"/>
            </w:tcBorders>
            <w:shd w:val="clear" w:color="auto" w:fill="D2D2D2"/>
          </w:tcPr>
          <w:p>
            <w:pPr/>
          </w:p>
        </w:tc>
        <w:tc>
          <w:tcPr>
            <w:tcW w:w="775"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2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11" w:type="dxa"/>
            <w:vMerge w:val="restart"/>
            <w:tcBorders>
              <w:top w:val="single" w:sz="4" w:space="0" w:color="FFFFFF"/>
              <w:left w:val="single" w:sz="4" w:space="0" w:color="000000"/>
              <w:right w:val="single" w:sz="4" w:space="0" w:color="000000"/>
            </w:tcBorders>
            <w:shd w:val="clear" w:color="auto" w:fill="D2D2D2"/>
          </w:tcPr>
          <w:p>
            <w:pPr/>
          </w:p>
        </w:tc>
        <w:tc>
          <w:tcPr>
            <w:tcW w:w="775"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11" w:type="dxa"/>
            <w:vMerge/>
            <w:tcBorders>
              <w:left w:val="single" w:sz="4" w:space="0" w:color="000000"/>
              <w:right w:val="single" w:sz="4" w:space="0" w:color="000000"/>
            </w:tcBorders>
            <w:shd w:val="clear" w:color="auto" w:fill="D2D2D2"/>
          </w:tcPr>
          <w:p>
            <w:pPr/>
          </w:p>
        </w:tc>
        <w:tc>
          <w:tcPr>
            <w:tcW w:w="775"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11"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5" w:right="0"/>
              <w:jc w:val="center"/>
              <w:rPr>
                <w:rFonts w:ascii="Times New Roman" w:hAnsi="Times New Roman" w:cs="Times New Roman" w:eastAsia="Times New Roman" w:hint="default"/>
                <w:sz w:val="18"/>
                <w:szCs w:val="18"/>
              </w:rPr>
            </w:pPr>
            <w:r>
              <w:rPr>
                <w:rFonts w:ascii="Times New Roman"/>
                <w:sz w:val="18"/>
              </w:rPr>
              <w:t>149,636,</w:t>
            </w:r>
          </w:p>
          <w:p>
            <w:pPr>
              <w:pStyle w:val="TableParagraph"/>
              <w:spacing w:line="240" w:lineRule="auto" w:before="105"/>
              <w:ind w:left="212" w:right="0"/>
              <w:jc w:val="center"/>
              <w:rPr>
                <w:rFonts w:ascii="Times New Roman" w:hAnsi="Times New Roman" w:cs="Times New Roman" w:eastAsia="Times New Roman" w:hint="default"/>
                <w:sz w:val="18"/>
                <w:szCs w:val="18"/>
              </w:rPr>
            </w:pPr>
            <w:r>
              <w:rPr>
                <w:rFonts w:ascii="Times New Roman"/>
                <w:sz w:val="18"/>
              </w:rPr>
              <w:t>480.08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98.64%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9,777,58</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5.01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6.53%</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139,858,8</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95.07</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6" w:right="0"/>
              <w:jc w:val="left"/>
              <w:rPr>
                <w:rFonts w:ascii="Times New Roman" w:hAnsi="Times New Roman" w:cs="Times New Roman" w:eastAsia="Times New Roman" w:hint="default"/>
                <w:sz w:val="18"/>
                <w:szCs w:val="18"/>
              </w:rPr>
            </w:pPr>
            <w:r>
              <w:rPr>
                <w:rFonts w:ascii="Times New Roman"/>
                <w:sz w:val="18"/>
              </w:rPr>
              <w:t>155,618</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,291.88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99.11%</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8,695,264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.08</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5.59%</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146,923,02</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7.80</w:t>
            </w: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的应收账款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2,058,48</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2.70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2,058,48</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2.70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1,398,7</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63.70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0.89%</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1,398,763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611" w:type="dxa"/>
            <w:tcBorders>
              <w:top w:val="single" w:sz="4" w:space="0" w:color="000000"/>
              <w:left w:val="single" w:sz="4" w:space="0" w:color="000000"/>
              <w:bottom w:val="nil" w:sz="6" w:space="0" w:color="auto"/>
              <w:right w:val="single" w:sz="4" w:space="0" w:color="000000"/>
            </w:tcBorders>
            <w:shd w:val="clear" w:color="auto" w:fill="D2D2D2"/>
          </w:tcPr>
          <w:p>
            <w:pPr/>
          </w:p>
        </w:tc>
        <w:tc>
          <w:tcPr>
            <w:tcW w:w="775" w:type="dxa"/>
            <w:vMerge w:val="restart"/>
            <w:tcBorders>
              <w:top w:val="single" w:sz="4" w:space="0" w:color="000000"/>
              <w:left w:val="single" w:sz="9" w:space="0" w:color="D2D2D2"/>
              <w:right w:val="single" w:sz="4" w:space="0" w:color="000000"/>
            </w:tcBorders>
          </w:tcPr>
          <w:p>
            <w:pPr>
              <w:pStyle w:val="TableParagraph"/>
              <w:spacing w:line="240" w:lineRule="auto" w:before="91"/>
              <w:ind w:left="81" w:right="0"/>
              <w:jc w:val="center"/>
              <w:rPr>
                <w:rFonts w:ascii="Times New Roman" w:hAnsi="Times New Roman" w:cs="Times New Roman" w:eastAsia="Times New Roman" w:hint="default"/>
                <w:sz w:val="18"/>
                <w:szCs w:val="18"/>
              </w:rPr>
            </w:pPr>
            <w:r>
              <w:rPr>
                <w:rFonts w:ascii="Times New Roman"/>
                <w:sz w:val="18"/>
              </w:rPr>
              <w:t>151,694,</w:t>
            </w:r>
          </w:p>
          <w:p>
            <w:pPr>
              <w:pStyle w:val="TableParagraph"/>
              <w:spacing w:line="240" w:lineRule="auto" w:before="105"/>
              <w:ind w:left="217" w:right="0"/>
              <w:jc w:val="center"/>
              <w:rPr>
                <w:rFonts w:ascii="Times New Roman" w:hAnsi="Times New Roman" w:cs="Times New Roman" w:eastAsia="Times New Roman" w:hint="default"/>
                <w:sz w:val="18"/>
                <w:szCs w:val="18"/>
              </w:rPr>
            </w:pPr>
            <w:r>
              <w:rPr>
                <w:rFonts w:ascii="Times New Roman"/>
                <w:sz w:val="18"/>
              </w:rPr>
              <w:t>962.78</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11,836,0</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67.71</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7.80%</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139,858,8</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95.07</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36" w:right="0"/>
              <w:jc w:val="left"/>
              <w:rPr>
                <w:rFonts w:ascii="Times New Roman" w:hAnsi="Times New Roman" w:cs="Times New Roman" w:eastAsia="Times New Roman" w:hint="default"/>
                <w:sz w:val="18"/>
                <w:szCs w:val="18"/>
              </w:rPr>
            </w:pPr>
            <w:r>
              <w:rPr>
                <w:rFonts w:ascii="Times New Roman"/>
                <w:sz w:val="18"/>
              </w:rPr>
              <w:t>157,017</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,055.58</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1"/>
              <w:ind w:left="59" w:right="0"/>
              <w:jc w:val="left"/>
              <w:rPr>
                <w:rFonts w:ascii="Times New Roman" w:hAnsi="Times New Roman" w:cs="Times New Roman" w:eastAsia="Times New Roman" w:hint="default"/>
                <w:sz w:val="18"/>
                <w:szCs w:val="18"/>
              </w:rPr>
            </w:pPr>
            <w:r>
              <w:rPr>
                <w:rFonts w:ascii="Times New Roman"/>
                <w:sz w:val="18"/>
              </w:rPr>
              <w:t>10,094,02</w:t>
            </w:r>
          </w:p>
          <w:p>
            <w:pPr>
              <w:pStyle w:val="TableParagraph"/>
              <w:spacing w:line="240" w:lineRule="auto" w:before="105"/>
              <w:ind w:left="465" w:right="0"/>
              <w:jc w:val="left"/>
              <w:rPr>
                <w:rFonts w:ascii="Times New Roman" w:hAnsi="Times New Roman" w:cs="Times New Roman" w:eastAsia="Times New Roman" w:hint="default"/>
                <w:sz w:val="18"/>
                <w:szCs w:val="18"/>
              </w:rPr>
            </w:pPr>
            <w:r>
              <w:rPr>
                <w:rFonts w:ascii="Times New Roman"/>
                <w:sz w:val="18"/>
              </w:rPr>
              <w:t>7.78</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6.43%</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146,923,02</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7.80</w:t>
            </w:r>
          </w:p>
        </w:tc>
      </w:tr>
      <w:tr>
        <w:trPr>
          <w:trHeight w:val="393" w:hRule="exact"/>
        </w:trPr>
        <w:tc>
          <w:tcPr>
            <w:tcW w:w="161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5"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11" w:type="dxa"/>
            <w:tcBorders>
              <w:top w:val="nil" w:sz="6" w:space="0" w:color="auto"/>
              <w:left w:val="single" w:sz="4" w:space="0" w:color="000000"/>
              <w:bottom w:val="single" w:sz="4" w:space="0" w:color="000000"/>
              <w:right w:val="single" w:sz="4" w:space="0" w:color="000000"/>
            </w:tcBorders>
            <w:shd w:val="clear" w:color="auto" w:fill="D2D2D2"/>
          </w:tcPr>
          <w:p>
            <w:pPr/>
          </w:p>
        </w:tc>
        <w:tc>
          <w:tcPr>
            <w:tcW w:w="775"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pStyle w:val="BodyText"/>
        <w:spacing w:line="240" w:lineRule="auto" w:before="51"/>
        <w:ind w:right="0"/>
        <w:jc w:val="left"/>
      </w:pPr>
      <w:r>
        <w:rPr/>
        <w:t>期末单项金额重大并单项计提坏账准备的应收账款：</w:t>
      </w:r>
    </w:p>
    <w:p>
      <w:pPr>
        <w:pStyle w:val="BodyText"/>
        <w:spacing w:line="357" w:lineRule="auto" w:before="117"/>
        <w:ind w:right="5812"/>
        <w:jc w:val="left"/>
      </w:pPr>
      <w:r>
        <w:rPr/>
        <w:t>□ 适用 √ 不适用 组合中，按账龄分析法计提坏账准备的应收账款：</w:t>
      </w:r>
    </w:p>
    <w:p>
      <w:pPr>
        <w:spacing w:after="0" w:line="357" w:lineRule="auto"/>
        <w:jc w:val="left"/>
        <w:sectPr>
          <w:pgSz w:w="11910" w:h="16840"/>
          <w:pgMar w:header="747" w:footer="979" w:top="1060" w:bottom="1160" w:left="980" w:right="980"/>
        </w:sectPr>
      </w:pPr>
    </w:p>
    <w:p>
      <w:pPr>
        <w:spacing w:line="240" w:lineRule="auto" w:before="13"/>
        <w:rPr>
          <w:rFonts w:ascii="宋体" w:hAnsi="宋体" w:cs="宋体" w:eastAsia="宋体" w:hint="default"/>
          <w:sz w:val="25"/>
          <w:szCs w:val="25"/>
        </w:rPr>
      </w:pPr>
    </w:p>
    <w:p>
      <w:pPr>
        <w:pStyle w:val="BodyText"/>
        <w:spacing w:line="240" w:lineRule="auto"/>
        <w:ind w:right="0"/>
        <w:jc w:val="left"/>
      </w:pPr>
      <w:r>
        <w:rPr/>
        <w:t>√ 适用 □ 不适用</w:t>
      </w:r>
    </w:p>
    <w:p>
      <w:pPr>
        <w:pStyle w:val="BodyText"/>
        <w:spacing w:line="240" w:lineRule="auto" w:before="116"/>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88"/>
        <w:gridCol w:w="2301"/>
        <w:gridCol w:w="2391"/>
        <w:gridCol w:w="2389"/>
      </w:tblGrid>
      <w:tr>
        <w:trPr>
          <w:trHeight w:val="402" w:hRule="exact"/>
        </w:trPr>
        <w:tc>
          <w:tcPr>
            <w:tcW w:w="24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08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488" w:type="dxa"/>
            <w:vMerge/>
            <w:tcBorders>
              <w:left w:val="single" w:sz="4" w:space="0" w:color="000000"/>
              <w:bottom w:val="single" w:sz="4" w:space="0" w:color="000000"/>
              <w:right w:val="single" w:sz="4" w:space="0" w:color="000000"/>
            </w:tcBorders>
            <w:shd w:val="clear" w:color="auto" w:fill="D2D2D2"/>
          </w:tcPr>
          <w:p>
            <w:pPr/>
          </w:p>
        </w:tc>
        <w:tc>
          <w:tcPr>
            <w:tcW w:w="2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p>
        </w:tc>
        <w:tc>
          <w:tcPr>
            <w:tcW w:w="2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143,697,113.47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7,184,855.67</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143,697,113.47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7,184,855.67</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3,501,412.79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350,141.28</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279,093.95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83,728.19</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2,158,859.87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2,158,859.87</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149,636,480.08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9,777,585.01</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6.53%</w:t>
            </w:r>
          </w:p>
        </w:tc>
      </w:tr>
    </w:tbl>
    <w:p>
      <w:pPr>
        <w:pStyle w:val="BodyText"/>
        <w:spacing w:line="360" w:lineRule="auto" w:before="51"/>
        <w:ind w:right="5452"/>
        <w:jc w:val="left"/>
      </w:pPr>
      <w:r>
        <w:rPr/>
        <w:t>确定该组合依据的说明： 组合中，采用余额百分比法计提坏账准备的应收账款：</w:t>
      </w:r>
    </w:p>
    <w:p>
      <w:pPr>
        <w:pStyle w:val="BodyText"/>
        <w:spacing w:line="357" w:lineRule="auto" w:before="26"/>
        <w:ind w:right="5812"/>
        <w:jc w:val="left"/>
      </w:pPr>
      <w:r>
        <w:rPr/>
        <w:t>□ 适用 √ 不适用 组合中，采用其他方法计提坏账准备的应收账款：</w:t>
      </w:r>
    </w:p>
    <w:p>
      <w:pPr>
        <w:spacing w:line="240" w:lineRule="auto" w:before="1"/>
        <w:rPr>
          <w:rFonts w:ascii="宋体" w:hAnsi="宋体" w:cs="宋体" w:eastAsia="宋体" w:hint="default"/>
          <w:sz w:val="20"/>
          <w:szCs w:val="20"/>
        </w:rPr>
      </w:pPr>
    </w:p>
    <w:p>
      <w:pPr>
        <w:pStyle w:val="Heading5"/>
        <w:spacing w:line="240" w:lineRule="auto"/>
        <w:ind w:right="0"/>
        <w:jc w:val="left"/>
        <w:rPr>
          <w:b w:val="0"/>
          <w:bCs w:val="0"/>
        </w:rPr>
      </w:pPr>
      <w:bookmarkStart w:name="（2）本期计提、收回或转回的坏账准备情况" w:id="507"/>
      <w:bookmarkEnd w:id="507"/>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980"/>
        </w:sectPr>
      </w:pPr>
    </w:p>
    <w:p>
      <w:pPr>
        <w:pStyle w:val="BodyText"/>
        <w:spacing w:line="340" w:lineRule="auto"/>
        <w:ind w:right="-13"/>
        <w:jc w:val="left"/>
      </w:pPr>
      <w:r>
        <w:rPr/>
        <w:t>本期计提坏账准备金额</w:t>
      </w:r>
      <w:r>
        <w:rPr>
          <w:spacing w:val="-47"/>
        </w:rPr>
        <w:t> </w:t>
      </w:r>
      <w:r>
        <w:rPr>
          <w:rFonts w:ascii="Times New Roman" w:hAnsi="Times New Roman" w:cs="Times New Roman" w:eastAsia="Times New Roman" w:hint="default"/>
        </w:rPr>
        <w:t>1,742,039.93</w:t>
      </w:r>
      <w:r>
        <w:rPr>
          <w:rFonts w:ascii="Times New Roman" w:hAnsi="Times New Roman" w:cs="Times New Roman" w:eastAsia="Times New Roman" w:hint="default"/>
          <w:spacing w:val="-2"/>
        </w:rPr>
        <w:t> </w:t>
      </w:r>
      <w:r>
        <w:rPr/>
        <w:t>元；本期收回或转回坏账准备金额</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 其中本期坏账准备收回或转回金额重要的：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before="0"/>
        <w:ind w:left="153" w:right="0"/>
        <w:jc w:val="left"/>
      </w:pPr>
      <w:r>
        <w:rPr/>
        <w:t>单位： 元</w:t>
      </w:r>
    </w:p>
    <w:p>
      <w:pPr>
        <w:spacing w:after="0" w:line="240" w:lineRule="auto"/>
        <w:jc w:val="left"/>
        <w:sectPr>
          <w:type w:val="continuous"/>
          <w:pgSz w:w="11910" w:h="16840"/>
          <w:pgMar w:top="1060" w:bottom="1160" w:left="980" w:right="980"/>
          <w:cols w:num="2" w:equalWidth="0">
            <w:col w:w="6454" w:space="2375"/>
            <w:col w:w="1121"/>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4"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3"/>
        <w:rPr>
          <w:rFonts w:ascii="宋体" w:hAnsi="宋体" w:cs="宋体" w:eastAsia="宋体" w:hint="default"/>
          <w:sz w:val="19"/>
          <w:szCs w:val="19"/>
        </w:rPr>
      </w:pPr>
    </w:p>
    <w:p>
      <w:pPr>
        <w:pStyle w:val="Heading5"/>
        <w:spacing w:line="240" w:lineRule="auto" w:before="35"/>
        <w:ind w:right="0"/>
        <w:jc w:val="left"/>
        <w:rPr>
          <w:b w:val="0"/>
          <w:bCs w:val="0"/>
        </w:rPr>
      </w:pPr>
      <w:bookmarkStart w:name="（3）本期实际核销的应收账款情况" w:id="508"/>
      <w:bookmarkEnd w:id="508"/>
      <w:r>
        <w:rPr>
          <w:b w:val="0"/>
          <w:bCs w:val="0"/>
        </w:rPr>
      </w: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984"/>
        <w:gridCol w:w="4584"/>
      </w:tblGrid>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pStyle w:val="BodyText"/>
        <w:spacing w:line="240" w:lineRule="auto" w:before="51"/>
        <w:ind w:right="0"/>
        <w:jc w:val="left"/>
      </w:pPr>
      <w:r>
        <w:rPr/>
        <w:t>其中重要的应收账款核销情况：</w:t>
      </w:r>
    </w:p>
    <w:p>
      <w:pPr>
        <w:pStyle w:val="BodyText"/>
        <w:spacing w:line="240" w:lineRule="auto" w:before="117"/>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84"/>
        <w:gridCol w:w="1552"/>
        <w:gridCol w:w="1552"/>
        <w:gridCol w:w="1553"/>
        <w:gridCol w:w="1614"/>
        <w:gridCol w:w="1604"/>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71"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32" w:right="69"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240" w:lineRule="auto" w:before="52"/>
        <w:ind w:right="0"/>
        <w:jc w:val="left"/>
      </w:pPr>
      <w:r>
        <w:rPr/>
        <w:t>应收账款核销说明：</w:t>
      </w:r>
    </w:p>
    <w:p>
      <w:pPr>
        <w:spacing w:line="610" w:lineRule="atLeast" w:before="30"/>
        <w:ind w:left="574" w:right="147" w:hanging="420"/>
        <w:jc w:val="left"/>
        <w:rPr>
          <w:rFonts w:ascii="宋体" w:hAnsi="宋体" w:cs="宋体" w:eastAsia="宋体" w:hint="default"/>
          <w:sz w:val="21"/>
          <w:szCs w:val="21"/>
        </w:rPr>
      </w:pPr>
      <w:bookmarkStart w:name="（4）按欠款方归集的期末余额前五名的应收账款情况" w:id="509"/>
      <w:bookmarkEnd w:id="509"/>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）按欠款方归集的期末余额前五名的应收账款情况</w:t>
      </w:r>
      <w:r>
        <w:rPr>
          <w:rFonts w:ascii="宋体" w:hAnsi="宋体" w:cs="宋体" w:eastAsia="宋体" w:hint="default"/>
          <w:b/>
          <w:bCs/>
          <w:w w:val="99"/>
          <w:sz w:val="21"/>
          <w:szCs w:val="21"/>
        </w:rPr>
        <w:t> </w:t>
      </w:r>
      <w:r>
        <w:rPr>
          <w:rFonts w:ascii="宋体" w:hAnsi="宋体" w:cs="宋体" w:eastAsia="宋体" w:hint="default"/>
          <w:sz w:val="21"/>
          <w:szCs w:val="21"/>
        </w:rPr>
        <w:t>应收账款期末前五名账面余额合计</w:t>
      </w:r>
      <w:r>
        <w:rPr>
          <w:rFonts w:ascii="Times New Roman" w:hAnsi="Times New Roman" w:cs="Times New Roman" w:eastAsia="Times New Roman" w:hint="default"/>
          <w:sz w:val="21"/>
          <w:szCs w:val="21"/>
        </w:rPr>
        <w:t>34,556,540.32</w:t>
      </w:r>
      <w:r>
        <w:rPr>
          <w:rFonts w:ascii="宋体" w:hAnsi="宋体" w:cs="宋体" w:eastAsia="宋体" w:hint="default"/>
          <w:sz w:val="21"/>
          <w:szCs w:val="21"/>
        </w:rPr>
        <w:t>元，占应收账款余额的比例为</w:t>
      </w:r>
      <w:r>
        <w:rPr>
          <w:rFonts w:ascii="Times New Roman" w:hAnsi="Times New Roman" w:cs="Times New Roman" w:eastAsia="Times New Roman" w:hint="default"/>
          <w:sz w:val="21"/>
          <w:szCs w:val="21"/>
        </w:rPr>
        <w:t>22.78%</w:t>
      </w:r>
      <w:r>
        <w:rPr>
          <w:rFonts w:ascii="宋体" w:hAnsi="宋体" w:cs="宋体" w:eastAsia="宋体" w:hint="default"/>
          <w:sz w:val="21"/>
          <w:szCs w:val="21"/>
        </w:rPr>
        <w:t>，计提坏账准备</w:t>
      </w:r>
    </w:p>
    <w:p>
      <w:pPr>
        <w:pStyle w:val="Heading6"/>
        <w:spacing w:line="240" w:lineRule="auto" w:before="21"/>
        <w:ind w:right="0"/>
        <w:jc w:val="left"/>
      </w:pPr>
      <w:r>
        <w:rPr>
          <w:rFonts w:ascii="Times New Roman" w:hAnsi="Times New Roman" w:cs="Times New Roman" w:eastAsia="Times New Roman" w:hint="default"/>
        </w:rPr>
        <w:t>1,727,827.03</w:t>
      </w:r>
      <w:r>
        <w:rPr/>
        <w:t>元。</w:t>
      </w:r>
    </w:p>
    <w:p>
      <w:pPr>
        <w:spacing w:after="0" w:line="240" w:lineRule="auto"/>
        <w:jc w:val="left"/>
        <w:sectPr>
          <w:type w:val="continuous"/>
          <w:pgSz w:w="11910" w:h="16840"/>
          <w:pgMar w:top="1060" w:bottom="1160" w:left="980" w:right="980"/>
        </w:sectPr>
      </w:pPr>
    </w:p>
    <w:p>
      <w:pPr>
        <w:spacing w:line="240" w:lineRule="auto" w:before="10"/>
        <w:rPr>
          <w:rFonts w:ascii="宋体" w:hAnsi="宋体" w:cs="宋体" w:eastAsia="宋体" w:hint="default"/>
          <w:sz w:val="24"/>
          <w:szCs w:val="24"/>
        </w:rPr>
      </w:pPr>
    </w:p>
    <w:p>
      <w:pPr>
        <w:pStyle w:val="Heading5"/>
        <w:spacing w:line="240" w:lineRule="auto" w:before="35"/>
        <w:ind w:right="0"/>
        <w:jc w:val="left"/>
        <w:rPr>
          <w:b w:val="0"/>
          <w:bCs w:val="0"/>
        </w:rPr>
      </w:pPr>
      <w:bookmarkStart w:name="（5）因金融资产转移而终止确认的应收账款" w:id="510"/>
      <w:bookmarkEnd w:id="510"/>
      <w:r>
        <w:rPr>
          <w:b w:val="0"/>
          <w:bCs w:val="0"/>
        </w:rPr>
      </w:r>
      <w:r>
        <w:rPr/>
        <w:t>（</w:t>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bookmarkStart w:name="（6）转移应收账款且继续涉入形成的资产、负债金额" w:id="511"/>
      <w:bookmarkEnd w:id="511"/>
      <w:r>
        <w:rPr>
          <w:b w:val="0"/>
          <w:bCs w:val="0"/>
        </w:rPr>
      </w:r>
      <w:r>
        <w:rPr/>
        <w:t>（</w:t>
      </w:r>
      <w:r>
        <w:rPr>
          <w:rFonts w:ascii="Times New Roman" w:hAnsi="Times New Roman" w:cs="Times New Roman" w:eastAsia="Times New Roman" w:hint="default"/>
        </w:rPr>
        <w:t>6</w:t>
      </w:r>
      <w:r>
        <w:rPr/>
        <w:t>）转移应收账款且继续涉入形成的资产、负债金额</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0"/>
        <w:jc w:val="left"/>
      </w:pPr>
      <w:r>
        <w:rPr/>
        <w:t>其他说明：</w:t>
      </w:r>
    </w:p>
    <w:p>
      <w:pPr>
        <w:spacing w:line="240" w:lineRule="auto" w:before="10"/>
        <w:rPr>
          <w:rFonts w:ascii="宋体" w:hAnsi="宋体" w:cs="宋体" w:eastAsia="宋体" w:hint="default"/>
          <w:sz w:val="26"/>
          <w:szCs w:val="26"/>
        </w:rPr>
      </w:pPr>
    </w:p>
    <w:p>
      <w:pPr>
        <w:pStyle w:val="Heading5"/>
        <w:spacing w:line="240" w:lineRule="auto"/>
        <w:ind w:right="0"/>
        <w:jc w:val="left"/>
        <w:rPr>
          <w:b w:val="0"/>
          <w:bCs w:val="0"/>
        </w:rPr>
      </w:pPr>
      <w:bookmarkStart w:name="2、其他应收款" w:id="512"/>
      <w:bookmarkEnd w:id="512"/>
      <w:r>
        <w:rPr>
          <w:b w:val="0"/>
          <w:bCs w:val="0"/>
        </w:rPr>
      </w:r>
      <w:r>
        <w:rPr>
          <w:rFonts w:ascii="Times New Roman" w:hAnsi="Times New Roman" w:cs="Times New Roman" w:eastAsia="Times New Roman" w:hint="default"/>
        </w:rPr>
        <w:t>2</w:t>
      </w:r>
      <w:r>
        <w:rPr/>
        <w:t>、其他应收款</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bookmarkStart w:name="（1）其他应收款分类披露" w:id="513"/>
      <w:bookmarkEnd w:id="513"/>
      <w:r>
        <w:rPr>
          <w:b w:val="0"/>
          <w:bCs w:val="0"/>
        </w:rPr>
      </w:r>
      <w:r>
        <w:rPr/>
        <w:t>（</w:t>
      </w:r>
      <w:r>
        <w:rPr>
          <w:rFonts w:ascii="Times New Roman" w:hAnsi="Times New Roman" w:cs="Times New Roman" w:eastAsia="Times New Roman" w:hint="default"/>
        </w:rPr>
        <w:t>1</w:t>
      </w:r>
      <w:r>
        <w:rPr/>
        <w:t>）其他应收款分类披露</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623"/>
        <w:gridCol w:w="763"/>
        <w:gridCol w:w="762"/>
        <w:gridCol w:w="762"/>
        <w:gridCol w:w="762"/>
        <w:gridCol w:w="790"/>
        <w:gridCol w:w="654"/>
        <w:gridCol w:w="762"/>
        <w:gridCol w:w="813"/>
        <w:gridCol w:w="932"/>
        <w:gridCol w:w="932"/>
      </w:tblGrid>
      <w:tr>
        <w:trPr>
          <w:trHeight w:val="397" w:hRule="exact"/>
        </w:trPr>
        <w:tc>
          <w:tcPr>
            <w:tcW w:w="1623"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23"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23"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2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23"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23"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23"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7" w:right="0"/>
              <w:jc w:val="left"/>
              <w:rPr>
                <w:rFonts w:ascii="Times New Roman" w:hAnsi="Times New Roman" w:cs="Times New Roman" w:eastAsia="Times New Roman" w:hint="default"/>
                <w:sz w:val="18"/>
                <w:szCs w:val="18"/>
              </w:rPr>
            </w:pPr>
            <w:r>
              <w:rPr>
                <w:rFonts w:ascii="Times New Roman"/>
                <w:sz w:val="18"/>
              </w:rPr>
              <w:t>2,164,59</w:t>
            </w:r>
          </w:p>
          <w:p>
            <w:pPr>
              <w:pStyle w:val="TableParagraph"/>
              <w:spacing w:line="240" w:lineRule="auto" w:before="105"/>
              <w:ind w:left="403" w:right="0"/>
              <w:jc w:val="left"/>
              <w:rPr>
                <w:rFonts w:ascii="Times New Roman" w:hAnsi="Times New Roman" w:cs="Times New Roman" w:eastAsia="Times New Roman" w:hint="default"/>
                <w:sz w:val="18"/>
                <w:szCs w:val="18"/>
              </w:rPr>
            </w:pPr>
            <w:r>
              <w:rPr>
                <w:rFonts w:ascii="Times New Roman"/>
                <w:sz w:val="18"/>
              </w:rPr>
              <w:t>5.71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1,937,92</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9.79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89.53%</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226,665.9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2,522,3</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63.00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659,921.3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26.16%</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1,862,441.7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r>
      <w:tr>
        <w:trPr>
          <w:trHeight w:val="161" w:hRule="exact"/>
        </w:trPr>
        <w:tc>
          <w:tcPr>
            <w:tcW w:w="1623"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9" w:space="0" w:color="D2D2D2"/>
              <w:right w:val="single" w:sz="4" w:space="0" w:color="000000"/>
            </w:tcBorders>
          </w:tcPr>
          <w:p>
            <w:pPr>
              <w:pStyle w:val="TableParagraph"/>
              <w:spacing w:line="240" w:lineRule="auto" w:before="91"/>
              <w:ind w:left="93" w:right="0"/>
              <w:jc w:val="left"/>
              <w:rPr>
                <w:rFonts w:ascii="Times New Roman" w:hAnsi="Times New Roman" w:cs="Times New Roman" w:eastAsia="Times New Roman" w:hint="default"/>
                <w:sz w:val="18"/>
                <w:szCs w:val="18"/>
              </w:rPr>
            </w:pPr>
            <w:r>
              <w:rPr>
                <w:rFonts w:ascii="Times New Roman"/>
                <w:sz w:val="18"/>
              </w:rPr>
              <w:t>2,164,59</w:t>
            </w:r>
          </w:p>
          <w:p>
            <w:pPr>
              <w:pStyle w:val="TableParagraph"/>
              <w:spacing w:line="240" w:lineRule="auto" w:before="105"/>
              <w:ind w:left="408" w:right="0"/>
              <w:jc w:val="left"/>
              <w:rPr>
                <w:rFonts w:ascii="Times New Roman" w:hAnsi="Times New Roman" w:cs="Times New Roman" w:eastAsia="Times New Roman" w:hint="default"/>
                <w:sz w:val="18"/>
                <w:szCs w:val="18"/>
              </w:rPr>
            </w:pPr>
            <w:r>
              <w:rPr>
                <w:rFonts w:ascii="Times New Roman"/>
                <w:sz w:val="18"/>
              </w:rPr>
              <w:t>5.71</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1,937,92</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9.79</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89.53%</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226,665.9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57" w:right="0"/>
              <w:jc w:val="center"/>
              <w:rPr>
                <w:rFonts w:ascii="Times New Roman" w:hAnsi="Times New Roman" w:cs="Times New Roman" w:eastAsia="Times New Roman" w:hint="default"/>
                <w:sz w:val="18"/>
                <w:szCs w:val="18"/>
              </w:rPr>
            </w:pPr>
            <w:r>
              <w:rPr>
                <w:rFonts w:ascii="Times New Roman"/>
                <w:sz w:val="18"/>
              </w:rPr>
              <w:t>2,522,3</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63.00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659,921.3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26.16%</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1,862,441.7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r>
      <w:tr>
        <w:trPr>
          <w:trHeight w:val="392" w:hRule="exact"/>
        </w:trPr>
        <w:tc>
          <w:tcPr>
            <w:tcW w:w="16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2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pStyle w:val="BodyText"/>
        <w:spacing w:line="240" w:lineRule="auto" w:before="51"/>
        <w:ind w:right="-20"/>
        <w:jc w:val="left"/>
      </w:pPr>
      <w:r>
        <w:rPr/>
        <w:t>期末单项金额重大并单项计提坏账准备的其他应收款：</w:t>
      </w:r>
    </w:p>
    <w:p>
      <w:pPr>
        <w:pStyle w:val="BodyText"/>
        <w:spacing w:line="357" w:lineRule="auto" w:before="117"/>
        <w:ind w:right="160"/>
        <w:jc w:val="left"/>
      </w:pPr>
      <w:r>
        <w:rPr/>
        <w:t>□ 适用 √ 不适用 组合中，按账龄分析法计提坏账准备的其他应收款：</w:t>
      </w:r>
    </w:p>
    <w:p>
      <w:pPr>
        <w:pStyle w:val="BodyText"/>
        <w:spacing w:line="240" w:lineRule="auto" w:before="28"/>
        <w:ind w:right="-20"/>
        <w:jc w:val="left"/>
      </w:pPr>
      <w:r>
        <w:rPr/>
        <w:t>√ 适用 □ 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BodyText"/>
        <w:spacing w:line="240" w:lineRule="auto" w:before="0"/>
        <w:ind w:left="153" w:right="0"/>
        <w:jc w:val="left"/>
      </w:pPr>
      <w:r>
        <w:rPr/>
        <w:t>单位： 元</w:t>
      </w:r>
    </w:p>
    <w:p>
      <w:pPr>
        <w:spacing w:after="0" w:line="240" w:lineRule="auto"/>
        <w:jc w:val="left"/>
        <w:sectPr>
          <w:type w:val="continuous"/>
          <w:pgSz w:w="11910" w:h="16840"/>
          <w:pgMar w:top="1060" w:bottom="1160" w:left="980" w:right="980"/>
          <w:cols w:num="2" w:equalWidth="0">
            <w:col w:w="4475" w:space="4355"/>
            <w:col w:w="1120"/>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488"/>
        <w:gridCol w:w="2301"/>
        <w:gridCol w:w="2391"/>
        <w:gridCol w:w="2389"/>
      </w:tblGrid>
      <w:tr>
        <w:trPr>
          <w:trHeight w:val="402" w:hRule="exact"/>
        </w:trPr>
        <w:tc>
          <w:tcPr>
            <w:tcW w:w="24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08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488" w:type="dxa"/>
            <w:vMerge/>
            <w:tcBorders>
              <w:left w:val="single" w:sz="4" w:space="0" w:color="000000"/>
              <w:bottom w:val="single" w:sz="4" w:space="0" w:color="000000"/>
              <w:right w:val="single" w:sz="4" w:space="0" w:color="000000"/>
            </w:tcBorders>
            <w:shd w:val="clear" w:color="auto" w:fill="D2D2D2"/>
          </w:tcPr>
          <w:p>
            <w:pPr/>
          </w:p>
        </w:tc>
        <w:tc>
          <w:tcPr>
            <w:tcW w:w="2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8"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p>
        </w:tc>
        <w:tc>
          <w:tcPr>
            <w:tcW w:w="2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168,595.71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8,429.79</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168,595.71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8,429.79</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7,000.00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1,500.00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1,921,000.00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1,921,000.00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2,164,595.71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1,937,929.79</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89.53%</w:t>
            </w:r>
          </w:p>
        </w:tc>
      </w:tr>
    </w:tbl>
    <w:p>
      <w:pPr>
        <w:pStyle w:val="BodyText"/>
        <w:spacing w:line="360" w:lineRule="auto" w:before="51"/>
        <w:ind w:right="5272"/>
        <w:jc w:val="left"/>
      </w:pPr>
      <w:r>
        <w:rPr/>
        <w:t>确定该组合依据的说明： 组合中，采用余额百分比法计提坏账准备的其他应收款：</w:t>
      </w:r>
    </w:p>
    <w:p>
      <w:pPr>
        <w:pStyle w:val="BodyText"/>
        <w:spacing w:line="360" w:lineRule="auto" w:before="26"/>
        <w:ind w:right="5632"/>
        <w:jc w:val="left"/>
      </w:pPr>
      <w:r>
        <w:rPr/>
        <w:t>□ 适用 √ 不适用 组合中，采用其他方法计提坏账准备的其他应收款：</w:t>
      </w:r>
    </w:p>
    <w:p>
      <w:pPr>
        <w:pStyle w:val="BodyText"/>
        <w:spacing w:line="240" w:lineRule="auto" w:before="26"/>
        <w:ind w:right="0"/>
        <w:jc w:val="left"/>
      </w:pPr>
      <w:r>
        <w:rPr/>
        <w:t>□ 适用 √ 不适用</w:t>
      </w:r>
    </w:p>
    <w:p>
      <w:pPr>
        <w:spacing w:after="0" w:line="240" w:lineRule="auto"/>
        <w:jc w:val="left"/>
        <w:sectPr>
          <w:type w:val="continuous"/>
          <w:pgSz w:w="11910" w:h="16840"/>
          <w:pgMar w:top="1060" w:bottom="1160" w:left="980" w:right="980"/>
        </w:sectPr>
      </w:pPr>
    </w:p>
    <w:p>
      <w:pPr>
        <w:spacing w:line="240" w:lineRule="auto" w:before="9"/>
        <w:rPr>
          <w:rFonts w:ascii="宋体" w:hAnsi="宋体" w:cs="宋体" w:eastAsia="宋体" w:hint="default"/>
          <w:sz w:val="24"/>
          <w:szCs w:val="24"/>
        </w:rPr>
      </w:pPr>
    </w:p>
    <w:p>
      <w:pPr>
        <w:pStyle w:val="Heading5"/>
        <w:spacing w:line="240" w:lineRule="auto" w:before="35"/>
        <w:ind w:right="0"/>
        <w:jc w:val="left"/>
        <w:rPr>
          <w:b w:val="0"/>
          <w:bCs w:val="0"/>
        </w:rPr>
      </w:pPr>
      <w:bookmarkStart w:name="（2）本期计提、收回或转回的坏账准备情况" w:id="514"/>
      <w:bookmarkEnd w:id="514"/>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980"/>
        </w:sectPr>
      </w:pPr>
    </w:p>
    <w:p>
      <w:pPr>
        <w:pStyle w:val="BodyText"/>
        <w:spacing w:line="338" w:lineRule="auto"/>
        <w:ind w:right="-13"/>
        <w:jc w:val="left"/>
      </w:pPr>
      <w:r>
        <w:rPr/>
        <w:t>本期计提坏账准备金额</w:t>
      </w:r>
      <w:r>
        <w:rPr>
          <w:spacing w:val="-47"/>
        </w:rPr>
        <w:t> </w:t>
      </w:r>
      <w:r>
        <w:rPr>
          <w:rFonts w:ascii="Times New Roman" w:hAnsi="Times New Roman" w:cs="Times New Roman" w:eastAsia="Times New Roman" w:hint="default"/>
        </w:rPr>
        <w:t>1,278,008.49</w:t>
      </w:r>
      <w:r>
        <w:rPr>
          <w:rFonts w:ascii="Times New Roman" w:hAnsi="Times New Roman" w:cs="Times New Roman" w:eastAsia="Times New Roman" w:hint="default"/>
          <w:spacing w:val="-2"/>
        </w:rPr>
        <w:t> </w:t>
      </w:r>
      <w:r>
        <w:rPr/>
        <w:t>元；本期收回或转回坏账准备金额</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 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before="0"/>
        <w:ind w:left="153" w:right="0"/>
        <w:jc w:val="left"/>
      </w:pPr>
      <w:r>
        <w:rPr/>
        <w:t>单位： 元</w:t>
      </w:r>
    </w:p>
    <w:p>
      <w:pPr>
        <w:spacing w:after="0" w:line="240" w:lineRule="auto"/>
        <w:jc w:val="left"/>
        <w:sectPr>
          <w:type w:val="continuous"/>
          <w:pgSz w:w="11910" w:h="16840"/>
          <w:pgMar w:top="1060" w:bottom="1160" w:left="980" w:right="980"/>
          <w:cols w:num="2" w:equalWidth="0">
            <w:col w:w="6454" w:space="2375"/>
            <w:col w:w="1121"/>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4"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bookmarkStart w:name="（3）本期实际核销的其他应收款情况" w:id="515"/>
      <w:bookmarkEnd w:id="515"/>
      <w:r>
        <w:rPr>
          <w:b w:val="0"/>
          <w:bCs w:val="0"/>
        </w:rPr>
      </w:r>
      <w:r>
        <w:rPr/>
        <w:t>（</w:t>
      </w:r>
      <w:r>
        <w:rPr>
          <w:rFonts w:ascii="Times New Roman" w:hAnsi="Times New Roman" w:cs="Times New Roman" w:eastAsia="Times New Roman" w:hint="default"/>
        </w:rPr>
        <w:t>3</w:t>
      </w:r>
      <w:r>
        <w:rPr/>
        <w:t>）本期实际核销的其他应收款情况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4"/>
        <w:gridCol w:w="4584"/>
      </w:tblGrid>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pStyle w:val="BodyText"/>
        <w:spacing w:line="240" w:lineRule="auto" w:before="51"/>
        <w:ind w:right="0"/>
        <w:jc w:val="left"/>
      </w:pPr>
      <w:r>
        <w:rPr/>
        <w:t>其中重要的其他应收款核销情况：</w:t>
      </w:r>
    </w:p>
    <w:p>
      <w:pPr>
        <w:pStyle w:val="BodyText"/>
        <w:spacing w:line="240" w:lineRule="auto" w:before="117"/>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684"/>
        <w:gridCol w:w="1552"/>
        <w:gridCol w:w="1552"/>
        <w:gridCol w:w="1553"/>
        <w:gridCol w:w="1614"/>
        <w:gridCol w:w="1604"/>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1"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32" w:right="69"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240" w:lineRule="auto" w:before="51"/>
        <w:ind w:right="0"/>
        <w:jc w:val="left"/>
      </w:pPr>
      <w:r>
        <w:rPr/>
        <w:t>其他应收款核销说明：</w:t>
      </w: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bookmarkStart w:name="（4）其他应收款按款项性质分类情况" w:id="516"/>
      <w:bookmarkEnd w:id="516"/>
      <w:r>
        <w:rPr>
          <w:b w:val="0"/>
          <w:bCs w:val="0"/>
        </w:rPr>
      </w:r>
      <w:r>
        <w:rPr/>
        <w:t>（</w:t>
      </w:r>
      <w:r>
        <w:rPr>
          <w:rFonts w:ascii="Times New Roman" w:hAnsi="Times New Roman" w:cs="Times New Roman" w:eastAsia="Times New Roman" w:hint="default"/>
        </w:rPr>
        <w:t>4</w:t>
      </w:r>
      <w:r>
        <w:rPr/>
        <w:t>）其他应收款按款项性质分类情况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04"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0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1,930,000.00</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2,322,663.00</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员工备用金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191,000.00</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199,700.00</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43,595.71</w:t>
            </w:r>
          </w:p>
        </w:tc>
        <w:tc>
          <w:tcPr>
            <w:tcW w:w="310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2,164,595.71</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2,522,363.00</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bookmarkStart w:name="（5）按欠款方归集的期末余额前五名的其他应收款情况" w:id="517"/>
      <w:bookmarkEnd w:id="517"/>
      <w:r>
        <w:rPr>
          <w:b w:val="0"/>
          <w:bCs w:val="0"/>
        </w:rPr>
      </w:r>
      <w:r>
        <w:rPr/>
        <w:t>（</w:t>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684"/>
        <w:gridCol w:w="1552"/>
        <w:gridCol w:w="1552"/>
        <w:gridCol w:w="1553"/>
        <w:gridCol w:w="1614"/>
        <w:gridCol w:w="1615"/>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81" w:right="8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80"/>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杭州余杭径山经济开 发有限公司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77"/>
              <w:jc w:val="left"/>
              <w:rPr>
                <w:rFonts w:ascii="宋体" w:hAnsi="宋体" w:cs="宋体" w:eastAsia="宋体" w:hint="default"/>
                <w:sz w:val="18"/>
                <w:szCs w:val="18"/>
              </w:rPr>
            </w:pPr>
            <w:r>
              <w:rPr>
                <w:rFonts w:ascii="宋体" w:hAnsi="宋体" w:cs="宋体" w:eastAsia="宋体" w:hint="default"/>
                <w:sz w:val="18"/>
                <w:szCs w:val="18"/>
              </w:rPr>
              <w:t>土地开发意向保证 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1,800,000.00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83.16%</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1,800,000.00</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蔡忠义</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员工备用金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104,000.00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4.80%</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100,500.00</w:t>
            </w: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鲁能泰山曲阜电缆有 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2.31%</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5,000.00</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曾平星</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员工备用金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2.31%</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2,500.00</w:t>
            </w: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北京国网富达科技发 展有限责任公司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1.85%</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685"/>
        <w:gridCol w:w="1551"/>
        <w:gridCol w:w="1552"/>
        <w:gridCol w:w="1552"/>
        <w:gridCol w:w="1615"/>
        <w:gridCol w:w="1615"/>
      </w:tblGrid>
      <w:tr>
        <w:trPr>
          <w:trHeight w:val="402" w:hRule="exact"/>
        </w:trPr>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5" w:right="0"/>
              <w:jc w:val="left"/>
              <w:rPr>
                <w:rFonts w:ascii="Times New Roman" w:hAnsi="Times New Roman" w:cs="Times New Roman" w:eastAsia="Times New Roman" w:hint="default"/>
                <w:sz w:val="18"/>
                <w:szCs w:val="18"/>
              </w:rPr>
            </w:pPr>
            <w:r>
              <w:rPr>
                <w:rFonts w:ascii="Times New Roman"/>
                <w:sz w:val="18"/>
              </w:rPr>
              <w:t>2,044,000.00</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28" w:right="0"/>
              <w:jc w:val="left"/>
              <w:rPr>
                <w:rFonts w:ascii="Times New Roman" w:hAnsi="Times New Roman" w:cs="Times New Roman" w:eastAsia="Times New Roman" w:hint="default"/>
                <w:sz w:val="18"/>
                <w:szCs w:val="18"/>
              </w:rPr>
            </w:pPr>
            <w:r>
              <w:rPr>
                <w:rFonts w:ascii="Times New Roman"/>
                <w:sz w:val="18"/>
              </w:rPr>
              <w:t>94.43%</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38" w:right="0"/>
              <w:jc w:val="left"/>
              <w:rPr>
                <w:rFonts w:ascii="Times New Roman" w:hAnsi="Times New Roman" w:cs="Times New Roman" w:eastAsia="Times New Roman" w:hint="default"/>
                <w:sz w:val="18"/>
                <w:szCs w:val="18"/>
              </w:rPr>
            </w:pPr>
            <w:r>
              <w:rPr>
                <w:rFonts w:ascii="Times New Roman"/>
                <w:sz w:val="18"/>
              </w:rPr>
              <w:t>1,910,000.00</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bookmarkStart w:name="（6）涉及政府补助的应收款项" w:id="518"/>
      <w:bookmarkEnd w:id="518"/>
      <w:r>
        <w:rPr>
          <w:b w:val="0"/>
          <w:bCs w:val="0"/>
        </w:rPr>
      </w:r>
      <w:r>
        <w:rPr/>
        <w:t>（</w:t>
      </w:r>
      <w:r>
        <w:rPr>
          <w:rFonts w:ascii="Times New Roman" w:hAnsi="Times New Roman" w:cs="Times New Roman" w:eastAsia="Times New Roman" w:hint="default"/>
        </w:rPr>
        <w:t>6</w:t>
      </w:r>
      <w:r>
        <w:rPr/>
        <w:t>）涉及政府补助的应收款项</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026"/>
        <w:gridCol w:w="1866"/>
        <w:gridCol w:w="1866"/>
        <w:gridCol w:w="1868"/>
        <w:gridCol w:w="1933"/>
      </w:tblGrid>
      <w:tr>
        <w:trPr>
          <w:trHeight w:val="714" w:hRule="exact"/>
        </w:trPr>
        <w:tc>
          <w:tcPr>
            <w:tcW w:w="20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47"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7"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67"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68"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95" w:right="56" w:hanging="630"/>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bookmarkStart w:name="（7）因金融资产转移而终止确认的其他应收款" w:id="519"/>
      <w:bookmarkEnd w:id="519"/>
      <w:r>
        <w:rPr>
          <w:b w:val="0"/>
          <w:bCs w:val="0"/>
        </w:rPr>
      </w:r>
      <w:r>
        <w:rPr/>
        <w:t>（</w:t>
      </w: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bookmarkStart w:name="（8）转移其他应收款且继续涉入形成的资产、负债金额" w:id="520"/>
      <w:bookmarkEnd w:id="520"/>
      <w:r>
        <w:rPr>
          <w:b w:val="0"/>
          <w:bCs w:val="0"/>
        </w:rPr>
      </w:r>
      <w:r>
        <w:rPr/>
        <w:t>（</w:t>
      </w:r>
      <w:r>
        <w:rPr>
          <w:rFonts w:ascii="Times New Roman" w:hAnsi="Times New Roman" w:cs="Times New Roman" w:eastAsia="Times New Roman" w:hint="default"/>
        </w:rPr>
        <w:t>8</w:t>
      </w:r>
      <w:r>
        <w:rPr/>
        <w:t>）转移其他应收款且继续涉入形成的资产、负债金额</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0"/>
        <w:jc w:val="left"/>
      </w:pPr>
      <w:r>
        <w:rPr/>
        <w:t>其他说明：</w:t>
      </w: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bookmarkStart w:name="3、长期股权投资" w:id="521"/>
      <w:bookmarkEnd w:id="521"/>
      <w:r>
        <w:rPr>
          <w:b w:val="0"/>
          <w:bCs w:val="0"/>
        </w:rPr>
      </w:r>
      <w:r>
        <w:rPr>
          <w:rFonts w:ascii="Times New Roman" w:hAnsi="Times New Roman" w:cs="Times New Roman" w:eastAsia="Times New Roman" w:hint="default"/>
        </w:rPr>
        <w:t>3</w:t>
      </w:r>
      <w:r>
        <w:rPr/>
        <w:t>、长期股权投资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205"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368" w:type="dxa"/>
            <w:vMerge/>
            <w:tcBorders>
              <w:left w:val="single" w:sz="4" w:space="0" w:color="000000"/>
              <w:bottom w:val="nil" w:sz="6" w:space="0" w:color="auto"/>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575,300,000.00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575,300,000.00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575,300,000.00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575,300,000.00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bookmarkStart w:name="（1）对子公司投资" w:id="522"/>
      <w:bookmarkEnd w:id="522"/>
      <w:r>
        <w:rPr>
          <w:b w:val="0"/>
          <w:bCs w:val="0"/>
        </w:rPr>
      </w:r>
      <w:r>
        <w:rPr/>
        <w:t>（</w:t>
      </w:r>
      <w:r>
        <w:rPr>
          <w:rFonts w:ascii="Times New Roman" w:hAnsi="Times New Roman" w:cs="Times New Roman" w:eastAsia="Times New Roman" w:hint="default"/>
        </w:rPr>
        <w:t>1</w:t>
      </w:r>
      <w:r>
        <w:rPr/>
        <w:t>）对子公司投资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48"/>
        <w:gridCol w:w="1336"/>
        <w:gridCol w:w="1336"/>
        <w:gridCol w:w="1334"/>
        <w:gridCol w:w="1336"/>
        <w:gridCol w:w="1389"/>
        <w:gridCol w:w="1390"/>
      </w:tblGrid>
      <w:tr>
        <w:trPr>
          <w:trHeight w:val="713"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67"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99" w:right="58" w:hanging="541"/>
              <w:jc w:val="left"/>
              <w:rPr>
                <w:rFonts w:ascii="宋体" w:hAnsi="宋体" w:cs="宋体" w:eastAsia="宋体" w:hint="default"/>
                <w:sz w:val="18"/>
                <w:szCs w:val="18"/>
              </w:rPr>
            </w:pPr>
            <w:r>
              <w:rPr>
                <w:rFonts w:ascii="宋体" w:hAnsi="宋体" w:cs="宋体" w:eastAsia="宋体" w:hint="default"/>
                <w:sz w:val="18"/>
                <w:szCs w:val="18"/>
              </w:rPr>
              <w:t>本期计提减值准 备</w:t>
            </w:r>
          </w:p>
        </w:tc>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98" w:right="59" w:hanging="540"/>
              <w:jc w:val="left"/>
              <w:rPr>
                <w:rFonts w:ascii="宋体" w:hAnsi="宋体" w:cs="宋体" w:eastAsia="宋体" w:hint="default"/>
                <w:sz w:val="18"/>
                <w:szCs w:val="18"/>
              </w:rPr>
            </w:pPr>
            <w:r>
              <w:rPr>
                <w:rFonts w:ascii="宋体" w:hAnsi="宋体" w:cs="宋体" w:eastAsia="宋体" w:hint="default"/>
                <w:sz w:val="18"/>
                <w:szCs w:val="18"/>
              </w:rPr>
              <w:t>减值准备期末余 额</w:t>
            </w: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53"/>
              <w:jc w:val="left"/>
              <w:rPr>
                <w:rFonts w:ascii="宋体" w:hAnsi="宋体" w:cs="宋体" w:eastAsia="宋体" w:hint="default"/>
                <w:sz w:val="18"/>
                <w:szCs w:val="18"/>
              </w:rPr>
            </w:pPr>
            <w:r>
              <w:rPr>
                <w:rFonts w:ascii="宋体" w:hAnsi="宋体" w:cs="宋体" w:eastAsia="宋体" w:hint="default"/>
                <w:sz w:val="18"/>
                <w:szCs w:val="18"/>
              </w:rPr>
              <w:t>福建南平太阳高 新材料有限公司</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15,300,000.00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15,300,000.00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53"/>
              <w:jc w:val="left"/>
              <w:rPr>
                <w:rFonts w:ascii="宋体" w:hAnsi="宋体" w:cs="宋体" w:eastAsia="宋体" w:hint="default"/>
                <w:sz w:val="18"/>
                <w:szCs w:val="18"/>
              </w:rPr>
            </w:pPr>
            <w:r>
              <w:rPr>
                <w:rFonts w:ascii="宋体" w:hAnsi="宋体" w:cs="宋体" w:eastAsia="宋体" w:hint="default"/>
                <w:sz w:val="18"/>
                <w:szCs w:val="18"/>
              </w:rPr>
              <w:t>杭州奥能电源设 备有限公司</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560,000,000.00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560,000,000.00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36" w:type="dxa"/>
            <w:tcBorders>
              <w:top w:val="single" w:sz="4" w:space="0" w:color="000000"/>
              <w:left w:val="single" w:sz="10" w:space="0" w:color="D2D2D2"/>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575,300,000.00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575,300,000.00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bookmarkStart w:name="（2）对联营、合营企业投资" w:id="523"/>
      <w:bookmarkEnd w:id="523"/>
      <w:r>
        <w:rPr>
          <w:b w:val="0"/>
          <w:bCs w:val="0"/>
        </w:rPr>
      </w:r>
      <w:r>
        <w:rPr/>
        <w:t>（</w:t>
      </w:r>
      <w:r>
        <w:rPr>
          <w:rFonts w:ascii="Times New Roman" w:hAnsi="Times New Roman" w:cs="Times New Roman" w:eastAsia="Times New Roman" w:hint="default"/>
        </w:rPr>
        <w:t>2</w:t>
      </w:r>
      <w:r>
        <w:rPr/>
        <w:t>）对联营、合营企业投资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7"/>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4"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3"/>
                <w:szCs w:val="13"/>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6"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3" w:right="33"/>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33" w:right="32"/>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3" w:right="32"/>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13" w:right="33"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9574"/>
      </w:tblGrid>
      <w:tr>
        <w:trPr>
          <w:trHeight w:val="402" w:hRule="exact"/>
        </w:trPr>
        <w:tc>
          <w:tcPr>
            <w:tcW w:w="95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2" w:hRule="exact"/>
        </w:trPr>
        <w:tc>
          <w:tcPr>
            <w:tcW w:w="95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bookmarkStart w:name="（3）其他说明" w:id="524"/>
      <w:bookmarkEnd w:id="524"/>
      <w:r>
        <w:rPr>
          <w:b w:val="0"/>
          <w:bCs w:val="0"/>
        </w:rPr>
      </w:r>
      <w:r>
        <w:rPr/>
        <w:t>（</w:t>
      </w:r>
      <w:r>
        <w:rPr>
          <w:rFonts w:ascii="Times New Roman" w:hAnsi="Times New Roman" w:cs="Times New Roman" w:eastAsia="Times New Roman" w:hint="default"/>
        </w:rPr>
        <w:t>3</w:t>
      </w:r>
      <w:r>
        <w:rPr/>
        <w:t>）其他说明</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right="0"/>
        <w:jc w:val="left"/>
        <w:rPr>
          <w:b w:val="0"/>
          <w:bCs w:val="0"/>
        </w:rPr>
      </w:pPr>
      <w:bookmarkStart w:name="4、营业收入和营业成本" w:id="525"/>
      <w:bookmarkEnd w:id="525"/>
      <w:r>
        <w:rPr>
          <w:b w:val="0"/>
          <w:bCs w:val="0"/>
        </w:rPr>
      </w:r>
      <w:r>
        <w:rPr>
          <w:rFonts w:ascii="Times New Roman" w:hAnsi="Times New Roman" w:cs="Times New Roman" w:eastAsia="Times New Roman" w:hint="default"/>
        </w:rPr>
        <w:t>4</w:t>
      </w:r>
      <w:r>
        <w:rPr/>
        <w:t>、营业收入和营业成本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95"/>
        <w:gridCol w:w="1838"/>
        <w:gridCol w:w="1913"/>
        <w:gridCol w:w="1913"/>
        <w:gridCol w:w="1913"/>
      </w:tblGrid>
      <w:tr>
        <w:trPr>
          <w:trHeight w:val="206" w:hRule="exact"/>
        </w:trPr>
        <w:tc>
          <w:tcPr>
            <w:tcW w:w="1995" w:type="dxa"/>
            <w:tcBorders>
              <w:top w:val="single" w:sz="4" w:space="0" w:color="000000"/>
              <w:left w:val="single" w:sz="4" w:space="0" w:color="000000"/>
              <w:bottom w:val="nil" w:sz="6" w:space="0" w:color="auto"/>
              <w:right w:val="single" w:sz="4" w:space="0" w:color="000000"/>
            </w:tcBorders>
            <w:shd w:val="clear" w:color="auto" w:fill="D2D2D2"/>
          </w:tcPr>
          <w:p>
            <w:pPr/>
          </w:p>
        </w:tc>
        <w:tc>
          <w:tcPr>
            <w:tcW w:w="375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1" w:hRule="exact"/>
        </w:trPr>
        <w:tc>
          <w:tcPr>
            <w:tcW w:w="199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750" w:type="dxa"/>
            <w:gridSpan w:val="2"/>
            <w:vMerge/>
            <w:tcBorders>
              <w:left w:val="single" w:sz="4" w:space="0" w:color="000000"/>
              <w:bottom w:val="single" w:sz="4" w:space="0" w:color="000000"/>
              <w:right w:val="single" w:sz="4" w:space="0" w:color="000000"/>
            </w:tcBorders>
            <w:shd w:val="clear" w:color="auto" w:fill="D2D2D2"/>
          </w:tcPr>
          <w:p>
            <w:pP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995" w:type="dxa"/>
            <w:vMerge/>
            <w:tcBorders>
              <w:left w:val="single" w:sz="4" w:space="0" w:color="000000"/>
              <w:bottom w:val="nil" w:sz="6" w:space="0" w:color="auto"/>
              <w:right w:val="single" w:sz="4" w:space="0" w:color="000000"/>
            </w:tcBorders>
            <w:shd w:val="clear" w:color="auto" w:fill="D2D2D2"/>
          </w:tcPr>
          <w:p>
            <w:pPr/>
          </w:p>
        </w:tc>
        <w:tc>
          <w:tcPr>
            <w:tcW w:w="18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6" w:hRule="exact"/>
        </w:trPr>
        <w:tc>
          <w:tcPr>
            <w:tcW w:w="1995" w:type="dxa"/>
            <w:tcBorders>
              <w:top w:val="nil" w:sz="6" w:space="0" w:color="auto"/>
              <w:left w:val="single" w:sz="4" w:space="0" w:color="000000"/>
              <w:bottom w:val="single" w:sz="4" w:space="0" w:color="000000"/>
              <w:right w:val="single" w:sz="4" w:space="0" w:color="000000"/>
            </w:tcBorders>
            <w:shd w:val="clear" w:color="auto" w:fill="D2D2D2"/>
          </w:tcPr>
          <w:p>
            <w:pPr/>
          </w:p>
        </w:tc>
        <w:tc>
          <w:tcPr>
            <w:tcW w:w="1838"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580,755,676.63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465,564,101.59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560,748,540.95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442,000,219.34</w:t>
            </w: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514,928.27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268,614.46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819,359.67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309,652.11</w:t>
            </w: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581,270,604.90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465,832,716.05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561,567,900.62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442,309,871.45</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bookmarkStart w:name="5、投资收益" w:id="526"/>
      <w:bookmarkEnd w:id="526"/>
      <w:r>
        <w:rPr>
          <w:b w:val="0"/>
          <w:bCs w:val="0"/>
        </w:rPr>
      </w:r>
      <w:r>
        <w:rPr>
          <w:rFonts w:ascii="Times New Roman" w:hAnsi="Times New Roman" w:cs="Times New Roman" w:eastAsia="Times New Roman" w:hint="default"/>
        </w:rPr>
        <w:t>5</w:t>
      </w:r>
      <w:r>
        <w:rPr/>
        <w:t>、投资收益</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324"/>
        <w:gridCol w:w="3059"/>
        <w:gridCol w:w="3175"/>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line="240" w:lineRule="auto" w:before="3"/>
        <w:rPr>
          <w:rFonts w:ascii="宋体" w:hAnsi="宋体" w:cs="宋体" w:eastAsia="宋体" w:hint="default"/>
          <w:sz w:val="19"/>
          <w:szCs w:val="19"/>
        </w:rPr>
      </w:pPr>
    </w:p>
    <w:p>
      <w:pPr>
        <w:pStyle w:val="Heading5"/>
        <w:spacing w:line="240" w:lineRule="auto" w:before="35"/>
        <w:ind w:right="0"/>
        <w:jc w:val="left"/>
        <w:rPr>
          <w:b w:val="0"/>
          <w:bCs w:val="0"/>
        </w:rPr>
      </w:pPr>
      <w:bookmarkStart w:name="6、其他" w:id="527"/>
      <w:bookmarkEnd w:id="527"/>
      <w:r>
        <w:rPr>
          <w:b w:val="0"/>
          <w:bCs w:val="0"/>
        </w:rPr>
      </w:r>
      <w:r>
        <w:rPr>
          <w:rFonts w:ascii="Times New Roman" w:hAnsi="Times New Roman" w:cs="Times New Roman" w:eastAsia="Times New Roman" w:hint="default"/>
        </w:rPr>
        <w:t>6</w:t>
      </w:r>
      <w:r>
        <w:rPr/>
        <w:t>、其他</w:t>
      </w:r>
      <w:r>
        <w:rPr>
          <w:b w:val="0"/>
          <w:bCs w:val="0"/>
        </w:rPr>
      </w:r>
    </w:p>
    <w:p>
      <w:pPr>
        <w:spacing w:line="240" w:lineRule="auto" w:before="12"/>
        <w:rPr>
          <w:rFonts w:ascii="宋体" w:hAnsi="宋体" w:cs="宋体" w:eastAsia="宋体" w:hint="default"/>
          <w:b/>
          <w:bCs/>
          <w:sz w:val="22"/>
          <w:szCs w:val="22"/>
        </w:rPr>
      </w:pPr>
    </w:p>
    <w:p>
      <w:pPr>
        <w:pStyle w:val="Heading2"/>
        <w:spacing w:line="240" w:lineRule="auto"/>
        <w:ind w:right="0"/>
        <w:jc w:val="left"/>
        <w:rPr>
          <w:b w:val="0"/>
          <w:bCs w:val="0"/>
        </w:rPr>
      </w:pPr>
      <w:bookmarkStart w:name="十八、补充资料" w:id="528"/>
      <w:bookmarkEnd w:id="528"/>
      <w:r>
        <w:rPr>
          <w:b w:val="0"/>
          <w:bCs w:val="0"/>
        </w:rPr>
      </w:r>
      <w:r>
        <w:rPr/>
        <w:t>十八、补充资料</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bookmarkStart w:name="1、当期非经常性损益明细表" w:id="529"/>
      <w:bookmarkEnd w:id="529"/>
      <w:r>
        <w:rPr>
          <w:b w:val="0"/>
          <w:bCs w:val="0"/>
        </w:rPr>
      </w:r>
      <w:r>
        <w:rPr>
          <w:rFonts w:ascii="Times New Roman" w:hAnsi="Times New Roman" w:cs="Times New Roman" w:eastAsia="Times New Roman" w:hint="default"/>
        </w:rPr>
        <w:t>1</w:t>
      </w:r>
      <w:r>
        <w:rPr/>
        <w:t>、当期非经常性损益明细表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right="0"/>
        <w:jc w:val="left"/>
      </w:pPr>
      <w:r>
        <w:rPr/>
        <w:t>√ 适用 □ 不适用</w:t>
      </w:r>
    </w:p>
    <w:p>
      <w:pPr>
        <w:pStyle w:val="BodyText"/>
        <w:spacing w:line="240" w:lineRule="auto" w:before="117"/>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6"/>
      </w:tblGrid>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272,320.00</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38"/>
              <w:jc w:val="left"/>
              <w:rPr>
                <w:rFonts w:ascii="宋体" w:hAnsi="宋体" w:cs="宋体" w:eastAsia="宋体" w:hint="default"/>
                <w:sz w:val="18"/>
                <w:szCs w:val="18"/>
              </w:rPr>
            </w:pPr>
            <w:r>
              <w:rPr>
                <w:rFonts w:ascii="宋体" w:hAnsi="宋体" w:cs="宋体" w:eastAsia="宋体" w:hint="default"/>
                <w:sz w:val="18"/>
                <w:szCs w:val="18"/>
              </w:rPr>
              <w:t>计入当期损益的对非金融企业收取的资金 占用费</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8,445.86</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-53,327.73</w:t>
            </w:r>
            <w:r>
              <w:rPr>
                <w:rFonts w:ascii="Times New Roman"/>
                <w:sz w:val="18"/>
              </w:rPr>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34,115.72</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71" w:type="dxa"/>
            <w:tcBorders>
              <w:top w:val="single" w:sz="4" w:space="0" w:color="000000"/>
              <w:left w:val="single" w:sz="13" w:space="0" w:color="D2D2D2"/>
              <w:bottom w:val="single" w:sz="4" w:space="0" w:color="000000"/>
              <w:right w:val="single" w:sz="9"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193,322.41</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spacing w:val="-3"/>
        </w:rPr>
        <w:t>对公司根据《公开发行证券的公司信息披露解释性公告第</w:t>
      </w:r>
      <w:r>
        <w:rPr>
          <w:spacing w:val="-39"/>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2" w:lineRule="auto" w:before="63"/>
        <w:ind w:right="138"/>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69"/>
        <w:ind w:right="0"/>
        <w:jc w:val="left"/>
      </w:pPr>
      <w:r>
        <w:rPr/>
        <w:t>□ 适用 √ 不适用</w:t>
      </w:r>
    </w:p>
    <w:p>
      <w:pPr>
        <w:spacing w:after="0" w:line="240" w:lineRule="auto"/>
        <w:jc w:val="left"/>
        <w:sectPr>
          <w:pgSz w:w="11910" w:h="16840"/>
          <w:pgMar w:header="747" w:footer="979" w:top="1060" w:bottom="1160" w:left="980" w:right="980"/>
        </w:sectPr>
      </w:pPr>
    </w:p>
    <w:p>
      <w:pPr>
        <w:spacing w:line="240" w:lineRule="auto" w:before="9"/>
        <w:rPr>
          <w:rFonts w:ascii="宋体" w:hAnsi="宋体" w:cs="宋体" w:eastAsia="宋体" w:hint="default"/>
          <w:sz w:val="24"/>
          <w:szCs w:val="24"/>
        </w:rPr>
      </w:pPr>
    </w:p>
    <w:p>
      <w:pPr>
        <w:pStyle w:val="Heading5"/>
        <w:spacing w:line="240" w:lineRule="auto" w:before="35"/>
        <w:ind w:right="0"/>
        <w:jc w:val="left"/>
        <w:rPr>
          <w:b w:val="0"/>
          <w:bCs w:val="0"/>
        </w:rPr>
      </w:pPr>
      <w:bookmarkStart w:name="2、净资产收益率及每股收益" w:id="530"/>
      <w:bookmarkEnd w:id="530"/>
      <w:r>
        <w:rPr>
          <w:b w:val="0"/>
          <w:bCs w:val="0"/>
        </w:rPr>
      </w:r>
      <w:r>
        <w:rPr>
          <w:rFonts w:ascii="Times New Roman" w:hAnsi="Times New Roman" w:cs="Times New Roman" w:eastAsia="Times New Roman" w:hint="default"/>
        </w:rPr>
        <w:t>2</w:t>
      </w:r>
      <w:r>
        <w:rPr/>
        <w:t>、净资产收益率及每股收益</w:t>
      </w:r>
      <w:r>
        <w:rPr>
          <w:b w:val="0"/>
          <w:bCs w:val="0"/>
        </w:rPr>
      </w:r>
    </w:p>
    <w:p>
      <w:pPr>
        <w:spacing w:line="240" w:lineRule="auto" w:before="10"/>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2651"/>
        <w:gridCol w:w="3081"/>
        <w:gridCol w:w="1913"/>
        <w:gridCol w:w="1901"/>
      </w:tblGrid>
      <w:tr>
        <w:trPr>
          <w:trHeight w:val="206" w:hRule="exact"/>
        </w:trPr>
        <w:tc>
          <w:tcPr>
            <w:tcW w:w="2651" w:type="dxa"/>
            <w:tcBorders>
              <w:top w:val="single" w:sz="4" w:space="0" w:color="000000"/>
              <w:left w:val="single" w:sz="4" w:space="0" w:color="000000"/>
              <w:bottom w:val="nil" w:sz="6" w:space="0" w:color="auto"/>
              <w:right w:val="single" w:sz="4" w:space="0" w:color="000000"/>
            </w:tcBorders>
            <w:shd w:val="clear" w:color="auto" w:fill="D2D2D2"/>
          </w:tcPr>
          <w:p>
            <w:pPr/>
          </w:p>
        </w:tc>
        <w:tc>
          <w:tcPr>
            <w:tcW w:w="308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1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1" w:hRule="exact"/>
        </w:trPr>
        <w:tc>
          <w:tcPr>
            <w:tcW w:w="265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65"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35"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15"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651" w:type="dxa"/>
            <w:vMerge/>
            <w:tcBorders>
              <w:left w:val="single" w:sz="4" w:space="0" w:color="000000"/>
              <w:bottom w:val="nil" w:sz="6" w:space="0" w:color="auto"/>
              <w:right w:val="single" w:sz="4" w:space="0" w:color="000000"/>
            </w:tcBorders>
            <w:shd w:val="clear" w:color="auto" w:fill="D2D2D2"/>
          </w:tcPr>
          <w:p>
            <w:pPr/>
          </w:p>
        </w:tc>
        <w:tc>
          <w:tcPr>
            <w:tcW w:w="3081" w:type="dxa"/>
            <w:vMerge/>
            <w:tcBorders>
              <w:left w:val="single" w:sz="4" w:space="0" w:color="000000"/>
              <w:bottom w:val="nil" w:sz="6" w:space="0" w:color="auto"/>
              <w:right w:val="single" w:sz="4" w:space="0" w:color="000000"/>
            </w:tcBorders>
            <w:shd w:val="clear" w:color="auto" w:fill="D2D2D2"/>
          </w:tcPr>
          <w:p>
            <w:pP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6"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6"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206" w:hRule="exact"/>
        </w:trPr>
        <w:tc>
          <w:tcPr>
            <w:tcW w:w="2651" w:type="dxa"/>
            <w:tcBorders>
              <w:top w:val="nil" w:sz="6" w:space="0" w:color="auto"/>
              <w:left w:val="single" w:sz="4" w:space="0" w:color="000000"/>
              <w:bottom w:val="single" w:sz="4" w:space="0" w:color="000000"/>
              <w:right w:val="single" w:sz="4" w:space="0" w:color="000000"/>
            </w:tcBorders>
            <w:shd w:val="clear" w:color="auto" w:fill="D2D2D2"/>
          </w:tcPr>
          <w:p>
            <w:pPr/>
          </w:p>
        </w:tc>
        <w:tc>
          <w:tcPr>
            <w:tcW w:w="308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01"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81" w:type="dxa"/>
            <w:tcBorders>
              <w:top w:val="single" w:sz="4" w:space="0" w:color="000000"/>
              <w:left w:val="single" w:sz="13"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0.64</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0.64</w:t>
            </w:r>
          </w:p>
        </w:tc>
      </w:tr>
    </w:tbl>
    <w:p>
      <w:pPr>
        <w:spacing w:line="240" w:lineRule="auto" w:before="2"/>
        <w:rPr>
          <w:rFonts w:ascii="宋体" w:hAnsi="宋体" w:cs="宋体" w:eastAsia="宋体" w:hint="default"/>
          <w:b/>
          <w:bCs/>
          <w:sz w:val="19"/>
          <w:szCs w:val="19"/>
        </w:rPr>
      </w:pPr>
    </w:p>
    <w:p>
      <w:pPr>
        <w:pStyle w:val="Heading5"/>
        <w:spacing w:line="240" w:lineRule="auto" w:before="35"/>
        <w:ind w:right="0"/>
        <w:jc w:val="left"/>
        <w:rPr>
          <w:b w:val="0"/>
          <w:bCs w:val="0"/>
        </w:rPr>
      </w:pPr>
      <w:bookmarkStart w:name="3、境内外会计准则下会计数据差异" w:id="531"/>
      <w:bookmarkEnd w:id="531"/>
      <w:r>
        <w:rPr>
          <w:b w:val="0"/>
          <w:bCs w:val="0"/>
        </w:rPr>
      </w:r>
      <w:r>
        <w:rPr>
          <w:rFonts w:ascii="Times New Roman" w:hAnsi="Times New Roman" w:cs="Times New Roman" w:eastAsia="Times New Roman" w:hint="default"/>
        </w:rPr>
        <w:t>3</w:t>
      </w:r>
      <w:r>
        <w:rPr/>
        <w:t>、境内外会计准则下会计数据差异</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bookmarkStart w:name="（1）同时按照国际会计准则与按中国会计准则披露的财务报告中净利润和净资产差异情况" w:id="532"/>
      <w:bookmarkEnd w:id="532"/>
      <w:r>
        <w:rPr>
          <w:b w:val="0"/>
          <w:bCs w:val="0"/>
        </w:rPr>
      </w:r>
      <w:r>
        <w:rPr/>
        <w:t>（</w:t>
      </w:r>
      <w:r>
        <w:rPr>
          <w:rFonts w:ascii="Times New Roman" w:hAnsi="Times New Roman" w:cs="Times New Roman" w:eastAsia="Times New Roman" w:hint="default"/>
        </w:rPr>
        <w:t>1</w:t>
      </w:r>
      <w:r>
        <w:rPr/>
        <w:t>）同时按照国际会计准则与按中国会计准则披露的财务报告中净利润和净资产差异情况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0"/>
        <w:jc w:val="left"/>
      </w:pPr>
      <w:r>
        <w:rPr/>
        <w:t>□ 适用 √ 不适用</w:t>
      </w:r>
    </w:p>
    <w:p>
      <w:pPr>
        <w:spacing w:line="240" w:lineRule="auto" w:before="10"/>
        <w:rPr>
          <w:rFonts w:ascii="宋体" w:hAnsi="宋体" w:cs="宋体" w:eastAsia="宋体" w:hint="default"/>
          <w:sz w:val="26"/>
          <w:szCs w:val="26"/>
        </w:rPr>
      </w:pPr>
    </w:p>
    <w:p>
      <w:pPr>
        <w:pStyle w:val="Heading5"/>
        <w:spacing w:line="240" w:lineRule="auto"/>
        <w:ind w:right="0"/>
        <w:jc w:val="left"/>
        <w:rPr>
          <w:b w:val="0"/>
          <w:bCs w:val="0"/>
        </w:rPr>
      </w:pPr>
      <w:bookmarkStart w:name="（2）同时按照境外会计准则与按中国会计准则披露的财务报告中净利润和净资产差异情况" w:id="533"/>
      <w:bookmarkEnd w:id="533"/>
      <w:r>
        <w:rPr>
          <w:b w:val="0"/>
          <w:bCs w:val="0"/>
        </w:rPr>
      </w:r>
      <w:r>
        <w:rPr/>
        <w:t>（</w:t>
      </w:r>
      <w:r>
        <w:rPr>
          <w:rFonts w:ascii="Times New Roman" w:hAnsi="Times New Roman" w:cs="Times New Roman" w:eastAsia="Times New Roman" w:hint="default"/>
        </w:rPr>
        <w:t>2</w:t>
      </w:r>
      <w:r>
        <w:rPr/>
        <w:t>）同时按照境外会计准则与按中国会计准则披露的财务报告中净利润和净资产差异情况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0"/>
        <w:jc w:val="left"/>
      </w:pPr>
      <w:r>
        <w:rPr/>
        <w:t>□ 适用 √ 不适用</w:t>
      </w:r>
    </w:p>
    <w:p>
      <w:pPr>
        <w:spacing w:line="240" w:lineRule="auto" w:before="10"/>
        <w:rPr>
          <w:rFonts w:ascii="宋体" w:hAnsi="宋体" w:cs="宋体" w:eastAsia="宋体" w:hint="default"/>
          <w:sz w:val="26"/>
          <w:szCs w:val="26"/>
        </w:rPr>
      </w:pPr>
    </w:p>
    <w:p>
      <w:pPr>
        <w:pStyle w:val="Heading5"/>
        <w:spacing w:line="259" w:lineRule="auto"/>
        <w:ind w:right="0"/>
        <w:jc w:val="left"/>
        <w:rPr>
          <w:b w:val="0"/>
          <w:bCs w:val="0"/>
        </w:rPr>
      </w:pPr>
      <w:bookmarkStart w:name="（3）境内外会计准则下会计数据差异原因说明，对已经境外审计机构审计的数据进行差异" w:id="534"/>
      <w:bookmarkEnd w:id="534"/>
      <w:r>
        <w:rPr>
          <w:b w:val="0"/>
          <w:bCs w:val="0"/>
        </w:rPr>
      </w:r>
      <w:r>
        <w:rPr/>
        <w:t>（</w:t>
      </w:r>
      <w:r>
        <w:rPr>
          <w:rFonts w:ascii="Times New Roman" w:hAnsi="Times New Roman" w:cs="Times New Roman" w:eastAsia="Times New Roman" w:hint="default"/>
        </w:rPr>
        <w:t>3</w:t>
      </w:r>
      <w:r>
        <w:rPr/>
        <w:t>）境内外会计准则下会计数据差异原因说明，对已经境外审计机构审计的数据进行差异调节的，应注</w:t>
      </w:r>
      <w:r>
        <w:rPr>
          <w:spacing w:val="-72"/>
        </w:rPr>
        <w:t> </w:t>
      </w:r>
      <w:r>
        <w:rPr>
          <w:spacing w:val="-72"/>
        </w:rPr>
      </w:r>
      <w:r>
        <w:rPr/>
        <w:t>明该境外机构的名称</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bookmarkStart w:name="4、其他" w:id="535"/>
      <w:bookmarkEnd w:id="535"/>
      <w:r>
        <w:rPr>
          <w:b w:val="0"/>
          <w:bCs w:val="0"/>
        </w:rPr>
      </w:r>
      <w:r>
        <w:rPr>
          <w:rFonts w:ascii="Times New Roman" w:hAnsi="Times New Roman" w:cs="Times New Roman" w:eastAsia="Times New Roman" w:hint="default"/>
        </w:rPr>
        <w:t>4</w:t>
      </w:r>
      <w:r>
        <w:rPr/>
        <w:t>、其他</w:t>
      </w:r>
      <w:r>
        <w:rPr>
          <w:b w:val="0"/>
          <w:bCs w:val="0"/>
        </w:rPr>
      </w:r>
    </w:p>
    <w:p>
      <w:pPr>
        <w:spacing w:after="0" w:line="240" w:lineRule="auto"/>
        <w:jc w:val="left"/>
        <w:sectPr>
          <w:pgSz w:w="11910" w:h="16840"/>
          <w:pgMar w:header="747" w:footer="979" w:top="1060" w:bottom="1160" w:left="980" w:right="980"/>
        </w:sect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20"/>
          <w:szCs w:val="20"/>
        </w:rPr>
      </w:pPr>
    </w:p>
    <w:p>
      <w:pPr>
        <w:pStyle w:val="Heading1"/>
        <w:spacing w:line="240" w:lineRule="auto"/>
        <w:ind w:left="3286" w:right="0"/>
        <w:jc w:val="left"/>
        <w:rPr>
          <w:b w:val="0"/>
          <w:bCs w:val="0"/>
        </w:rPr>
      </w:pPr>
      <w:bookmarkStart w:name="第十二节 备查文件目录" w:id="536"/>
      <w:bookmarkEnd w:id="536"/>
      <w:r>
        <w:rPr>
          <w:b w:val="0"/>
          <w:bCs w:val="0"/>
        </w:rPr>
      </w:r>
      <w:bookmarkStart w:name="_bookmark10" w:id="537"/>
      <w:bookmarkEnd w:id="537"/>
      <w:r>
        <w:rPr>
          <w:b w:val="0"/>
          <w:bCs w:val="0"/>
        </w:rPr>
      </w:r>
      <w:r>
        <w:rPr/>
        <w:t>第十二节</w:t>
      </w:r>
      <w:r>
        <w:rPr>
          <w:spacing w:val="-8"/>
        </w:rPr>
        <w:t> </w:t>
      </w:r>
      <w:r>
        <w:rPr/>
        <w:t>备查文件目录</w:t>
      </w:r>
      <w:r>
        <w:rPr>
          <w:b w:val="0"/>
          <w:bCs w:val="0"/>
        </w:rPr>
      </w:r>
    </w:p>
    <w:p>
      <w:pPr>
        <w:spacing w:line="240" w:lineRule="auto" w:before="0"/>
        <w:rPr>
          <w:rFonts w:ascii="宋体" w:hAnsi="宋体" w:cs="宋体" w:eastAsia="宋体" w:hint="default"/>
          <w:b/>
          <w:bCs/>
          <w:sz w:val="32"/>
          <w:szCs w:val="32"/>
        </w:rPr>
      </w:pPr>
    </w:p>
    <w:p>
      <w:pPr>
        <w:spacing w:line="240" w:lineRule="auto" w:before="5"/>
        <w:rPr>
          <w:rFonts w:ascii="宋体" w:hAnsi="宋体" w:cs="宋体" w:eastAsia="宋体" w:hint="default"/>
          <w:b/>
          <w:bCs/>
          <w:sz w:val="34"/>
          <w:szCs w:val="34"/>
        </w:rPr>
      </w:pPr>
    </w:p>
    <w:p>
      <w:pPr>
        <w:pStyle w:val="BodyText"/>
        <w:spacing w:line="240" w:lineRule="auto" w:before="0"/>
        <w:ind w:right="0"/>
        <w:jc w:val="left"/>
      </w:pPr>
      <w:r>
        <w:rPr/>
        <w:t>公司</w:t>
      </w:r>
      <w:r>
        <w:rPr>
          <w:rFonts w:ascii="Times New Roman" w:hAnsi="Times New Roman" w:cs="Times New Roman" w:eastAsia="Times New Roman" w:hint="default"/>
        </w:rPr>
        <w:t>2017</w:t>
      </w:r>
      <w:r>
        <w:rPr/>
        <w:t>年年度报告的备查文件包括：</w:t>
      </w:r>
    </w:p>
    <w:p>
      <w:pPr>
        <w:pStyle w:val="BodyText"/>
        <w:spacing w:line="240" w:lineRule="auto" w:before="63"/>
        <w:ind w:right="0"/>
        <w:jc w:val="left"/>
      </w:pPr>
      <w:r>
        <w:rPr>
          <w:rFonts w:ascii="Times New Roman" w:hAnsi="Times New Roman" w:cs="Times New Roman" w:eastAsia="Times New Roman" w:hint="default"/>
        </w:rPr>
        <w:t>1</w:t>
      </w:r>
      <w:r>
        <w:rPr/>
        <w:t>、载有公司法定代表人签名的</w:t>
      </w:r>
      <w:r>
        <w:rPr>
          <w:rFonts w:ascii="Times New Roman" w:hAnsi="Times New Roman" w:cs="Times New Roman" w:eastAsia="Times New Roman" w:hint="default"/>
        </w:rPr>
        <w:t>2017</w:t>
      </w:r>
      <w:r>
        <w:rPr/>
        <w:t>年年度报告文本；</w:t>
      </w:r>
    </w:p>
    <w:p>
      <w:pPr>
        <w:pStyle w:val="BodyText"/>
        <w:spacing w:line="240" w:lineRule="auto" w:before="63"/>
        <w:ind w:right="0"/>
        <w:jc w:val="left"/>
      </w:pPr>
      <w:r>
        <w:rPr>
          <w:rFonts w:ascii="Times New Roman" w:hAnsi="Times New Roman" w:cs="Times New Roman" w:eastAsia="Times New Roman" w:hint="default"/>
        </w:rPr>
        <w:t>2</w:t>
      </w:r>
      <w:r>
        <w:rPr/>
        <w:t>、载有公司负责人、主管会计工作负责人、会计机构负责人签名并盖章的财务报表；</w:t>
      </w:r>
    </w:p>
    <w:p>
      <w:pPr>
        <w:pStyle w:val="BodyText"/>
        <w:spacing w:line="240" w:lineRule="auto" w:before="63"/>
        <w:ind w:right="0"/>
        <w:jc w:val="left"/>
      </w:pPr>
      <w:r>
        <w:rPr>
          <w:rFonts w:ascii="Times New Roman" w:hAnsi="Times New Roman" w:cs="Times New Roman" w:eastAsia="Times New Roman" w:hint="default"/>
        </w:rPr>
        <w:t>3</w:t>
      </w:r>
      <w:r>
        <w:rPr/>
        <w:t>、载有会计师事务所盖章、注册会计师签名并盖章的审计报告原件；</w:t>
      </w:r>
    </w:p>
    <w:p>
      <w:pPr>
        <w:pStyle w:val="BodyText"/>
        <w:spacing w:line="600" w:lineRule="auto" w:before="63"/>
        <w:ind w:right="2122"/>
        <w:jc w:val="left"/>
      </w:pPr>
      <w:r>
        <w:rPr>
          <w:rFonts w:ascii="Times New Roman" w:hAnsi="Times New Roman" w:cs="Times New Roman" w:eastAsia="Times New Roman" w:hint="default"/>
        </w:rPr>
        <w:t>4</w:t>
      </w:r>
      <w:r>
        <w:rPr/>
        <w:t>、报告期内在中国证监会指定信息披露载体上公开披露过的所有公司文件的正本及公告的原稿。 以上备查文件的备置地点：浙江省杭州市余杭区径山镇龙皇路</w:t>
      </w:r>
      <w:r>
        <w:rPr>
          <w:rFonts w:ascii="Times New Roman" w:hAnsi="Times New Roman" w:cs="Times New Roman" w:eastAsia="Times New Roman" w:hint="default"/>
        </w:rPr>
        <w:t>10</w:t>
      </w:r>
      <w:r>
        <w:rPr/>
        <w:t>号</w:t>
      </w:r>
      <w:r>
        <w:rPr>
          <w:spacing w:val="-19"/>
        </w:rPr>
        <w:t> </w:t>
      </w:r>
      <w:r>
        <w:rPr/>
        <w:t>证券部办公室</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7"/>
          <w:szCs w:val="17"/>
        </w:rPr>
      </w:pPr>
    </w:p>
    <w:p>
      <w:pPr>
        <w:pStyle w:val="BodyText"/>
        <w:spacing w:line="636" w:lineRule="auto" w:before="0"/>
        <w:ind w:left="7273" w:right="150"/>
        <w:jc w:val="center"/>
      </w:pPr>
      <w:r>
        <w:rPr/>
        <w:t>杭州高新橡塑材料股份有限公司 法定代表人：高长虹 </w:t>
      </w:r>
      <w:r>
        <w:rPr>
          <w:rFonts w:ascii="宋体" w:hAnsi="宋体" w:cs="宋体" w:eastAsia="宋体" w:hint="default"/>
        </w:rPr>
        <w:t>2018</w:t>
      </w:r>
      <w:r>
        <w:rPr/>
        <w:t>年</w:t>
      </w:r>
      <w:r>
        <w:rPr>
          <w:rFonts w:ascii="宋体" w:hAnsi="宋体" w:cs="宋体" w:eastAsia="宋体" w:hint="default"/>
        </w:rPr>
        <w:t>4</w:t>
      </w:r>
      <w:r>
        <w:rPr/>
        <w:t>月</w:t>
      </w:r>
      <w:r>
        <w:rPr>
          <w:rFonts w:ascii="宋体" w:hAnsi="宋体" w:cs="宋体" w:eastAsia="宋体" w:hint="default"/>
        </w:rPr>
        <w:t>20</w:t>
      </w:r>
      <w:r>
        <w:rPr/>
        <w:t>日</w:t>
      </w:r>
    </w:p>
    <w:sectPr>
      <w:pgSz w:w="11910" w:h="16840"/>
      <w:pgMar w:header="747" w:footer="979" w:top="1060" w:bottom="1160" w:left="980" w:right="9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3.179993pt;margin-top:795.517944pt;width:6.5pt;height:11pt;mso-position-horizontal-relative:page;mso-position-vertical-relative:page;z-index:-903640" type="#_x0000_t202" filled="false" stroked="false">
          <v:textbox inset="0,0,0,0">
            <w:txbxContent>
              <w:p>
                <w:pPr>
                  <w:pStyle w:val="BodyText"/>
                  <w:spacing w:line="204" w:lineRule="exact" w:before="0"/>
                  <w:ind w:left="20" w:right="0"/>
                  <w:jc w:val="left"/>
                  <w:rPr>
                    <w:rFonts w:ascii="Times New Roman" w:hAnsi="Times New Roman" w:cs="Times New Roman" w:eastAsia="Times New Roman" w:hint="default"/>
                  </w:rPr>
                </w:pPr>
                <w:r>
                  <w:rPr>
                    <w:rFonts w:ascii="Times New Roman"/>
                  </w:rPr>
                  <w:t>1</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79993pt;margin-top:781.957947pt;width:13pt;height:11pt;mso-position-horizontal-relative:page;mso-position-vertical-relative:page;z-index:-903616" type="#_x0000_t202" filled="false" stroked="false">
          <v:textbox inset="0,0,0,0">
            <w:txbxContent>
              <w:p>
                <w:pPr>
                  <w:pStyle w:val="BodyText"/>
                  <w:spacing w:line="204" w:lineRule="exact" w:before="0"/>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4.179993pt;margin-top:781.957947pt;width:15.5pt;height:11pt;mso-position-horizontal-relative:page;mso-position-vertical-relative:page;z-index:-903592" type="#_x0000_t202" filled="false" stroked="false">
          <v:textbox inset="0,0,0,0">
            <w:txbxContent>
              <w:p>
                <w:pPr>
                  <w:pStyle w:val="BodyText"/>
                  <w:spacing w:line="204" w:lineRule="exact" w:before="0"/>
                  <w:ind w:left="20" w:right="0"/>
                  <w:jc w:val="left"/>
                  <w:rPr>
                    <w:rFonts w:ascii="Times New Roman" w:hAnsi="Times New Roman" w:cs="Times New Roman" w:eastAsia="Times New Roman" w:hint="default"/>
                  </w:rPr>
                </w:pPr>
                <w:r>
                  <w:rPr>
                    <w:rFonts w:ascii="Times New Roman"/>
                  </w:rPr>
                  <w:t>100</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179993pt;margin-top:781.957947pt;width:17.5pt;height:11pt;mso-position-horizontal-relative:page;mso-position-vertical-relative:page;z-index:-903568" type="#_x0000_t202" filled="false" stroked="false">
          <v:textbox inset="0,0,0,0">
            <w:txbxContent>
              <w:p>
                <w:pPr>
                  <w:pStyle w:val="BodyText"/>
                  <w:spacing w:line="204" w:lineRule="exact" w:before="0"/>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101</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26.160004pt;margin-top:36.325607pt;width:213.55pt;height:11.5pt;mso-position-horizontal-relative:page;mso-position-vertical-relative:page;z-index:-903664" type="#_x0000_t202" filled="false" stroked="false">
          <v:textbox inset="0,0,0,0">
            <w:txbxContent>
              <w:p>
                <w:pPr>
                  <w:pStyle w:val="BodyText"/>
                  <w:spacing w:line="214" w:lineRule="exact" w:before="0"/>
                  <w:ind w:left="20" w:right="0"/>
                  <w:jc w:val="left"/>
                </w:pPr>
                <w:r>
                  <w:rPr/>
                  <w:t>杭州高新橡塑材料股份有限公司</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59"/>
      <w:ind w:left="154"/>
    </w:pPr>
    <w:rPr>
      <w:rFonts w:ascii="宋体" w:hAnsi="宋体" w:eastAsia="宋体"/>
      <w:b/>
      <w:bCs/>
      <w:sz w:val="24"/>
      <w:szCs w:val="24"/>
    </w:rPr>
  </w:style>
  <w:style w:styleId="BodyText" w:type="paragraph">
    <w:name w:val="Body Text"/>
    <w:basedOn w:val="Normal"/>
    <w:uiPriority w:val="1"/>
    <w:qFormat/>
    <w:pPr>
      <w:spacing w:before="44"/>
      <w:ind w:left="154"/>
    </w:pPr>
    <w:rPr>
      <w:rFonts w:ascii="宋体" w:hAnsi="宋体" w:eastAsia="宋体"/>
      <w:sz w:val="18"/>
      <w:szCs w:val="18"/>
    </w:rPr>
  </w:style>
  <w:style w:styleId="Heading1" w:type="paragraph">
    <w:name w:val="Heading 1"/>
    <w:basedOn w:val="Normal"/>
    <w:uiPriority w:val="1"/>
    <w:qFormat/>
    <w:pPr>
      <w:spacing w:before="1"/>
      <w:ind w:left="150"/>
      <w:outlineLvl w:val="1"/>
    </w:pPr>
    <w:rPr>
      <w:rFonts w:ascii="宋体" w:hAnsi="宋体" w:eastAsia="宋体"/>
      <w:b/>
      <w:bCs/>
      <w:sz w:val="32"/>
      <w:szCs w:val="32"/>
    </w:rPr>
  </w:style>
  <w:style w:styleId="Heading2" w:type="paragraph">
    <w:name w:val="Heading 2"/>
    <w:basedOn w:val="Normal"/>
    <w:uiPriority w:val="1"/>
    <w:qFormat/>
    <w:pPr>
      <w:ind w:left="154"/>
      <w:outlineLvl w:val="2"/>
    </w:pPr>
    <w:rPr>
      <w:rFonts w:ascii="宋体" w:hAnsi="宋体" w:eastAsia="宋体"/>
      <w:b/>
      <w:bCs/>
      <w:sz w:val="24"/>
      <w:szCs w:val="24"/>
    </w:rPr>
  </w:style>
  <w:style w:styleId="Heading3" w:type="paragraph">
    <w:name w:val="Heading 3"/>
    <w:basedOn w:val="Normal"/>
    <w:uiPriority w:val="1"/>
    <w:qFormat/>
    <w:pPr>
      <w:ind w:left="154"/>
      <w:outlineLvl w:val="3"/>
    </w:pPr>
    <w:rPr>
      <w:rFonts w:ascii="宋体" w:hAnsi="宋体" w:eastAsia="宋体"/>
      <w:sz w:val="24"/>
      <w:szCs w:val="24"/>
    </w:rPr>
  </w:style>
  <w:style w:styleId="Heading4" w:type="paragraph">
    <w:name w:val="Heading 4"/>
    <w:basedOn w:val="Normal"/>
    <w:uiPriority w:val="1"/>
    <w:qFormat/>
    <w:pPr>
      <w:ind w:left="154"/>
      <w:outlineLvl w:val="4"/>
    </w:pPr>
    <w:rPr>
      <w:rFonts w:ascii="宋体" w:hAnsi="宋体" w:eastAsia="宋体"/>
      <w:i/>
      <w:sz w:val="22"/>
      <w:szCs w:val="22"/>
    </w:rPr>
  </w:style>
  <w:style w:styleId="Heading5" w:type="paragraph">
    <w:name w:val="Heading 5"/>
    <w:basedOn w:val="Normal"/>
    <w:uiPriority w:val="1"/>
    <w:qFormat/>
    <w:pPr>
      <w:ind w:left="154"/>
      <w:outlineLvl w:val="5"/>
    </w:pPr>
    <w:rPr>
      <w:rFonts w:ascii="宋体" w:hAnsi="宋体" w:eastAsia="宋体"/>
      <w:b/>
      <w:bCs/>
      <w:sz w:val="21"/>
      <w:szCs w:val="21"/>
    </w:rPr>
  </w:style>
  <w:style w:styleId="Heading6" w:type="paragraph">
    <w:name w:val="Heading 6"/>
    <w:basedOn w:val="Normal"/>
    <w:uiPriority w:val="1"/>
    <w:qFormat/>
    <w:pPr>
      <w:ind w:left="154"/>
      <w:outlineLvl w:val="6"/>
    </w:pPr>
    <w:rPr>
      <w:rFonts w:ascii="宋体" w:hAnsi="宋体" w:eastAsia="宋体"/>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jpeg"/><Relationship Id="rId8" Type="http://schemas.openxmlformats.org/officeDocument/2006/relationships/footer" Target="footer2.xml"/><Relationship Id="rId9" Type="http://schemas.openxmlformats.org/officeDocument/2006/relationships/hyperlink" Target="http://www.gxsl.com/" TargetMode="External"/><Relationship Id="rId10" Type="http://schemas.openxmlformats.org/officeDocument/2006/relationships/hyperlink" Target="mailto:hzgaoxinxiangsu@163.com" TargetMode="External"/><Relationship Id="rId11" Type="http://schemas.openxmlformats.org/officeDocument/2006/relationships/hyperlink" Target="http://www.cninfo.com.cn/" TargetMode="External"/><Relationship Id="rId12" Type="http://schemas.openxmlformats.org/officeDocument/2006/relationships/image" Target="media/image2.jpeg"/><Relationship Id="rId13" Type="http://schemas.openxmlformats.org/officeDocument/2006/relationships/footer" Target="footer3.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13600</dc:creator>
  <dcterms:created xsi:type="dcterms:W3CDTF">2020-05-03T00:52:55Z</dcterms:created>
  <dcterms:modified xsi:type="dcterms:W3CDTF">2020-05-03T00:52:55Z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2018-04-19T00:00:00Z</vt:filetime>
  </property>
  <property fmtid="{D5CDD505-2E9C-101B-9397-08002B2CF9AE}" pid="3" name="Creator">
    <vt:lpwstr>Microsoft® Office Word 2007</vt:lpwstr>
  </property>
  <property fmtid="{D5CDD505-2E9C-101B-9397-08002B2CF9AE}" pid="4" name="LastSaved">
    <vt:filetime>2020-05-02T00:00:00Z</vt:filetime>
  </property>
</Properties>
</file>