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3"/>
          <w:szCs w:val="13"/>
        </w:rPr>
      </w:pPr>
    </w:p>
    <w:p>
      <w:pPr>
        <w:spacing w:line="715" w:lineRule="exact"/>
        <w:ind w:left="399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2482385" cy="454342"/>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2482385" cy="454342"/>
                    </a:xfrm>
                    <a:prstGeom prst="rect">
                      <a:avLst/>
                    </a:prstGeom>
                  </pic:spPr>
                </pic:pic>
              </a:graphicData>
            </a:graphic>
          </wp:inline>
        </w:drawing>
      </w:r>
      <w:r>
        <w:rPr>
          <w:rFonts w:ascii="Times New Roman" w:hAnsi="Times New Roman" w:cs="Times New Roman" w:eastAsia="Times New Roman" w:hint="default"/>
          <w:position w:val="-13"/>
          <w:sz w:val="20"/>
          <w:szCs w:val="20"/>
        </w:rPr>
      </w:r>
    </w:p>
    <w:p>
      <w:pPr>
        <w:spacing w:line="240" w:lineRule="auto" w:before="0"/>
        <w:rPr>
          <w:rFonts w:ascii="Times New Roman" w:hAnsi="Times New Roman" w:cs="Times New Roman" w:eastAsia="Times New Roman" w:hint="default"/>
          <w:sz w:val="20"/>
          <w:szCs w:val="20"/>
        </w:rPr>
      </w:pPr>
    </w:p>
    <w:p>
      <w:pPr>
        <w:spacing w:before="113"/>
        <w:ind w:left="3764" w:right="3764" w:firstLine="0"/>
        <w:jc w:val="center"/>
        <w:rPr>
          <w:rFonts w:ascii="宋体" w:hAnsi="宋体" w:cs="宋体" w:eastAsia="宋体" w:hint="default"/>
          <w:sz w:val="36"/>
          <w:szCs w:val="36"/>
        </w:rPr>
      </w:pPr>
      <w:r>
        <w:rPr>
          <w:rFonts w:ascii="宋体" w:hAnsi="宋体" w:cs="宋体" w:eastAsia="宋体" w:hint="default"/>
          <w:b/>
          <w:bCs/>
          <w:sz w:val="36"/>
          <w:szCs w:val="36"/>
        </w:rPr>
        <w:t>中科创达软件股份有限公司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3763" w:right="376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3764"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3499"/>
        <w:jc w:val="left"/>
        <w:rPr>
          <w:b w:val="0"/>
          <w:bCs w:val="0"/>
        </w:rPr>
      </w:pPr>
      <w:bookmarkStart w:name="_TOC_250010"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公司负责人赵鸿飞、主管会计工作负责人武楠及会计机构负责人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钟凌云声明：保证年度报告中财务报告的真实、准确、完整。</w:t>
      </w:r>
      <w:r>
        <w:rPr>
          <w:rFonts w:ascii="宋体" w:hAnsi="宋体" w:cs="宋体" w:eastAsia="宋体" w:hint="default"/>
          <w:sz w:val="28"/>
          <w:szCs w:val="28"/>
        </w:rPr>
      </w:r>
    </w:p>
    <w:p>
      <w:pPr>
        <w:spacing w:line="472" w:lineRule="auto" w:before="147"/>
        <w:ind w:left="1695" w:right="3499" w:firstLine="0"/>
        <w:jc w:val="left"/>
        <w:rPr>
          <w:rFonts w:ascii="宋体" w:hAnsi="宋体" w:cs="宋体" w:eastAsia="宋体" w:hint="default"/>
          <w:sz w:val="28"/>
          <w:szCs w:val="28"/>
        </w:rPr>
      </w:pPr>
      <w:r>
        <w:rPr>
          <w:rFonts w:ascii="宋体" w:hAnsi="宋体" w:cs="宋体" w:eastAsia="宋体" w:hint="default"/>
          <w:b/>
          <w:bCs/>
          <w:w w:val="95"/>
          <w:sz w:val="28"/>
          <w:szCs w:val="28"/>
        </w:rPr>
        <w:t>所有董事均已出席了审议本报告的董事会会议。</w:t>
      </w:r>
      <w:r>
        <w:rPr>
          <w:rFonts w:ascii="宋体" w:hAnsi="宋体" w:cs="宋体" w:eastAsia="宋体" w:hint="default"/>
          <w:b/>
          <w:bCs/>
          <w:spacing w:val="5"/>
          <w:w w:val="95"/>
          <w:sz w:val="28"/>
          <w:szCs w:val="28"/>
        </w:rPr>
        <w:t> </w:t>
      </w:r>
      <w:r>
        <w:rPr>
          <w:rFonts w:ascii="宋体" w:hAnsi="宋体" w:cs="宋体" w:eastAsia="宋体" w:hint="default"/>
          <w:b/>
          <w:bCs/>
          <w:spacing w:val="5"/>
          <w:w w:val="95"/>
          <w:sz w:val="28"/>
          <w:szCs w:val="28"/>
        </w:rPr>
      </w:r>
      <w:r>
        <w:rPr>
          <w:rFonts w:ascii="宋体" w:hAnsi="宋体" w:cs="宋体" w:eastAsia="宋体" w:hint="default"/>
          <w:b/>
          <w:bCs/>
          <w:sz w:val="28"/>
          <w:szCs w:val="28"/>
        </w:rPr>
        <w:t>风险提示</w:t>
      </w:r>
      <w:r>
        <w:rPr>
          <w:rFonts w:ascii="宋体" w:hAnsi="宋体" w:cs="宋体" w:eastAsia="宋体" w:hint="default"/>
          <w:sz w:val="28"/>
          <w:szCs w:val="28"/>
        </w:rPr>
      </w:r>
    </w:p>
    <w:p>
      <w:pPr>
        <w:spacing w:line="446" w:lineRule="auto" w:before="86"/>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客户集中度较高的风险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公司作为移动智能终端操作系统产品和技术提供商，目标客户主要定位于</w:t>
      </w:r>
      <w:r>
        <w:rPr>
          <w:rFonts w:ascii="宋体" w:hAnsi="宋体" w:cs="宋体" w:eastAsia="宋体" w:hint="default"/>
          <w:spacing w:val="3"/>
          <w:sz w:val="28"/>
          <w:szCs w:val="28"/>
        </w:rPr>
      </w:r>
    </w:p>
    <w:p>
      <w:pPr>
        <w:spacing w:line="386" w:lineRule="auto" w:before="16"/>
        <w:ind w:left="1133" w:right="0" w:firstLine="0"/>
        <w:jc w:val="left"/>
        <w:rPr>
          <w:rFonts w:ascii="宋体" w:hAnsi="宋体" w:cs="宋体" w:eastAsia="宋体" w:hint="default"/>
          <w:sz w:val="28"/>
          <w:szCs w:val="28"/>
        </w:rPr>
      </w:pPr>
      <w:r>
        <w:rPr>
          <w:rFonts w:ascii="宋体" w:hAnsi="宋体" w:cs="宋体" w:eastAsia="宋体" w:hint="default"/>
          <w:b/>
          <w:bCs/>
          <w:sz w:val="28"/>
          <w:szCs w:val="28"/>
        </w:rPr>
        <w:t>移动智能终端产业链中的大型知名企业。</w:t>
      </w: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年度公司来自前五名客户的主营</w:t>
      </w:r>
      <w:r>
        <w:rPr>
          <w:rFonts w:ascii="宋体" w:hAnsi="宋体" w:cs="宋体" w:eastAsia="宋体" w:hint="default"/>
          <w:b/>
          <w:bCs/>
          <w:w w:val="99"/>
          <w:sz w:val="28"/>
          <w:szCs w:val="28"/>
        </w:rPr>
        <w:t> </w:t>
      </w:r>
      <w:r>
        <w:rPr>
          <w:rFonts w:ascii="宋体" w:hAnsi="宋体" w:cs="宋体" w:eastAsia="宋体" w:hint="default"/>
          <w:b/>
          <w:bCs/>
          <w:sz w:val="28"/>
          <w:szCs w:val="28"/>
        </w:rPr>
        <w:t>业务收入占营业收入的比重分别为</w:t>
      </w:r>
      <w:r>
        <w:rPr>
          <w:rFonts w:ascii="宋体" w:hAnsi="宋体" w:cs="宋体" w:eastAsia="宋体" w:hint="default"/>
          <w:b/>
          <w:bCs/>
          <w:spacing w:val="-70"/>
          <w:sz w:val="28"/>
          <w:szCs w:val="28"/>
        </w:rPr>
        <w:t> </w:t>
      </w:r>
      <w:r>
        <w:rPr>
          <w:rFonts w:ascii="Times New Roman" w:hAnsi="Times New Roman" w:cs="Times New Roman" w:eastAsia="Times New Roman" w:hint="default"/>
          <w:b/>
          <w:bCs/>
          <w:spacing w:val="-5"/>
          <w:sz w:val="28"/>
          <w:szCs w:val="28"/>
        </w:rPr>
        <w:t>16.50%</w:t>
      </w:r>
      <w:r>
        <w:rPr>
          <w:rFonts w:ascii="宋体" w:hAnsi="宋体" w:cs="宋体" w:eastAsia="宋体" w:hint="default"/>
          <w:b/>
          <w:bCs/>
          <w:spacing w:val="-5"/>
          <w:sz w:val="28"/>
          <w:szCs w:val="28"/>
        </w:rPr>
        <w:t>、</w:t>
      </w:r>
      <w:r>
        <w:rPr>
          <w:rFonts w:ascii="Times New Roman" w:hAnsi="Times New Roman" w:cs="Times New Roman" w:eastAsia="Times New Roman" w:hint="default"/>
          <w:b/>
          <w:bCs/>
          <w:spacing w:val="-5"/>
          <w:sz w:val="28"/>
          <w:szCs w:val="28"/>
        </w:rPr>
        <w:t>11.01%</w:t>
      </w:r>
      <w:r>
        <w:rPr>
          <w:rFonts w:ascii="宋体" w:hAnsi="宋体" w:cs="宋体" w:eastAsia="宋体" w:hint="default"/>
          <w:b/>
          <w:bCs/>
          <w:spacing w:val="-5"/>
          <w:sz w:val="28"/>
          <w:szCs w:val="28"/>
        </w:rPr>
        <w:t>、</w:t>
      </w:r>
      <w:r>
        <w:rPr>
          <w:rFonts w:ascii="Times New Roman" w:hAnsi="Times New Roman" w:cs="Times New Roman" w:eastAsia="Times New Roman" w:hint="default"/>
          <w:b/>
          <w:bCs/>
          <w:spacing w:val="-5"/>
          <w:sz w:val="28"/>
          <w:szCs w:val="28"/>
        </w:rPr>
        <w:t>6.80%</w:t>
      </w:r>
      <w:r>
        <w:rPr>
          <w:rFonts w:ascii="宋体" w:hAnsi="宋体" w:cs="宋体" w:eastAsia="宋体" w:hint="default"/>
          <w:b/>
          <w:bCs/>
          <w:spacing w:val="-5"/>
          <w:sz w:val="28"/>
          <w:szCs w:val="28"/>
        </w:rPr>
        <w:t>、</w:t>
      </w:r>
      <w:r>
        <w:rPr>
          <w:rFonts w:ascii="Times New Roman" w:hAnsi="Times New Roman" w:cs="Times New Roman" w:eastAsia="Times New Roman" w:hint="default"/>
          <w:b/>
          <w:bCs/>
          <w:spacing w:val="-5"/>
          <w:sz w:val="28"/>
          <w:szCs w:val="28"/>
        </w:rPr>
        <w:t>5.88%</w:t>
      </w:r>
      <w:r>
        <w:rPr>
          <w:rFonts w:ascii="宋体" w:hAnsi="宋体" w:cs="宋体" w:eastAsia="宋体" w:hint="default"/>
          <w:b/>
          <w:bCs/>
          <w:spacing w:val="-5"/>
          <w:sz w:val="28"/>
          <w:szCs w:val="28"/>
        </w:rPr>
        <w:t>和</w:t>
      </w:r>
      <w:r>
        <w:rPr>
          <w:rFonts w:ascii="宋体" w:hAnsi="宋体" w:cs="宋体" w:eastAsia="宋体" w:hint="default"/>
          <w:b/>
          <w:bCs/>
          <w:spacing w:val="-76"/>
          <w:sz w:val="28"/>
          <w:szCs w:val="28"/>
        </w:rPr>
        <w:t> </w:t>
      </w:r>
      <w:r>
        <w:rPr>
          <w:rFonts w:ascii="Times New Roman" w:hAnsi="Times New Roman" w:cs="Times New Roman" w:eastAsia="Times New Roman" w:hint="default"/>
          <w:b/>
          <w:bCs/>
          <w:sz w:val="28"/>
          <w:szCs w:val="28"/>
        </w:rPr>
        <w:t>5.81%</w:t>
      </w:r>
      <w:r>
        <w:rPr>
          <w:rFonts w:ascii="宋体" w:hAnsi="宋体" w:cs="宋体" w:eastAsia="宋体" w:hint="default"/>
          <w:b/>
          <w:bCs/>
          <w:sz w:val="28"/>
          <w:szCs w:val="28"/>
        </w:rPr>
        <w:t>，</w:t>
      </w:r>
      <w:r>
        <w:rPr>
          <w:rFonts w:ascii="宋体" w:hAnsi="宋体" w:cs="宋体" w:eastAsia="宋体" w:hint="default"/>
          <w:b/>
          <w:bCs/>
          <w:w w:val="99"/>
          <w:sz w:val="28"/>
          <w:szCs w:val="28"/>
        </w:rPr>
        <w:t> </w:t>
      </w:r>
      <w:r>
        <w:rPr>
          <w:rFonts w:ascii="宋体" w:hAnsi="宋体" w:cs="宋体" w:eastAsia="宋体" w:hint="default"/>
          <w:b/>
          <w:bCs/>
          <w:sz w:val="28"/>
          <w:szCs w:val="28"/>
        </w:rPr>
        <w:t>客户集中度较高。</w:t>
      </w:r>
      <w:r>
        <w:rPr>
          <w:rFonts w:ascii="宋体" w:hAnsi="宋体" w:cs="宋体" w:eastAsia="宋体" w:hint="default"/>
          <w:sz w:val="28"/>
          <w:szCs w:val="28"/>
        </w:rPr>
      </w:r>
    </w:p>
    <w:p>
      <w:pPr>
        <w:spacing w:line="448" w:lineRule="auto" w:before="186"/>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重要客户业绩下滑的风险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随着近年来国际政治、经济环境不确定因素的增加，公司部分重要客户出</w:t>
      </w:r>
      <w:r>
        <w:rPr>
          <w:rFonts w:ascii="宋体" w:hAnsi="宋体" w:cs="宋体" w:eastAsia="宋体" w:hint="default"/>
          <w:spacing w:val="3"/>
          <w:sz w:val="28"/>
          <w:szCs w:val="28"/>
        </w:rPr>
      </w:r>
    </w:p>
    <w:p>
      <w:pPr>
        <w:spacing w:line="410" w:lineRule="auto" w:before="14"/>
        <w:ind w:left="1133"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现了整体经营业绩下滑、信用评级下降等不利情况，可能对与公司后续合作造</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成不利影响。</w:t>
      </w:r>
      <w:r>
        <w:rPr>
          <w:rFonts w:ascii="宋体" w:hAnsi="宋体" w:cs="宋体" w:eastAsia="宋体" w:hint="default"/>
          <w:sz w:val="28"/>
          <w:szCs w:val="28"/>
        </w:rPr>
      </w:r>
    </w:p>
    <w:p>
      <w:pPr>
        <w:spacing w:line="446" w:lineRule="auto" w:before="158"/>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 Android</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系统经营业态、完善程度及市场占有率变化的风险</w:t>
      </w:r>
      <w:r>
        <w:rPr>
          <w:rFonts w:ascii="宋体" w:hAnsi="宋体" w:cs="宋体" w:eastAsia="宋体" w:hint="default"/>
          <w:b/>
          <w:bCs/>
          <w:w w:val="99"/>
          <w:sz w:val="28"/>
          <w:szCs w:val="28"/>
        </w:rPr>
        <w:t> </w:t>
      </w:r>
      <w:r>
        <w:rPr>
          <w:rFonts w:ascii="宋体" w:hAnsi="宋体" w:cs="宋体" w:eastAsia="宋体" w:hint="default"/>
          <w:b/>
          <w:bCs/>
          <w:sz w:val="28"/>
          <w:szCs w:val="28"/>
        </w:rPr>
        <w:t>公司自设立以来，主要专注于 </w:t>
      </w:r>
      <w:r>
        <w:rPr>
          <w:rFonts w:ascii="Times New Roman" w:hAnsi="Times New Roman" w:cs="Times New Roman" w:eastAsia="Times New Roman" w:hint="default"/>
          <w:b/>
          <w:bCs/>
          <w:sz w:val="28"/>
          <w:szCs w:val="28"/>
        </w:rPr>
        <w:t>Android/Linux</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核心技术，致力于向市场提</w:t>
      </w:r>
      <w:r>
        <w:rPr>
          <w:rFonts w:ascii="宋体" w:hAnsi="宋体" w:cs="宋体" w:eastAsia="宋体" w:hint="default"/>
          <w:sz w:val="28"/>
          <w:szCs w:val="28"/>
        </w:rPr>
      </w:r>
    </w:p>
    <w:p>
      <w:pPr>
        <w:spacing w:after="0" w:line="446" w:lineRule="auto"/>
        <w:jc w:val="left"/>
        <w:rPr>
          <w:rFonts w:ascii="宋体" w:hAnsi="宋体" w:cs="宋体" w:eastAsia="宋体" w:hint="default"/>
          <w:sz w:val="28"/>
          <w:szCs w:val="28"/>
        </w:rPr>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391" w:lineRule="auto" w:before="13"/>
        <w:ind w:left="1133" w:right="1132" w:firstLine="0"/>
        <w:jc w:val="both"/>
        <w:rPr>
          <w:rFonts w:ascii="宋体" w:hAnsi="宋体" w:cs="宋体" w:eastAsia="宋体" w:hint="default"/>
          <w:sz w:val="28"/>
          <w:szCs w:val="28"/>
        </w:rPr>
      </w:pPr>
      <w:r>
        <w:rPr>
          <w:rFonts w:ascii="宋体" w:hAnsi="宋体" w:cs="宋体" w:eastAsia="宋体" w:hint="default"/>
          <w:b/>
          <w:bCs/>
          <w:sz w:val="28"/>
          <w:szCs w:val="28"/>
        </w:rPr>
        <w:t>供与</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Android </w:t>
      </w:r>
      <w:r>
        <w:rPr>
          <w:rFonts w:ascii="宋体" w:hAnsi="宋体" w:cs="宋体" w:eastAsia="宋体" w:hint="default"/>
          <w:b/>
          <w:bCs/>
          <w:sz w:val="28"/>
          <w:szCs w:val="28"/>
        </w:rPr>
        <w:t>基础操作系统相关的产品与服务，由于</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Android</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系统自身的开源</w:t>
      </w:r>
      <w:r>
        <w:rPr>
          <w:rFonts w:ascii="宋体" w:hAnsi="宋体" w:cs="宋体" w:eastAsia="宋体" w:hint="default"/>
          <w:b/>
          <w:bCs/>
          <w:w w:val="99"/>
          <w:sz w:val="28"/>
          <w:szCs w:val="28"/>
        </w:rPr>
        <w:t> </w:t>
      </w:r>
      <w:r>
        <w:rPr>
          <w:rFonts w:ascii="宋体" w:hAnsi="宋体" w:cs="宋体" w:eastAsia="宋体" w:hint="default"/>
          <w:b/>
          <w:bCs/>
          <w:sz w:val="28"/>
          <w:szCs w:val="28"/>
        </w:rPr>
        <w:t>性质，公司使用 </w:t>
      </w:r>
      <w:r>
        <w:rPr>
          <w:rFonts w:ascii="Times New Roman" w:hAnsi="Times New Roman" w:cs="Times New Roman" w:eastAsia="Times New Roman" w:hint="default"/>
          <w:b/>
          <w:bCs/>
          <w:sz w:val="28"/>
          <w:szCs w:val="28"/>
        </w:rPr>
        <w:t>Android </w:t>
      </w:r>
      <w:r>
        <w:rPr>
          <w:rFonts w:ascii="宋体" w:hAnsi="宋体" w:cs="宋体" w:eastAsia="宋体" w:hint="default"/>
          <w:b/>
          <w:bCs/>
          <w:sz w:val="28"/>
          <w:szCs w:val="28"/>
        </w:rPr>
        <w:t>系统并在此之上进行创新和研发不需支付给</w:t>
      </w:r>
      <w:r>
        <w:rPr>
          <w:rFonts w:ascii="宋体" w:hAnsi="宋体" w:cs="宋体" w:eastAsia="宋体" w:hint="default"/>
          <w:b/>
          <w:bCs/>
          <w:spacing w:val="-64"/>
          <w:sz w:val="28"/>
          <w:szCs w:val="28"/>
        </w:rPr>
        <w:t> </w:t>
      </w:r>
      <w:r>
        <w:rPr>
          <w:rFonts w:ascii="Times New Roman" w:hAnsi="Times New Roman" w:cs="Times New Roman" w:eastAsia="Times New Roman" w:hint="default"/>
          <w:b/>
          <w:bCs/>
          <w:sz w:val="28"/>
          <w:szCs w:val="28"/>
        </w:rPr>
        <w:t>Android</w:t>
      </w:r>
      <w:r>
        <w:rPr>
          <w:rFonts w:ascii="Times New Roman" w:hAnsi="Times New Roman" w:cs="Times New Roman" w:eastAsia="Times New Roman" w:hint="default"/>
          <w:b/>
          <w:bCs/>
          <w:w w:val="99"/>
          <w:sz w:val="28"/>
          <w:szCs w:val="28"/>
        </w:rPr>
        <w:t> </w:t>
      </w:r>
      <w:r>
        <w:rPr>
          <w:rFonts w:ascii="宋体" w:hAnsi="宋体" w:cs="宋体" w:eastAsia="宋体" w:hint="default"/>
          <w:b/>
          <w:bCs/>
          <w:sz w:val="28"/>
          <w:szCs w:val="28"/>
        </w:rPr>
        <w:t>系统的发布者谷歌任何费用。然而，若 </w:t>
      </w:r>
      <w:r>
        <w:rPr>
          <w:rFonts w:ascii="Times New Roman" w:hAnsi="Times New Roman" w:cs="Times New Roman" w:eastAsia="Times New Roman" w:hint="default"/>
          <w:b/>
          <w:bCs/>
          <w:sz w:val="28"/>
          <w:szCs w:val="28"/>
        </w:rPr>
        <w:t>Android</w:t>
      </w:r>
      <w:r>
        <w:rPr>
          <w:rFonts w:ascii="Times New Roman" w:hAnsi="Times New Roman" w:cs="Times New Roman" w:eastAsia="Times New Roman" w:hint="default"/>
          <w:b/>
          <w:bCs/>
          <w:spacing w:val="-39"/>
          <w:sz w:val="28"/>
          <w:szCs w:val="28"/>
        </w:rPr>
        <w:t> </w:t>
      </w:r>
      <w:r>
        <w:rPr>
          <w:rFonts w:ascii="宋体" w:hAnsi="宋体" w:cs="宋体" w:eastAsia="宋体" w:hint="default"/>
          <w:b/>
          <w:bCs/>
          <w:sz w:val="28"/>
          <w:szCs w:val="28"/>
        </w:rPr>
        <w:t>系统的开源、免费性质发生改</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变，将使公司所在行业经营模式及竞争格局发生重大变化，对公司业务经营产</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生影响。</w:t>
      </w:r>
      <w:r>
        <w:rPr>
          <w:rFonts w:ascii="宋体" w:hAnsi="宋体" w:cs="宋体" w:eastAsia="宋体" w:hint="default"/>
          <w:sz w:val="28"/>
          <w:szCs w:val="28"/>
        </w:rPr>
      </w:r>
    </w:p>
    <w:p>
      <w:pPr>
        <w:spacing w:line="448" w:lineRule="auto" w:before="180"/>
        <w:ind w:left="169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Times New Roman" w:hAnsi="Times New Roman" w:cs="Times New Roman" w:eastAsia="Times New Roman" w:hint="default"/>
          <w:b/>
          <w:bCs/>
          <w:spacing w:val="69"/>
          <w:sz w:val="28"/>
          <w:szCs w:val="28"/>
        </w:rPr>
        <w:t> </w:t>
      </w:r>
      <w:r>
        <w:rPr>
          <w:rFonts w:ascii="宋体" w:hAnsi="宋体" w:cs="宋体" w:eastAsia="宋体" w:hint="default"/>
          <w:b/>
          <w:bCs/>
          <w:sz w:val="28"/>
          <w:szCs w:val="28"/>
        </w:rPr>
        <w:t>新业务发展不及预期的风险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公司主营业务已经开始从智能手机领域拓展到车载、智能硬件领域。车载</w:t>
      </w:r>
      <w:r>
        <w:rPr>
          <w:rFonts w:ascii="宋体" w:hAnsi="宋体" w:cs="宋体" w:eastAsia="宋体" w:hint="default"/>
          <w:spacing w:val="3"/>
          <w:sz w:val="28"/>
          <w:szCs w:val="28"/>
        </w:rPr>
      </w:r>
    </w:p>
    <w:p>
      <w:pPr>
        <w:spacing w:line="408" w:lineRule="auto" w:before="14"/>
        <w:ind w:left="1133" w:right="1138"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和智能硬件是公司未来的战略重点业务，目前刚刚起步，营业收入规模尚小。</w:t>
      </w:r>
      <w:r>
        <w:rPr>
          <w:rFonts w:ascii="宋体" w:hAnsi="宋体" w:cs="宋体" w:eastAsia="宋体" w:hint="default"/>
          <w:b/>
          <w:bCs/>
          <w:spacing w:val="29"/>
          <w:w w:val="95"/>
          <w:sz w:val="28"/>
          <w:szCs w:val="28"/>
        </w:rPr>
        <w:t> </w:t>
      </w:r>
      <w:r>
        <w:rPr>
          <w:rFonts w:ascii="宋体" w:hAnsi="宋体" w:cs="宋体" w:eastAsia="宋体" w:hint="default"/>
          <w:b/>
          <w:bCs/>
          <w:spacing w:val="29"/>
          <w:w w:val="95"/>
          <w:sz w:val="28"/>
          <w:szCs w:val="28"/>
        </w:rPr>
      </w:r>
      <w:r>
        <w:rPr>
          <w:rFonts w:ascii="宋体" w:hAnsi="宋体" w:cs="宋体" w:eastAsia="宋体" w:hint="default"/>
          <w:b/>
          <w:bCs/>
          <w:spacing w:val="3"/>
          <w:w w:val="95"/>
          <w:sz w:val="28"/>
          <w:szCs w:val="28"/>
        </w:rPr>
        <w:t>未来如果新业务市场拓展不及预期、产品研发进度延误、产品不能满足客户需</w:t>
      </w:r>
      <w:r>
        <w:rPr>
          <w:rFonts w:ascii="宋体" w:hAnsi="宋体" w:cs="宋体" w:eastAsia="宋体" w:hint="default"/>
          <w:b/>
          <w:bCs/>
          <w:spacing w:val="29"/>
          <w:w w:val="95"/>
          <w:sz w:val="28"/>
          <w:szCs w:val="28"/>
        </w:rPr>
        <w:t> </w:t>
      </w:r>
      <w:r>
        <w:rPr>
          <w:rFonts w:ascii="宋体" w:hAnsi="宋体" w:cs="宋体" w:eastAsia="宋体" w:hint="default"/>
          <w:b/>
          <w:bCs/>
          <w:spacing w:val="29"/>
          <w:w w:val="95"/>
          <w:sz w:val="28"/>
          <w:szCs w:val="28"/>
        </w:rPr>
      </w:r>
      <w:r>
        <w:rPr>
          <w:rFonts w:ascii="宋体" w:hAnsi="宋体" w:cs="宋体" w:eastAsia="宋体" w:hint="default"/>
          <w:b/>
          <w:bCs/>
          <w:sz w:val="28"/>
          <w:szCs w:val="28"/>
        </w:rPr>
        <w:t>求，将对公司经营业绩造成不利影响。</w:t>
      </w:r>
      <w:r>
        <w:rPr>
          <w:rFonts w:ascii="宋体" w:hAnsi="宋体" w:cs="宋体" w:eastAsia="宋体" w:hint="default"/>
          <w:sz w:val="28"/>
          <w:szCs w:val="28"/>
        </w:rPr>
      </w:r>
    </w:p>
    <w:p>
      <w:pPr>
        <w:spacing w:line="446" w:lineRule="auto" w:before="161"/>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汇率波动风险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公司合并报表的记账本位币为人民币。公司主要客户为美国、日本等国外</w:t>
      </w:r>
      <w:r>
        <w:rPr>
          <w:rFonts w:ascii="宋体" w:hAnsi="宋体" w:cs="宋体" w:eastAsia="宋体" w:hint="default"/>
          <w:spacing w:val="3"/>
          <w:sz w:val="28"/>
          <w:szCs w:val="28"/>
        </w:rPr>
      </w:r>
    </w:p>
    <w:p>
      <w:pPr>
        <w:spacing w:line="410" w:lineRule="auto" w:before="16"/>
        <w:ind w:left="113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企业，与国外客户的结算涉及美元、日元等外币，因此外币资金和外币应收账</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款面临一定的汇率风险。</w:t>
      </w:r>
      <w:r>
        <w:rPr>
          <w:rFonts w:ascii="宋体" w:hAnsi="宋体" w:cs="宋体" w:eastAsia="宋体" w:hint="default"/>
          <w:sz w:val="28"/>
          <w:szCs w:val="28"/>
        </w:rPr>
      </w:r>
    </w:p>
    <w:p>
      <w:pPr>
        <w:spacing w:line="446" w:lineRule="auto" w:before="159"/>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6.</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税收优惠和政府补助政策变动风险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公司报告期内受益于国家及地方政府为支持软件行业发展而制订的税收优</w:t>
      </w:r>
      <w:r>
        <w:rPr>
          <w:rFonts w:ascii="宋体" w:hAnsi="宋体" w:cs="宋体" w:eastAsia="宋体" w:hint="default"/>
          <w:spacing w:val="3"/>
          <w:sz w:val="28"/>
          <w:szCs w:val="28"/>
        </w:rPr>
      </w:r>
    </w:p>
    <w:p>
      <w:pPr>
        <w:spacing w:line="408" w:lineRule="auto" w:before="16"/>
        <w:ind w:left="1133" w:right="1142"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惠及政府补助政策，如果未来国家及地方政府主管机关对高新技术企业、软件</w:t>
      </w:r>
      <w:r>
        <w:rPr>
          <w:rFonts w:ascii="宋体" w:hAnsi="宋体" w:cs="宋体" w:eastAsia="宋体" w:hint="default"/>
          <w:b/>
          <w:bCs/>
          <w:spacing w:val="25"/>
          <w:w w:val="95"/>
          <w:sz w:val="28"/>
          <w:szCs w:val="28"/>
        </w:rPr>
        <w:t> </w:t>
      </w:r>
      <w:r>
        <w:rPr>
          <w:rFonts w:ascii="宋体" w:hAnsi="宋体" w:cs="宋体" w:eastAsia="宋体" w:hint="default"/>
          <w:b/>
          <w:bCs/>
          <w:spacing w:val="25"/>
          <w:w w:val="95"/>
          <w:sz w:val="28"/>
          <w:szCs w:val="28"/>
        </w:rPr>
      </w:r>
      <w:r>
        <w:rPr>
          <w:rFonts w:ascii="宋体" w:hAnsi="宋体" w:cs="宋体" w:eastAsia="宋体" w:hint="default"/>
          <w:b/>
          <w:bCs/>
          <w:spacing w:val="3"/>
          <w:w w:val="95"/>
          <w:sz w:val="28"/>
          <w:szCs w:val="28"/>
        </w:rPr>
        <w:t>产品增值税、软件产品出口相关的税收优惠政策或相关政府补助政策作出对公</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司不利调整，将对公司经营业绩和盈利产生不利影响。</w:t>
      </w:r>
      <w:r>
        <w:rPr>
          <w:rFonts w:ascii="宋体" w:hAnsi="宋体" w:cs="宋体" w:eastAsia="宋体" w:hint="default"/>
          <w:sz w:val="28"/>
          <w:szCs w:val="28"/>
        </w:rPr>
      </w:r>
    </w:p>
    <w:p>
      <w:pPr>
        <w:spacing w:line="448" w:lineRule="auto" w:before="161"/>
        <w:ind w:left="169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7.</w:t>
      </w:r>
      <w:r>
        <w:rPr>
          <w:rFonts w:ascii="Times New Roman" w:hAnsi="Times New Roman" w:cs="Times New Roman" w:eastAsia="Times New Roman" w:hint="default"/>
          <w:b/>
          <w:bCs/>
          <w:spacing w:val="-7"/>
          <w:sz w:val="28"/>
          <w:szCs w:val="28"/>
        </w:rPr>
        <w:t> </w:t>
      </w:r>
      <w:r>
        <w:rPr>
          <w:rFonts w:ascii="宋体" w:hAnsi="宋体" w:cs="宋体" w:eastAsia="宋体" w:hint="default"/>
          <w:b/>
          <w:bCs/>
          <w:sz w:val="28"/>
          <w:szCs w:val="28"/>
        </w:rPr>
        <w:t>国外客户所在国政治经济环境、贸易政策、市场需求发生变化的风险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尽管目前中国与美国、日本等国家经贸合作密切，但各国政治经济环境及</w:t>
      </w:r>
      <w:r>
        <w:rPr>
          <w:rFonts w:ascii="宋体" w:hAnsi="宋体" w:cs="宋体" w:eastAsia="宋体" w:hint="default"/>
          <w:spacing w:val="3"/>
          <w:sz w:val="28"/>
          <w:szCs w:val="28"/>
        </w:rPr>
      </w:r>
    </w:p>
    <w:p>
      <w:pPr>
        <w:spacing w:after="0" w:line="448" w:lineRule="auto"/>
        <w:jc w:val="left"/>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08" w:lineRule="auto" w:before="13"/>
        <w:ind w:left="1133" w:right="1134" w:firstLine="0"/>
        <w:jc w:val="both"/>
        <w:rPr>
          <w:rFonts w:ascii="宋体" w:hAnsi="宋体" w:cs="宋体" w:eastAsia="宋体" w:hint="default"/>
          <w:sz w:val="28"/>
          <w:szCs w:val="28"/>
        </w:rPr>
      </w:pPr>
      <w:r>
        <w:rPr>
          <w:rFonts w:ascii="宋体" w:hAnsi="宋体" w:cs="宋体" w:eastAsia="宋体" w:hint="default"/>
          <w:b/>
          <w:bCs/>
          <w:spacing w:val="-6"/>
          <w:sz w:val="28"/>
          <w:szCs w:val="28"/>
        </w:rPr>
        <w:t>贸易政策的变化仍然存在一定的不确定性。如果各国贸易政策发生不利变化（如</w:t>
      </w:r>
      <w:r>
        <w:rPr>
          <w:rFonts w:ascii="宋体" w:hAnsi="宋体" w:cs="宋体" w:eastAsia="宋体" w:hint="default"/>
          <w:b/>
          <w:bCs/>
          <w:w w:val="99"/>
          <w:sz w:val="28"/>
          <w:szCs w:val="28"/>
        </w:rPr>
        <w:t> </w:t>
      </w:r>
      <w:r>
        <w:rPr>
          <w:rFonts w:ascii="宋体" w:hAnsi="宋体" w:cs="宋体" w:eastAsia="宋体" w:hint="default"/>
          <w:b/>
          <w:bCs/>
          <w:spacing w:val="-6"/>
          <w:w w:val="99"/>
          <w:sz w:val="28"/>
          <w:szCs w:val="28"/>
        </w:rPr>
        <w:t>对软件产品及服务加征关税或限制进口），或中国与美国、日本等国家政治外交</w:t>
      </w:r>
      <w:r>
        <w:rPr>
          <w:rFonts w:ascii="宋体" w:hAnsi="宋体" w:cs="宋体" w:eastAsia="宋体" w:hint="default"/>
          <w:b/>
          <w:bCs/>
          <w:spacing w:val="-113"/>
          <w:w w:val="99"/>
          <w:sz w:val="28"/>
          <w:szCs w:val="28"/>
        </w:rPr>
        <w:t> </w:t>
      </w:r>
      <w:r>
        <w:rPr>
          <w:rFonts w:ascii="宋体" w:hAnsi="宋体" w:cs="宋体" w:eastAsia="宋体" w:hint="default"/>
          <w:b/>
          <w:bCs/>
          <w:spacing w:val="-113"/>
          <w:w w:val="99"/>
          <w:sz w:val="28"/>
          <w:szCs w:val="28"/>
        </w:rPr>
      </w:r>
      <w:r>
        <w:rPr>
          <w:rFonts w:ascii="宋体" w:hAnsi="宋体" w:cs="宋体" w:eastAsia="宋体" w:hint="default"/>
          <w:b/>
          <w:bCs/>
          <w:spacing w:val="3"/>
          <w:w w:val="95"/>
          <w:sz w:val="28"/>
          <w:szCs w:val="28"/>
        </w:rPr>
        <w:t>关系发生不利变化甚至于发生地缘冲突，导致公司与客户间业务合作无法继续</w:t>
      </w:r>
      <w:r>
        <w:rPr>
          <w:rFonts w:ascii="宋体" w:hAnsi="宋体" w:cs="宋体" w:eastAsia="宋体" w:hint="default"/>
          <w:b/>
          <w:bCs/>
          <w:spacing w:val="33"/>
          <w:w w:val="95"/>
          <w:sz w:val="28"/>
          <w:szCs w:val="28"/>
        </w:rPr>
        <w:t> </w:t>
      </w:r>
      <w:r>
        <w:rPr>
          <w:rFonts w:ascii="宋体" w:hAnsi="宋体" w:cs="宋体" w:eastAsia="宋体" w:hint="default"/>
          <w:b/>
          <w:bCs/>
          <w:spacing w:val="33"/>
          <w:w w:val="95"/>
          <w:sz w:val="28"/>
          <w:szCs w:val="28"/>
        </w:rPr>
      </w:r>
      <w:r>
        <w:rPr>
          <w:rFonts w:ascii="宋体" w:hAnsi="宋体" w:cs="宋体" w:eastAsia="宋体" w:hint="default"/>
          <w:b/>
          <w:bCs/>
          <w:spacing w:val="3"/>
          <w:w w:val="95"/>
          <w:sz w:val="28"/>
          <w:szCs w:val="28"/>
        </w:rPr>
        <w:t>维持，或客户所在国消费者偏好及市场竞争格局发生变化，导致客户对本公司</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业务需求量降低，将会对本公司的生产经营产生不利影响。</w:t>
      </w:r>
      <w:r>
        <w:rPr>
          <w:rFonts w:ascii="宋体" w:hAnsi="宋体" w:cs="宋体" w:eastAsia="宋体" w:hint="default"/>
          <w:sz w:val="28"/>
          <w:szCs w:val="28"/>
        </w:rPr>
      </w:r>
    </w:p>
    <w:p>
      <w:pPr>
        <w:spacing w:line="448" w:lineRule="auto" w:before="161"/>
        <w:ind w:left="169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8.</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核心骨干人员变动、未能招募优秀人才和人力成本上升的风险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虽然本公司成立以来已自主培养了一批富有项目实践经验的管理和技术团</w:t>
      </w:r>
      <w:r>
        <w:rPr>
          <w:rFonts w:ascii="宋体" w:hAnsi="宋体" w:cs="宋体" w:eastAsia="宋体" w:hint="default"/>
          <w:spacing w:val="3"/>
          <w:sz w:val="28"/>
          <w:szCs w:val="28"/>
        </w:rPr>
      </w:r>
    </w:p>
    <w:p>
      <w:pPr>
        <w:spacing w:line="408" w:lineRule="auto" w:before="14"/>
        <w:ind w:left="1134"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队，核心人员较为稳定，但随着公司业务的进一步快速发展，公司对优秀的专</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业技术人才和管理人才的需求将不断增加。如果出现核心骨干人员流失且未能</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招募新的优秀人才加入，或由于市场因素使得人力成本上升速度高于人均产值</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的情况，将对公司业务发展及经营业绩造成不利影响。</w:t>
      </w:r>
      <w:r>
        <w:rPr>
          <w:rFonts w:ascii="宋体" w:hAnsi="宋体" w:cs="宋体" w:eastAsia="宋体" w:hint="default"/>
          <w:sz w:val="28"/>
          <w:szCs w:val="28"/>
        </w:rPr>
      </w:r>
    </w:p>
    <w:p>
      <w:pPr>
        <w:spacing w:before="161"/>
        <w:ind w:left="1696" w:right="3499"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9.</w:t>
      </w:r>
      <w:r>
        <w:rPr>
          <w:rFonts w:ascii="Times New Roman" w:hAnsi="Times New Roman" w:cs="Times New Roman" w:eastAsia="Times New Roman" w:hint="default"/>
          <w:b/>
          <w:bCs/>
          <w:spacing w:val="-14"/>
          <w:sz w:val="28"/>
          <w:szCs w:val="28"/>
        </w:rPr>
        <w:t> </w:t>
      </w:r>
      <w:r>
        <w:rPr>
          <w:rFonts w:ascii="宋体" w:hAnsi="宋体" w:cs="宋体" w:eastAsia="宋体" w:hint="default"/>
          <w:b/>
          <w:bCs/>
          <w:sz w:val="28"/>
          <w:szCs w:val="28"/>
        </w:rPr>
        <w:t>应收账款无法收回的风险</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before="0"/>
        <w:ind w:left="1696" w:right="0" w:firstLine="0"/>
        <w:jc w:val="left"/>
        <w:rPr>
          <w:rFonts w:ascii="宋体" w:hAnsi="宋体" w:cs="宋体" w:eastAsia="宋体" w:hint="default"/>
          <w:sz w:val="28"/>
          <w:szCs w:val="28"/>
        </w:rPr>
      </w:pPr>
      <w:r>
        <w:rPr>
          <w:rFonts w:ascii="宋体" w:hAnsi="宋体" w:cs="宋体" w:eastAsia="宋体" w:hint="default"/>
          <w:b/>
          <w:bCs/>
          <w:sz w:val="28"/>
          <w:szCs w:val="28"/>
        </w:rPr>
        <w:t>截至</w:t>
      </w:r>
      <w:r>
        <w:rPr>
          <w:rFonts w:ascii="宋体" w:hAnsi="宋体" w:cs="宋体" w:eastAsia="宋体" w:hint="default"/>
          <w:b/>
          <w:bCs/>
          <w:spacing w:val="-63"/>
          <w:sz w:val="28"/>
          <w:szCs w:val="28"/>
        </w:rPr>
        <w:t> </w:t>
      </w: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spacing w:val="7"/>
          <w:sz w:val="28"/>
          <w:szCs w:val="28"/>
        </w:rPr>
        <w:t> </w:t>
      </w:r>
      <w:r>
        <w:rPr>
          <w:rFonts w:ascii="宋体" w:hAnsi="宋体" w:cs="宋体" w:eastAsia="宋体" w:hint="default"/>
          <w:b/>
          <w:bCs/>
          <w:sz w:val="28"/>
          <w:szCs w:val="28"/>
        </w:rPr>
        <w:t>年</w:t>
      </w:r>
      <w:r>
        <w:rPr>
          <w:rFonts w:ascii="宋体" w:hAnsi="宋体" w:cs="宋体" w:eastAsia="宋体" w:hint="default"/>
          <w:b/>
          <w:bCs/>
          <w:spacing w:val="-63"/>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7"/>
          <w:sz w:val="28"/>
          <w:szCs w:val="28"/>
        </w:rPr>
        <w:t> </w:t>
      </w:r>
      <w:r>
        <w:rPr>
          <w:rFonts w:ascii="宋体" w:hAnsi="宋体" w:cs="宋体" w:eastAsia="宋体" w:hint="default"/>
          <w:b/>
          <w:bCs/>
          <w:sz w:val="28"/>
          <w:szCs w:val="28"/>
        </w:rPr>
        <w:t>月</w:t>
      </w:r>
      <w:r>
        <w:rPr>
          <w:rFonts w:ascii="宋体" w:hAnsi="宋体" w:cs="宋体" w:eastAsia="宋体" w:hint="default"/>
          <w:b/>
          <w:bCs/>
          <w:spacing w:val="-63"/>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日，本公司应收账款账面价值为</w:t>
      </w:r>
      <w:r>
        <w:rPr>
          <w:rFonts w:ascii="宋体" w:hAnsi="宋体" w:cs="宋体" w:eastAsia="宋体" w:hint="default"/>
          <w:b/>
          <w:bCs/>
          <w:spacing w:val="-58"/>
          <w:sz w:val="28"/>
          <w:szCs w:val="28"/>
        </w:rPr>
        <w:t> </w:t>
      </w:r>
      <w:r>
        <w:rPr>
          <w:rFonts w:ascii="Times New Roman" w:hAnsi="Times New Roman" w:cs="Times New Roman" w:eastAsia="Times New Roman" w:hint="default"/>
          <w:b/>
          <w:bCs/>
          <w:sz w:val="28"/>
          <w:szCs w:val="28"/>
        </w:rPr>
        <w:t>23,798.42</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万元，占</w:t>
      </w:r>
      <w:r>
        <w:rPr>
          <w:rFonts w:ascii="宋体" w:hAnsi="宋体" w:cs="宋体" w:eastAsia="宋体" w:hint="default"/>
          <w:sz w:val="28"/>
          <w:szCs w:val="28"/>
        </w:rPr>
      </w:r>
    </w:p>
    <w:p>
      <w:pPr>
        <w:spacing w:line="398" w:lineRule="auto" w:before="236"/>
        <w:ind w:left="1134" w:right="1137" w:firstLine="0"/>
        <w:jc w:val="both"/>
        <w:rPr>
          <w:rFonts w:ascii="宋体" w:hAnsi="宋体" w:cs="宋体" w:eastAsia="宋体" w:hint="default"/>
          <w:sz w:val="28"/>
          <w:szCs w:val="28"/>
        </w:rPr>
      </w:pPr>
      <w:r>
        <w:rPr>
          <w:rFonts w:ascii="宋体" w:hAnsi="宋体" w:cs="宋体" w:eastAsia="宋体" w:hint="default"/>
          <w:b/>
          <w:bCs/>
          <w:sz w:val="28"/>
          <w:szCs w:val="28"/>
        </w:rPr>
        <w:t>公司资产总额的比例为</w:t>
      </w:r>
      <w:r>
        <w:rPr>
          <w:rFonts w:ascii="宋体" w:hAnsi="宋体" w:cs="宋体" w:eastAsia="宋体" w:hint="default"/>
          <w:b/>
          <w:bCs/>
          <w:spacing w:val="-59"/>
          <w:sz w:val="28"/>
          <w:szCs w:val="28"/>
        </w:rPr>
        <w:t> </w:t>
      </w:r>
      <w:r>
        <w:rPr>
          <w:rFonts w:ascii="Times New Roman" w:hAnsi="Times New Roman" w:cs="Times New Roman" w:eastAsia="Times New Roman" w:hint="default"/>
          <w:b/>
          <w:bCs/>
          <w:sz w:val="28"/>
          <w:szCs w:val="28"/>
        </w:rPr>
        <w:t>19.89%</w:t>
      </w:r>
      <w:r>
        <w:rPr>
          <w:rFonts w:ascii="宋体" w:hAnsi="宋体" w:cs="宋体" w:eastAsia="宋体" w:hint="default"/>
          <w:b/>
          <w:bCs/>
          <w:sz w:val="28"/>
          <w:szCs w:val="28"/>
        </w:rPr>
        <w:t>。截至</w:t>
      </w:r>
      <w:r>
        <w:rPr>
          <w:rFonts w:ascii="宋体" w:hAnsi="宋体" w:cs="宋体" w:eastAsia="宋体" w:hint="default"/>
          <w:b/>
          <w:bCs/>
          <w:spacing w:val="-63"/>
          <w:sz w:val="28"/>
          <w:szCs w:val="28"/>
        </w:rPr>
        <w:t> </w:t>
      </w: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spacing w:val="7"/>
          <w:sz w:val="28"/>
          <w:szCs w:val="28"/>
        </w:rPr>
        <w:t> </w:t>
      </w:r>
      <w:r>
        <w:rPr>
          <w:rFonts w:ascii="宋体" w:hAnsi="宋体" w:cs="宋体" w:eastAsia="宋体" w:hint="default"/>
          <w:b/>
          <w:bCs/>
          <w:sz w:val="28"/>
          <w:szCs w:val="28"/>
        </w:rPr>
        <w:t>年</w:t>
      </w:r>
      <w:r>
        <w:rPr>
          <w:rFonts w:ascii="宋体" w:hAnsi="宋体" w:cs="宋体" w:eastAsia="宋体" w:hint="default"/>
          <w:b/>
          <w:bCs/>
          <w:spacing w:val="-63"/>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月</w:t>
      </w:r>
      <w:r>
        <w:rPr>
          <w:rFonts w:ascii="宋体" w:hAnsi="宋体" w:cs="宋体" w:eastAsia="宋体" w:hint="default"/>
          <w:b/>
          <w:bCs/>
          <w:spacing w:val="-63"/>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日，公司账龄在一年以</w:t>
      </w:r>
      <w:r>
        <w:rPr>
          <w:rFonts w:ascii="宋体" w:hAnsi="宋体" w:cs="宋体" w:eastAsia="宋体" w:hint="default"/>
          <w:b/>
          <w:bCs/>
          <w:w w:val="99"/>
          <w:sz w:val="28"/>
          <w:szCs w:val="28"/>
        </w:rPr>
        <w:t> </w:t>
      </w:r>
      <w:r>
        <w:rPr>
          <w:rFonts w:ascii="宋体" w:hAnsi="宋体" w:cs="宋体" w:eastAsia="宋体" w:hint="default"/>
          <w:b/>
          <w:bCs/>
          <w:w w:val="95"/>
          <w:sz w:val="28"/>
          <w:szCs w:val="28"/>
        </w:rPr>
        <w:t>内的应收账款占比为 </w:t>
      </w:r>
      <w:r>
        <w:rPr>
          <w:rFonts w:ascii="Times New Roman" w:hAnsi="Times New Roman" w:cs="Times New Roman" w:eastAsia="Times New Roman" w:hint="default"/>
          <w:b/>
          <w:bCs/>
          <w:w w:val="95"/>
          <w:sz w:val="28"/>
          <w:szCs w:val="28"/>
        </w:rPr>
        <w:t>97.00%</w:t>
      </w:r>
      <w:r>
        <w:rPr>
          <w:rFonts w:ascii="宋体" w:hAnsi="宋体" w:cs="宋体" w:eastAsia="宋体" w:hint="default"/>
          <w:b/>
          <w:bCs/>
          <w:w w:val="95"/>
          <w:sz w:val="28"/>
          <w:szCs w:val="28"/>
        </w:rPr>
        <w:t>，所有应收账款已按照坏账准备计提政策提取了坏</w:t>
      </w:r>
      <w:r>
        <w:rPr>
          <w:rFonts w:ascii="宋体" w:hAnsi="宋体" w:cs="宋体" w:eastAsia="宋体" w:hint="default"/>
          <w:b/>
          <w:bCs/>
          <w:spacing w:val="-71"/>
          <w:w w:val="95"/>
          <w:sz w:val="28"/>
          <w:szCs w:val="28"/>
        </w:rPr>
        <w:t> </w:t>
      </w:r>
      <w:r>
        <w:rPr>
          <w:rFonts w:ascii="宋体" w:hAnsi="宋体" w:cs="宋体" w:eastAsia="宋体" w:hint="default"/>
          <w:b/>
          <w:bCs/>
          <w:spacing w:val="-71"/>
          <w:w w:val="95"/>
          <w:sz w:val="28"/>
          <w:szCs w:val="28"/>
        </w:rPr>
      </w:r>
      <w:r>
        <w:rPr>
          <w:rFonts w:ascii="宋体" w:hAnsi="宋体" w:cs="宋体" w:eastAsia="宋体" w:hint="default"/>
          <w:b/>
          <w:bCs/>
          <w:spacing w:val="3"/>
          <w:w w:val="95"/>
          <w:sz w:val="28"/>
          <w:szCs w:val="28"/>
        </w:rPr>
        <w:t>账准备。尽管公司报告期内并未出现大额坏账，但应收账款绝对金额及占总资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产的相对比重仍然较高，不能排除未来出现应收账款无法收回而损害公司利益</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的情形。</w:t>
      </w:r>
      <w:r>
        <w:rPr>
          <w:rFonts w:ascii="宋体" w:hAnsi="宋体" w:cs="宋体" w:eastAsia="宋体" w:hint="default"/>
          <w:sz w:val="28"/>
          <w:szCs w:val="28"/>
        </w:rPr>
      </w:r>
    </w:p>
    <w:p>
      <w:pPr>
        <w:tabs>
          <w:tab w:pos="2394" w:val="left" w:leader="none"/>
        </w:tabs>
        <w:spacing w:before="173"/>
        <w:ind w:left="1696" w:right="3499" w:firstLine="0"/>
        <w:jc w:val="left"/>
        <w:rPr>
          <w:rFonts w:ascii="宋体" w:hAnsi="宋体" w:cs="宋体" w:eastAsia="宋体" w:hint="default"/>
          <w:sz w:val="28"/>
          <w:szCs w:val="28"/>
        </w:rPr>
      </w:pPr>
      <w:r>
        <w:rPr>
          <w:rFonts w:ascii="Times New Roman" w:hAnsi="Times New Roman" w:cs="Times New Roman" w:eastAsia="Times New Roman" w:hint="default"/>
          <w:b/>
          <w:bCs/>
          <w:w w:val="95"/>
          <w:sz w:val="28"/>
          <w:szCs w:val="28"/>
        </w:rPr>
        <w:t>10.</w:t>
        <w:tab/>
      </w:r>
      <w:r>
        <w:rPr>
          <w:rFonts w:ascii="宋体" w:hAnsi="宋体" w:cs="宋体" w:eastAsia="宋体" w:hint="default"/>
          <w:b/>
          <w:bCs/>
          <w:sz w:val="28"/>
          <w:szCs w:val="28"/>
        </w:rPr>
        <w:t>净资产收益率被摊薄的风险</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line="386" w:lineRule="auto" w:before="0"/>
        <w:ind w:left="1134" w:right="0" w:firstLine="562"/>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2015 </w:t>
      </w:r>
      <w:r>
        <w:rPr>
          <w:rFonts w:ascii="宋体" w:hAnsi="宋体" w:cs="宋体" w:eastAsia="宋体" w:hint="default"/>
          <w:b/>
          <w:bCs/>
          <w:spacing w:val="-3"/>
          <w:sz w:val="28"/>
          <w:szCs w:val="28"/>
        </w:rPr>
        <w:t>年度，公司扣除非经常性损益后加权平均净资产收益率为</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6"/>
          <w:sz w:val="28"/>
          <w:szCs w:val="28"/>
        </w:rPr>
        <w:t>28.89%</w:t>
      </w:r>
      <w:r>
        <w:rPr>
          <w:rFonts w:ascii="宋体" w:hAnsi="宋体" w:cs="宋体" w:eastAsia="宋体" w:hint="default"/>
          <w:b/>
          <w:bCs/>
          <w:spacing w:val="-16"/>
          <w:sz w:val="28"/>
          <w:szCs w:val="28"/>
        </w:rPr>
        <w:t>。募</w:t>
      </w:r>
      <w:r>
        <w:rPr>
          <w:rFonts w:ascii="宋体" w:hAnsi="宋体" w:cs="宋体" w:eastAsia="宋体" w:hint="default"/>
          <w:b/>
          <w:bCs/>
          <w:spacing w:val="-62"/>
          <w:w w:val="99"/>
          <w:sz w:val="28"/>
          <w:szCs w:val="28"/>
        </w:rPr>
        <w:t> </w:t>
      </w:r>
      <w:r>
        <w:rPr>
          <w:rFonts w:ascii="宋体" w:hAnsi="宋体" w:cs="宋体" w:eastAsia="宋体" w:hint="default"/>
          <w:b/>
          <w:bCs/>
          <w:spacing w:val="3"/>
          <w:w w:val="95"/>
          <w:sz w:val="28"/>
          <w:szCs w:val="28"/>
        </w:rPr>
        <w:t>集资金已到位，净资产大幅增加，而募集资金投资项目产生收益则需要一定的</w:t>
      </w:r>
      <w:r>
        <w:rPr>
          <w:rFonts w:ascii="宋体" w:hAnsi="宋体" w:cs="宋体" w:eastAsia="宋体" w:hint="default"/>
          <w:spacing w:val="3"/>
          <w:sz w:val="28"/>
          <w:szCs w:val="28"/>
        </w:rPr>
      </w:r>
    </w:p>
    <w:p>
      <w:pPr>
        <w:spacing w:after="0" w:line="386" w:lineRule="auto"/>
        <w:jc w:val="left"/>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line="472" w:lineRule="auto" w:before="13"/>
        <w:ind w:left="1695" w:right="0" w:hanging="562"/>
        <w:jc w:val="left"/>
        <w:rPr>
          <w:rFonts w:ascii="宋体" w:hAnsi="宋体" w:cs="宋体" w:eastAsia="宋体" w:hint="default"/>
          <w:sz w:val="28"/>
          <w:szCs w:val="28"/>
        </w:rPr>
      </w:pPr>
      <w:r>
        <w:rPr>
          <w:rFonts w:ascii="宋体" w:hAnsi="宋体" w:cs="宋体" w:eastAsia="宋体" w:hint="default"/>
          <w:b/>
          <w:bCs/>
          <w:sz w:val="28"/>
          <w:szCs w:val="28"/>
        </w:rPr>
        <w:t>时间。因此，公司净资产收益率短期内可能会较以前年度有所下降。</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2"/>
          <w:sz w:val="28"/>
          <w:szCs w:val="28"/>
        </w:rPr>
        <w:t> </w:t>
      </w:r>
      <w:r>
        <w:rPr>
          <w:rFonts w:ascii="Times New Roman" w:hAnsi="Times New Roman" w:cs="Times New Roman" w:eastAsia="Times New Roman" w:hint="default"/>
          <w:b/>
          <w:bCs/>
          <w:sz w:val="28"/>
          <w:szCs w:val="28"/>
        </w:rPr>
        <w:t>100,000,000</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line="324" w:lineRule="exact" w:before="0"/>
        <w:ind w:left="1133"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5</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5"/>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39"/>
          <w:w w:val="99"/>
          <w:sz w:val="28"/>
          <w:szCs w:val="28"/>
        </w:rPr>
        <w:t>）</w:t>
      </w:r>
      <w:r>
        <w:rPr>
          <w:rFonts w:ascii="宋体" w:hAnsi="宋体" w:cs="宋体" w:eastAsia="宋体" w:hint="default"/>
          <w:b/>
          <w:bCs/>
          <w:spacing w:val="-14"/>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4"/>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14"/>
          <w:w w:val="99"/>
          <w:sz w:val="28"/>
          <w:szCs w:val="28"/>
        </w:rPr>
        <w:t>，</w:t>
      </w:r>
      <w:r>
        <w:rPr>
          <w:rFonts w:ascii="宋体" w:hAnsi="宋体" w:cs="宋体" w:eastAsia="宋体" w:hint="default"/>
          <w:b/>
          <w:bCs/>
          <w:spacing w:val="2"/>
          <w:w w:val="99"/>
          <w:sz w:val="28"/>
          <w:szCs w:val="28"/>
        </w:rPr>
        <w:t>以</w:t>
      </w:r>
      <w:r>
        <w:rPr>
          <w:rFonts w:ascii="宋体" w:hAnsi="宋体" w:cs="宋体" w:eastAsia="宋体" w:hint="default"/>
          <w:b/>
          <w:bCs/>
          <w:w w:val="99"/>
          <w:sz w:val="28"/>
          <w:szCs w:val="28"/>
        </w:rPr>
        <w:t>资本公积</w:t>
      </w:r>
      <w:r>
        <w:rPr>
          <w:rFonts w:ascii="宋体" w:hAnsi="宋体" w:cs="宋体" w:eastAsia="宋体" w:hint="default"/>
          <w:sz w:val="28"/>
          <w:szCs w:val="28"/>
        </w:rPr>
      </w:r>
    </w:p>
    <w:p>
      <w:pPr>
        <w:spacing w:before="237"/>
        <w:ind w:left="1133" w:right="3499" w:firstLine="0"/>
        <w:jc w:val="left"/>
        <w:rPr>
          <w:rFonts w:ascii="宋体" w:hAnsi="宋体" w:cs="宋体" w:eastAsia="宋体" w:hint="default"/>
          <w:sz w:val="28"/>
          <w:szCs w:val="28"/>
        </w:rPr>
      </w:pPr>
      <w:r>
        <w:rPr>
          <w:rFonts w:ascii="宋体" w:hAnsi="宋体" w:cs="宋体" w:eastAsia="宋体" w:hint="default"/>
          <w:b/>
          <w:bCs/>
          <w:sz w:val="28"/>
          <w:szCs w:val="28"/>
        </w:rPr>
        <w:t>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5"/>
          <w:sz w:val="28"/>
          <w:szCs w:val="28"/>
        </w:rPr>
        <w:t> </w:t>
      </w:r>
      <w:r>
        <w:rPr>
          <w:rFonts w:ascii="Times New Roman" w:hAnsi="Times New Roman" w:cs="Times New Roman" w:eastAsia="Times New Roman" w:hint="default"/>
          <w:b/>
          <w:bCs/>
          <w:sz w:val="28"/>
          <w:szCs w:val="28"/>
        </w:rPr>
        <w:t>30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3764" w:right="376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9"/>
              </w:rPr>
              <w:t> </w:t>
            </w:r>
            <w:r>
              <w:rPr/>
              <w:t>重要提示、目录和释义</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9"/>
              </w:rPr>
              <w:t> </w:t>
            </w:r>
            <w:r>
              <w:rPr/>
              <w:t>公司简介和主要财务指标</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9"/>
              </w:rPr>
              <w:t> </w:t>
            </w:r>
            <w:r>
              <w:rPr/>
              <w:t>公司业务概要</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9"/>
              </w:rPr>
              <w:t> </w:t>
            </w:r>
            <w:r>
              <w:rPr/>
              <w:t>管理层讨论与分析</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9"/>
              </w:rPr>
              <w:t> </w:t>
            </w:r>
            <w:r>
              <w:rPr/>
              <w:t>重要事项</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9"/>
              </w:rPr>
              <w:t> </w:t>
            </w:r>
            <w:r>
              <w:rPr/>
              <w:t>股份变动及股东情况</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0"/>
              </w:rPr>
              <w:t> </w:t>
            </w:r>
            <w:r>
              <w:rPr/>
              <w:t>备查文件目录</w:t>
            </w:r>
            <w:r>
              <w:rPr>
                <w:rFonts w:ascii="Times New Roman" w:hAnsi="Times New Roman" w:cs="Times New Roman" w:eastAsia="Times New Roman" w:hint="default"/>
              </w:rPr>
              <w:tab/>
              <w:t>174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0" w:right="0"/>
        </w:sectPr>
      </w:pPr>
    </w:p>
    <w:p>
      <w:pPr>
        <w:spacing w:before="946"/>
        <w:ind w:left="3764" w:right="376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公司、本公司、中科创达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中科创达软件股份有限公司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年度，即</w:t>
            </w:r>
            <w:r>
              <w:rPr>
                <w:rFonts w:ascii="宋体" w:hAnsi="宋体" w:cs="宋体" w:eastAsia="宋体" w:hint="default"/>
                <w:spacing w:val="-45"/>
                <w:sz w:val="18"/>
                <w:szCs w:val="18"/>
              </w:rPr>
              <w:t> </w:t>
            </w:r>
            <w:r>
              <w:rPr>
                <w:rFonts w:ascii="宋体" w:hAnsi="宋体" w:cs="宋体" w:eastAsia="宋体"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越超公司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越超有限公司（</w:t>
            </w:r>
            <w:r>
              <w:rPr>
                <w:rFonts w:ascii="宋体" w:hAnsi="宋体" w:cs="宋体" w:eastAsia="宋体" w:hint="default"/>
                <w:sz w:val="18"/>
                <w:szCs w:val="18"/>
              </w:rPr>
              <w:t>Alpha Achieve Limited</w:t>
            </w:r>
            <w:r>
              <w:rPr>
                <w:rFonts w:ascii="宋体" w:hAnsi="宋体" w:cs="宋体" w:eastAsia="宋体" w:hint="default"/>
                <w:spacing w:val="-90"/>
                <w:sz w:val="18"/>
                <w:szCs w:val="18"/>
              </w:rPr>
              <w:t>）</w:t>
            </w:r>
            <w:r>
              <w:rPr>
                <w:rFonts w:ascii="宋体" w:hAnsi="宋体" w:cs="宋体" w:eastAsia="宋体" w:hint="default"/>
                <w:sz w:val="18"/>
                <w:szCs w:val="18"/>
              </w:rPr>
              <w:t>，系公司发起人股东之一</w:t>
            </w:r>
          </w:p>
        </w:tc>
      </w:tr>
      <w:tr>
        <w:trPr>
          <w:trHeight w:val="161"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大洋中科</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80"/>
              <w:jc w:val="left"/>
              <w:rPr>
                <w:rFonts w:ascii="宋体" w:hAnsi="宋体" w:cs="宋体" w:eastAsia="宋体" w:hint="default"/>
                <w:sz w:val="18"/>
                <w:szCs w:val="18"/>
              </w:rPr>
            </w:pPr>
            <w:r>
              <w:rPr>
                <w:rFonts w:ascii="宋体" w:hAnsi="宋体" w:cs="宋体" w:eastAsia="宋体" w:hint="default"/>
                <w:sz w:val="18"/>
                <w:szCs w:val="18"/>
              </w:rPr>
              <w:t>大洋中科特别目的株式会社（大洋中科</w:t>
            </w:r>
            <w:r>
              <w:rPr>
                <w:rFonts w:ascii="宋体" w:hAnsi="宋体" w:cs="宋体" w:eastAsia="宋体" w:hint="default"/>
                <w:spacing w:val="-43"/>
                <w:sz w:val="18"/>
                <w:szCs w:val="18"/>
              </w:rPr>
              <w:t> </w:t>
            </w:r>
            <w:r>
              <w:rPr>
                <w:rFonts w:ascii="宋体" w:hAnsi="宋体" w:cs="宋体" w:eastAsia="宋体" w:hint="default"/>
                <w:sz w:val="18"/>
                <w:szCs w:val="18"/>
              </w:rPr>
              <w:t>SPC</w:t>
            </w:r>
            <w:r>
              <w:rPr>
                <w:rFonts w:ascii="宋体" w:hAnsi="宋体" w:cs="宋体" w:eastAsia="宋体" w:hint="default"/>
                <w:spacing w:val="-43"/>
                <w:sz w:val="18"/>
                <w:szCs w:val="18"/>
              </w:rPr>
              <w:t> </w:t>
            </w:r>
            <w:r>
              <w:rPr>
                <w:rFonts w:ascii="宋体" w:hAnsi="宋体" w:cs="宋体" w:eastAsia="宋体" w:hint="default"/>
                <w:spacing w:val="-9"/>
                <w:sz w:val="18"/>
                <w:szCs w:val="18"/>
              </w:rPr>
              <w:t>株式会社），系公司发起</w:t>
            </w:r>
            <w:r>
              <w:rPr>
                <w:rFonts w:ascii="宋体" w:hAnsi="宋体" w:cs="宋体" w:eastAsia="宋体" w:hint="default"/>
                <w:sz w:val="18"/>
                <w:szCs w:val="18"/>
              </w:rPr>
              <w:t> 人股东之一</w:t>
            </w:r>
          </w:p>
        </w:tc>
      </w:tr>
      <w:tr>
        <w:trPr>
          <w:trHeight w:val="392"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国科瑞祺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国科瑞祺物联网创业投资有限公司，系公司发起人股东之一</w:t>
            </w:r>
          </w:p>
        </w:tc>
      </w:tr>
      <w:tr>
        <w:trPr>
          <w:trHeight w:val="161"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世悦控股</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79"/>
              <w:jc w:val="left"/>
              <w:rPr>
                <w:rFonts w:ascii="宋体" w:hAnsi="宋体" w:cs="宋体" w:eastAsia="宋体" w:hint="default"/>
                <w:sz w:val="18"/>
                <w:szCs w:val="18"/>
              </w:rPr>
            </w:pPr>
            <w:r>
              <w:rPr>
                <w:rFonts w:ascii="宋体" w:hAnsi="宋体" w:cs="宋体" w:eastAsia="宋体" w:hint="default"/>
                <w:sz w:val="18"/>
                <w:szCs w:val="18"/>
              </w:rPr>
              <w:t>世悦控股有限公司（</w:t>
            </w:r>
            <w:r>
              <w:rPr>
                <w:rFonts w:ascii="宋体" w:hAnsi="宋体" w:cs="宋体" w:eastAsia="宋体" w:hint="default"/>
                <w:sz w:val="18"/>
                <w:szCs w:val="18"/>
              </w:rPr>
              <w:t>Jolly World Holdings</w:t>
            </w:r>
            <w:r>
              <w:rPr>
                <w:rFonts w:ascii="宋体" w:hAnsi="宋体" w:cs="宋体" w:eastAsia="宋体" w:hint="default"/>
                <w:spacing w:val="7"/>
                <w:sz w:val="18"/>
                <w:szCs w:val="18"/>
              </w:rPr>
              <w:t> </w:t>
            </w:r>
            <w:r>
              <w:rPr>
                <w:rFonts w:ascii="宋体" w:hAnsi="宋体" w:cs="宋体" w:eastAsia="宋体" w:hint="default"/>
                <w:spacing w:val="-7"/>
                <w:sz w:val="18"/>
                <w:szCs w:val="18"/>
              </w:rPr>
              <w:t>Limited</w:t>
            </w:r>
            <w:r>
              <w:rPr>
                <w:rFonts w:ascii="宋体" w:hAnsi="宋体" w:cs="宋体" w:eastAsia="宋体" w:hint="default"/>
                <w:spacing w:val="-7"/>
                <w:sz w:val="18"/>
                <w:szCs w:val="18"/>
              </w:rPr>
              <w:t>），系公司发起</w:t>
            </w:r>
            <w:r>
              <w:rPr>
                <w:rFonts w:ascii="宋体" w:hAnsi="宋体" w:cs="宋体" w:eastAsia="宋体" w:hint="default"/>
                <w:sz w:val="18"/>
                <w:szCs w:val="18"/>
              </w:rPr>
              <w:t> 人股东之一</w:t>
            </w:r>
          </w:p>
        </w:tc>
      </w:tr>
      <w:tr>
        <w:trPr>
          <w:trHeight w:val="392"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安谋公司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ARM Limited</w:t>
            </w:r>
            <w:r>
              <w:rPr>
                <w:rFonts w:ascii="宋体" w:hAnsi="宋体" w:cs="宋体" w:eastAsia="宋体" w:hint="default"/>
                <w:sz w:val="18"/>
                <w:szCs w:val="18"/>
              </w:rPr>
              <w:t>，系公司发起人股东之一</w:t>
            </w:r>
          </w:p>
        </w:tc>
      </w:tr>
      <w:tr>
        <w:trPr>
          <w:trHeight w:val="161"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高通公司</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79"/>
              <w:jc w:val="left"/>
              <w:rPr>
                <w:rFonts w:ascii="宋体" w:hAnsi="宋体" w:cs="宋体" w:eastAsia="宋体" w:hint="default"/>
                <w:sz w:val="18"/>
                <w:szCs w:val="18"/>
              </w:rPr>
            </w:pPr>
            <w:r>
              <w:rPr>
                <w:rFonts w:ascii="宋体" w:hAnsi="宋体" w:cs="宋体" w:eastAsia="宋体" w:hint="default"/>
                <w:sz w:val="18"/>
                <w:szCs w:val="18"/>
              </w:rPr>
              <w:t>Qualcomm Incorporated</w:t>
            </w:r>
            <w:r>
              <w:rPr>
                <w:rFonts w:ascii="宋体" w:hAnsi="宋体" w:cs="宋体" w:eastAsia="宋体" w:hint="default"/>
                <w:sz w:val="18"/>
                <w:szCs w:val="18"/>
              </w:rPr>
              <w:t>，系一家美国纳斯达克（代码：</w:t>
            </w:r>
            <w:r>
              <w:rPr>
                <w:rFonts w:ascii="宋体" w:hAnsi="宋体" w:cs="宋体" w:eastAsia="宋体" w:hint="default"/>
                <w:sz w:val="18"/>
                <w:szCs w:val="18"/>
              </w:rPr>
              <w:t>QCOM</w:t>
            </w:r>
            <w:r>
              <w:rPr>
                <w:rFonts w:ascii="宋体" w:hAnsi="宋体" w:cs="宋体" w:eastAsia="宋体" w:hint="default"/>
                <w:sz w:val="18"/>
                <w:szCs w:val="18"/>
              </w:rPr>
              <w:t>）上市 公司</w:t>
            </w:r>
          </w:p>
        </w:tc>
      </w:tr>
      <w:tr>
        <w:trPr>
          <w:trHeight w:val="392"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创达汇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达孜县创达汇咨询有限公司，系公司发起人股东之一</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创达信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达孜县创达信科技有限公司，系公司发起人股东之一</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创达立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达孜县创达立咨询有限公司，系公司发起人股东之一</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展讯天津</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展讯通信（天津）有限公司，系公司发起人股东之一</w:t>
            </w:r>
          </w:p>
        </w:tc>
      </w:tr>
      <w:tr>
        <w:trPr>
          <w:trHeight w:val="161"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创达日本</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2"/>
              <w:jc w:val="left"/>
              <w:rPr>
                <w:rFonts w:ascii="宋体" w:hAnsi="宋体" w:cs="宋体" w:eastAsia="宋体" w:hint="default"/>
                <w:sz w:val="18"/>
                <w:szCs w:val="18"/>
              </w:rPr>
            </w:pPr>
            <w:r>
              <w:rPr>
                <w:rFonts w:ascii="宋体" w:hAnsi="宋体" w:cs="宋体" w:eastAsia="宋体" w:hint="default"/>
                <w:spacing w:val="-2"/>
                <w:sz w:val="18"/>
                <w:szCs w:val="18"/>
              </w:rPr>
              <w:t>中科创达软件科技（日本）有限公司（サンダーソフトジャパン株式</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8"/>
                <w:sz w:val="18"/>
                <w:szCs w:val="18"/>
              </w:rPr>
              <w:t>会社），系公司全资子公司</w:t>
            </w:r>
          </w:p>
        </w:tc>
      </w:tr>
      <w:tr>
        <w:trPr>
          <w:trHeight w:val="392"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畅索软件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畅索软件科技（上海）有限公司，系公司全资子公司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创达深圳</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中科创达软件科技（深圳）有限公司，系公司全资子公司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信恒创</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北京信恒创科技发展有限公司，系公司全资子公司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创达成都</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成都中科创达软件有限公司，系公司全资子公司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创达南京</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南京中科创达软件科技有限公司，系公司全资子公司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创达西安</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西安中科创达软件有限公司，系公司全资子公司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创达大连</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大连中科创达软件有限公司，系公司全资子公司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创达沈阳</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沈阳中科创达软件有限公司，系公司全资子公司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安创空间</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北京安创空间科技有限公司，系公司全资子公司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香港天集</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香港天集有限公司（</w:t>
            </w:r>
            <w:r>
              <w:rPr>
                <w:rFonts w:ascii="宋体" w:hAnsi="宋体" w:cs="宋体" w:eastAsia="宋体" w:hint="default"/>
                <w:sz w:val="18"/>
                <w:szCs w:val="18"/>
              </w:rPr>
              <w:t>AchieveSky</w:t>
            </w:r>
            <w:r>
              <w:rPr>
                <w:rFonts w:ascii="宋体" w:hAnsi="宋体" w:cs="宋体" w:eastAsia="宋体" w:hint="default"/>
                <w:spacing w:val="-16"/>
                <w:sz w:val="18"/>
                <w:szCs w:val="18"/>
              </w:rPr>
              <w:t> </w:t>
            </w:r>
            <w:r>
              <w:rPr>
                <w:rFonts w:ascii="宋体" w:hAnsi="宋体" w:cs="宋体" w:eastAsia="宋体" w:hint="default"/>
                <w:sz w:val="18"/>
                <w:szCs w:val="18"/>
              </w:rPr>
              <w:t>Co.,</w:t>
            </w:r>
            <w:r>
              <w:rPr>
                <w:rFonts w:ascii="宋体" w:hAnsi="宋体" w:cs="宋体" w:eastAsia="宋体" w:hint="default"/>
                <w:spacing w:val="-16"/>
                <w:sz w:val="18"/>
                <w:szCs w:val="18"/>
              </w:rPr>
              <w:t> </w:t>
            </w:r>
            <w:r>
              <w:rPr>
                <w:rFonts w:ascii="宋体" w:hAnsi="宋体" w:cs="宋体" w:eastAsia="宋体" w:hint="default"/>
                <w:sz w:val="18"/>
                <w:szCs w:val="18"/>
              </w:rPr>
              <w:t>Limi</w:t>
            </w:r>
            <w:r>
              <w:rPr>
                <w:rFonts w:ascii="宋体" w:hAnsi="宋体" w:cs="宋体" w:eastAsia="宋体" w:hint="default"/>
                <w:spacing w:val="-2"/>
                <w:sz w:val="18"/>
                <w:szCs w:val="18"/>
              </w:rPr>
              <w:t>t</w:t>
            </w:r>
            <w:r>
              <w:rPr>
                <w:rFonts w:ascii="宋体" w:hAnsi="宋体" w:cs="宋体" w:eastAsia="宋体" w:hint="default"/>
                <w:sz w:val="18"/>
                <w:szCs w:val="18"/>
              </w:rPr>
              <w:t>ed</w:t>
            </w:r>
            <w:r>
              <w:rPr>
                <w:rFonts w:ascii="宋体" w:hAnsi="宋体" w:cs="宋体" w:eastAsia="宋体" w:hint="default"/>
                <w:spacing w:val="-90"/>
                <w:sz w:val="18"/>
                <w:szCs w:val="18"/>
              </w:rPr>
              <w:t>）</w:t>
            </w:r>
            <w:r>
              <w:rPr>
                <w:rFonts w:ascii="宋体" w:hAnsi="宋体" w:cs="宋体" w:eastAsia="宋体" w:hint="default"/>
                <w:sz w:val="18"/>
                <w:szCs w:val="18"/>
              </w:rPr>
              <w:t>，系公司全资子公司</w:t>
            </w:r>
          </w:p>
        </w:tc>
      </w:tr>
      <w:tr>
        <w:trPr>
          <w:trHeight w:val="161"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香港天盛</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3"/>
              <w:jc w:val="left"/>
              <w:rPr>
                <w:rFonts w:ascii="宋体" w:hAnsi="宋体" w:cs="宋体" w:eastAsia="宋体" w:hint="default"/>
                <w:sz w:val="18"/>
                <w:szCs w:val="18"/>
              </w:rPr>
            </w:pPr>
            <w:r>
              <w:rPr>
                <w:rFonts w:ascii="宋体" w:hAnsi="宋体" w:cs="宋体" w:eastAsia="宋体" w:hint="default"/>
                <w:sz w:val="18"/>
                <w:szCs w:val="18"/>
              </w:rPr>
              <w:t>香港天盛有限公司（</w:t>
            </w:r>
            <w:r>
              <w:rPr>
                <w:rFonts w:ascii="宋体" w:hAnsi="宋体" w:cs="宋体" w:eastAsia="宋体" w:hint="default"/>
                <w:sz w:val="18"/>
                <w:szCs w:val="18"/>
              </w:rPr>
              <w:t>GrandSky Global Co.</w:t>
            </w:r>
            <w:r>
              <w:rPr>
                <w:rFonts w:ascii="宋体" w:hAnsi="宋体" w:cs="宋体" w:eastAsia="宋体" w:hint="default"/>
                <w:spacing w:val="-33"/>
                <w:sz w:val="18"/>
                <w:szCs w:val="18"/>
              </w:rPr>
              <w:t> </w:t>
            </w:r>
            <w:r>
              <w:rPr>
                <w:rFonts w:ascii="宋体" w:hAnsi="宋体" w:cs="宋体" w:eastAsia="宋体" w:hint="default"/>
                <w:spacing w:val="-6"/>
                <w:sz w:val="18"/>
                <w:szCs w:val="18"/>
              </w:rPr>
              <w:t>Limited</w:t>
            </w:r>
            <w:r>
              <w:rPr>
                <w:rFonts w:ascii="宋体" w:hAnsi="宋体" w:cs="宋体" w:eastAsia="宋体" w:hint="default"/>
                <w:spacing w:val="-6"/>
                <w:sz w:val="18"/>
                <w:szCs w:val="18"/>
              </w:rPr>
              <w:t>），系香港天集的</w:t>
            </w:r>
            <w:r>
              <w:rPr>
                <w:rFonts w:ascii="宋体" w:hAnsi="宋体" w:cs="宋体" w:eastAsia="宋体" w:hint="default"/>
                <w:sz w:val="18"/>
                <w:szCs w:val="18"/>
              </w:rPr>
              <w:t> 全资子公司</w:t>
            </w:r>
          </w:p>
        </w:tc>
      </w:tr>
      <w:tr>
        <w:trPr>
          <w:trHeight w:val="392"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创达香港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中科创达香港有限公司（</w:t>
            </w:r>
            <w:r>
              <w:rPr>
                <w:rFonts w:ascii="宋体" w:hAnsi="宋体" w:cs="宋体" w:eastAsia="宋体" w:hint="default"/>
                <w:sz w:val="18"/>
                <w:szCs w:val="18"/>
              </w:rPr>
              <w:t>Thundersoft HK Co.,</w:t>
            </w:r>
            <w:r>
              <w:rPr>
                <w:rFonts w:ascii="宋体" w:hAnsi="宋体" w:cs="宋体" w:eastAsia="宋体" w:hint="default"/>
                <w:spacing w:val="-33"/>
                <w:sz w:val="18"/>
                <w:szCs w:val="18"/>
              </w:rPr>
              <w:t> </w:t>
            </w:r>
            <w:r>
              <w:rPr>
                <w:rFonts w:ascii="宋体" w:hAnsi="宋体" w:cs="宋体" w:eastAsia="宋体" w:hint="default"/>
                <w:spacing w:val="-7"/>
                <w:sz w:val="18"/>
                <w:szCs w:val="18"/>
              </w:rPr>
              <w:t>Limited</w:t>
            </w:r>
            <w:r>
              <w:rPr>
                <w:rFonts w:ascii="宋体" w:hAnsi="宋体" w:cs="宋体" w:eastAsia="宋体" w:hint="default"/>
                <w:spacing w:val="-7"/>
                <w:sz w:val="18"/>
                <w:szCs w:val="18"/>
              </w:rPr>
              <w:t>），系香港天</w:t>
            </w:r>
            <w:r>
              <w:rPr>
                <w:rFonts w:ascii="宋体" w:hAnsi="宋体" w:cs="宋体" w:eastAsia="宋体" w:hint="default"/>
                <w:sz w:val="18"/>
                <w:szCs w:val="18"/>
              </w:rPr>
              <w:t> 集的全资子公司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创达美国</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Thundersoft America Corporation</w:t>
            </w:r>
            <w:r>
              <w:rPr>
                <w:rFonts w:ascii="宋体" w:hAnsi="宋体" w:cs="宋体" w:eastAsia="宋体" w:hint="default"/>
                <w:sz w:val="18"/>
                <w:szCs w:val="18"/>
              </w:rPr>
              <w:t>，系香港天集的全资子公司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创达香港韩国分公司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中科创达香港有限公司韩国分公司，系创达香港在韩国设立的分公司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深圳天盛</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深圳市创达天盛智能科技有限公司，系香港天盛的全资子公司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美福控股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Mobile Focus Holding Ltd.</w:t>
            </w:r>
            <w:r>
              <w:rPr>
                <w:rFonts w:ascii="宋体" w:hAnsi="宋体" w:cs="宋体" w:eastAsia="宋体" w:hint="default"/>
                <w:sz w:val="18"/>
                <w:szCs w:val="18"/>
              </w:rPr>
              <w:t>，系香港天集的全资子公司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PM</w:t>
            </w:r>
            <w:r>
              <w:rPr>
                <w:rFonts w:ascii="宋体" w:hAnsi="宋体" w:cs="宋体" w:eastAsia="宋体" w:hint="default"/>
                <w:spacing w:val="-46"/>
                <w:sz w:val="18"/>
                <w:szCs w:val="18"/>
              </w:rPr>
              <w:t> </w:t>
            </w:r>
            <w:r>
              <w:rPr>
                <w:rFonts w:ascii="宋体" w:hAnsi="宋体" w:cs="宋体" w:eastAsia="宋体" w:hint="default"/>
                <w:sz w:val="18"/>
                <w:szCs w:val="18"/>
              </w:rPr>
              <w:t>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Point Mobile Co. Ltd.</w:t>
            </w:r>
            <w:r>
              <w:rPr>
                <w:rFonts w:ascii="宋体" w:hAnsi="宋体" w:cs="宋体" w:eastAsia="宋体" w:hint="default"/>
                <w:sz w:val="18"/>
                <w:szCs w:val="18"/>
              </w:rPr>
              <w:t>，系美福控股持股</w:t>
            </w:r>
            <w:r>
              <w:rPr>
                <w:rFonts w:ascii="宋体" w:hAnsi="宋体" w:cs="宋体" w:eastAsia="宋体" w:hint="default"/>
                <w:spacing w:val="-46"/>
                <w:sz w:val="18"/>
                <w:szCs w:val="18"/>
              </w:rPr>
              <w:t> </w:t>
            </w:r>
            <w:r>
              <w:rPr>
                <w:rFonts w:ascii="宋体" w:hAnsi="宋体" w:cs="宋体" w:eastAsia="宋体" w:hint="default"/>
                <w:sz w:val="18"/>
                <w:szCs w:val="18"/>
              </w:rPr>
              <w:t>42.67%</w:t>
            </w:r>
            <w:r>
              <w:rPr>
                <w:rFonts w:ascii="宋体" w:hAnsi="宋体" w:cs="宋体" w:eastAsia="宋体" w:hint="default"/>
                <w:sz w:val="18"/>
                <w:szCs w:val="18"/>
              </w:rPr>
              <w:t>的公司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Longtrans</w:t>
            </w:r>
            <w:r>
              <w:rPr>
                <w:rFonts w:ascii="宋体" w:hAnsi="宋体" w:cs="宋体" w:eastAsia="宋体" w:hint="default"/>
                <w:spacing w:val="-46"/>
                <w:sz w:val="18"/>
                <w:szCs w:val="18"/>
              </w:rPr>
              <w:t> </w:t>
            </w:r>
            <w:r>
              <w:rPr>
                <w:rFonts w:ascii="宋体" w:hAnsi="宋体" w:cs="宋体" w:eastAsia="宋体" w:hint="default"/>
                <w:sz w:val="18"/>
                <w:szCs w:val="18"/>
              </w:rPr>
              <w:t>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Longtrans Holding Ltd.</w:t>
            </w:r>
            <w:r>
              <w:rPr>
                <w:rFonts w:ascii="宋体" w:hAnsi="宋体" w:cs="宋体" w:eastAsia="宋体" w:hint="default"/>
                <w:sz w:val="18"/>
                <w:szCs w:val="18"/>
              </w:rPr>
              <w:t>，系香港天集的全资子公司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聚引台湾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台湾聚引移动有限公司，系</w:t>
            </w:r>
            <w:r>
              <w:rPr>
                <w:rFonts w:ascii="宋体" w:hAnsi="宋体" w:cs="宋体" w:eastAsia="宋体" w:hint="default"/>
                <w:spacing w:val="-46"/>
                <w:sz w:val="18"/>
                <w:szCs w:val="18"/>
              </w:rPr>
              <w:t> </w:t>
            </w:r>
            <w:r>
              <w:rPr>
                <w:rFonts w:ascii="宋体" w:hAnsi="宋体" w:cs="宋体" w:eastAsia="宋体" w:hint="default"/>
                <w:sz w:val="18"/>
                <w:szCs w:val="18"/>
              </w:rPr>
              <w:t>Longtrans</w:t>
            </w:r>
            <w:r>
              <w:rPr>
                <w:rFonts w:ascii="宋体" w:hAnsi="宋体" w:cs="宋体" w:eastAsia="宋体" w:hint="default"/>
                <w:spacing w:val="-46"/>
                <w:sz w:val="18"/>
                <w:szCs w:val="18"/>
              </w:rPr>
              <w:t> </w:t>
            </w:r>
            <w:r>
              <w:rPr>
                <w:rFonts w:ascii="宋体" w:hAnsi="宋体" w:cs="宋体" w:eastAsia="宋体" w:hint="default"/>
                <w:sz w:val="18"/>
                <w:szCs w:val="18"/>
              </w:rPr>
              <w:t>公司的全资子公司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日本天集</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日本天集株式会社，系香港天集的全资子公司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金联创</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北京金联创咨询有限公司，系公司持股</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的公司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中天智慧</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中天智慧科技有限公司，系公司持股</w:t>
            </w:r>
            <w:r>
              <w:rPr>
                <w:rFonts w:ascii="宋体" w:hAnsi="宋体" w:cs="宋体" w:eastAsia="宋体" w:hint="default"/>
                <w:spacing w:val="-46"/>
                <w:sz w:val="18"/>
                <w:szCs w:val="18"/>
              </w:rPr>
              <w:t> </w:t>
            </w:r>
            <w:r>
              <w:rPr>
                <w:rFonts w:ascii="宋体" w:hAnsi="宋体" w:cs="宋体" w:eastAsia="宋体" w:hint="default"/>
                <w:sz w:val="18"/>
                <w:szCs w:val="18"/>
              </w:rPr>
              <w:t>41%</w:t>
            </w:r>
            <w:r>
              <w:rPr>
                <w:rFonts w:ascii="宋体" w:hAnsi="宋体" w:cs="宋体" w:eastAsia="宋体" w:hint="default"/>
                <w:sz w:val="18"/>
                <w:szCs w:val="18"/>
              </w:rPr>
              <w:t>，金联创持股</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z w:val="18"/>
                <w:szCs w:val="18"/>
              </w:rPr>
              <w:t>的公司</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科融创</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1"/>
                <w:sz w:val="18"/>
                <w:szCs w:val="18"/>
              </w:rPr>
              <w:t>科融创有限公司（</w:t>
            </w:r>
            <w:r>
              <w:rPr>
                <w:rFonts w:ascii="宋体" w:hAnsi="宋体" w:cs="宋体" w:eastAsia="宋体" w:hint="default"/>
                <w:spacing w:val="-1"/>
                <w:sz w:val="18"/>
                <w:szCs w:val="18"/>
              </w:rPr>
              <w:t>T2Mobile</w:t>
            </w:r>
            <w:r>
              <w:rPr>
                <w:rFonts w:ascii="宋体" w:hAnsi="宋体" w:cs="宋体" w:eastAsia="宋体" w:hint="default"/>
                <w:spacing w:val="-44"/>
                <w:sz w:val="18"/>
                <w:szCs w:val="18"/>
              </w:rPr>
              <w:t> </w:t>
            </w:r>
            <w:r>
              <w:rPr>
                <w:rFonts w:ascii="宋体" w:hAnsi="宋体" w:cs="宋体" w:eastAsia="宋体" w:hint="default"/>
                <w:spacing w:val="-7"/>
                <w:sz w:val="18"/>
                <w:szCs w:val="18"/>
              </w:rPr>
              <w:t>Limited</w:t>
            </w:r>
            <w:r>
              <w:rPr>
                <w:rFonts w:ascii="宋体" w:hAnsi="宋体" w:cs="宋体" w:eastAsia="宋体" w:hint="default"/>
                <w:spacing w:val="-7"/>
                <w:sz w:val="18"/>
                <w:szCs w:val="18"/>
              </w:rPr>
              <w:t>），系香港天集持股</w:t>
            </w:r>
            <w:r>
              <w:rPr>
                <w:rFonts w:ascii="宋体" w:hAnsi="宋体" w:cs="宋体" w:eastAsia="宋体" w:hint="default"/>
                <w:spacing w:val="-45"/>
                <w:sz w:val="18"/>
                <w:szCs w:val="18"/>
              </w:rPr>
              <w:t> </w:t>
            </w:r>
            <w:r>
              <w:rPr>
                <w:rFonts w:ascii="宋体" w:hAnsi="宋体" w:cs="宋体" w:eastAsia="宋体" w:hint="default"/>
                <w:sz w:val="18"/>
                <w:szCs w:val="18"/>
              </w:rPr>
              <w:t>46%</w:t>
            </w:r>
            <w:r>
              <w:rPr>
                <w:rFonts w:ascii="宋体" w:hAnsi="宋体" w:cs="宋体" w:eastAsia="宋体" w:hint="default"/>
                <w:sz w:val="18"/>
                <w:szCs w:val="18"/>
              </w:rPr>
              <w:t>的参股公 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科融创国际</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T2MOBILE INTERNATIONAL LIMITED</w:t>
            </w:r>
            <w:r>
              <w:rPr>
                <w:rFonts w:ascii="宋体" w:hAnsi="宋体" w:cs="宋体" w:eastAsia="宋体" w:hint="default"/>
                <w:sz w:val="18"/>
                <w:szCs w:val="18"/>
              </w:rPr>
              <w:t>，系科融创设立的全资子公司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上海畅联</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上海畅联智融通讯科技有限公司，系科融创设立的全资子公司</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芯联达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芯联达信息科技（北京）股份有限公司，系信恒创持股</w:t>
            </w:r>
            <w:r>
              <w:rPr>
                <w:rFonts w:ascii="宋体" w:hAnsi="宋体" w:cs="宋体" w:eastAsia="宋体" w:hint="default"/>
                <w:spacing w:val="-46"/>
                <w:sz w:val="18"/>
                <w:szCs w:val="18"/>
              </w:rPr>
              <w:t> </w:t>
            </w:r>
            <w:r>
              <w:rPr>
                <w:rFonts w:ascii="宋体" w:hAnsi="宋体" w:cs="宋体" w:eastAsia="宋体" w:hint="default"/>
                <w:sz w:val="18"/>
                <w:szCs w:val="18"/>
              </w:rPr>
              <w:t>3.4667%</w:t>
            </w:r>
            <w:r>
              <w:rPr>
                <w:rFonts w:ascii="宋体" w:hAnsi="宋体" w:cs="宋体" w:eastAsia="宋体" w:hint="default"/>
                <w:sz w:val="18"/>
                <w:szCs w:val="18"/>
              </w:rPr>
              <w:t>的参 股公司</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柚子公司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Pomelo Holdings Limited</w:t>
            </w:r>
            <w:r>
              <w:rPr>
                <w:rFonts w:ascii="宋体" w:hAnsi="宋体" w:cs="宋体" w:eastAsia="宋体" w:hint="default"/>
                <w:sz w:val="18"/>
                <w:szCs w:val="18"/>
              </w:rPr>
              <w:t>，系香港天集以优先股方式进行投资的公 司</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Android/</w:t>
            </w:r>
            <w:r>
              <w:rPr>
                <w:rFonts w:ascii="宋体" w:hAnsi="宋体" w:cs="宋体" w:eastAsia="宋体" w:hint="default"/>
                <w:sz w:val="18"/>
                <w:szCs w:val="18"/>
              </w:rPr>
              <w:t>安卓</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Android</w:t>
            </w:r>
            <w:r>
              <w:rPr>
                <w:rFonts w:ascii="宋体" w:hAnsi="宋体" w:cs="宋体" w:eastAsia="宋体" w:hint="default"/>
                <w:spacing w:val="-46"/>
                <w:sz w:val="18"/>
                <w:szCs w:val="18"/>
              </w:rPr>
              <w:t> </w:t>
            </w:r>
            <w:r>
              <w:rPr>
                <w:rFonts w:ascii="宋体" w:hAnsi="宋体" w:cs="宋体" w:eastAsia="宋体" w:hint="default"/>
                <w:sz w:val="18"/>
                <w:szCs w:val="18"/>
              </w:rPr>
              <w:t>是一种基于</w:t>
            </w:r>
            <w:r>
              <w:rPr>
                <w:rFonts w:ascii="宋体" w:hAnsi="宋体" w:cs="宋体" w:eastAsia="宋体" w:hint="default"/>
                <w:spacing w:val="-46"/>
                <w:sz w:val="18"/>
                <w:szCs w:val="18"/>
              </w:rPr>
              <w:t> </w:t>
            </w:r>
            <w:r>
              <w:rPr>
                <w:rFonts w:ascii="宋体" w:hAnsi="宋体" w:cs="宋体" w:eastAsia="宋体" w:hint="default"/>
                <w:sz w:val="18"/>
                <w:szCs w:val="18"/>
              </w:rPr>
              <w:t>Linux</w:t>
            </w:r>
            <w:r>
              <w:rPr>
                <w:rFonts w:ascii="宋体" w:hAnsi="宋体" w:cs="宋体" w:eastAsia="宋体" w:hint="default"/>
                <w:spacing w:val="-46"/>
                <w:sz w:val="18"/>
                <w:szCs w:val="18"/>
              </w:rPr>
              <w:t> </w:t>
            </w:r>
            <w:r>
              <w:rPr>
                <w:rFonts w:ascii="宋体" w:hAnsi="宋体" w:cs="宋体" w:eastAsia="宋体" w:hint="default"/>
                <w:sz w:val="18"/>
                <w:szCs w:val="18"/>
              </w:rPr>
              <w:t>的自由及开放源代码的操作系统，主要使 </w:t>
            </w:r>
            <w:r>
              <w:rPr>
                <w:rFonts w:ascii="宋体" w:hAnsi="宋体" w:cs="宋体" w:eastAsia="宋体" w:hint="default"/>
                <w:spacing w:val="-2"/>
                <w:sz w:val="18"/>
                <w:szCs w:val="18"/>
              </w:rPr>
              <w:t>用于移动设备，如智能手机和平板电脑，由谷歌公司和开放手机联盟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领导及开发</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ADAS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先进驾驶辅助系统（</w:t>
            </w:r>
            <w:r>
              <w:rPr>
                <w:rFonts w:ascii="宋体" w:hAnsi="宋体" w:cs="宋体" w:eastAsia="宋体" w:hint="default"/>
                <w:sz w:val="18"/>
                <w:szCs w:val="18"/>
              </w:rPr>
              <w:t>Advanced Driver</w:t>
            </w:r>
            <w:r>
              <w:rPr>
                <w:rFonts w:ascii="宋体" w:hAnsi="宋体" w:cs="宋体" w:eastAsia="宋体" w:hint="default"/>
                <w:spacing w:val="-21"/>
                <w:sz w:val="18"/>
                <w:szCs w:val="18"/>
              </w:rPr>
              <w:t> </w:t>
            </w:r>
            <w:r>
              <w:rPr>
                <w:rFonts w:ascii="宋体" w:hAnsi="宋体" w:cs="宋体" w:eastAsia="宋体" w:hint="default"/>
                <w:spacing w:val="-5"/>
                <w:sz w:val="18"/>
                <w:szCs w:val="18"/>
              </w:rPr>
              <w:t>AssistantSystem</w:t>
            </w:r>
            <w:r>
              <w:rPr>
                <w:rFonts w:ascii="宋体" w:hAnsi="宋体" w:cs="宋体" w:eastAsia="宋体" w:hint="default"/>
                <w:spacing w:val="-5"/>
                <w:sz w:val="18"/>
                <w:szCs w:val="18"/>
              </w:rPr>
              <w:t>），用于提高</w:t>
            </w:r>
            <w:r>
              <w:rPr>
                <w:rFonts w:ascii="宋体" w:hAnsi="宋体" w:cs="宋体" w:eastAsia="宋体" w:hint="default"/>
                <w:sz w:val="18"/>
                <w:szCs w:val="18"/>
              </w:rPr>
              <w:t> 汽车安全性的主动安全技术</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IP Camera</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一种可生产数字视频流，并将视频流通过有线或无线网络进行传输的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摄像机</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SoC</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System</w:t>
            </w:r>
            <w:r>
              <w:rPr>
                <w:rFonts w:ascii="宋体" w:hAnsi="宋体" w:cs="宋体" w:eastAsia="宋体" w:hint="default"/>
                <w:spacing w:val="-39"/>
                <w:sz w:val="18"/>
                <w:szCs w:val="18"/>
              </w:rPr>
              <w:t> </w:t>
            </w:r>
            <w:r>
              <w:rPr>
                <w:rFonts w:ascii="宋体" w:hAnsi="宋体" w:cs="宋体" w:eastAsia="宋体" w:hint="default"/>
                <w:sz w:val="18"/>
                <w:szCs w:val="18"/>
              </w:rPr>
              <w:t>on</w:t>
            </w:r>
            <w:r>
              <w:rPr>
                <w:rFonts w:ascii="宋体" w:hAnsi="宋体" w:cs="宋体" w:eastAsia="宋体" w:hint="default"/>
                <w:spacing w:val="-39"/>
                <w:sz w:val="18"/>
                <w:szCs w:val="18"/>
              </w:rPr>
              <w:t> </w:t>
            </w:r>
            <w:r>
              <w:rPr>
                <w:rFonts w:ascii="宋体" w:hAnsi="宋体" w:cs="宋体" w:eastAsia="宋体" w:hint="default"/>
                <w:sz w:val="18"/>
                <w:szCs w:val="18"/>
              </w:rPr>
              <w:t>Chip</w:t>
            </w:r>
            <w:r>
              <w:rPr>
                <w:rFonts w:ascii="宋体" w:hAnsi="宋体" w:cs="宋体" w:eastAsia="宋体" w:hint="default"/>
                <w:spacing w:val="-46"/>
                <w:sz w:val="18"/>
                <w:szCs w:val="18"/>
              </w:rPr>
              <w:t> </w:t>
            </w:r>
            <w:r>
              <w:rPr>
                <w:rFonts w:ascii="宋体" w:hAnsi="宋体" w:cs="宋体" w:eastAsia="宋体" w:hint="default"/>
                <w:sz w:val="18"/>
                <w:szCs w:val="18"/>
              </w:rPr>
              <w:t>的缩写，称为芯片级系统，包含完整嵌入式软件的集 成电路</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FIDO</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Fast Identity Online</w:t>
            </w:r>
            <w:r>
              <w:rPr>
                <w:rFonts w:ascii="宋体" w:hAnsi="宋体" w:cs="宋体" w:eastAsia="宋体" w:hint="default"/>
                <w:sz w:val="18"/>
                <w:szCs w:val="18"/>
              </w:rPr>
              <w:t>，一种线上快速身份验证技术</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624" w:right="3499"/>
        <w:jc w:val="left"/>
        <w:rPr>
          <w:b w:val="0"/>
          <w:bCs w:val="0"/>
        </w:rPr>
      </w:pPr>
      <w:bookmarkStart w:name="_TOC_250009"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3499"/>
        <w:jc w:val="left"/>
        <w:rPr>
          <w:b w:val="0"/>
          <w:bCs w:val="0"/>
        </w:rPr>
      </w:pPr>
      <w:r>
        <w:rPr/>
        <w:pict>
          <v:group style="position:absolute;margin-left:172.339996pt;margin-top:114.735596pt;width:361.5pt;height:19.6pt;mso-position-horizontal-relative:page;mso-position-vertical-relative:paragraph;z-index:-926128"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中科创达</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300496</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中科创达软件股份有限公司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中科创达</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Thunder Software Technology</w:t>
            </w:r>
            <w:r>
              <w:rPr>
                <w:rFonts w:ascii="Times New Roman"/>
                <w:spacing w:val="-23"/>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Thundersoft</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赵鸿飞</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北京市海淀区龙翔路甲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号泰翔商务楼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401-409</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100191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北京市海淀区龙翔路甲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号泰翔商务楼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100191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www.thundersoft.com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zq@thundersoft.com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3499"/>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武楠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王珊珊</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北京市海淀区龙翔路甲</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号泰翔商务楼</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北京市海淀区龙翔路甲</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号泰翔商务楼</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层</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010-82036551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010-82036551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010-82036511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010-82036511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zq@thundersoft.com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zq@thundersoft.com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3499"/>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全景网、证券日报、证券时报、上海证券报、中国证券报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http://www.szse.cn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中科创达软件股份有限公司证券部</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3499"/>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号赛特广场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曹阳、王娟</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中国国际金融股份有限公司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号国贸大厦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张韦弦、周政</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6"/>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3499"/>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615,463,339.97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452,209,594.09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336,272,513.53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116,609,383.31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112,311,779.00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96,680,887.62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109,228,998.45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101,234,910.54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81,860,597.81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31,628,998.71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70,404,118.37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121,265,529.77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1.5548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1.2891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1.5548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1.2891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1,196,269,722.61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420,845,525.82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297,948,132.14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969,822,938.74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340,072,795.64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254,560,956.88</w:t>
            </w:r>
          </w:p>
        </w:tc>
      </w:tr>
    </w:tbl>
    <w:p>
      <w:pPr>
        <w:spacing w:line="240" w:lineRule="auto" w:before="2"/>
        <w:rPr>
          <w:rFonts w:ascii="宋体" w:hAnsi="宋体" w:cs="宋体" w:eastAsia="宋体" w:hint="default"/>
          <w:sz w:val="18"/>
          <w:szCs w:val="18"/>
        </w:rPr>
      </w:pPr>
    </w:p>
    <w:p>
      <w:pPr>
        <w:pStyle w:val="Heading2"/>
        <w:spacing w:line="240" w:lineRule="auto" w:before="26"/>
        <w:ind w:left="1134" w:right="3499"/>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129,897,545.60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138,428,136.76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138,276,570.02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208,861,087.59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37,099,142.55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30,624,803.48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33,506,576.43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15,378,860.85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36,128,201.32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30,703,950.27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32,236,115.66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10,160,731.20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-19,678,306.69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62,909,013.06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12,933,813.37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-24,535,521.03</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3499"/>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133" w:right="1303"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3499"/>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637,895.47</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91,568.18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7,321,494.49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12,019,591.01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16,658,877.89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-21,378.53</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-10,826.32</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-162,903.93</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557,626.57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931,896.23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1,767,252.33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7,380,384.86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11,076,868.46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14,820,289.81</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13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133" w:right="111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_TOC_250008"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3499"/>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303" w:firstLine="420"/>
        <w:jc w:val="left"/>
      </w:pPr>
      <w:r>
        <w:rPr/>
        <w:t>公司是移动智能终端操作系统产品和平台技术提供商，主营业务为移动智能终端操作系统产品的研 发、销售及提供相关技术服务。</w:t>
      </w:r>
    </w:p>
    <w:p>
      <w:pPr>
        <w:pStyle w:val="BodyText"/>
        <w:spacing w:line="273" w:lineRule="auto" w:before="7"/>
        <w:ind w:left="1554" w:right="1017"/>
        <w:jc w:val="left"/>
      </w:pPr>
      <w:r>
        <w:rPr/>
        <w:t>（一）主营业务、主要产品及其用途 </w:t>
      </w:r>
      <w:r>
        <w:rPr>
          <w:spacing w:val="-3"/>
        </w:rPr>
        <w:t>公司提供的主要产品和服务主要包括软件开发服务、联合实验室、软件产品及软硬件一体化解决方案。</w:t>
      </w:r>
    </w:p>
    <w:p>
      <w:pPr>
        <w:pStyle w:val="BodyText"/>
        <w:spacing w:line="273" w:lineRule="auto" w:before="7"/>
        <w:ind w:right="1095"/>
        <w:jc w:val="left"/>
      </w:pPr>
      <w:r>
        <w:rPr/>
        <w:t>产品和服务最终面向物联网智能终端，重点涵盖智能手机、智能车载系统、无人机、</w:t>
      </w:r>
      <w:r>
        <w:rPr>
          <w:rFonts w:ascii="宋体" w:hAnsi="宋体" w:cs="宋体" w:eastAsia="宋体" w:hint="default"/>
        </w:rPr>
        <w:t>VR/AR</w:t>
      </w:r>
      <w:r>
        <w:rPr/>
        <w:t>、</w:t>
      </w:r>
      <w:r>
        <w:rPr>
          <w:rFonts w:ascii="宋体" w:hAnsi="宋体" w:cs="宋体" w:eastAsia="宋体" w:hint="default"/>
        </w:rPr>
        <w:t>IP</w:t>
      </w:r>
      <w:r>
        <w:rPr>
          <w:rFonts w:ascii="宋体" w:hAnsi="宋体" w:cs="宋体" w:eastAsia="宋体" w:hint="default"/>
          <w:spacing w:val="-2"/>
        </w:rPr>
        <w:t> </w:t>
      </w:r>
      <w:r>
        <w:rPr>
          <w:rFonts w:ascii="宋体" w:hAnsi="宋体" w:cs="宋体" w:eastAsia="宋体" w:hint="default"/>
        </w:rPr>
        <w:t>Camera</w:t>
      </w:r>
      <w:r>
        <w:rPr/>
        <w:t>、 机器人、平板、智能电视、可穿戴设备等。</w:t>
      </w:r>
    </w:p>
    <w:p>
      <w:pPr>
        <w:pStyle w:val="BodyText"/>
        <w:spacing w:line="273" w:lineRule="auto" w:before="7"/>
        <w:ind w:left="1554" w:right="8862"/>
        <w:jc w:val="left"/>
      </w:pPr>
      <w:r>
        <w:rPr/>
        <w:t>（二）经营模式 </w:t>
      </w:r>
      <w:r>
        <w:rPr>
          <w:rFonts w:ascii="宋体" w:hAnsi="宋体" w:cs="宋体" w:eastAsia="宋体" w:hint="default"/>
        </w:rPr>
        <w:t>1</w:t>
      </w:r>
      <w:r>
        <w:rPr/>
        <w:t>、盈利模式</w:t>
      </w:r>
    </w:p>
    <w:p>
      <w:pPr>
        <w:pStyle w:val="BodyText"/>
        <w:spacing w:line="273" w:lineRule="auto" w:before="7"/>
        <w:ind w:left="1134" w:right="0" w:firstLine="420"/>
        <w:jc w:val="left"/>
      </w:pPr>
      <w:r>
        <w:rPr>
          <w:spacing w:val="-1"/>
        </w:rPr>
        <w:t>公司根据为客户提供的产品和服务类型的差异，将收入主要分为软件开发、技术服务、软件许可和商</w:t>
      </w:r>
      <w:r>
        <w:rPr/>
        <w:t> 品销售四种。</w:t>
      </w:r>
    </w:p>
    <w:p>
      <w:pPr>
        <w:pStyle w:val="BodyText"/>
        <w:spacing w:line="273" w:lineRule="auto" w:before="7"/>
        <w:ind w:left="1134" w:right="1197" w:firstLine="420"/>
        <w:jc w:val="left"/>
      </w:pPr>
      <w:r>
        <w:rPr/>
        <w:t>（</w:t>
      </w:r>
      <w:r>
        <w:rPr>
          <w:rFonts w:ascii="宋体" w:hAnsi="宋体" w:cs="宋体" w:eastAsia="宋体" w:hint="default"/>
        </w:rPr>
        <w:t>1</w:t>
      </w:r>
      <w:r>
        <w:rPr/>
        <w:t>）软件开发模式：根据客户的实际需求，进行专项软件设计与定制化开发，最终向客户交付开发 成果并收取开发费用的业务模式。</w:t>
      </w:r>
    </w:p>
    <w:p>
      <w:pPr>
        <w:pStyle w:val="BodyText"/>
        <w:spacing w:line="273" w:lineRule="auto" w:before="7"/>
        <w:ind w:left="1134" w:right="1197" w:firstLine="420"/>
        <w:jc w:val="left"/>
      </w:pPr>
      <w:r>
        <w:rPr/>
        <w:t>（</w:t>
      </w:r>
      <w:r>
        <w:rPr>
          <w:rFonts w:ascii="宋体" w:hAnsi="宋体" w:cs="宋体" w:eastAsia="宋体" w:hint="default"/>
        </w:rPr>
        <w:t>2</w:t>
      </w:r>
      <w:r>
        <w:rPr/>
        <w:t>）技术服务模式：根据客户需求，提供相应的技术人员并开展技术支持、技术咨询、系统维护等 服务，并收取服务费用的业务模式。</w:t>
      </w:r>
    </w:p>
    <w:p>
      <w:pPr>
        <w:pStyle w:val="BodyText"/>
        <w:spacing w:line="273" w:lineRule="auto" w:before="7"/>
        <w:ind w:left="1134" w:right="1197" w:firstLine="420"/>
        <w:jc w:val="left"/>
      </w:pPr>
      <w:r>
        <w:rPr/>
        <w:t>（</w:t>
      </w:r>
      <w:r>
        <w:rPr>
          <w:rFonts w:ascii="宋体" w:hAnsi="宋体" w:cs="宋体" w:eastAsia="宋体" w:hint="default"/>
        </w:rPr>
        <w:t>3</w:t>
      </w:r>
      <w:r>
        <w:rPr/>
        <w:t>）软件许可模式：授权客户使用本公司自主拥有的软件产品等知识产权，按照授权期限或客户搭 载本公司软件的产品出货量收取相关授权费用的业务模式。</w:t>
      </w:r>
    </w:p>
    <w:p>
      <w:pPr>
        <w:pStyle w:val="BodyText"/>
        <w:spacing w:line="273" w:lineRule="auto" w:before="8"/>
        <w:ind w:left="1134" w:right="1197" w:firstLine="420"/>
        <w:jc w:val="left"/>
      </w:pPr>
      <w:r>
        <w:rPr/>
        <w:t>（</w:t>
      </w:r>
      <w:r>
        <w:rPr>
          <w:rFonts w:ascii="宋体" w:hAnsi="宋体" w:cs="宋体" w:eastAsia="宋体" w:hint="default"/>
        </w:rPr>
        <w:t>4</w:t>
      </w:r>
      <w:r>
        <w:rPr/>
        <w:t>）商品销售模式：向移动智能终端厂商和移动芯片厂商提供平板电脑、智能手机</w:t>
      </w:r>
      <w:r>
        <w:rPr>
          <w:rFonts w:ascii="宋体" w:hAnsi="宋体" w:cs="宋体" w:eastAsia="宋体" w:hint="default"/>
        </w:rPr>
        <w:t>PCBA</w:t>
      </w:r>
      <w:r>
        <w:rPr/>
        <w:t>和整机产品 的设计服务、配套软件产品的授权、软件定制工具的提供和软件开发服务等。</w:t>
      </w:r>
    </w:p>
    <w:p>
      <w:pPr>
        <w:pStyle w:val="BodyText"/>
        <w:spacing w:line="273" w:lineRule="auto" w:before="7"/>
        <w:ind w:left="1554" w:right="4032"/>
        <w:jc w:val="left"/>
      </w:pPr>
      <w:r>
        <w:rPr>
          <w:rFonts w:ascii="宋体" w:hAnsi="宋体" w:cs="宋体" w:eastAsia="宋体" w:hint="default"/>
        </w:rPr>
        <w:t>2</w:t>
      </w:r>
      <w:r>
        <w:rPr/>
        <w:t>、采购模式 公司采购主要有技术服务采购、元器件及设备采购、设备租赁三种。</w:t>
      </w:r>
    </w:p>
    <w:p>
      <w:pPr>
        <w:pStyle w:val="BodyText"/>
        <w:spacing w:line="273" w:lineRule="auto" w:before="7"/>
        <w:ind w:left="1134" w:right="0" w:firstLine="420"/>
        <w:jc w:val="left"/>
      </w:pPr>
      <w:r>
        <w:rPr/>
        <w:t>（</w:t>
      </w:r>
      <w:r>
        <w:rPr>
          <w:rFonts w:ascii="宋体" w:hAnsi="宋体" w:cs="宋体" w:eastAsia="宋体" w:hint="default"/>
        </w:rPr>
        <w:t>1</w:t>
      </w:r>
      <w:r>
        <w:rPr/>
        <w:t>）技术服务采购：公司主要通过自身员工开展软件开发、服务、研发等工作。根据业务需要和行 </w:t>
      </w:r>
      <w:r>
        <w:rPr>
          <w:spacing w:val="-1"/>
        </w:rPr>
        <w:t>业惯例，并考虑到过程中涉及的时间成本和人工成本，公司按照现有管理规范，将所执行的客户项目或自</w:t>
      </w:r>
      <w:r>
        <w:rPr>
          <w:spacing w:val="-83"/>
        </w:rPr>
        <w:t> </w:t>
      </w:r>
      <w:r>
        <w:rPr>
          <w:spacing w:val="-83"/>
        </w:rPr>
      </w:r>
      <w:r>
        <w:rPr>
          <w:spacing w:val="-1"/>
        </w:rPr>
        <w:t>身研发过程中耗费人工时较多、外部技术较为成熟的技术服务外包给熟悉的合作伙伴，从而有效地降低成</w:t>
      </w:r>
      <w:r>
        <w:rPr>
          <w:spacing w:val="-81"/>
        </w:rPr>
        <w:t> </w:t>
      </w:r>
      <w:r>
        <w:rPr>
          <w:spacing w:val="-81"/>
        </w:rPr>
      </w:r>
      <w:r>
        <w:rPr/>
        <w:t>本、提高效率，最后通过严格的质量控制体系，确保向客户提供产品的准确性、安全性和稳定性。</w:t>
      </w:r>
    </w:p>
    <w:p>
      <w:pPr>
        <w:pStyle w:val="BodyText"/>
        <w:spacing w:line="273" w:lineRule="auto" w:before="7"/>
        <w:ind w:right="0" w:firstLine="420"/>
        <w:jc w:val="left"/>
      </w:pPr>
      <w:r>
        <w:rPr/>
        <w:t>（</w:t>
      </w:r>
      <w:r>
        <w:rPr>
          <w:rFonts w:ascii="宋体" w:hAnsi="宋体" w:cs="宋体" w:eastAsia="宋体" w:hint="default"/>
        </w:rPr>
        <w:t>2</w:t>
      </w:r>
      <w:r>
        <w:rPr/>
        <w:t>）元器件及设备采购：根据</w:t>
      </w:r>
      <w:r>
        <w:rPr>
          <w:rFonts w:ascii="宋体" w:hAnsi="宋体" w:cs="宋体" w:eastAsia="宋体" w:hint="default"/>
        </w:rPr>
        <w:t>PCBA</w:t>
      </w:r>
      <w:r>
        <w:rPr/>
        <w:t>或整机等产品及相关服务的需要，公司会进行手机样机、内存颗 </w:t>
      </w:r>
      <w:r>
        <w:rPr>
          <w:spacing w:val="-1"/>
        </w:rPr>
        <w:t>粒、芯片处理器等硬件元器件的采购。相关采购需求经由业务部门提出，采购部门制作采购订单，经由分</w:t>
      </w:r>
      <w:r>
        <w:rPr>
          <w:spacing w:val="-86"/>
        </w:rPr>
        <w:t> </w:t>
      </w:r>
      <w:r>
        <w:rPr>
          <w:spacing w:val="-86"/>
        </w:rPr>
      </w:r>
      <w:r>
        <w:rPr>
          <w:spacing w:val="-1"/>
        </w:rPr>
        <w:t>管主管和财务部门审批后，由采购部门执行并跟踪完成采购，经物控部门入库登记。物控部门和财务部门</w:t>
      </w:r>
      <w:r>
        <w:rPr>
          <w:spacing w:val="-83"/>
        </w:rPr>
        <w:t> </w:t>
      </w:r>
      <w:r>
        <w:rPr>
          <w:spacing w:val="-83"/>
        </w:rPr>
      </w:r>
      <w:r>
        <w:rPr/>
        <w:t>定期对上述资产盘点、清查，并上报库存状况，监控和及时处理呆滞库存。</w:t>
      </w:r>
    </w:p>
    <w:p>
      <w:pPr>
        <w:pStyle w:val="BodyText"/>
        <w:spacing w:line="273" w:lineRule="auto" w:before="7"/>
        <w:ind w:right="0" w:firstLine="420"/>
        <w:jc w:val="left"/>
      </w:pPr>
      <w:r>
        <w:rPr/>
        <w:t>（</w:t>
      </w:r>
      <w:r>
        <w:rPr>
          <w:rFonts w:ascii="宋体" w:hAnsi="宋体" w:cs="宋体" w:eastAsia="宋体" w:hint="default"/>
        </w:rPr>
        <w:t>3</w:t>
      </w:r>
      <w:r>
        <w:rPr/>
        <w:t>）设备租赁：公司使用的部分研发与测试设备，例如手机综测仪、基站模拟器、协议分析仪等， </w:t>
      </w:r>
      <w:r>
        <w:rPr>
          <w:spacing w:val="-1"/>
        </w:rPr>
        <w:t>具备价格昂贵、更新换代较快、专用性较高等特征。考虑到上述研发与测试设备的折旧、更新换代和使用</w:t>
      </w:r>
      <w:r>
        <w:rPr>
          <w:spacing w:val="-86"/>
        </w:rPr>
        <w:t> </w:t>
      </w:r>
      <w:r>
        <w:rPr>
          <w:spacing w:val="-86"/>
        </w:rPr>
      </w:r>
      <w:r>
        <w:rPr>
          <w:spacing w:val="-1"/>
        </w:rPr>
        <w:t>率等因素，在自有设备不能满足项目需求时，公司会以租赁的形式获取相关设备的使用权。在业务部门提</w:t>
      </w:r>
      <w:r>
        <w:rPr>
          <w:spacing w:val="-83"/>
        </w:rPr>
        <w:t> </w:t>
      </w:r>
      <w:r>
        <w:rPr>
          <w:spacing w:val="-83"/>
        </w:rPr>
      </w:r>
      <w:r>
        <w:rPr/>
        <w:t>出申请并经过审批后，行政部门选定合适的供应商实施设备租赁。</w:t>
      </w:r>
    </w:p>
    <w:p>
      <w:pPr>
        <w:pStyle w:val="BodyText"/>
        <w:spacing w:line="273" w:lineRule="auto" w:before="7"/>
        <w:ind w:left="1553" w:right="1093"/>
        <w:jc w:val="left"/>
      </w:pPr>
      <w:r>
        <w:rPr>
          <w:rFonts w:ascii="宋体" w:hAnsi="宋体" w:cs="宋体" w:eastAsia="宋体" w:hint="default"/>
        </w:rPr>
        <w:t>3</w:t>
      </w:r>
      <w:r>
        <w:rPr/>
        <w:t>、研发模式 公司的产品研发遵循标准的软件开发流程。除专门的研发队伍和测试队伍外，还有专门的代码管理、</w:t>
      </w:r>
    </w:p>
    <w:p>
      <w:pPr>
        <w:pStyle w:val="BodyText"/>
        <w:spacing w:line="273" w:lineRule="auto" w:before="8"/>
        <w:ind w:right="0"/>
        <w:jc w:val="left"/>
      </w:pPr>
      <w:r>
        <w:rPr>
          <w:spacing w:val="-1"/>
        </w:rPr>
        <w:t>质量控制、资源调度、安全管理等岗位，确保产品研发的质量和效率。公司产品研发根据需求来源分为自</w:t>
      </w:r>
      <w:r>
        <w:rPr>
          <w:spacing w:val="-86"/>
        </w:rPr>
        <w:t> </w:t>
      </w:r>
      <w:r>
        <w:rPr>
          <w:spacing w:val="-86"/>
        </w:rPr>
      </w:r>
      <w:r>
        <w:rPr/>
        <w:t>主产品研发和客户产品研发两种。</w:t>
      </w:r>
    </w:p>
    <w:p>
      <w:pPr>
        <w:pStyle w:val="BodyText"/>
        <w:spacing w:line="273" w:lineRule="auto" w:before="7"/>
        <w:ind w:right="1093" w:firstLine="420"/>
        <w:jc w:val="left"/>
      </w:pPr>
      <w:r>
        <w:rPr/>
        <w:t>（</w:t>
      </w:r>
      <w:r>
        <w:rPr>
          <w:rFonts w:ascii="宋体" w:hAnsi="宋体" w:cs="宋体" w:eastAsia="宋体" w:hint="default"/>
        </w:rPr>
        <w:t>1</w:t>
      </w:r>
      <w:r>
        <w:rPr/>
        <w:t>）自主产品研发：自主产品研发是根据市场的广泛需求，开发公司自主定义的产品及解决方案， 并向客户广泛推广，例如面向智能手机、平板电脑等终端的软件解决方案（如</w:t>
      </w:r>
      <w:r>
        <w:rPr>
          <w:rFonts w:ascii="宋体" w:hAnsi="宋体" w:cs="宋体" w:eastAsia="宋体" w:hint="default"/>
        </w:rPr>
        <w:t>SmartDroid</w:t>
      </w:r>
      <w:r>
        <w:rPr/>
        <w:t>、</w:t>
      </w:r>
      <w:r>
        <w:rPr>
          <w:rFonts w:ascii="宋体" w:hAnsi="宋体" w:cs="宋体" w:eastAsia="宋体" w:hint="default"/>
        </w:rPr>
        <w:t>BigDroid</w:t>
      </w:r>
      <w:r>
        <w:rPr/>
        <w:t>）、</w:t>
      </w:r>
    </w:p>
    <w:p>
      <w:pPr>
        <w:spacing w:after="0" w:line="273"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73" w:lineRule="auto" w:before="35"/>
        <w:ind w:right="1132"/>
        <w:jc w:val="both"/>
      </w:pPr>
      <w:r>
        <w:rPr>
          <w:spacing w:val="-1"/>
        </w:rPr>
        <w:t>独立软件产品（如运营商认证软件包）以及面向最终用户的应用软件（如</w:t>
      </w:r>
      <w:r>
        <w:rPr>
          <w:rFonts w:ascii="宋体" w:hAnsi="宋体" w:cs="宋体" w:eastAsia="宋体" w:hint="default"/>
          <w:spacing w:val="-1"/>
        </w:rPr>
        <w:t>UCAM</w:t>
      </w:r>
      <w:r>
        <w:rPr>
          <w:spacing w:val="-1"/>
        </w:rPr>
        <w:t>）等。自主产品和解决方案</w:t>
      </w:r>
      <w:r>
        <w:rPr>
          <w:spacing w:val="-81"/>
        </w:rPr>
        <w:t> </w:t>
      </w:r>
      <w:r>
        <w:rPr>
          <w:spacing w:val="-81"/>
        </w:rPr>
      </w:r>
      <w:r>
        <w:rPr>
          <w:spacing w:val="-1"/>
        </w:rPr>
        <w:t>是公司业务的核心，公司在北京、上海、南京、成都、深圳、杭州和西安等地建立了研发团队，从事产品</w:t>
      </w:r>
      <w:r>
        <w:rPr>
          <w:spacing w:val="-85"/>
        </w:rPr>
        <w:t> </w:t>
      </w:r>
      <w:r>
        <w:rPr>
          <w:spacing w:val="-85"/>
        </w:rPr>
      </w:r>
      <w:r>
        <w:rPr/>
        <w:t>和解决方案的研发。</w:t>
      </w:r>
    </w:p>
    <w:p>
      <w:pPr>
        <w:pStyle w:val="BodyText"/>
        <w:spacing w:line="273" w:lineRule="auto" w:before="7"/>
        <w:ind w:left="1134" w:right="0" w:firstLine="420"/>
        <w:jc w:val="left"/>
      </w:pPr>
      <w:r>
        <w:rPr/>
        <w:t>（</w:t>
      </w:r>
      <w:r>
        <w:rPr>
          <w:rFonts w:ascii="宋体" w:hAnsi="宋体" w:cs="宋体" w:eastAsia="宋体" w:hint="default"/>
        </w:rPr>
        <w:t>2</w:t>
      </w:r>
      <w:r>
        <w:rPr/>
        <w:t>）客户产品研发：客户产品研发是指根据客户需求，在其产品基础上进行定制化的产品研发。客 </w:t>
      </w:r>
      <w:r>
        <w:rPr>
          <w:spacing w:val="-1"/>
        </w:rPr>
        <w:t>户产品研发通常以项目的方式，由一个典型的项目团队（项目管理人员、研发人员、测试人员、质量管理</w:t>
      </w:r>
      <w:r>
        <w:rPr>
          <w:spacing w:val="-83"/>
        </w:rPr>
        <w:t> </w:t>
      </w:r>
      <w:r>
        <w:rPr>
          <w:spacing w:val="-83"/>
        </w:rPr>
      </w:r>
      <w:r>
        <w:rPr>
          <w:spacing w:val="-1"/>
        </w:rPr>
        <w:t>人员、配置管理人员等）来负责实施，并按照和客户达成一致的项目开发计划来完成项目，最终将软件产</w:t>
      </w:r>
      <w:r>
        <w:rPr>
          <w:spacing w:val="-86"/>
        </w:rPr>
        <w:t> </w:t>
      </w:r>
      <w:r>
        <w:rPr>
          <w:spacing w:val="-86"/>
        </w:rPr>
      </w:r>
      <w:r>
        <w:rPr/>
        <w:t>品交付给客户。项目完成后，该产品知识产权根据合同约定归客户所有或双方共同所有。</w:t>
      </w:r>
    </w:p>
    <w:p>
      <w:pPr>
        <w:pStyle w:val="BodyText"/>
        <w:spacing w:line="273" w:lineRule="auto" w:before="7"/>
        <w:ind w:left="1553" w:right="1118"/>
        <w:jc w:val="left"/>
      </w:pPr>
      <w:r>
        <w:rPr>
          <w:rFonts w:ascii="宋体" w:hAnsi="宋体" w:cs="宋体" w:eastAsia="宋体" w:hint="default"/>
        </w:rPr>
        <w:t>4</w:t>
      </w:r>
      <w:r>
        <w:rPr/>
        <w:t>、销售模式 </w:t>
      </w:r>
      <w:r>
        <w:rPr>
          <w:spacing w:val="-1"/>
        </w:rPr>
        <w:t>公司主要采用直接销售的模式进行移动智能终端操作系统产品和技术服务的销售，由销售人员与客户</w:t>
      </w:r>
    </w:p>
    <w:p>
      <w:pPr>
        <w:pStyle w:val="BodyText"/>
        <w:spacing w:line="273" w:lineRule="auto" w:before="7"/>
        <w:ind w:right="1131"/>
        <w:jc w:val="both"/>
      </w:pPr>
      <w:r>
        <w:rPr>
          <w:spacing w:val="-1"/>
        </w:rPr>
        <w:t>直接建立并维持稳定的客户关系。公司客户群体以移动芯片厂商、移动智能终端厂商和电信运营商为代表</w:t>
      </w:r>
      <w:r>
        <w:rPr>
          <w:spacing w:val="-81"/>
        </w:rPr>
        <w:t> </w:t>
      </w:r>
      <w:r>
        <w:rPr>
          <w:spacing w:val="-81"/>
        </w:rPr>
      </w:r>
      <w:r>
        <w:rPr/>
        <w:t>的大客户为主，销售活动主要围绕上述大客户展开。</w:t>
      </w:r>
    </w:p>
    <w:p>
      <w:pPr>
        <w:pStyle w:val="BodyText"/>
        <w:spacing w:line="273" w:lineRule="auto" w:before="7"/>
        <w:ind w:left="1134" w:right="1197" w:firstLine="420"/>
        <w:jc w:val="left"/>
      </w:pPr>
      <w:r>
        <w:rPr/>
        <w:t>（</w:t>
      </w:r>
      <w:r>
        <w:rPr>
          <w:rFonts w:ascii="宋体" w:hAnsi="宋体" w:cs="宋体" w:eastAsia="宋体" w:hint="default"/>
        </w:rPr>
        <w:t>1</w:t>
      </w:r>
      <w:r>
        <w:rPr/>
        <w:t>）市场拓展：在市场拓展方面，公司策略是重点发展核心客户，在建立稳定的业务关系后，以点 带面，沿产业链上下游延伸，拓展新客户。</w:t>
      </w:r>
    </w:p>
    <w:p>
      <w:pPr>
        <w:pStyle w:val="BodyText"/>
        <w:spacing w:line="273" w:lineRule="auto" w:before="7"/>
        <w:ind w:left="1134" w:right="0" w:firstLine="420"/>
        <w:jc w:val="left"/>
      </w:pPr>
      <w:r>
        <w:rPr/>
        <w:t>（</w:t>
      </w:r>
      <w:r>
        <w:rPr>
          <w:rFonts w:ascii="宋体" w:hAnsi="宋体" w:cs="宋体" w:eastAsia="宋体" w:hint="default"/>
        </w:rPr>
        <w:t>2</w:t>
      </w:r>
      <w:r>
        <w:rPr/>
        <w:t>）客户关系维护：公司注重同客户建立长期稳定的合作关系。公司通过不断加大研发力度，提升 </w:t>
      </w:r>
      <w:r>
        <w:rPr>
          <w:spacing w:val="-1"/>
        </w:rPr>
        <w:t>操作系统产品的质量、版本升级速度、差异化体验功能、加强市场团队建设、扩充全球技术支持网点、强</w:t>
      </w:r>
      <w:r>
        <w:rPr>
          <w:spacing w:val="-83"/>
        </w:rPr>
        <w:t> </w:t>
      </w:r>
      <w:r>
        <w:rPr>
          <w:spacing w:val="-83"/>
        </w:rPr>
      </w:r>
      <w:r>
        <w:rPr/>
        <w:t>化本地化服务等多种方式，深入挖掘客户的潜在需求，努力满足客户不断提出的新需求。</w:t>
      </w:r>
    </w:p>
    <w:p>
      <w:pPr>
        <w:pStyle w:val="BodyText"/>
        <w:spacing w:line="273" w:lineRule="auto" w:before="7"/>
        <w:ind w:right="1024" w:firstLine="420"/>
        <w:jc w:val="left"/>
      </w:pPr>
      <w:r>
        <w:rPr/>
        <w:t>（</w:t>
      </w:r>
      <w:r>
        <w:rPr>
          <w:rFonts w:ascii="宋体" w:hAnsi="宋体" w:cs="宋体" w:eastAsia="宋体" w:hint="default"/>
        </w:rPr>
        <w:t>3</w:t>
      </w:r>
      <w:r>
        <w:rPr/>
        <w:t>）国际化营销网络：从地缘分布看，公司的客户主要分布在中国、日本、韩国、美国以及欧洲。 为适应国际大客户的业务发展需要，公司建立了国际化的营销网络，在北京、上海、深圳、杭州、南京、 </w:t>
      </w:r>
      <w:r>
        <w:rPr>
          <w:spacing w:val="-3"/>
        </w:rPr>
        <w:t>成都、西安、香港、台湾地区、日本、韩国、美国等客户集中的地区设立营销和技术支持中心并派驻人员，</w:t>
      </w:r>
      <w:r>
        <w:rPr>
          <w:spacing w:val="-94"/>
        </w:rPr>
        <w:t> </w:t>
      </w:r>
      <w:r>
        <w:rPr>
          <w:spacing w:val="-94"/>
        </w:rPr>
      </w:r>
      <w:r>
        <w:rPr/>
        <w:t>为客户提供本土化的服务。</w:t>
      </w:r>
    </w:p>
    <w:p>
      <w:pPr>
        <w:pStyle w:val="BodyText"/>
        <w:spacing w:line="273" w:lineRule="auto" w:before="7"/>
        <w:ind w:left="1553" w:right="1118"/>
        <w:jc w:val="left"/>
      </w:pPr>
      <w:r>
        <w:rPr>
          <w:rFonts w:ascii="宋体" w:hAnsi="宋体" w:cs="宋体" w:eastAsia="宋体" w:hint="default"/>
        </w:rPr>
        <w:t>5</w:t>
      </w:r>
      <w:r>
        <w:rPr/>
        <w:t>、管理模式 </w:t>
      </w:r>
      <w:r>
        <w:rPr>
          <w:spacing w:val="-1"/>
        </w:rPr>
        <w:t>公司注重项目管理和质量管理，通过了</w:t>
      </w:r>
      <w:r>
        <w:rPr>
          <w:rFonts w:ascii="宋体" w:hAnsi="宋体" w:cs="宋体" w:eastAsia="宋体" w:hint="default"/>
          <w:spacing w:val="-1"/>
        </w:rPr>
        <w:t>ISO9001</w:t>
      </w:r>
      <w:r>
        <w:rPr>
          <w:spacing w:val="-1"/>
        </w:rPr>
        <w:t>和</w:t>
      </w:r>
      <w:r>
        <w:rPr>
          <w:rFonts w:ascii="宋体" w:hAnsi="宋体" w:cs="宋体" w:eastAsia="宋体" w:hint="default"/>
          <w:spacing w:val="-1"/>
        </w:rPr>
        <w:t>ISO27001</w:t>
      </w:r>
      <w:r>
        <w:rPr>
          <w:spacing w:val="-1"/>
        </w:rPr>
        <w:t>质量</w:t>
      </w:r>
      <w:r>
        <w:rPr>
          <w:rFonts w:ascii="宋体" w:hAnsi="宋体" w:cs="宋体" w:eastAsia="宋体" w:hint="default"/>
          <w:spacing w:val="-1"/>
        </w:rPr>
        <w:t>/</w:t>
      </w:r>
      <w:r>
        <w:rPr>
          <w:spacing w:val="-1"/>
        </w:rPr>
        <w:t>信息安全管理认证。公司管理团队经</w:t>
      </w:r>
    </w:p>
    <w:p>
      <w:pPr>
        <w:pStyle w:val="BodyText"/>
        <w:spacing w:line="240" w:lineRule="auto" w:before="8"/>
        <w:ind w:right="0"/>
        <w:jc w:val="both"/>
      </w:pPr>
      <w:r>
        <w:rPr/>
        <w:t>过多年的实践，积累了丰富的软件研发和项目管理经验，形成了高效、灵活的管理模式。</w:t>
      </w:r>
    </w:p>
    <w:p>
      <w:pPr>
        <w:pStyle w:val="BodyText"/>
        <w:spacing w:line="273" w:lineRule="auto" w:before="37"/>
        <w:ind w:left="1553" w:right="0"/>
        <w:jc w:val="left"/>
      </w:pPr>
      <w:r>
        <w:rPr/>
        <w:t>（三）业绩驱动因素 </w:t>
      </w:r>
      <w:r>
        <w:rPr>
          <w:spacing w:val="-1"/>
        </w:rPr>
        <w:t>报告期内，公司实现营业收入</w:t>
      </w:r>
      <w:r>
        <w:rPr>
          <w:rFonts w:ascii="宋体" w:hAnsi="宋体" w:cs="宋体" w:eastAsia="宋体" w:hint="default"/>
          <w:spacing w:val="-1"/>
        </w:rPr>
        <w:t>61,546.33</w:t>
      </w:r>
      <w:r>
        <w:rPr>
          <w:spacing w:val="-1"/>
        </w:rPr>
        <w:t>万元，较上年度增加</w:t>
      </w:r>
      <w:r>
        <w:rPr>
          <w:rFonts w:ascii="宋体" w:hAnsi="宋体" w:cs="宋体" w:eastAsia="宋体" w:hint="default"/>
          <w:spacing w:val="-1"/>
        </w:rPr>
        <w:t>16,325.37</w:t>
      </w:r>
      <w:r>
        <w:rPr>
          <w:spacing w:val="-1"/>
        </w:rPr>
        <w:t>万元，增长</w:t>
      </w:r>
      <w:r>
        <w:rPr>
          <w:rFonts w:ascii="宋体" w:hAnsi="宋体" w:cs="宋体" w:eastAsia="宋体" w:hint="default"/>
          <w:spacing w:val="-1"/>
        </w:rPr>
        <w:t>36.10%</w:t>
      </w:r>
      <w:r>
        <w:rPr>
          <w:spacing w:val="-1"/>
        </w:rPr>
        <w:t>。实现归属</w:t>
      </w:r>
    </w:p>
    <w:p>
      <w:pPr>
        <w:pStyle w:val="BodyText"/>
        <w:spacing w:line="273" w:lineRule="auto" w:before="7"/>
        <w:ind w:left="1134" w:right="1132"/>
        <w:jc w:val="both"/>
      </w:pPr>
      <w:r>
        <w:rPr>
          <w:spacing w:val="-1"/>
        </w:rPr>
        <w:t>上市公司股东的净利润</w:t>
      </w:r>
      <w:r>
        <w:rPr>
          <w:rFonts w:ascii="宋体" w:hAnsi="宋体" w:cs="宋体" w:eastAsia="宋体" w:hint="default"/>
          <w:spacing w:val="-1"/>
        </w:rPr>
        <w:t>11,660.94</w:t>
      </w:r>
      <w:r>
        <w:rPr>
          <w:spacing w:val="-1"/>
        </w:rPr>
        <w:t>万元，较上年度增加</w:t>
      </w:r>
      <w:r>
        <w:rPr>
          <w:rFonts w:ascii="宋体" w:hAnsi="宋体" w:cs="宋体" w:eastAsia="宋体" w:hint="default"/>
          <w:spacing w:val="-1"/>
        </w:rPr>
        <w:t>429.76</w:t>
      </w:r>
      <w:r>
        <w:rPr>
          <w:spacing w:val="-1"/>
        </w:rPr>
        <w:t>万元，增长</w:t>
      </w:r>
      <w:r>
        <w:rPr>
          <w:rFonts w:ascii="宋体" w:hAnsi="宋体" w:cs="宋体" w:eastAsia="宋体" w:hint="default"/>
          <w:spacing w:val="-1"/>
        </w:rPr>
        <w:t>3.83%</w:t>
      </w:r>
      <w:r>
        <w:rPr>
          <w:spacing w:val="-1"/>
        </w:rPr>
        <w:t>。公司业绩增长的驱动因素</w:t>
      </w:r>
      <w:r>
        <w:rPr>
          <w:spacing w:val="-77"/>
        </w:rPr>
        <w:t> </w:t>
      </w:r>
      <w:r>
        <w:rPr>
          <w:spacing w:val="-77"/>
        </w:rPr>
      </w:r>
      <w:r>
        <w:rPr/>
        <w:t>主要来自于所处行业和市场的增长以及自身的技术和竞争优势。</w:t>
      </w:r>
    </w:p>
    <w:p>
      <w:pPr>
        <w:pStyle w:val="BodyText"/>
        <w:spacing w:line="273" w:lineRule="auto" w:before="7"/>
        <w:ind w:left="1554" w:right="1197"/>
        <w:jc w:val="left"/>
      </w:pPr>
      <w:r>
        <w:rPr>
          <w:rFonts w:ascii="宋体" w:hAnsi="宋体" w:cs="宋体" w:eastAsia="宋体" w:hint="default"/>
        </w:rPr>
        <w:t>1</w:t>
      </w:r>
      <w:r>
        <w:rPr/>
        <w:t>、市场驱动 报告期内，尽管全球智能手机出货量增速有所放缓，但根据</w:t>
      </w:r>
      <w:r>
        <w:rPr>
          <w:rFonts w:ascii="宋体" w:hAnsi="宋体" w:cs="宋体" w:eastAsia="宋体" w:hint="default"/>
        </w:rPr>
        <w:t>IDC</w:t>
      </w:r>
      <w:r>
        <w:rPr/>
        <w:t>发布的最新数据报告显示，</w:t>
      </w:r>
      <w:r>
        <w:rPr>
          <w:rFonts w:ascii="宋体" w:hAnsi="宋体" w:cs="宋体" w:eastAsia="宋体" w:hint="default"/>
        </w:rPr>
        <w:t>2015</w:t>
      </w:r>
      <w:r>
        <w:rPr/>
        <w:t>年度</w:t>
      </w:r>
    </w:p>
    <w:p>
      <w:pPr>
        <w:pStyle w:val="BodyText"/>
        <w:spacing w:line="273" w:lineRule="auto" w:before="7"/>
        <w:ind w:left="1134" w:right="0"/>
        <w:jc w:val="left"/>
      </w:pPr>
      <w:r>
        <w:rPr/>
        <w:t>全球智能手机的出货量为</w:t>
      </w:r>
      <w:r>
        <w:rPr>
          <w:rFonts w:ascii="宋体" w:hAnsi="宋体" w:cs="宋体" w:eastAsia="宋体" w:hint="default"/>
        </w:rPr>
        <w:t>14.329</w:t>
      </w:r>
      <w:r>
        <w:rPr/>
        <w:t>亿部，和</w:t>
      </w:r>
      <w:r>
        <w:rPr>
          <w:rFonts w:ascii="宋体" w:hAnsi="宋体" w:cs="宋体" w:eastAsia="宋体" w:hint="default"/>
        </w:rPr>
        <w:t>2014</w:t>
      </w:r>
      <w:r>
        <w:rPr/>
        <w:t>年度的</w:t>
      </w:r>
      <w:r>
        <w:rPr>
          <w:rFonts w:ascii="宋体" w:hAnsi="宋体" w:cs="宋体" w:eastAsia="宋体" w:hint="default"/>
        </w:rPr>
        <w:t>13.017</w:t>
      </w:r>
      <w:r>
        <w:rPr/>
        <w:t>亿部相比增长了</w:t>
      </w:r>
      <w:r>
        <w:rPr>
          <w:rFonts w:ascii="宋体" w:hAnsi="宋体" w:cs="宋体" w:eastAsia="宋体" w:hint="default"/>
        </w:rPr>
        <w:t>10.1%</w:t>
      </w:r>
      <w:r>
        <w:rPr/>
        <w:t>，智能手机对操作系统 </w:t>
      </w:r>
      <w:r>
        <w:rPr>
          <w:spacing w:val="-1"/>
        </w:rPr>
        <w:t>技术开发和服务的需求仍有巨大的市场空间。此外，智能车载系统以及无人机、虚拟现实、机器人等智能</w:t>
      </w:r>
      <w:r>
        <w:rPr>
          <w:spacing w:val="-85"/>
        </w:rPr>
        <w:t> </w:t>
      </w:r>
      <w:r>
        <w:rPr>
          <w:spacing w:val="-85"/>
        </w:rPr>
      </w:r>
      <w:r>
        <w:rPr/>
        <w:t>硬件行业即将进入市场爆发阶段，物联网的时代已经来临，公司主营业务所处市场空间巨大。</w:t>
      </w:r>
    </w:p>
    <w:p>
      <w:pPr>
        <w:pStyle w:val="BodyText"/>
        <w:spacing w:line="273" w:lineRule="auto" w:before="7"/>
        <w:ind w:left="1554" w:right="1118"/>
        <w:jc w:val="left"/>
      </w:pPr>
      <w:r>
        <w:rPr>
          <w:rFonts w:ascii="宋体" w:hAnsi="宋体" w:cs="宋体" w:eastAsia="宋体" w:hint="default"/>
        </w:rPr>
        <w:t>2</w:t>
      </w:r>
      <w:r>
        <w:rPr/>
        <w:t>、技术驱动 </w:t>
      </w:r>
      <w:r>
        <w:rPr>
          <w:spacing w:val="-1"/>
        </w:rPr>
        <w:t>公司自成立以来始终专注于移动智能终端操作系统核心技术，在</w:t>
      </w:r>
      <w:r>
        <w:rPr>
          <w:rFonts w:ascii="宋体" w:hAnsi="宋体" w:cs="宋体" w:eastAsia="宋体" w:hint="default"/>
          <w:spacing w:val="-1"/>
        </w:rPr>
        <w:t>Android</w:t>
      </w:r>
      <w:r>
        <w:rPr>
          <w:spacing w:val="-1"/>
        </w:rPr>
        <w:t>和</w:t>
      </w:r>
      <w:r>
        <w:rPr>
          <w:rFonts w:ascii="宋体" w:hAnsi="宋体" w:cs="宋体" w:eastAsia="宋体" w:hint="default"/>
          <w:spacing w:val="-1"/>
        </w:rPr>
        <w:t>Linux</w:t>
      </w:r>
      <w:r>
        <w:rPr>
          <w:spacing w:val="-1"/>
        </w:rPr>
        <w:t>等操作系统上具有深</w:t>
      </w:r>
    </w:p>
    <w:p>
      <w:pPr>
        <w:pStyle w:val="BodyText"/>
        <w:spacing w:line="273" w:lineRule="auto" w:before="7"/>
        <w:ind w:left="1134" w:right="1133"/>
        <w:jc w:val="both"/>
      </w:pPr>
      <w:r>
        <w:rPr>
          <w:spacing w:val="-1"/>
        </w:rPr>
        <w:t>厚的积累。报告期内公司不断加大研发投入，持续提升技术能力，为客户提供高品质的服务和产品，并已</w:t>
      </w:r>
      <w:r>
        <w:rPr>
          <w:spacing w:val="-86"/>
        </w:rPr>
        <w:t> </w:t>
      </w:r>
      <w:r>
        <w:rPr>
          <w:spacing w:val="-86"/>
        </w:rPr>
      </w:r>
      <w:r>
        <w:rPr/>
        <w:t>开始从智能手机领域进入智能车载、无人机、虚拟现实等新业务领域。</w:t>
      </w:r>
    </w:p>
    <w:p>
      <w:pPr>
        <w:pStyle w:val="BodyText"/>
        <w:spacing w:line="273" w:lineRule="auto" w:before="7"/>
        <w:ind w:left="1554" w:right="0"/>
        <w:jc w:val="left"/>
      </w:pPr>
      <w:r>
        <w:rPr/>
        <w:t>（四）公司所属行业的发展状况 </w:t>
      </w:r>
      <w:r>
        <w:rPr>
          <w:spacing w:val="-1"/>
        </w:rPr>
        <w:t>全球已经进入物联网时代，移动终端智能化、互联化的趋势已经体现。而智能化和互联化都需要操作</w:t>
      </w:r>
    </w:p>
    <w:p>
      <w:pPr>
        <w:pStyle w:val="BodyText"/>
        <w:spacing w:line="273" w:lineRule="auto" w:before="7"/>
        <w:ind w:left="1134" w:right="1131"/>
        <w:jc w:val="both"/>
      </w:pPr>
      <w:r>
        <w:rPr>
          <w:spacing w:val="-1"/>
        </w:rPr>
        <w:t>系统的支撑才能实现。智能手机是最早普及的移动智能终端，目前汽车、无人机、虚拟现实设备、机器人</w:t>
      </w:r>
      <w:r>
        <w:rPr>
          <w:spacing w:val="-83"/>
        </w:rPr>
        <w:t> </w:t>
      </w:r>
      <w:r>
        <w:rPr>
          <w:spacing w:val="-83"/>
        </w:rPr>
      </w:r>
      <w:r>
        <w:rPr>
          <w:spacing w:val="-1"/>
        </w:rPr>
        <w:t>都在开始变得智能，都对操作系统产生了需求，未来还会有更多终端加入智能互联的世界。因此公司所属</w:t>
      </w:r>
      <w:r>
        <w:rPr>
          <w:spacing w:val="-83"/>
        </w:rPr>
        <w:t> </w:t>
      </w:r>
      <w:r>
        <w:rPr>
          <w:spacing w:val="-83"/>
        </w:rPr>
      </w:r>
      <w:r>
        <w:rPr/>
        <w:t>行业市场前景广阔，拥有巨大的发展空间。</w:t>
      </w:r>
    </w:p>
    <w:p>
      <w:pPr>
        <w:spacing w:after="0" w:line="273" w:lineRule="auto"/>
        <w:jc w:val="both"/>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3499"/>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499"/>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3"/>
              <w:jc w:val="left"/>
              <w:rPr>
                <w:rFonts w:ascii="宋体" w:hAnsi="宋体" w:cs="宋体" w:eastAsia="宋体" w:hint="default"/>
                <w:sz w:val="18"/>
                <w:szCs w:val="18"/>
              </w:rPr>
            </w:pPr>
            <w:r>
              <w:rPr>
                <w:rFonts w:ascii="宋体" w:hAnsi="宋体" w:cs="宋体" w:eastAsia="宋体" w:hint="default"/>
                <w:sz w:val="18"/>
                <w:szCs w:val="18"/>
              </w:rPr>
              <w:t>新增</w:t>
            </w:r>
            <w:r>
              <w:rPr>
                <w:rFonts w:ascii="宋体" w:hAnsi="宋体" w:cs="宋体" w:eastAsia="宋体" w:hint="default"/>
                <w:spacing w:val="-46"/>
                <w:sz w:val="18"/>
                <w:szCs w:val="18"/>
              </w:rPr>
              <w:t> </w:t>
            </w:r>
            <w:r>
              <w:rPr>
                <w:rFonts w:ascii="宋体" w:hAnsi="宋体" w:cs="宋体" w:eastAsia="宋体" w:hint="default"/>
                <w:sz w:val="18"/>
                <w:szCs w:val="18"/>
              </w:rPr>
              <w:t>9,396.42</w:t>
            </w:r>
            <w:r>
              <w:rPr>
                <w:rFonts w:ascii="宋体" w:hAnsi="宋体" w:cs="宋体" w:eastAsia="宋体" w:hint="default"/>
                <w:spacing w:val="-44"/>
                <w:sz w:val="18"/>
                <w:szCs w:val="18"/>
              </w:rPr>
              <w:t> </w:t>
            </w:r>
            <w:r>
              <w:rPr>
                <w:rFonts w:ascii="宋体" w:hAnsi="宋体" w:cs="宋体" w:eastAsia="宋体" w:hint="default"/>
                <w:sz w:val="18"/>
                <w:szCs w:val="18"/>
              </w:rPr>
              <w:t>万元，主要系公司增加对外投资参股和设立联营公司所致。根据投 资性质分别在可供出售金融资产和长期股权投资列报。</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较上年末增长</w:t>
            </w:r>
            <w:r>
              <w:rPr>
                <w:rFonts w:ascii="宋体" w:hAnsi="宋体" w:cs="宋体" w:eastAsia="宋体" w:hint="default"/>
                <w:spacing w:val="-46"/>
                <w:sz w:val="18"/>
                <w:szCs w:val="18"/>
              </w:rPr>
              <w:t> </w:t>
            </w:r>
            <w:r>
              <w:rPr>
                <w:rFonts w:ascii="宋体" w:hAnsi="宋体" w:cs="宋体" w:eastAsia="宋体" w:hint="default"/>
                <w:sz w:val="18"/>
                <w:szCs w:val="18"/>
              </w:rPr>
              <w:t>14.93%</w:t>
            </w: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较上年末增长</w:t>
            </w:r>
            <w:r>
              <w:rPr>
                <w:rFonts w:ascii="宋体" w:hAnsi="宋体" w:cs="宋体" w:eastAsia="宋体" w:hint="default"/>
                <w:spacing w:val="-46"/>
                <w:sz w:val="18"/>
                <w:szCs w:val="18"/>
              </w:rPr>
              <w:t> </w:t>
            </w:r>
            <w:r>
              <w:rPr>
                <w:rFonts w:ascii="宋体" w:hAnsi="宋体" w:cs="宋体" w:eastAsia="宋体" w:hint="default"/>
                <w:sz w:val="18"/>
                <w:szCs w:val="18"/>
              </w:rPr>
              <w:t>98.76%</w:t>
            </w:r>
            <w:r>
              <w:rPr>
                <w:rFonts w:ascii="宋体" w:hAnsi="宋体" w:cs="宋体" w:eastAsia="宋体" w:hint="default"/>
                <w:sz w:val="18"/>
                <w:szCs w:val="18"/>
              </w:rPr>
              <w:t>，主要系外购办公软件增加所致。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较上年末增长</w:t>
            </w:r>
            <w:r>
              <w:rPr>
                <w:rFonts w:ascii="宋体" w:hAnsi="宋体" w:cs="宋体" w:eastAsia="宋体" w:hint="default"/>
                <w:spacing w:val="-46"/>
                <w:sz w:val="18"/>
                <w:szCs w:val="18"/>
              </w:rPr>
              <w:t> </w:t>
            </w:r>
            <w:r>
              <w:rPr>
                <w:rFonts w:ascii="宋体" w:hAnsi="宋体" w:cs="宋体" w:eastAsia="宋体" w:hint="default"/>
                <w:sz w:val="18"/>
                <w:szCs w:val="18"/>
              </w:rPr>
              <w:t>268.19%</w:t>
            </w:r>
            <w:r>
              <w:rPr>
                <w:rFonts w:ascii="宋体" w:hAnsi="宋体" w:cs="宋体" w:eastAsia="宋体" w:hint="default"/>
                <w:sz w:val="18"/>
                <w:szCs w:val="18"/>
              </w:rPr>
              <w:t>，主要系公司报告期首次公开发行股票并在创业板上市募集 资金所致。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较上年末增长</w:t>
            </w:r>
            <w:r>
              <w:rPr>
                <w:rFonts w:ascii="宋体" w:hAnsi="宋体" w:cs="宋体" w:eastAsia="宋体" w:hint="default"/>
                <w:spacing w:val="-46"/>
                <w:sz w:val="18"/>
                <w:szCs w:val="18"/>
              </w:rPr>
              <w:t> </w:t>
            </w:r>
            <w:r>
              <w:rPr>
                <w:rFonts w:ascii="宋体" w:hAnsi="宋体" w:cs="宋体" w:eastAsia="宋体" w:hint="default"/>
                <w:sz w:val="18"/>
                <w:szCs w:val="18"/>
              </w:rPr>
              <w:t>101.46%</w:t>
            </w:r>
            <w:r>
              <w:rPr>
                <w:rFonts w:ascii="宋体" w:hAnsi="宋体" w:cs="宋体" w:eastAsia="宋体" w:hint="default"/>
                <w:sz w:val="18"/>
                <w:szCs w:val="18"/>
              </w:rPr>
              <w:t>，主要系公司收入增长及个别欠款回款不及时所致。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较上年末增长</w:t>
            </w:r>
            <w:r>
              <w:rPr>
                <w:rFonts w:ascii="宋体" w:hAnsi="宋体" w:cs="宋体" w:eastAsia="宋体" w:hint="default"/>
                <w:spacing w:val="-46"/>
                <w:sz w:val="18"/>
                <w:szCs w:val="18"/>
              </w:rPr>
              <w:t> </w:t>
            </w:r>
            <w:r>
              <w:rPr>
                <w:rFonts w:ascii="宋体" w:hAnsi="宋体" w:cs="宋体" w:eastAsia="宋体" w:hint="default"/>
                <w:sz w:val="18"/>
                <w:szCs w:val="18"/>
              </w:rPr>
              <w:t>30.21%</w:t>
            </w:r>
            <w:r>
              <w:rPr>
                <w:rFonts w:ascii="宋体" w:hAnsi="宋体" w:cs="宋体" w:eastAsia="宋体" w:hint="default"/>
                <w:sz w:val="18"/>
                <w:szCs w:val="18"/>
              </w:rPr>
              <w:t>，主要系公司支付的押金、保证金和员工备用金增加所致。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较上年末增长</w:t>
            </w:r>
            <w:r>
              <w:rPr>
                <w:rFonts w:ascii="宋体" w:hAnsi="宋体" w:cs="宋体" w:eastAsia="宋体" w:hint="default"/>
                <w:spacing w:val="-46"/>
                <w:sz w:val="18"/>
                <w:szCs w:val="18"/>
              </w:rPr>
              <w:t> </w:t>
            </w:r>
            <w:r>
              <w:rPr>
                <w:rFonts w:ascii="宋体" w:hAnsi="宋体" w:cs="宋体" w:eastAsia="宋体" w:hint="default"/>
                <w:sz w:val="18"/>
                <w:szCs w:val="18"/>
              </w:rPr>
              <w:t>50.84%</w:t>
            </w:r>
            <w:r>
              <w:rPr>
                <w:rFonts w:ascii="宋体" w:hAnsi="宋体" w:cs="宋体" w:eastAsia="宋体" w:hint="default"/>
                <w:sz w:val="18"/>
                <w:szCs w:val="18"/>
              </w:rPr>
              <w:t>，主要系公司为员工提供购房借款所致。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较上年末增长</w:t>
            </w:r>
            <w:r>
              <w:rPr>
                <w:rFonts w:ascii="宋体" w:hAnsi="宋体" w:cs="宋体" w:eastAsia="宋体" w:hint="default"/>
                <w:spacing w:val="-46"/>
                <w:sz w:val="18"/>
                <w:szCs w:val="18"/>
              </w:rPr>
              <w:t> </w:t>
            </w:r>
            <w:r>
              <w:rPr>
                <w:rFonts w:ascii="宋体" w:hAnsi="宋体" w:cs="宋体" w:eastAsia="宋体" w:hint="default"/>
                <w:sz w:val="18"/>
                <w:szCs w:val="18"/>
              </w:rPr>
              <w:t>154.65%</w:t>
            </w:r>
            <w:r>
              <w:rPr>
                <w:rFonts w:ascii="宋体" w:hAnsi="宋体" w:cs="宋体" w:eastAsia="宋体" w:hint="default"/>
                <w:sz w:val="18"/>
                <w:szCs w:val="18"/>
              </w:rPr>
              <w:t>，主要系公司办公房屋装修增加所致。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较上年末增长</w:t>
            </w:r>
            <w:r>
              <w:rPr>
                <w:rFonts w:ascii="宋体" w:hAnsi="宋体" w:cs="宋体" w:eastAsia="宋体" w:hint="default"/>
                <w:spacing w:val="-46"/>
                <w:sz w:val="18"/>
                <w:szCs w:val="18"/>
              </w:rPr>
              <w:t> </w:t>
            </w:r>
            <w:r>
              <w:rPr>
                <w:rFonts w:ascii="宋体" w:hAnsi="宋体" w:cs="宋体" w:eastAsia="宋体" w:hint="default"/>
                <w:sz w:val="18"/>
                <w:szCs w:val="18"/>
              </w:rPr>
              <w:t>106.52%</w:t>
            </w:r>
            <w:r>
              <w:rPr>
                <w:rFonts w:ascii="宋体" w:hAnsi="宋体" w:cs="宋体" w:eastAsia="宋体" w:hint="default"/>
                <w:sz w:val="18"/>
                <w:szCs w:val="18"/>
              </w:rPr>
              <w:t>，主要系南京子公司预付购买办公用房款所致。</w:t>
            </w:r>
          </w:p>
        </w:tc>
      </w:tr>
    </w:tbl>
    <w:p>
      <w:pPr>
        <w:spacing w:line="240" w:lineRule="auto" w:before="3"/>
        <w:rPr>
          <w:rFonts w:ascii="宋体" w:hAnsi="宋体" w:cs="宋体" w:eastAsia="宋体" w:hint="default"/>
          <w:b/>
          <w:bCs/>
          <w:sz w:val="19"/>
          <w:szCs w:val="19"/>
        </w:rPr>
      </w:pPr>
    </w:p>
    <w:p>
      <w:pPr>
        <w:pStyle w:val="Heading3"/>
        <w:spacing w:line="240" w:lineRule="auto" w:before="35"/>
        <w:ind w:left="1134" w:right="3499"/>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3499"/>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53" w:right="0"/>
        <w:jc w:val="left"/>
      </w:pPr>
      <w:r>
        <w:rPr>
          <w:rFonts w:ascii="宋体" w:hAnsi="宋体" w:cs="宋体" w:eastAsia="宋体" w:hint="default"/>
        </w:rPr>
        <w:t>1</w:t>
      </w:r>
      <w:r>
        <w:rPr/>
        <w:t>、技术优势 </w:t>
      </w:r>
      <w:r>
        <w:rPr>
          <w:spacing w:val="-3"/>
        </w:rPr>
        <w:t>公司是国内较早开始</w:t>
      </w:r>
      <w:r>
        <w:rPr>
          <w:rFonts w:ascii="宋体" w:hAnsi="宋体" w:cs="宋体" w:eastAsia="宋体" w:hint="default"/>
          <w:spacing w:val="-3"/>
        </w:rPr>
        <w:t>Android</w:t>
      </w:r>
      <w:r>
        <w:rPr>
          <w:spacing w:val="-3"/>
        </w:rPr>
        <w:t>系统研发的公司之一，拥有</w:t>
      </w:r>
      <w:r>
        <w:rPr>
          <w:rFonts w:ascii="宋体" w:hAnsi="宋体" w:cs="宋体" w:eastAsia="宋体" w:hint="default"/>
          <w:spacing w:val="-3"/>
        </w:rPr>
        <w:t>Android</w:t>
      </w:r>
      <w:r>
        <w:rPr>
          <w:spacing w:val="-3"/>
        </w:rPr>
        <w:t>系统的综合技术能力，包括驱动技术、</w:t>
      </w:r>
    </w:p>
    <w:p>
      <w:pPr>
        <w:pStyle w:val="BodyText"/>
        <w:spacing w:line="273" w:lineRule="auto" w:before="7"/>
        <w:ind w:right="1093"/>
        <w:jc w:val="left"/>
      </w:pPr>
      <w:r>
        <w:rPr/>
        <w:t>通信协议栈、图形图像处理、运营商认证、内核技术、安全技术、电源管理、双卡双待、蓝牙协议栈等。 截至</w:t>
      </w:r>
      <w:r>
        <w:rPr>
          <w:rFonts w:ascii="宋体" w:hAnsi="宋体" w:cs="宋体" w:eastAsia="宋体" w:hint="default"/>
        </w:rPr>
        <w:t>2015</w:t>
      </w:r>
      <w:r>
        <w:rPr/>
        <w:t>年末，公司拥有员工</w:t>
      </w:r>
      <w:r>
        <w:rPr>
          <w:rFonts w:ascii="宋体" w:hAnsi="宋体" w:cs="宋体" w:eastAsia="宋体" w:hint="default"/>
        </w:rPr>
        <w:t>2,124</w:t>
      </w:r>
      <w:r>
        <w:rPr/>
        <w:t>人，其中</w:t>
      </w:r>
      <w:r>
        <w:rPr>
          <w:rFonts w:ascii="宋体" w:hAnsi="宋体" w:cs="宋体" w:eastAsia="宋体" w:hint="default"/>
        </w:rPr>
        <w:t>90.11%</w:t>
      </w:r>
      <w:r>
        <w:rPr/>
        <w:t>为研发人员。公司拥有大批优秀技术人才，特别是通 </w:t>
      </w:r>
      <w:r>
        <w:rPr>
          <w:spacing w:val="-1"/>
        </w:rPr>
        <w:t>信协议栈、图形图像处理、内核技术等领域的人才，引进难度大、培养时间长，大规模储备和培养此类人</w:t>
      </w:r>
      <w:r>
        <w:rPr>
          <w:spacing w:val="-83"/>
        </w:rPr>
        <w:t> </w:t>
      </w:r>
      <w:r>
        <w:rPr>
          <w:spacing w:val="-83"/>
        </w:rPr>
      </w:r>
      <w:r>
        <w:rPr/>
        <w:t>才对公司的综合实力要求较高。</w:t>
      </w:r>
    </w:p>
    <w:p>
      <w:pPr>
        <w:pStyle w:val="BodyText"/>
        <w:spacing w:line="273" w:lineRule="auto" w:before="7"/>
        <w:ind w:left="1554" w:right="0"/>
        <w:jc w:val="left"/>
      </w:pPr>
      <w:r>
        <w:rPr>
          <w:rFonts w:ascii="宋体" w:hAnsi="宋体" w:cs="宋体" w:eastAsia="宋体" w:hint="default"/>
        </w:rPr>
        <w:t>2</w:t>
      </w:r>
      <w:r>
        <w:rPr/>
        <w:t>、客户资源优势 </w:t>
      </w:r>
      <w:r>
        <w:rPr>
          <w:spacing w:val="-1"/>
        </w:rPr>
        <w:t>公司拥有以全球知名厂商为主的优质客户资源，并与多家客户建立了较为密切的合作伙伴关系。公司</w:t>
      </w:r>
    </w:p>
    <w:p>
      <w:pPr>
        <w:pStyle w:val="BodyText"/>
        <w:spacing w:line="273" w:lineRule="auto" w:before="7"/>
        <w:ind w:left="1134" w:right="0"/>
        <w:jc w:val="left"/>
      </w:pPr>
      <w:r>
        <w:rPr>
          <w:spacing w:val="-1"/>
        </w:rPr>
        <w:t>主要客户包括全球主要的移动芯片厂商如高通公司、展讯科技、</w:t>
      </w:r>
      <w:r>
        <w:rPr>
          <w:rFonts w:ascii="宋体" w:hAnsi="宋体" w:cs="宋体" w:eastAsia="宋体" w:hint="default"/>
          <w:spacing w:val="-1"/>
        </w:rPr>
        <w:t>ARM</w:t>
      </w:r>
      <w:r>
        <w:rPr>
          <w:spacing w:val="-1"/>
        </w:rPr>
        <w:t>、</w:t>
      </w:r>
      <w:r>
        <w:rPr>
          <w:rFonts w:ascii="宋体" w:hAnsi="宋体" w:cs="宋体" w:eastAsia="宋体" w:hint="default"/>
          <w:spacing w:val="-1"/>
        </w:rPr>
        <w:t>Intel</w:t>
      </w:r>
      <w:r>
        <w:rPr>
          <w:spacing w:val="-1"/>
        </w:rPr>
        <w:t>、三星；全球领先的移动智能</w:t>
      </w:r>
      <w:r>
        <w:rPr>
          <w:spacing w:val="-80"/>
        </w:rPr>
        <w:t> </w:t>
      </w:r>
      <w:r>
        <w:rPr>
          <w:spacing w:val="-80"/>
        </w:rPr>
      </w:r>
      <w:r>
        <w:rPr/>
        <w:t>终端厂商如华为、</w:t>
      </w:r>
      <w:r>
        <w:rPr>
          <w:rFonts w:ascii="宋体" w:hAnsi="宋体" w:cs="宋体" w:eastAsia="宋体" w:hint="default"/>
        </w:rPr>
        <w:t>TCL</w:t>
      </w:r>
      <w:r>
        <w:rPr/>
        <w:t>、索尼、夏普、富士通、三星、联想等。上述客户在移动智能终端产业链大都占有 </w:t>
      </w:r>
      <w:r>
        <w:rPr>
          <w:spacing w:val="-1"/>
        </w:rPr>
        <w:t>重要的地位，在选择供应商方面严格、谨慎，会对供应商的技术水平和综合实力进行严苛考察、评估和审</w:t>
      </w:r>
      <w:r>
        <w:rPr>
          <w:spacing w:val="-85"/>
        </w:rPr>
        <w:t> </w:t>
      </w:r>
      <w:r>
        <w:rPr>
          <w:spacing w:val="-85"/>
        </w:rPr>
      </w:r>
      <w:r>
        <w:rPr/>
        <w:t>核，重视与供应商关系的长期性和稳定性。</w:t>
      </w:r>
    </w:p>
    <w:p>
      <w:pPr>
        <w:pStyle w:val="BodyText"/>
        <w:spacing w:line="273" w:lineRule="auto" w:before="8"/>
        <w:ind w:left="1554" w:right="0"/>
        <w:jc w:val="left"/>
      </w:pPr>
      <w:r>
        <w:rPr>
          <w:rFonts w:ascii="宋体" w:hAnsi="宋体" w:cs="宋体" w:eastAsia="宋体" w:hint="default"/>
        </w:rPr>
        <w:t>3</w:t>
      </w:r>
      <w:r>
        <w:rPr/>
        <w:t>、国际化服务能力 </w:t>
      </w:r>
      <w:r>
        <w:rPr>
          <w:spacing w:val="-1"/>
        </w:rPr>
        <w:t>自设立以来，公司始终致力于建设具有国际化服务能力的研发团队和支持网络。公司目前拥有位于北</w:t>
      </w:r>
    </w:p>
    <w:p>
      <w:pPr>
        <w:pStyle w:val="BodyText"/>
        <w:spacing w:line="273" w:lineRule="auto" w:before="7"/>
        <w:ind w:left="1134" w:right="1092"/>
        <w:jc w:val="left"/>
      </w:pPr>
      <w:r>
        <w:rPr/>
        <w:t>京、上海、深圳、香港、台湾地区和日本、韩国、美国的服务中心，大部分技术人员能够以英语或日语、 韩语直接支持各国客户。服务和业务拓展网络遍布全球移动智能终端主要市场。</w:t>
      </w:r>
    </w:p>
    <w:p>
      <w:pPr>
        <w:spacing w:after="0" w:line="273"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764"/>
        <w:jc w:val="center"/>
        <w:rPr>
          <w:b w:val="0"/>
          <w:bCs w:val="0"/>
        </w:rPr>
      </w:pPr>
      <w:bookmarkStart w:name="_TOC_250007" w:id="22"/>
      <w:bookmarkStart w:name="第四节 管理层讨论与分析" w:id="23"/>
      <w:r>
        <w:rPr>
          <w:b w:val="0"/>
          <w:bCs w:val="0"/>
        </w:rPr>
      </w:r>
      <w:r>
        <w:rPr/>
        <w:t>第四节</w:t>
      </w:r>
      <w:r>
        <w:rPr>
          <w:spacing w:val="-9"/>
        </w:rPr>
        <w:t> </w:t>
      </w:r>
      <w:r>
        <w:rPr/>
        <w:t>管理层讨论与分析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4"/>
      <w:bookmarkEnd w:id="24"/>
      <w:r>
        <w:rPr>
          <w:b w:val="0"/>
          <w:bCs w:val="0"/>
        </w:rPr>
      </w:r>
      <w:r>
        <w:rPr/>
        <w:t>一、概述</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11" w:firstLine="420"/>
        <w:jc w:val="both"/>
      </w:pPr>
      <w:r>
        <w:rPr/>
        <w:t>公司自</w:t>
      </w:r>
      <w:r>
        <w:rPr>
          <w:rFonts w:ascii="宋体" w:hAnsi="宋体" w:cs="宋体" w:eastAsia="宋体" w:hint="default"/>
        </w:rPr>
        <w:t>2008</w:t>
      </w:r>
      <w:r>
        <w:rPr/>
        <w:t>年成立以来，经历了创业初期的艰难和全球经济危机的挑战。在全体员工的不懈努力下， </w:t>
      </w:r>
      <w:r>
        <w:rPr>
          <w:spacing w:val="-1"/>
        </w:rPr>
        <w:t>公司度过了早期创业难关，始终专注于操作系统核心技术，形成了“以客户为中心、坚持以团结奋斗者为</w:t>
      </w:r>
      <w:r>
        <w:rPr>
          <w:spacing w:val="-83"/>
        </w:rPr>
        <w:t> </w:t>
      </w:r>
      <w:r>
        <w:rPr>
          <w:spacing w:val="-83"/>
        </w:rPr>
      </w:r>
      <w:r>
        <w:rPr>
          <w:spacing w:val="-1"/>
        </w:rPr>
        <w:t>本、坚持以技术为核心竞争力”的企业核心价值观。得益于近年来智能手机的快速发展以及公司在操作系</w:t>
      </w:r>
      <w:r>
        <w:rPr>
          <w:spacing w:val="-81"/>
        </w:rPr>
        <w:t> </w:t>
      </w:r>
      <w:r>
        <w:rPr>
          <w:spacing w:val="-81"/>
        </w:rPr>
      </w:r>
      <w:r>
        <w:rPr>
          <w:spacing w:val="-1"/>
        </w:rPr>
        <w:t>统核心技术方面的专注和积累，公司自</w:t>
      </w:r>
      <w:r>
        <w:rPr>
          <w:rFonts w:ascii="宋体" w:hAnsi="宋体" w:cs="宋体" w:eastAsia="宋体" w:hint="default"/>
          <w:spacing w:val="-1"/>
        </w:rPr>
        <w:t>2012</w:t>
      </w:r>
      <w:r>
        <w:rPr>
          <w:spacing w:val="-1"/>
        </w:rPr>
        <w:t>年开始进入了快速发展阶段，目前已经成为全球领先的操作系</w:t>
      </w:r>
      <w:r>
        <w:rPr>
          <w:spacing w:val="-80"/>
        </w:rPr>
        <w:t> </w:t>
      </w:r>
      <w:r>
        <w:rPr>
          <w:spacing w:val="-80"/>
        </w:rPr>
      </w:r>
      <w:r>
        <w:rPr/>
        <w:t>统技术厂商。</w:t>
      </w:r>
    </w:p>
    <w:p>
      <w:pPr>
        <w:pStyle w:val="BodyText"/>
        <w:spacing w:line="273" w:lineRule="auto" w:before="7"/>
        <w:ind w:right="1093" w:firstLine="420"/>
        <w:jc w:val="left"/>
      </w:pPr>
      <w:r>
        <w:rPr>
          <w:rFonts w:ascii="宋体" w:hAnsi="宋体" w:cs="宋体" w:eastAsia="宋体" w:hint="default"/>
          <w:spacing w:val="-1"/>
        </w:rPr>
        <w:t>2015</w:t>
      </w:r>
      <w:r>
        <w:rPr>
          <w:spacing w:val="-1"/>
        </w:rPr>
        <w:t>年，是公司发展历程中具有里程碑意义的一年。公司成功登陆创业板，将有望借助资本市场的力</w:t>
      </w:r>
      <w:r>
        <w:rPr/>
        <w:t> 量实现飞跃发展，将公司做持久、做强、做大。同时，</w:t>
      </w:r>
      <w:r>
        <w:rPr>
          <w:rFonts w:ascii="宋体" w:hAnsi="宋体" w:cs="宋体" w:eastAsia="宋体" w:hint="default"/>
        </w:rPr>
        <w:t>2015</w:t>
      </w:r>
      <w:r>
        <w:rPr/>
        <w:t>年也是公司实施</w:t>
      </w:r>
      <w:r>
        <w:rPr>
          <w:rFonts w:ascii="宋体" w:hAnsi="宋体" w:cs="宋体" w:eastAsia="宋体" w:hint="default"/>
        </w:rPr>
        <w:t>2.0</w:t>
      </w:r>
      <w:r>
        <w:rPr/>
        <w:t>转型升级战略奠定基础的 一年。通过持续的技术研发投入，公司主营业务面向的领域已经从智能手机渗透到智能车载和以无人机、 </w:t>
      </w:r>
      <w:r>
        <w:rPr>
          <w:rFonts w:ascii="宋体" w:hAnsi="宋体" w:cs="宋体" w:eastAsia="宋体" w:hint="default"/>
        </w:rPr>
        <w:t>VR</w:t>
      </w:r>
      <w:r>
        <w:rPr/>
        <w:t>、机器人、</w:t>
      </w:r>
      <w:r>
        <w:rPr>
          <w:rFonts w:ascii="宋体" w:hAnsi="宋体" w:cs="宋体" w:eastAsia="宋体" w:hint="default"/>
        </w:rPr>
        <w:t>IP</w:t>
      </w:r>
      <w:r>
        <w:rPr>
          <w:rFonts w:ascii="宋体" w:hAnsi="宋体" w:cs="宋体" w:eastAsia="宋体" w:hint="default"/>
          <w:spacing w:val="-4"/>
        </w:rPr>
        <w:t> </w:t>
      </w:r>
      <w:r>
        <w:rPr>
          <w:rFonts w:ascii="宋体" w:hAnsi="宋体" w:cs="宋体" w:eastAsia="宋体" w:hint="default"/>
        </w:rPr>
        <w:t>Camera</w:t>
      </w:r>
      <w:r>
        <w:rPr/>
        <w:t>为主的智能硬件，并有望在新的业务领域形成以产品和</w:t>
      </w:r>
      <w:r>
        <w:rPr>
          <w:rFonts w:ascii="宋体" w:hAnsi="宋体" w:cs="宋体" w:eastAsia="宋体" w:hint="default"/>
        </w:rPr>
        <w:t>IP</w:t>
      </w:r>
      <w:r>
        <w:rPr/>
        <w:t>销售为主的盈利模式。</w:t>
      </w:r>
    </w:p>
    <w:p>
      <w:pPr>
        <w:pStyle w:val="BodyText"/>
        <w:spacing w:line="273" w:lineRule="auto" w:before="7"/>
        <w:ind w:right="1198" w:firstLine="420"/>
        <w:jc w:val="left"/>
      </w:pPr>
      <w:r>
        <w:rPr/>
        <w:t>报告期公司实现营业收入</w:t>
      </w:r>
      <w:r>
        <w:rPr>
          <w:rFonts w:ascii="宋体" w:hAnsi="宋体" w:cs="宋体" w:eastAsia="宋体" w:hint="default"/>
        </w:rPr>
        <w:t>61,546.33</w:t>
      </w:r>
      <w:r>
        <w:rPr/>
        <w:t>万元，较上年度增长</w:t>
      </w:r>
      <w:r>
        <w:rPr>
          <w:rFonts w:ascii="宋体" w:hAnsi="宋体" w:cs="宋体" w:eastAsia="宋体" w:hint="default"/>
        </w:rPr>
        <w:t>36.10%</w:t>
      </w:r>
      <w:r>
        <w:rPr/>
        <w:t>；实现归属于上市公司股东的净利润 </w:t>
      </w:r>
      <w:r>
        <w:rPr>
          <w:rFonts w:ascii="宋体" w:hAnsi="宋体" w:cs="宋体" w:eastAsia="宋体" w:hint="default"/>
        </w:rPr>
        <w:t>11,660.94</w:t>
      </w:r>
      <w:r>
        <w:rPr/>
        <w:t>万元，较上年度增长</w:t>
      </w:r>
      <w:r>
        <w:rPr>
          <w:rFonts w:ascii="宋体" w:hAnsi="宋体" w:cs="宋体" w:eastAsia="宋体" w:hint="default"/>
        </w:rPr>
        <w:t>3.83%</w:t>
      </w:r>
      <w:r>
        <w:rPr/>
        <w:t>。报告期主营业务的开展情况如下：</w:t>
      </w:r>
    </w:p>
    <w:p>
      <w:pPr>
        <w:pStyle w:val="BodyText"/>
        <w:spacing w:line="273" w:lineRule="auto" w:before="7"/>
        <w:ind w:left="1553" w:right="1198"/>
        <w:jc w:val="left"/>
      </w:pPr>
      <w:r>
        <w:rPr/>
        <w:t>（一）智能手机业务持续增长 报告期公司面向智能手机的核心业务实现营业收入</w:t>
      </w:r>
      <w:r>
        <w:rPr>
          <w:rFonts w:ascii="宋体" w:hAnsi="宋体" w:cs="宋体" w:eastAsia="宋体" w:hint="default"/>
        </w:rPr>
        <w:t>52,618.13</w:t>
      </w:r>
      <w:r>
        <w:rPr/>
        <w:t>万元，较上年度增长</w:t>
      </w:r>
      <w:r>
        <w:rPr>
          <w:rFonts w:ascii="宋体" w:hAnsi="宋体" w:cs="宋体" w:eastAsia="宋体" w:hint="default"/>
        </w:rPr>
        <w:t>31.48%</w:t>
      </w:r>
      <w:r>
        <w:rPr/>
        <w:t>。尽管近年</w:t>
      </w:r>
    </w:p>
    <w:p>
      <w:pPr>
        <w:pStyle w:val="BodyText"/>
        <w:spacing w:line="273" w:lineRule="auto" w:before="7"/>
        <w:ind w:right="1130"/>
        <w:jc w:val="both"/>
      </w:pPr>
      <w:r>
        <w:rPr>
          <w:spacing w:val="-1"/>
        </w:rPr>
        <w:t>来全球智能手机出货量增速有所放缓，但仍然有巨大的市场空间。公司凭借在操作系统方面业已积累起的</w:t>
      </w:r>
      <w:r>
        <w:rPr>
          <w:spacing w:val="-81"/>
        </w:rPr>
        <w:t> </w:t>
      </w:r>
      <w:r>
        <w:rPr>
          <w:spacing w:val="-81"/>
        </w:rPr>
      </w:r>
      <w:r>
        <w:rPr>
          <w:spacing w:val="-1"/>
        </w:rPr>
        <w:t>技术优势以及和全球知名的移动芯片厂商、智能终端厂商建立起的长期稳固合作关系，自</w:t>
      </w:r>
      <w:r>
        <w:rPr>
          <w:rFonts w:ascii="宋体" w:hAnsi="宋体" w:cs="宋体" w:eastAsia="宋体" w:hint="default"/>
          <w:spacing w:val="-1"/>
        </w:rPr>
        <w:t>2012</w:t>
      </w:r>
      <w:r>
        <w:rPr>
          <w:spacing w:val="-1"/>
        </w:rPr>
        <w:t>年以来业务</w:t>
      </w:r>
      <w:r>
        <w:rPr>
          <w:spacing w:val="-78"/>
        </w:rPr>
        <w:t> </w:t>
      </w:r>
      <w:r>
        <w:rPr/>
        <w:t>收入始终保持年均约</w:t>
      </w:r>
      <w:r>
        <w:rPr>
          <w:rFonts w:ascii="宋体" w:hAnsi="宋体" w:cs="宋体" w:eastAsia="宋体" w:hint="default"/>
        </w:rPr>
        <w:t>30%</w:t>
      </w:r>
      <w:r>
        <w:rPr/>
        <w:t>的增长，成为公司利润的主要来源。</w:t>
      </w:r>
    </w:p>
    <w:p>
      <w:pPr>
        <w:pStyle w:val="BodyText"/>
        <w:spacing w:line="240" w:lineRule="auto" w:before="8"/>
        <w:ind w:left="1553" w:right="3499"/>
        <w:jc w:val="left"/>
      </w:pPr>
      <w:r>
        <w:rPr/>
        <w:t>（二）智能车载业务快速发展</w:t>
      </w:r>
    </w:p>
    <w:p>
      <w:pPr>
        <w:pStyle w:val="BodyText"/>
        <w:spacing w:line="273" w:lineRule="auto" w:before="37"/>
        <w:ind w:right="1129" w:firstLine="420"/>
        <w:jc w:val="both"/>
      </w:pPr>
      <w:r>
        <w:rPr/>
        <w:t>随着特斯拉汽车的推出，近年来车载信息娱乐系统</w:t>
      </w:r>
      <w:r>
        <w:rPr>
          <w:rFonts w:ascii="宋体" w:hAnsi="宋体" w:cs="宋体" w:eastAsia="宋体" w:hint="default"/>
        </w:rPr>
        <w:t>IVI</w:t>
      </w:r>
      <w:r>
        <w:rPr/>
        <w:t>（</w:t>
      </w:r>
      <w:r>
        <w:rPr>
          <w:rFonts w:ascii="宋体" w:hAnsi="宋体" w:cs="宋体" w:eastAsia="宋体" w:hint="default"/>
        </w:rPr>
        <w:t>In-Vehicle</w:t>
      </w:r>
      <w:r>
        <w:rPr>
          <w:rFonts w:ascii="宋体" w:hAnsi="宋体" w:cs="宋体" w:eastAsia="宋体" w:hint="default"/>
          <w:spacing w:val="-26"/>
        </w:rPr>
        <w:t> </w:t>
      </w:r>
      <w:r>
        <w:rPr>
          <w:rFonts w:ascii="宋体" w:hAnsi="宋体" w:cs="宋体" w:eastAsia="宋体" w:hint="default"/>
        </w:rPr>
        <w:t>Infotainment</w:t>
      </w:r>
      <w:r>
        <w:rPr/>
        <w:t>）市场需求快速增 长。汽车已经成为新的移动智能终端，先进辅助驾驶系统</w:t>
      </w:r>
      <w:r>
        <w:rPr>
          <w:rFonts w:ascii="宋体" w:hAnsi="宋体" w:cs="宋体" w:eastAsia="宋体" w:hint="default"/>
        </w:rPr>
        <w:t>ADAS</w:t>
      </w:r>
      <w:r>
        <w:rPr/>
        <w:t>（</w:t>
      </w:r>
      <w:r>
        <w:rPr>
          <w:rFonts w:ascii="宋体" w:hAnsi="宋体" w:cs="宋体" w:eastAsia="宋体" w:hint="default"/>
        </w:rPr>
        <w:t>Advanced Driver Assistant</w:t>
      </w:r>
      <w:r>
        <w:rPr>
          <w:rFonts w:ascii="宋体" w:hAnsi="宋体" w:cs="宋体" w:eastAsia="宋体" w:hint="default"/>
          <w:spacing w:val="-24"/>
        </w:rPr>
        <w:t> </w:t>
      </w:r>
      <w:r>
        <w:rPr>
          <w:rFonts w:ascii="宋体" w:hAnsi="宋体" w:cs="宋体" w:eastAsia="宋体" w:hint="default"/>
        </w:rPr>
        <w:t>System</w:t>
      </w:r>
      <w:r>
        <w:rPr/>
        <w:t>）以</w:t>
      </w:r>
      <w:r>
        <w:rPr>
          <w:spacing w:val="1"/>
        </w:rPr>
        <w:t> </w:t>
      </w:r>
      <w:r>
        <w:rPr/>
        <w:t>及无人驾驶将成为汽车未来的发展趋势，未来市场前景广阔。</w:t>
      </w:r>
    </w:p>
    <w:p>
      <w:pPr>
        <w:pStyle w:val="BodyText"/>
        <w:spacing w:line="273" w:lineRule="auto" w:before="7"/>
        <w:ind w:right="1131" w:firstLine="420"/>
        <w:jc w:val="left"/>
      </w:pPr>
      <w:r>
        <w:rPr>
          <w:spacing w:val="-1"/>
        </w:rPr>
        <w:t>公司自</w:t>
      </w:r>
      <w:r>
        <w:rPr>
          <w:rFonts w:ascii="宋体" w:hAnsi="宋体" w:cs="宋体" w:eastAsia="宋体" w:hint="default"/>
          <w:spacing w:val="-1"/>
        </w:rPr>
        <w:t>2014</w:t>
      </w:r>
      <w:r>
        <w:rPr>
          <w:spacing w:val="-1"/>
        </w:rPr>
        <w:t>年开始布局车载业务，目前已经与日本、中国等部分知名车厂及一级供应商建立了合作关</w:t>
      </w:r>
      <w:r>
        <w:rPr/>
        <w:t> 系，报告期实现营业收入</w:t>
      </w:r>
      <w:r>
        <w:rPr>
          <w:rFonts w:ascii="宋体" w:hAnsi="宋体" w:cs="宋体" w:eastAsia="宋体" w:hint="default"/>
        </w:rPr>
        <w:t>2,735.87</w:t>
      </w:r>
      <w:r>
        <w:rPr/>
        <w:t>万元。公司于</w:t>
      </w:r>
      <w:r>
        <w:rPr>
          <w:rFonts w:ascii="宋体" w:hAnsi="宋体" w:cs="宋体" w:eastAsia="宋体" w:hint="default"/>
        </w:rPr>
        <w:t>2016</w:t>
      </w:r>
      <w:r>
        <w:rPr/>
        <w:t>年</w:t>
      </w:r>
      <w:r>
        <w:rPr>
          <w:rFonts w:ascii="宋体" w:hAnsi="宋体" w:cs="宋体" w:eastAsia="宋体" w:hint="default"/>
        </w:rPr>
        <w:t>4</w:t>
      </w:r>
      <w:r>
        <w:rPr/>
        <w:t>月收购专业车载系统厂商北京爱普新思电子技术 有限公司和北京慧驰科技有限公司</w:t>
      </w:r>
      <w:r>
        <w:rPr>
          <w:rFonts w:ascii="宋体" w:hAnsi="宋体" w:cs="宋体" w:eastAsia="宋体" w:hint="default"/>
        </w:rPr>
        <w:t>100%</w:t>
      </w:r>
      <w:r>
        <w:rPr/>
        <w:t>股权（详见公司</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11</w:t>
      </w:r>
      <w:r>
        <w:rPr/>
        <w:t>日编号：</w:t>
      </w:r>
      <w:r>
        <w:rPr>
          <w:rFonts w:ascii="宋体" w:hAnsi="宋体" w:cs="宋体" w:eastAsia="宋体" w:hint="default"/>
        </w:rPr>
        <w:t>2016-019</w:t>
      </w:r>
      <w:r>
        <w:rPr/>
        <w:t>号公告），将进一 步加大车载业务拓展力度。</w:t>
      </w:r>
    </w:p>
    <w:p>
      <w:pPr>
        <w:pStyle w:val="BodyText"/>
        <w:spacing w:line="240" w:lineRule="auto" w:before="7"/>
        <w:ind w:left="1553" w:right="3499"/>
        <w:jc w:val="left"/>
      </w:pPr>
      <w:r>
        <w:rPr/>
        <w:t>（三）智能硬件业务加速布局</w:t>
      </w:r>
    </w:p>
    <w:p>
      <w:pPr>
        <w:pStyle w:val="BodyText"/>
        <w:spacing w:line="273" w:lineRule="auto" w:before="37"/>
        <w:ind w:right="1118" w:firstLine="420"/>
        <w:jc w:val="left"/>
      </w:pPr>
      <w:r>
        <w:rPr/>
        <w:t>报告期公司在智能硬件领域，特别是无人机、</w:t>
      </w:r>
      <w:r>
        <w:rPr>
          <w:rFonts w:ascii="宋体" w:hAnsi="宋体" w:cs="宋体" w:eastAsia="宋体" w:hint="default"/>
        </w:rPr>
        <w:t>VR</w:t>
      </w:r>
      <w:r>
        <w:rPr/>
        <w:t>、机器人和</w:t>
      </w:r>
      <w:r>
        <w:rPr>
          <w:rFonts w:ascii="宋体" w:hAnsi="宋体" w:cs="宋体" w:eastAsia="宋体" w:hint="default"/>
        </w:rPr>
        <w:t>IP</w:t>
      </w:r>
      <w:r>
        <w:rPr>
          <w:rFonts w:ascii="宋体" w:hAnsi="宋体" w:cs="宋体" w:eastAsia="宋体" w:hint="default"/>
          <w:spacing w:val="-3"/>
        </w:rPr>
        <w:t> </w:t>
      </w:r>
      <w:r>
        <w:rPr>
          <w:rFonts w:ascii="宋体" w:hAnsi="宋体" w:cs="宋体" w:eastAsia="宋体" w:hint="default"/>
        </w:rPr>
        <w:t>Camera</w:t>
      </w:r>
      <w:r>
        <w:rPr/>
        <w:t>方向进行了重点布局，不断加 </w:t>
      </w:r>
      <w:r>
        <w:rPr>
          <w:spacing w:val="-1"/>
        </w:rPr>
        <w:t>大研发力度，并已初见成效，报告期实现营业收入</w:t>
      </w:r>
      <w:r>
        <w:rPr>
          <w:rFonts w:ascii="宋体" w:hAnsi="宋体" w:cs="宋体" w:eastAsia="宋体" w:hint="default"/>
          <w:spacing w:val="-1"/>
        </w:rPr>
        <w:t>2,705.11</w:t>
      </w:r>
      <w:r>
        <w:rPr>
          <w:spacing w:val="-1"/>
        </w:rPr>
        <w:t>万元。公司面向无人机厂商销售的智能大脑模</w:t>
      </w:r>
      <w:r>
        <w:rPr>
          <w:spacing w:val="-81"/>
        </w:rPr>
        <w:t> </w:t>
      </w:r>
      <w:r>
        <w:rPr>
          <w:spacing w:val="-81"/>
        </w:rPr>
      </w:r>
      <w:r>
        <w:rPr>
          <w:spacing w:val="-1"/>
        </w:rPr>
        <w:t>块已经研发完成，为客户提供芯片</w:t>
      </w:r>
      <w:r>
        <w:rPr>
          <w:rFonts w:ascii="宋体" w:hAnsi="宋体" w:cs="宋体" w:eastAsia="宋体" w:hint="default"/>
          <w:spacing w:val="-1"/>
        </w:rPr>
        <w:t>+</w:t>
      </w:r>
      <w:r>
        <w:rPr>
          <w:spacing w:val="-1"/>
        </w:rPr>
        <w:t>操作系统</w:t>
      </w:r>
      <w:r>
        <w:rPr>
          <w:rFonts w:ascii="宋体" w:hAnsi="宋体" w:cs="宋体" w:eastAsia="宋体" w:hint="default"/>
          <w:spacing w:val="-1"/>
        </w:rPr>
        <w:t>+</w:t>
      </w:r>
      <w:r>
        <w:rPr>
          <w:spacing w:val="-1"/>
        </w:rPr>
        <w:t>核心算法的整体解决方案，预计从</w:t>
      </w:r>
      <w:r>
        <w:rPr>
          <w:rFonts w:ascii="宋体" w:hAnsi="宋体" w:cs="宋体" w:eastAsia="宋体" w:hint="default"/>
          <w:spacing w:val="-1"/>
        </w:rPr>
        <w:t>2016</w:t>
      </w:r>
      <w:r>
        <w:rPr>
          <w:spacing w:val="-1"/>
        </w:rPr>
        <w:t>年二季度开始向客户</w:t>
      </w:r>
      <w:r>
        <w:rPr>
          <w:spacing w:val="-82"/>
        </w:rPr>
        <w:t> </w:t>
      </w:r>
      <w:r>
        <w:rPr>
          <w:spacing w:val="-82"/>
        </w:rPr>
      </w:r>
      <w:r>
        <w:rPr/>
        <w:t>发货。</w:t>
      </w:r>
    </w:p>
    <w:p>
      <w:pPr>
        <w:pStyle w:val="BodyText"/>
        <w:spacing w:line="271" w:lineRule="auto" w:before="7"/>
        <w:ind w:right="0" w:firstLine="420"/>
        <w:jc w:val="left"/>
      </w:pPr>
      <w:r>
        <w:rPr/>
        <w:t>在加强自身研发投入的同时，公司与全球领先的芯片技术公司</w:t>
      </w:r>
      <w:r>
        <w:rPr>
          <w:rFonts w:ascii="宋体" w:hAnsi="宋体" w:cs="宋体" w:eastAsia="宋体" w:hint="default"/>
        </w:rPr>
        <w:t>ARM</w:t>
      </w:r>
      <w:r>
        <w:rPr/>
        <w:t>和高通公司分别成立了面向智能硬 件的合资公司，进一步打造和提升公司在智能硬件生态系统中的影响力。</w:t>
      </w:r>
    </w:p>
    <w:p>
      <w:pPr>
        <w:pStyle w:val="BodyText"/>
        <w:spacing w:line="273" w:lineRule="auto" w:before="10"/>
        <w:ind w:left="1134" w:right="1111" w:firstLine="420"/>
        <w:jc w:val="both"/>
      </w:pPr>
      <w:r>
        <w:rPr/>
        <w:t>本公司上述车载、智能硬件业务刚刚起步，营业收入规模尚小。未来如果新业务市场拓展不及预期、 </w:t>
      </w:r>
      <w:r>
        <w:rPr>
          <w:spacing w:val="-1"/>
        </w:rPr>
        <w:t>产品研发进度延误、产品不能满足客户需求，将对公司经营业绩造成不利影响，公司提示广大投资者注意</w:t>
      </w:r>
      <w:r>
        <w:rPr>
          <w:spacing w:val="-83"/>
        </w:rPr>
        <w:t> </w:t>
      </w:r>
      <w:r>
        <w:rPr>
          <w:spacing w:val="-83"/>
        </w:rPr>
      </w:r>
      <w:r>
        <w:rPr/>
        <w:t>投资风险。</w:t>
      </w:r>
    </w:p>
    <w:p>
      <w:pPr>
        <w:spacing w:after="0" w:line="273" w:lineRule="auto"/>
        <w:jc w:val="both"/>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3499"/>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35" w:lineRule="auto" w:before="0"/>
        <w:ind w:left="1133" w:right="5503" w:firstLine="0"/>
        <w:jc w:val="left"/>
        <w:rPr>
          <w:rFonts w:ascii="宋体" w:hAnsi="宋体" w:cs="宋体" w:eastAsia="宋体" w:hint="default"/>
          <w:sz w:val="21"/>
          <w:szCs w:val="21"/>
        </w:rPr>
      </w:pPr>
      <w:bookmarkStart w:name="1、概述" w:id="26"/>
      <w:bookmarkEnd w:id="26"/>
      <w:r>
        <w:rPr/>
      </w:r>
      <w:r>
        <w:rPr>
          <w:rFonts w:ascii="宋体" w:hAnsi="宋体" w:cs="宋体" w:eastAsia="宋体"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99"/>
          <w:sz w:val="21"/>
          <w:szCs w:val="21"/>
        </w:rPr>
        <w:t> </w:t>
      </w:r>
      <w:r>
        <w:rPr>
          <w:rFonts w:ascii="宋体" w:hAnsi="宋体" w:cs="宋体" w:eastAsia="宋体" w:hint="default"/>
          <w:sz w:val="21"/>
          <w:szCs w:val="21"/>
        </w:rPr>
        <w:t>参见“管理层讨论与分析”中的“一、概述”相关内容。 </w:t>
      </w:r>
      <w:bookmarkStart w:name="2、收入与成本" w:id="27"/>
      <w:bookmarkEnd w:id="27"/>
      <w:r>
        <w:rPr>
          <w:rFonts w:ascii="宋体" w:hAnsi="宋体" w:cs="宋体" w:eastAsia="宋体" w:hint="default"/>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37"/>
        <w:ind w:right="3499"/>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615,463,339.97</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452,209,594.09</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36.10%</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615,463,339.97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452,209,594.09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220,956,920.51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147,541,587.93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32.63%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247,144,325.36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205,094,064.13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45.35%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软件许可</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130,041,736.71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85,820,167.23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18.98%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商品销售及其他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17,320,357.39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13,753,774.80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293,544,264.54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220,422,159.07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48.74%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欧美</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129,952,006.09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76,799,831.58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16.98%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69.21%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136,382,605.64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139,607,648.07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30.87%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其他国家或地区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55,584,463.70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15,379,955.37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261.41%</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before="44"/>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615,463,339.97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298,113,976.63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220,956,920.51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129,980,857.27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77.19%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-9.11%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247,144,325.36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111,794,315.10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软件许可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130,041,736.71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41,166,723.73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293,544,264.54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130,535,878.71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129,952,006.09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52,450,429.77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136,382,605.64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80,357,246.49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其他国家或地区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55,584,463.70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34,770,421.66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499.82%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3499"/>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right="3499"/>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6" w:lineRule="auto" w:before="75"/>
        <w:ind w:right="0" w:firstLine="420"/>
        <w:jc w:val="left"/>
      </w:pPr>
      <w:r>
        <w:rPr/>
        <w:t>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月起，公司向展讯通信提供知识产权许可，知识产权许可期限自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2014 </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31</w:t>
      </w:r>
      <w:r>
        <w:rPr>
          <w:spacing w:val="-1"/>
        </w:rPr>
        <w:t>日止。</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7</w:t>
      </w:r>
      <w:r>
        <w:rPr>
          <w:spacing w:val="-1"/>
        </w:rPr>
        <w:t>月，公司与展讯通信（上海）有限公司续签协议，协议有效期为</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w:t>
      </w:r>
      <w:r>
        <w:rPr>
          <w:spacing w:val="-1"/>
        </w:rPr>
        <w:t>日至</w:t>
      </w:r>
      <w:r>
        <w:rPr>
          <w:spacing w:val="-79"/>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月，公司与展讯通信（上海）有限公司进一步签署了知识产权许可协议，有效 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日。相关协议的具体情况见下表。</w:t>
      </w:r>
    </w:p>
    <w:tbl>
      <w:tblPr>
        <w:tblW w:w="0" w:type="auto"/>
        <w:jc w:val="left"/>
        <w:tblInd w:w="1126" w:type="dxa"/>
        <w:tblLayout w:type="fixed"/>
        <w:tblCellMar>
          <w:top w:w="0" w:type="dxa"/>
          <w:left w:w="0" w:type="dxa"/>
          <w:bottom w:w="0" w:type="dxa"/>
          <w:right w:w="0" w:type="dxa"/>
        </w:tblCellMar>
        <w:tblLook w:val="01E0"/>
      </w:tblPr>
      <w:tblGrid>
        <w:gridCol w:w="647"/>
        <w:gridCol w:w="1082"/>
        <w:gridCol w:w="2835"/>
        <w:gridCol w:w="1277"/>
        <w:gridCol w:w="1276"/>
        <w:gridCol w:w="1514"/>
        <w:gridCol w:w="1037"/>
      </w:tblGrid>
      <w:tr>
        <w:trPr>
          <w:trHeight w:val="348" w:hRule="exact"/>
        </w:trPr>
        <w:tc>
          <w:tcPr>
            <w:tcW w:w="6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合同名称</w:t>
            </w:r>
            <w:r>
              <w:rPr>
                <w:rFonts w:ascii="宋体" w:hAnsi="宋体" w:cs="宋体" w:eastAsia="宋体" w:hint="default"/>
                <w:sz w:val="21"/>
                <w:szCs w:val="21"/>
              </w:rPr>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合同内容</w:t>
            </w:r>
            <w:r>
              <w:rPr>
                <w:rFonts w:ascii="宋体" w:hAnsi="宋体" w:cs="宋体" w:eastAsia="宋体" w:hint="default"/>
                <w:sz w:val="21"/>
                <w:szCs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09" w:right="0"/>
              <w:jc w:val="left"/>
              <w:rPr>
                <w:rFonts w:ascii="宋体" w:hAnsi="宋体" w:cs="宋体" w:eastAsia="宋体" w:hint="default"/>
                <w:sz w:val="21"/>
                <w:szCs w:val="21"/>
              </w:rPr>
            </w:pPr>
            <w:r>
              <w:rPr>
                <w:rFonts w:ascii="宋体" w:hAnsi="宋体" w:cs="宋体" w:eastAsia="宋体" w:hint="default"/>
                <w:b/>
                <w:bCs/>
                <w:sz w:val="21"/>
                <w:szCs w:val="21"/>
              </w:rPr>
              <w:t>客户名称</w:t>
            </w:r>
            <w:r>
              <w:rPr>
                <w:rFonts w:ascii="宋体" w:hAnsi="宋体" w:cs="宋体" w:eastAsia="宋体" w:hint="default"/>
                <w:sz w:val="21"/>
                <w:szCs w:val="21"/>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合同总价款</w:t>
            </w:r>
            <w:r>
              <w:rPr>
                <w:rFonts w:ascii="宋体" w:hAnsi="宋体" w:cs="宋体" w:eastAsia="宋体" w:hint="default"/>
                <w:sz w:val="21"/>
                <w:szCs w:val="21"/>
              </w:rPr>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27" w:right="0"/>
              <w:jc w:val="left"/>
              <w:rPr>
                <w:rFonts w:ascii="宋体" w:hAnsi="宋体" w:cs="宋体" w:eastAsia="宋体" w:hint="default"/>
                <w:sz w:val="21"/>
                <w:szCs w:val="21"/>
              </w:rPr>
            </w:pPr>
            <w:r>
              <w:rPr>
                <w:rFonts w:ascii="宋体" w:hAnsi="宋体" w:cs="宋体" w:eastAsia="宋体" w:hint="default"/>
                <w:b/>
                <w:bCs/>
                <w:sz w:val="21"/>
                <w:szCs w:val="21"/>
              </w:rPr>
              <w:t>合同期限</w:t>
            </w:r>
            <w:r>
              <w:rPr>
                <w:rFonts w:ascii="宋体" w:hAnsi="宋体" w:cs="宋体" w:eastAsia="宋体" w:hint="default"/>
                <w:sz w:val="21"/>
                <w:szCs w:val="21"/>
              </w:rPr>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88" w:right="0"/>
              <w:jc w:val="left"/>
              <w:rPr>
                <w:rFonts w:ascii="宋体" w:hAnsi="宋体" w:cs="宋体" w:eastAsia="宋体" w:hint="default"/>
                <w:sz w:val="21"/>
                <w:szCs w:val="21"/>
              </w:rPr>
            </w:pPr>
            <w:r>
              <w:rPr>
                <w:rFonts w:ascii="宋体" w:hAnsi="宋体" w:cs="宋体" w:eastAsia="宋体" w:hint="default"/>
                <w:b/>
                <w:bCs/>
                <w:sz w:val="21"/>
                <w:szCs w:val="21"/>
              </w:rPr>
              <w:t>履行情况</w:t>
            </w:r>
            <w:r>
              <w:rPr>
                <w:rFonts w:ascii="宋体" w:hAnsi="宋体" w:cs="宋体" w:eastAsia="宋体" w:hint="default"/>
                <w:sz w:val="21"/>
                <w:szCs w:val="21"/>
              </w:rPr>
            </w:r>
          </w:p>
        </w:tc>
      </w:tr>
      <w:tr>
        <w:trPr>
          <w:trHeight w:val="971" w:hRule="exact"/>
        </w:trPr>
        <w:tc>
          <w:tcPr>
            <w:tcW w:w="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合作协议</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14"/>
              <w:jc w:val="both"/>
              <w:rPr>
                <w:rFonts w:ascii="宋体" w:hAnsi="宋体" w:cs="宋体" w:eastAsia="宋体" w:hint="default"/>
                <w:sz w:val="21"/>
                <w:szCs w:val="21"/>
              </w:rPr>
            </w:pPr>
            <w:r>
              <w:rPr>
                <w:rFonts w:ascii="宋体" w:hAnsi="宋体" w:cs="宋体" w:eastAsia="宋体" w:hint="default"/>
                <w:sz w:val="21"/>
                <w:szCs w:val="21"/>
              </w:rPr>
              <w:t>本公司授权展讯上海及其关联 方使用本公司拥有的</w:t>
            </w:r>
            <w:r>
              <w:rPr>
                <w:rFonts w:ascii="Times New Roman" w:hAnsi="Times New Roman" w:cs="Times New Roman" w:eastAsia="Times New Roman" w:hint="default"/>
                <w:sz w:val="21"/>
                <w:szCs w:val="21"/>
              </w:rPr>
              <w:t>Android</w:t>
            </w:r>
            <w:r>
              <w:rPr>
                <w:rFonts w:ascii="宋体" w:hAnsi="宋体" w:cs="宋体" w:eastAsia="宋体" w:hint="default"/>
                <w:sz w:val="21"/>
                <w:szCs w:val="21"/>
              </w:rPr>
              <w:t>业 务相关知识产权</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0"/>
              <w:jc w:val="left"/>
              <w:rPr>
                <w:rFonts w:ascii="宋体" w:hAnsi="宋体" w:cs="宋体" w:eastAsia="宋体" w:hint="default"/>
                <w:sz w:val="21"/>
                <w:szCs w:val="21"/>
              </w:rPr>
            </w:pPr>
            <w:r>
              <w:rPr>
                <w:rFonts w:ascii="宋体" w:hAnsi="宋体" w:cs="宋体" w:eastAsia="宋体" w:hint="default"/>
                <w:sz w:val="21"/>
                <w:szCs w:val="21"/>
              </w:rPr>
              <w:t>展讯通信（上 海）有限公司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right"/>
              <w:rPr>
                <w:rFonts w:ascii="宋体" w:hAnsi="宋体" w:cs="宋体" w:eastAsia="宋体" w:hint="default"/>
                <w:sz w:val="21"/>
                <w:szCs w:val="21"/>
              </w:rPr>
            </w:pPr>
            <w:r>
              <w:rPr>
                <w:rFonts w:ascii="Times New Roman" w:hAnsi="Times New Roman" w:cs="Times New Roman" w:eastAsia="Times New Roman" w:hint="default"/>
                <w:sz w:val="21"/>
                <w:szCs w:val="21"/>
              </w:rPr>
              <w:t>13,057.20</w:t>
            </w:r>
            <w:r>
              <w:rPr>
                <w:rFonts w:ascii="宋体" w:hAnsi="宋体" w:cs="宋体" w:eastAsia="宋体" w:hint="default"/>
                <w:sz w:val="21"/>
                <w:szCs w:val="21"/>
              </w:rPr>
              <w:t>万</w:t>
            </w:r>
          </w:p>
          <w:p>
            <w:pPr>
              <w:pStyle w:val="TableParagraph"/>
              <w:spacing w:line="240" w:lineRule="auto" w:before="21"/>
              <w:ind w:right="0"/>
              <w:jc w:val="right"/>
              <w:rPr>
                <w:rFonts w:ascii="宋体" w:hAnsi="宋体" w:cs="宋体" w:eastAsia="宋体" w:hint="default"/>
                <w:sz w:val="21"/>
                <w:szCs w:val="21"/>
              </w:rPr>
            </w:pPr>
            <w:r>
              <w:rPr>
                <w:rFonts w:ascii="宋体" w:hAnsi="宋体" w:cs="宋体" w:eastAsia="宋体" w:hint="default"/>
                <w:sz w:val="21"/>
                <w:szCs w:val="21"/>
              </w:rPr>
              <w:t>元</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25"/>
              <w:jc w:val="left"/>
              <w:rPr>
                <w:rFonts w:ascii="宋体" w:hAnsi="宋体" w:cs="宋体" w:eastAsia="宋体" w:hint="default"/>
                <w:sz w:val="21"/>
                <w:szCs w:val="21"/>
              </w:rPr>
            </w:pPr>
            <w:r>
              <w:rPr>
                <w:rFonts w:ascii="宋体" w:hAnsi="宋体" w:cs="宋体" w:eastAsia="宋体" w:hint="default"/>
                <w:sz w:val="21"/>
                <w:szCs w:val="21"/>
              </w:rPr>
              <w:t>自</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 </w:t>
            </w:r>
            <w:r>
              <w:rPr>
                <w:rFonts w:ascii="宋体" w:hAnsi="宋体" w:cs="宋体" w:eastAsia="宋体" w:hint="default"/>
                <w:sz w:val="21"/>
                <w:szCs w:val="21"/>
              </w:rPr>
              <w:t>日至</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 </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79"/>
              <w:jc w:val="left"/>
              <w:rPr>
                <w:rFonts w:ascii="宋体" w:hAnsi="宋体" w:cs="宋体" w:eastAsia="宋体" w:hint="default"/>
                <w:sz w:val="21"/>
                <w:szCs w:val="21"/>
              </w:rPr>
            </w:pPr>
            <w:r>
              <w:rPr>
                <w:rFonts w:ascii="宋体" w:hAnsi="宋体" w:cs="宋体" w:eastAsia="宋体" w:hint="default"/>
                <w:sz w:val="21"/>
                <w:szCs w:val="21"/>
              </w:rPr>
              <w:t>正常履行 中</w:t>
            </w:r>
          </w:p>
        </w:tc>
      </w:tr>
      <w:tr>
        <w:trPr>
          <w:trHeight w:val="971" w:hRule="exact"/>
        </w:trPr>
        <w:tc>
          <w:tcPr>
            <w:tcW w:w="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合作协议</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14"/>
              <w:jc w:val="both"/>
              <w:rPr>
                <w:rFonts w:ascii="宋体" w:hAnsi="宋体" w:cs="宋体" w:eastAsia="宋体" w:hint="default"/>
                <w:sz w:val="21"/>
                <w:szCs w:val="21"/>
              </w:rPr>
            </w:pPr>
            <w:r>
              <w:rPr>
                <w:rFonts w:ascii="宋体" w:hAnsi="宋体" w:cs="宋体" w:eastAsia="宋体" w:hint="default"/>
                <w:sz w:val="21"/>
                <w:szCs w:val="21"/>
              </w:rPr>
              <w:t>本公司授权展讯上海及其关联 方使用本公司拥有的</w:t>
            </w:r>
            <w:r>
              <w:rPr>
                <w:rFonts w:ascii="Times New Roman" w:hAnsi="Times New Roman" w:cs="Times New Roman" w:eastAsia="Times New Roman" w:hint="default"/>
                <w:sz w:val="21"/>
                <w:szCs w:val="21"/>
              </w:rPr>
              <w:t>Android</w:t>
            </w:r>
            <w:r>
              <w:rPr>
                <w:rFonts w:ascii="宋体" w:hAnsi="宋体" w:cs="宋体" w:eastAsia="宋体" w:hint="default"/>
                <w:sz w:val="21"/>
                <w:szCs w:val="21"/>
              </w:rPr>
              <w:t>业 务相关知识产权</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0"/>
              <w:jc w:val="left"/>
              <w:rPr>
                <w:rFonts w:ascii="宋体" w:hAnsi="宋体" w:cs="宋体" w:eastAsia="宋体" w:hint="default"/>
                <w:sz w:val="21"/>
                <w:szCs w:val="21"/>
              </w:rPr>
            </w:pPr>
            <w:r>
              <w:rPr>
                <w:rFonts w:ascii="宋体" w:hAnsi="宋体" w:cs="宋体" w:eastAsia="宋体" w:hint="default"/>
                <w:sz w:val="21"/>
                <w:szCs w:val="21"/>
              </w:rPr>
              <w:t>展讯通信（上 海）有限公司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5,115.44</w:t>
            </w:r>
            <w:r>
              <w:rPr>
                <w:rFonts w:ascii="宋体" w:hAnsi="宋体" w:cs="宋体" w:eastAsia="宋体" w:hint="default"/>
                <w:sz w:val="21"/>
                <w:szCs w:val="21"/>
              </w:rPr>
              <w:t>万元</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130"/>
              <w:jc w:val="both"/>
              <w:rPr>
                <w:rFonts w:ascii="宋体" w:hAnsi="宋体" w:cs="宋体" w:eastAsia="宋体" w:hint="default"/>
                <w:sz w:val="21"/>
                <w:szCs w:val="21"/>
              </w:rPr>
            </w:pPr>
            <w:r>
              <w:rPr>
                <w:rFonts w:ascii="宋体" w:hAnsi="宋体" w:cs="宋体" w:eastAsia="宋体" w:hint="default"/>
                <w:sz w:val="21"/>
                <w:szCs w:val="21"/>
              </w:rPr>
              <w:t>自</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 </w:t>
            </w:r>
            <w:r>
              <w:rPr>
                <w:rFonts w:ascii="宋体" w:hAnsi="宋体" w:cs="宋体" w:eastAsia="宋体" w:hint="default"/>
                <w:sz w:val="21"/>
                <w:szCs w:val="21"/>
              </w:rPr>
              <w:t>日至</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 </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79"/>
              <w:jc w:val="left"/>
              <w:rPr>
                <w:rFonts w:ascii="宋体" w:hAnsi="宋体" w:cs="宋体" w:eastAsia="宋体" w:hint="default"/>
                <w:sz w:val="21"/>
                <w:szCs w:val="21"/>
              </w:rPr>
            </w:pPr>
            <w:r>
              <w:rPr>
                <w:rFonts w:ascii="宋体" w:hAnsi="宋体" w:cs="宋体" w:eastAsia="宋体" w:hint="default"/>
                <w:sz w:val="21"/>
                <w:szCs w:val="21"/>
              </w:rPr>
              <w:t>正常履行 中</w:t>
            </w:r>
          </w:p>
        </w:tc>
      </w:tr>
    </w:tbl>
    <w:p>
      <w:pPr>
        <w:spacing w:line="240" w:lineRule="auto" w:before="9"/>
        <w:rPr>
          <w:rFonts w:ascii="宋体" w:hAnsi="宋体" w:cs="宋体" w:eastAsia="宋体" w:hint="default"/>
          <w:sz w:val="20"/>
          <w:szCs w:val="20"/>
        </w:rPr>
      </w:pPr>
    </w:p>
    <w:p>
      <w:pPr>
        <w:pStyle w:val="Heading3"/>
        <w:spacing w:line="240" w:lineRule="auto" w:before="35"/>
        <w:ind w:left="1134" w:right="3499"/>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软件和信息服务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212,424,236.41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157,300,430.46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软件和信息服务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材料采购成本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21,665,851.17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10,553,928.45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2"/>
              <w:jc w:val="center"/>
              <w:rPr>
                <w:rFonts w:ascii="宋体" w:hAnsi="宋体" w:cs="宋体" w:eastAsia="宋体" w:hint="default"/>
                <w:sz w:val="18"/>
                <w:szCs w:val="18"/>
              </w:rPr>
            </w:pPr>
            <w:r>
              <w:rPr>
                <w:rFonts w:ascii="宋体" w:hAnsi="宋体" w:cs="宋体" w:eastAsia="宋体" w:hint="default"/>
                <w:sz w:val="18"/>
                <w:szCs w:val="18"/>
              </w:rPr>
              <w:t>软件和信息服务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房屋及设备租赁 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9,499,562.52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8,519,546.53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软件和信息服务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服务采购成本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28,132,911.20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10,995,427.92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软件和信息服务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26,391,415.33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20,034,777.77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3499"/>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75"/>
        <w:ind w:right="3499"/>
        <w:jc w:val="left"/>
      </w:pPr>
      <w:r>
        <w:rPr/>
        <w:t>详见本报告</w:t>
      </w:r>
      <w:r>
        <w:rPr>
          <w:rFonts w:ascii="Times New Roman" w:hAnsi="Times New Roman" w:cs="Times New Roman" w:eastAsia="Times New Roman" w:hint="default"/>
        </w:rPr>
        <w:t>“</w:t>
      </w:r>
      <w:r>
        <w:rPr/>
        <w:t>第十节 财务报告</w:t>
      </w:r>
      <w:r>
        <w:rPr>
          <w:spacing w:val="-42"/>
        </w:rPr>
        <w:t> </w:t>
      </w:r>
      <w:r>
        <w:rPr/>
        <w:t>八、合并范围的变更</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6"/>
          <w:szCs w:val="26"/>
        </w:rPr>
      </w:pPr>
    </w:p>
    <w:p>
      <w:pPr>
        <w:pStyle w:val="Heading3"/>
        <w:spacing w:line="240" w:lineRule="auto"/>
        <w:ind w:right="3499"/>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3499"/>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283,121,414.23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46.00%</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101,559,730.30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67,765,823.76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41,861,520.44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36,160,446.30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35,773,893.43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283,121,414.23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46.00%</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24,745,282.66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49.69%</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11,823,567.83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3,927,380.00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3,710,148.47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2,936,690.54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2,347,495.82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24,745,282.66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49.69%</w:t>
            </w:r>
          </w:p>
        </w:tc>
      </w:tr>
    </w:tbl>
    <w:p>
      <w:pPr>
        <w:spacing w:line="240" w:lineRule="auto" w:before="3"/>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shape style="position:absolute;margin-left:291.083008pt;margin-top:652.899963pt;width:124.25pt;height:15.6pt;mso-position-horizontal-relative:page;mso-position-vertical-relative:page;z-index:-926104"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96.619995pt;margin-top:652.899963pt;width:118.7pt;height:15.6pt;mso-position-horizontal-relative:page;mso-position-vertical-relative:page;z-index:-926080" coordorigin="5932,13058" coordsize="2374,312">
            <v:shape style="position:absolute;left:5932;top:13058;width:2374;height:312" coordorigin="5932,13058" coordsize="2374,312" path="m5932,13370l8306,13370,8306,13058,5932,13058,5932,13370xe" filled="true" fillcolor="#ffffff" stroked="false">
              <v:path arrowok="t"/>
              <v:fill type="solid"/>
            </v:shape>
            <w10:wrap type="none"/>
          </v:group>
        </w:pict>
      </w:r>
    </w:p>
    <w:tbl>
      <w:tblPr>
        <w:tblW w:w="0" w:type="auto"/>
        <w:jc w:val="left"/>
        <w:tblInd w:w="114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7" w:right="0"/>
              <w:jc w:val="left"/>
              <w:rPr>
                <w:rFonts w:ascii="Times New Roman" w:hAnsi="Times New Roman" w:cs="Times New Roman" w:eastAsia="Times New Roman" w:hint="default"/>
                <w:sz w:val="18"/>
                <w:szCs w:val="18"/>
              </w:rPr>
            </w:pPr>
            <w:r>
              <w:rPr>
                <w:rFonts w:ascii="Times New Roman"/>
                <w:sz w:val="18"/>
              </w:rPr>
              <w:t>2,076.27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4" w:right="0"/>
              <w:jc w:val="left"/>
              <w:rPr>
                <w:rFonts w:ascii="Times New Roman" w:hAnsi="Times New Roman" w:cs="Times New Roman" w:eastAsia="Times New Roman" w:hint="default"/>
                <w:sz w:val="18"/>
                <w:szCs w:val="18"/>
              </w:rPr>
            </w:pPr>
            <w:r>
              <w:rPr>
                <w:rFonts w:ascii="Times New Roman"/>
                <w:sz w:val="18"/>
              </w:rPr>
              <w:t>1,309.40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58.57%</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系公司报告期加大市场拓展力度所</w:t>
            </w:r>
            <w:r>
              <w:rPr>
                <w:rFonts w:ascii="宋体" w:hAnsi="宋体" w:cs="宋体" w:eastAsia="宋体" w:hint="default"/>
                <w:sz w:val="18"/>
                <w:szCs w:val="18"/>
              </w:rPr>
              <w:t> 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7" w:right="0"/>
              <w:jc w:val="left"/>
              <w:rPr>
                <w:rFonts w:ascii="Times New Roman" w:hAnsi="Times New Roman" w:cs="Times New Roman" w:eastAsia="Times New Roman" w:hint="default"/>
                <w:sz w:val="18"/>
                <w:szCs w:val="18"/>
              </w:rPr>
            </w:pPr>
            <w:r>
              <w:rPr>
                <w:rFonts w:ascii="Times New Roman"/>
                <w:sz w:val="18"/>
              </w:rPr>
              <w:t>18,785.88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4" w:right="0"/>
              <w:jc w:val="left"/>
              <w:rPr>
                <w:rFonts w:ascii="Times New Roman" w:hAnsi="Times New Roman" w:cs="Times New Roman" w:eastAsia="Times New Roman" w:hint="default"/>
                <w:sz w:val="18"/>
                <w:szCs w:val="18"/>
              </w:rPr>
            </w:pPr>
            <w:r>
              <w:rPr>
                <w:rFonts w:ascii="Times New Roman"/>
                <w:sz w:val="18"/>
              </w:rPr>
              <w:t>12,652.95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48.47%</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7"/>
              <w:jc w:val="left"/>
              <w:rPr>
                <w:rFonts w:ascii="宋体" w:hAnsi="宋体" w:cs="宋体" w:eastAsia="宋体" w:hint="default"/>
                <w:sz w:val="18"/>
                <w:szCs w:val="18"/>
              </w:rPr>
            </w:pPr>
            <w:r>
              <w:rPr>
                <w:rFonts w:ascii="宋体" w:hAnsi="宋体" w:cs="宋体" w:eastAsia="宋体" w:hint="default"/>
                <w:spacing w:val="11"/>
                <w:sz w:val="18"/>
                <w:szCs w:val="18"/>
              </w:rPr>
              <w:t>系公司报告期加大研发投入及人员</w:t>
            </w:r>
            <w:r>
              <w:rPr>
                <w:rFonts w:ascii="宋体" w:hAnsi="宋体" w:cs="宋体" w:eastAsia="宋体" w:hint="default"/>
                <w:spacing w:val="12"/>
                <w:sz w:val="18"/>
                <w:szCs w:val="18"/>
              </w:rPr>
              <w:t> </w:t>
            </w:r>
            <w:r>
              <w:rPr>
                <w:rFonts w:ascii="宋体" w:hAnsi="宋体" w:cs="宋体" w:eastAsia="宋体" w:hint="default"/>
                <w:sz w:val="18"/>
                <w:szCs w:val="18"/>
              </w:rPr>
              <w:t>规模扩张所致。</w:t>
            </w:r>
          </w:p>
        </w:tc>
      </w:tr>
      <w:tr>
        <w:trPr>
          <w:trHeight w:val="393"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233.41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73.27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218.56%</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系公司报告期末应收账款余额增长， 相应计提坏账准备所致。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105.89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3" w:right="0"/>
              <w:jc w:val="left"/>
              <w:rPr>
                <w:rFonts w:ascii="Times New Roman" w:hAnsi="Times New Roman" w:cs="Times New Roman" w:eastAsia="Times New Roman" w:hint="default"/>
                <w:sz w:val="18"/>
                <w:szCs w:val="18"/>
              </w:rPr>
            </w:pPr>
            <w:r>
              <w:rPr>
                <w:rFonts w:ascii="Times New Roman"/>
                <w:sz w:val="18"/>
              </w:rPr>
              <w:t>9704.63%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主要系亏损合同预计负债所致。</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7" w:right="0"/>
              <w:jc w:val="left"/>
              <w:rPr>
                <w:rFonts w:ascii="Times New Roman" w:hAnsi="Times New Roman" w:cs="Times New Roman" w:eastAsia="Times New Roman" w:hint="default"/>
                <w:sz w:val="18"/>
                <w:szCs w:val="18"/>
              </w:rPr>
            </w:pPr>
            <w:r>
              <w:rPr>
                <w:rFonts w:ascii="Times New Roman"/>
                <w:sz w:val="18"/>
              </w:rPr>
              <w:t>1,174.87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828.77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41.76%</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系公司营业利润增长及优惠税率变</w:t>
            </w:r>
            <w:r>
              <w:rPr>
                <w:rFonts w:ascii="宋体" w:hAnsi="宋体" w:cs="宋体" w:eastAsia="宋体" w:hint="default"/>
                <w:sz w:val="18"/>
                <w:szCs w:val="18"/>
              </w:rPr>
              <w:t> 动所致。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8"/>
          <w:szCs w:val="8"/>
        </w:rPr>
      </w:pPr>
    </w:p>
    <w:tbl>
      <w:tblPr>
        <w:tblW w:w="0" w:type="auto"/>
        <w:jc w:val="left"/>
        <w:tblInd w:w="1126" w:type="dxa"/>
        <w:tblLayout w:type="fixed"/>
        <w:tblCellMar>
          <w:top w:w="0" w:type="dxa"/>
          <w:left w:w="0" w:type="dxa"/>
          <w:bottom w:w="0" w:type="dxa"/>
          <w:right w:w="0" w:type="dxa"/>
        </w:tblCellMar>
        <w:tblLook w:val="01E0"/>
      </w:tblPr>
      <w:tblGrid>
        <w:gridCol w:w="2394"/>
        <w:gridCol w:w="2394"/>
        <w:gridCol w:w="2393"/>
        <w:gridCol w:w="2390"/>
      </w:tblGrid>
      <w:tr>
        <w:trPr>
          <w:trHeight w:val="329" w:hRule="exact"/>
        </w:trPr>
        <w:tc>
          <w:tcPr>
            <w:tcW w:w="23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项目介绍</w:t>
            </w:r>
          </w:p>
        </w:tc>
        <w:tc>
          <w:tcPr>
            <w:tcW w:w="23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left="377" w:right="0"/>
              <w:jc w:val="left"/>
              <w:rPr>
                <w:rFonts w:ascii="宋体" w:hAnsi="宋体" w:cs="宋体" w:eastAsia="宋体" w:hint="default"/>
                <w:sz w:val="18"/>
                <w:szCs w:val="18"/>
              </w:rPr>
            </w:pPr>
            <w:r>
              <w:rPr>
                <w:rFonts w:ascii="宋体" w:hAnsi="宋体" w:cs="宋体" w:eastAsia="宋体" w:hint="default"/>
                <w:sz w:val="18"/>
                <w:szCs w:val="18"/>
              </w:rPr>
              <w:t>报告期项目进展情况</w:t>
            </w:r>
          </w:p>
        </w:tc>
        <w:tc>
          <w:tcPr>
            <w:tcW w:w="23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left="647" w:right="0"/>
              <w:jc w:val="left"/>
              <w:rPr>
                <w:rFonts w:ascii="宋体" w:hAnsi="宋体" w:cs="宋体" w:eastAsia="宋体" w:hint="default"/>
                <w:sz w:val="18"/>
                <w:szCs w:val="18"/>
              </w:rPr>
            </w:pPr>
            <w:r>
              <w:rPr>
                <w:rFonts w:ascii="宋体" w:hAnsi="宋体" w:cs="宋体" w:eastAsia="宋体" w:hint="default"/>
                <w:sz w:val="18"/>
                <w:szCs w:val="18"/>
              </w:rPr>
              <w:t>对公司的影响</w:t>
            </w:r>
          </w:p>
        </w:tc>
      </w:tr>
      <w:tr>
        <w:trPr>
          <w:trHeight w:val="409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25"/>
              <w:jc w:val="left"/>
              <w:rPr>
                <w:rFonts w:ascii="宋体" w:hAnsi="宋体" w:cs="宋体" w:eastAsia="宋体" w:hint="default"/>
                <w:sz w:val="18"/>
                <w:szCs w:val="18"/>
              </w:rPr>
            </w:pPr>
            <w:r>
              <w:rPr>
                <w:rFonts w:ascii="宋体" w:hAnsi="宋体" w:cs="宋体" w:eastAsia="宋体" w:hint="default"/>
                <w:sz w:val="18"/>
                <w:szCs w:val="18"/>
              </w:rPr>
              <w:t>面向多模</w:t>
            </w:r>
            <w:r>
              <w:rPr>
                <w:rFonts w:ascii="宋体" w:hAnsi="宋体" w:cs="宋体" w:eastAsia="宋体" w:hint="default"/>
                <w:sz w:val="18"/>
                <w:szCs w:val="18"/>
              </w:rPr>
              <w:t>LTE</w:t>
            </w:r>
            <w:r>
              <w:rPr>
                <w:rFonts w:ascii="宋体" w:hAnsi="宋体" w:cs="宋体" w:eastAsia="宋体" w:hint="default"/>
                <w:sz w:val="18"/>
                <w:szCs w:val="18"/>
              </w:rPr>
              <w:t>智能手机的操作 系统开发</w:t>
            </w:r>
          </w:p>
        </w:tc>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面向</w:t>
            </w:r>
            <w:r>
              <w:rPr>
                <w:rFonts w:ascii="宋体" w:hAnsi="宋体" w:cs="宋体" w:eastAsia="宋体" w:hint="default"/>
                <w:sz w:val="18"/>
                <w:szCs w:val="18"/>
              </w:rPr>
              <w:t>LTE/4G</w:t>
            </w:r>
            <w:r>
              <w:rPr>
                <w:rFonts w:ascii="宋体" w:hAnsi="宋体" w:cs="宋体" w:eastAsia="宋体" w:hint="default"/>
                <w:sz w:val="18"/>
                <w:szCs w:val="18"/>
              </w:rPr>
              <w:t>智能手机市场，针 对手机厂商、运营商的软件需 </w:t>
            </w:r>
            <w:r>
              <w:rPr>
                <w:rFonts w:ascii="宋体" w:hAnsi="宋体" w:cs="宋体" w:eastAsia="宋体" w:hint="default"/>
                <w:spacing w:val="-4"/>
                <w:sz w:val="18"/>
                <w:szCs w:val="18"/>
              </w:rPr>
              <w:t>求，基于</w:t>
            </w:r>
            <w:r>
              <w:rPr>
                <w:rFonts w:ascii="宋体" w:hAnsi="宋体" w:cs="宋体" w:eastAsia="宋体" w:hint="default"/>
                <w:spacing w:val="-4"/>
                <w:sz w:val="18"/>
                <w:szCs w:val="18"/>
              </w:rPr>
              <w:t>Android</w:t>
            </w:r>
            <w:r>
              <w:rPr>
                <w:rFonts w:ascii="宋体" w:hAnsi="宋体" w:cs="宋体" w:eastAsia="宋体" w:hint="default"/>
                <w:spacing w:val="-4"/>
                <w:sz w:val="18"/>
                <w:szCs w:val="18"/>
              </w:rPr>
              <w:t>等系统研发操</w:t>
            </w:r>
            <w:r>
              <w:rPr>
                <w:rFonts w:ascii="宋体" w:hAnsi="宋体" w:cs="宋体" w:eastAsia="宋体" w:hint="default"/>
                <w:spacing w:val="-80"/>
                <w:sz w:val="18"/>
                <w:szCs w:val="18"/>
              </w:rPr>
              <w:t> </w:t>
            </w:r>
            <w:r>
              <w:rPr>
                <w:rFonts w:ascii="宋体" w:hAnsi="宋体" w:cs="宋体" w:eastAsia="宋体" w:hint="default"/>
                <w:sz w:val="18"/>
                <w:szCs w:val="18"/>
              </w:rPr>
              <w:t>作系统软件技术，搭建并运营 </w:t>
            </w:r>
            <w:r>
              <w:rPr>
                <w:rFonts w:ascii="宋体" w:hAnsi="宋体" w:cs="宋体" w:eastAsia="宋体" w:hint="default"/>
                <w:spacing w:val="-4"/>
                <w:sz w:val="18"/>
                <w:szCs w:val="18"/>
              </w:rPr>
              <w:t>LTE</w:t>
            </w:r>
            <w:r>
              <w:rPr>
                <w:rFonts w:ascii="宋体" w:hAnsi="宋体" w:cs="宋体" w:eastAsia="宋体" w:hint="default"/>
                <w:spacing w:val="-4"/>
                <w:sz w:val="18"/>
                <w:szCs w:val="18"/>
              </w:rPr>
              <w:t>手机测试实验室，推出面向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LTE</w:t>
            </w:r>
            <w:r>
              <w:rPr>
                <w:rFonts w:ascii="宋体" w:hAnsi="宋体" w:cs="宋体" w:eastAsia="宋体" w:hint="default"/>
                <w:sz w:val="18"/>
                <w:szCs w:val="18"/>
              </w:rPr>
              <w:t>智能手机的优化操作系统 方案，并推广到手机厂商、运 营商市场。</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已建成面向智能手机的元器件 实验室并投入运营； 组建的研发推广和服务团队已 达</w:t>
            </w:r>
            <w:r>
              <w:rPr>
                <w:rFonts w:ascii="宋体" w:hAnsi="宋体" w:cs="宋体" w:eastAsia="宋体" w:hint="default"/>
                <w:sz w:val="18"/>
                <w:szCs w:val="18"/>
              </w:rPr>
              <w:t>500</w:t>
            </w:r>
            <w:r>
              <w:rPr>
                <w:rFonts w:ascii="宋体" w:hAnsi="宋体" w:cs="宋体" w:eastAsia="宋体" w:hint="default"/>
                <w:sz w:val="18"/>
                <w:szCs w:val="18"/>
              </w:rPr>
              <w:t>人； 基于高通、展讯等芯片平台完 成系统底层开发； </w:t>
            </w:r>
            <w:r>
              <w:rPr>
                <w:rFonts w:ascii="宋体" w:hAnsi="宋体" w:cs="宋体" w:eastAsia="宋体" w:hint="default"/>
                <w:spacing w:val="-4"/>
                <w:sz w:val="18"/>
                <w:szCs w:val="18"/>
              </w:rPr>
              <w:t>完成</w:t>
            </w:r>
            <w:r>
              <w:rPr>
                <w:rFonts w:ascii="宋体" w:hAnsi="宋体" w:cs="宋体" w:eastAsia="宋体" w:hint="default"/>
                <w:spacing w:val="-4"/>
                <w:sz w:val="18"/>
                <w:szCs w:val="18"/>
              </w:rPr>
              <w:t>LTE/4G</w:t>
            </w:r>
            <w:r>
              <w:rPr>
                <w:rFonts w:ascii="宋体" w:hAnsi="宋体" w:cs="宋体" w:eastAsia="宋体" w:hint="default"/>
                <w:spacing w:val="-4"/>
                <w:sz w:val="18"/>
                <w:szCs w:val="18"/>
              </w:rPr>
              <w:t>、</w:t>
            </w:r>
            <w:r>
              <w:rPr>
                <w:rFonts w:ascii="宋体" w:hAnsi="宋体" w:cs="宋体" w:eastAsia="宋体" w:hint="default"/>
                <w:spacing w:val="-4"/>
                <w:sz w:val="18"/>
                <w:szCs w:val="18"/>
              </w:rPr>
              <w:t>VoLTE</w:t>
            </w:r>
            <w:r>
              <w:rPr>
                <w:rFonts w:ascii="宋体" w:hAnsi="宋体" w:cs="宋体" w:eastAsia="宋体" w:hint="default"/>
                <w:spacing w:val="-4"/>
                <w:sz w:val="18"/>
                <w:szCs w:val="18"/>
              </w:rPr>
              <w:t>等协议的实</w:t>
            </w:r>
            <w:r>
              <w:rPr>
                <w:rFonts w:ascii="宋体" w:hAnsi="宋体" w:cs="宋体" w:eastAsia="宋体" w:hint="default"/>
                <w:spacing w:val="-73"/>
                <w:sz w:val="18"/>
                <w:szCs w:val="18"/>
              </w:rPr>
              <w:t> </w:t>
            </w:r>
            <w:r>
              <w:rPr>
                <w:rFonts w:ascii="宋体" w:hAnsi="宋体" w:cs="宋体" w:eastAsia="宋体" w:hint="default"/>
                <w:sz w:val="18"/>
                <w:szCs w:val="18"/>
              </w:rPr>
              <w:t>现和支持； 完成智能手机底层优化技术开 发； 进行了中国移动、中国电信、 日本</w:t>
            </w:r>
            <w:r>
              <w:rPr>
                <w:rFonts w:ascii="宋体" w:hAnsi="宋体" w:cs="宋体" w:eastAsia="宋体" w:hint="default"/>
                <w:sz w:val="18"/>
                <w:szCs w:val="18"/>
              </w:rPr>
              <w:t>KDDI</w:t>
            </w:r>
            <w:r>
              <w:rPr>
                <w:rFonts w:ascii="宋体" w:hAnsi="宋体" w:cs="宋体" w:eastAsia="宋体" w:hint="default"/>
                <w:sz w:val="18"/>
                <w:szCs w:val="18"/>
              </w:rPr>
              <w:t>、美国</w:t>
            </w:r>
            <w:r>
              <w:rPr>
                <w:rFonts w:ascii="宋体" w:hAnsi="宋体" w:cs="宋体" w:eastAsia="宋体" w:hint="default"/>
                <w:sz w:val="18"/>
                <w:szCs w:val="18"/>
              </w:rPr>
              <w:t>AT&amp;T</w:t>
            </w:r>
            <w:r>
              <w:rPr>
                <w:rFonts w:ascii="宋体" w:hAnsi="宋体" w:cs="宋体" w:eastAsia="宋体" w:hint="default"/>
                <w:sz w:val="18"/>
                <w:szCs w:val="18"/>
              </w:rPr>
              <w:t>等运营商 的认证测试和开发。</w:t>
            </w:r>
          </w:p>
        </w:tc>
        <w:tc>
          <w:tcPr>
            <w:tcW w:w="2390" w:type="dxa"/>
            <w:tcBorders>
              <w:top w:val="single" w:sz="10" w:space="0" w:color="000000"/>
              <w:left w:val="single" w:sz="6" w:space="0" w:color="000000"/>
              <w:bottom w:val="single" w:sz="6" w:space="0" w:color="000000"/>
              <w:right w:val="single" w:sz="6" w:space="0" w:color="000000"/>
            </w:tcBorders>
          </w:tcPr>
          <w:p>
            <w:pPr>
              <w:pStyle w:val="TableParagraph"/>
              <w:spacing w:line="316" w:lineRule="auto" w:before="16"/>
              <w:ind w:left="3" w:right="30"/>
              <w:jc w:val="both"/>
              <w:rPr>
                <w:rFonts w:ascii="宋体" w:hAnsi="宋体" w:cs="宋体" w:eastAsia="宋体" w:hint="default"/>
                <w:sz w:val="18"/>
                <w:szCs w:val="18"/>
              </w:rPr>
            </w:pPr>
            <w:r>
              <w:rPr>
                <w:rFonts w:ascii="宋体" w:hAnsi="宋体" w:cs="宋体" w:eastAsia="宋体" w:hint="default"/>
                <w:sz w:val="18"/>
                <w:szCs w:val="18"/>
              </w:rPr>
              <w:t>随着市场和技术的发展进行演 进，进一步增强了公司在移动 智能终端方面的技术优势，并 在新的芯片平台、新的运营商 业务平台上扩展公司的业务范 围，并与上下游产业链合作伙 伴形成更紧密的关系。</w:t>
            </w:r>
          </w:p>
        </w:tc>
      </w:tr>
      <w:tr>
        <w:trPr>
          <w:trHeight w:val="2219"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5"/>
              <w:jc w:val="left"/>
              <w:rPr>
                <w:rFonts w:ascii="宋体" w:hAnsi="宋体" w:cs="宋体" w:eastAsia="宋体" w:hint="default"/>
                <w:sz w:val="18"/>
                <w:szCs w:val="18"/>
              </w:rPr>
            </w:pPr>
            <w:r>
              <w:rPr>
                <w:rFonts w:ascii="宋体" w:hAnsi="宋体" w:cs="宋体" w:eastAsia="宋体" w:hint="default"/>
                <w:sz w:val="18"/>
                <w:szCs w:val="18"/>
              </w:rPr>
              <w:t>面向智能车载信息娱乐终端的 定制化操作系统</w:t>
            </w:r>
          </w:p>
        </w:tc>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4"/>
                <w:sz w:val="18"/>
                <w:szCs w:val="18"/>
              </w:rPr>
              <w:t>方案基于高性能的</w:t>
            </w:r>
            <w:r>
              <w:rPr>
                <w:rFonts w:ascii="宋体" w:hAnsi="宋体" w:cs="宋体" w:eastAsia="宋体" w:hint="default"/>
                <w:spacing w:val="-4"/>
                <w:sz w:val="18"/>
                <w:szCs w:val="18"/>
              </w:rPr>
              <w:t>SoC</w:t>
            </w:r>
            <w:r>
              <w:rPr>
                <w:rFonts w:ascii="宋体" w:hAnsi="宋体" w:cs="宋体" w:eastAsia="宋体" w:hint="default"/>
                <w:spacing w:val="-4"/>
                <w:sz w:val="18"/>
                <w:szCs w:val="18"/>
              </w:rPr>
              <w:t>（系统芯</w:t>
            </w:r>
            <w:r>
              <w:rPr>
                <w:rFonts w:ascii="宋体" w:hAnsi="宋体" w:cs="宋体" w:eastAsia="宋体" w:hint="default"/>
                <w:spacing w:val="-87"/>
                <w:sz w:val="18"/>
                <w:szCs w:val="18"/>
              </w:rPr>
              <w:t> </w:t>
            </w:r>
            <w:r>
              <w:rPr>
                <w:rFonts w:ascii="宋体" w:hAnsi="宋体" w:cs="宋体" w:eastAsia="宋体" w:hint="default"/>
                <w:sz w:val="18"/>
                <w:szCs w:val="18"/>
              </w:rPr>
              <w:t>片），在保证行车安全的前提 下，为下一代智能汽车和车联 网提供丰富的接口和应用；后 续和</w:t>
            </w:r>
            <w:r>
              <w:rPr>
                <w:rFonts w:ascii="宋体" w:hAnsi="宋体" w:cs="宋体" w:eastAsia="宋体" w:hint="default"/>
                <w:sz w:val="18"/>
                <w:szCs w:val="18"/>
              </w:rPr>
              <w:t>ADAS</w:t>
            </w:r>
            <w:r>
              <w:rPr>
                <w:rFonts w:ascii="宋体" w:hAnsi="宋体" w:cs="宋体" w:eastAsia="宋体" w:hint="default"/>
                <w:sz w:val="18"/>
                <w:szCs w:val="18"/>
              </w:rPr>
              <w:t>和仪表盘结合，形成 车载舒适系统的核心操作系 统。</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4"/>
              <w:jc w:val="left"/>
              <w:rPr>
                <w:rFonts w:ascii="宋体" w:hAnsi="宋体" w:cs="宋体" w:eastAsia="宋体" w:hint="default"/>
                <w:sz w:val="18"/>
                <w:szCs w:val="18"/>
              </w:rPr>
            </w:pPr>
            <w:r>
              <w:rPr>
                <w:rFonts w:ascii="宋体" w:hAnsi="宋体" w:cs="宋体" w:eastAsia="宋体" w:hint="default"/>
                <w:sz w:val="18"/>
                <w:szCs w:val="18"/>
              </w:rPr>
              <w:t>已经形约成</w:t>
            </w:r>
            <w:r>
              <w:rPr>
                <w:rFonts w:ascii="宋体" w:hAnsi="宋体" w:cs="宋体" w:eastAsia="宋体" w:hint="default"/>
                <w:sz w:val="18"/>
                <w:szCs w:val="18"/>
              </w:rPr>
              <w:t>200</w:t>
            </w:r>
            <w:r>
              <w:rPr>
                <w:rFonts w:ascii="宋体" w:hAnsi="宋体" w:cs="宋体" w:eastAsia="宋体" w:hint="default"/>
                <w:sz w:val="18"/>
                <w:szCs w:val="18"/>
              </w:rPr>
              <w:t>人规模的车载 开发团队；开始和多家日本及 中国领先的一级供应商展开实 质性合作；第一个基于</w:t>
            </w:r>
            <w:r>
              <w:rPr>
                <w:rFonts w:ascii="宋体" w:hAnsi="宋体" w:cs="宋体" w:eastAsia="宋体" w:hint="default"/>
                <w:sz w:val="18"/>
                <w:szCs w:val="18"/>
              </w:rPr>
              <w:t>Linux </w:t>
            </w:r>
            <w:r>
              <w:rPr>
                <w:rFonts w:ascii="宋体" w:hAnsi="宋体" w:cs="宋体" w:eastAsia="宋体" w:hint="default"/>
                <w:sz w:val="18"/>
                <w:szCs w:val="18"/>
              </w:rPr>
              <w:t>的系统即将量产，面向东南亚 市场，未来还有面向中国的多 个产品量产。</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30"/>
              <w:jc w:val="left"/>
              <w:rPr>
                <w:rFonts w:ascii="宋体" w:hAnsi="宋体" w:cs="宋体" w:eastAsia="宋体" w:hint="default"/>
                <w:sz w:val="18"/>
                <w:szCs w:val="18"/>
              </w:rPr>
            </w:pPr>
            <w:r>
              <w:rPr>
                <w:rFonts w:ascii="宋体" w:hAnsi="宋体" w:cs="宋体" w:eastAsia="宋体" w:hint="default"/>
                <w:sz w:val="18"/>
                <w:szCs w:val="18"/>
              </w:rPr>
              <w:t>智能网联汽车是未来</w:t>
            </w:r>
            <w:r>
              <w:rPr>
                <w:rFonts w:ascii="宋体" w:hAnsi="宋体" w:cs="宋体" w:eastAsia="宋体" w:hint="default"/>
                <w:sz w:val="18"/>
                <w:szCs w:val="18"/>
              </w:rPr>
              <w:t>10</w:t>
            </w:r>
            <w:r>
              <w:rPr>
                <w:rFonts w:ascii="宋体" w:hAnsi="宋体" w:cs="宋体" w:eastAsia="宋体" w:hint="default"/>
                <w:sz w:val="18"/>
                <w:szCs w:val="18"/>
              </w:rPr>
              <w:t>年巨大 发展的领域，公司利用在</w:t>
            </w:r>
            <w:r>
              <w:rPr>
                <w:rFonts w:ascii="宋体" w:hAnsi="宋体" w:cs="宋体" w:eastAsia="宋体" w:hint="default"/>
                <w:sz w:val="18"/>
                <w:szCs w:val="18"/>
              </w:rPr>
              <w:t>SoC </w:t>
            </w:r>
            <w:r>
              <w:rPr>
                <w:rFonts w:ascii="宋体" w:hAnsi="宋体" w:cs="宋体" w:eastAsia="宋体" w:hint="default"/>
                <w:sz w:val="18"/>
                <w:szCs w:val="18"/>
              </w:rPr>
              <w:t>和智能操作系统的优势和技 术，在车载信息娱乐系统上扩 展，是公司后续业务持续健康 发展的重要支撑。</w:t>
            </w:r>
          </w:p>
        </w:tc>
      </w:tr>
      <w:tr>
        <w:trPr>
          <w:trHeight w:val="2220"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5"/>
              <w:jc w:val="left"/>
              <w:rPr>
                <w:rFonts w:ascii="宋体" w:hAnsi="宋体" w:cs="宋体" w:eastAsia="宋体" w:hint="default"/>
                <w:sz w:val="18"/>
                <w:szCs w:val="18"/>
              </w:rPr>
            </w:pPr>
            <w:r>
              <w:rPr>
                <w:rFonts w:ascii="宋体" w:hAnsi="宋体" w:cs="宋体" w:eastAsia="宋体" w:hint="default"/>
                <w:sz w:val="18"/>
                <w:szCs w:val="18"/>
              </w:rPr>
              <w:t>面向智能硬件的软硬件一体化 系统解决方案</w:t>
            </w:r>
          </w:p>
        </w:tc>
        <w:tc>
          <w:tcPr>
            <w:tcW w:w="2394" w:type="dxa"/>
            <w:tcBorders>
              <w:top w:val="single" w:sz="6" w:space="0" w:color="000000"/>
              <w:left w:val="single" w:sz="6" w:space="0" w:color="000000"/>
              <w:bottom w:val="single" w:sz="6" w:space="0" w:color="000000"/>
              <w:right w:val="single" w:sz="7"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pacing w:val="-5"/>
                <w:sz w:val="18"/>
                <w:szCs w:val="18"/>
              </w:rPr>
              <w:t>面向新的智能硬件（如无人机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IP</w:t>
            </w:r>
            <w:r>
              <w:rPr>
                <w:rFonts w:ascii="宋体" w:hAnsi="宋体" w:cs="宋体" w:eastAsia="宋体" w:hint="default"/>
                <w:spacing w:val="-54"/>
                <w:sz w:val="18"/>
                <w:szCs w:val="18"/>
              </w:rPr>
              <w:t> </w:t>
            </w:r>
            <w:r>
              <w:rPr>
                <w:rFonts w:ascii="宋体" w:hAnsi="宋体" w:cs="宋体" w:eastAsia="宋体" w:hint="default"/>
                <w:sz w:val="18"/>
                <w:szCs w:val="18"/>
              </w:rPr>
              <w:t>Camera</w:t>
            </w:r>
            <w:r>
              <w:rPr>
                <w:rFonts w:ascii="宋体" w:hAnsi="宋体" w:cs="宋体" w:eastAsia="宋体" w:hint="default"/>
                <w:sz w:val="18"/>
                <w:szCs w:val="18"/>
              </w:rPr>
              <w:t>、机器人、虚拟现实 等）和物联网，研究和开发基 于高通等芯片的核心主板硬 件、定制的操作系统软件，并 形成软件</w:t>
            </w:r>
            <w:r>
              <w:rPr>
                <w:rFonts w:ascii="宋体" w:hAnsi="宋体" w:cs="宋体" w:eastAsia="宋体" w:hint="default"/>
                <w:sz w:val="18"/>
                <w:szCs w:val="18"/>
              </w:rPr>
              <w:t>+</w:t>
            </w:r>
            <w:r>
              <w:rPr>
                <w:rFonts w:ascii="宋体" w:hAnsi="宋体" w:cs="宋体" w:eastAsia="宋体" w:hint="default"/>
                <w:sz w:val="18"/>
                <w:szCs w:val="18"/>
              </w:rPr>
              <w:t>硬件一体化的解决 方案，推广到这些新硬件的制</w:t>
            </w:r>
          </w:p>
        </w:tc>
        <w:tc>
          <w:tcPr>
            <w:tcW w:w="2393" w:type="dxa"/>
            <w:tcBorders>
              <w:top w:val="single" w:sz="6" w:space="0" w:color="000000"/>
              <w:left w:val="single" w:sz="7" w:space="0" w:color="000000"/>
              <w:bottom w:val="single" w:sz="6" w:space="0" w:color="000000"/>
              <w:right w:val="single" w:sz="6" w:space="0" w:color="000000"/>
            </w:tcBorders>
          </w:tcPr>
          <w:p>
            <w:pPr>
              <w:pStyle w:val="TableParagraph"/>
              <w:spacing w:line="316" w:lineRule="auto" w:before="21"/>
              <w:ind w:left="1" w:right="34"/>
              <w:jc w:val="left"/>
              <w:rPr>
                <w:rFonts w:ascii="宋体" w:hAnsi="宋体" w:cs="宋体" w:eastAsia="宋体" w:hint="default"/>
                <w:sz w:val="18"/>
                <w:szCs w:val="18"/>
              </w:rPr>
            </w:pPr>
            <w:r>
              <w:rPr>
                <w:rFonts w:ascii="宋体" w:hAnsi="宋体" w:cs="宋体" w:eastAsia="宋体" w:hint="default"/>
                <w:sz w:val="18"/>
                <w:szCs w:val="18"/>
              </w:rPr>
              <w:t>已组建了</w:t>
            </w:r>
            <w:r>
              <w:rPr>
                <w:rFonts w:ascii="宋体" w:hAnsi="宋体" w:cs="宋体" w:eastAsia="宋体" w:hint="default"/>
                <w:sz w:val="18"/>
                <w:szCs w:val="18"/>
              </w:rPr>
              <w:t>200</w:t>
            </w:r>
            <w:r>
              <w:rPr>
                <w:rFonts w:ascii="宋体" w:hAnsi="宋体" w:cs="宋体" w:eastAsia="宋体" w:hint="default"/>
                <w:sz w:val="18"/>
                <w:szCs w:val="18"/>
              </w:rPr>
              <w:t>人的开发团队； 已完成面向无人机、</w:t>
            </w:r>
            <w:r>
              <w:rPr>
                <w:rFonts w:ascii="宋体" w:hAnsi="宋体" w:cs="宋体" w:eastAsia="宋体" w:hint="default"/>
                <w:sz w:val="18"/>
                <w:szCs w:val="18"/>
              </w:rPr>
              <w:t>IP Camera</w:t>
            </w:r>
            <w:r>
              <w:rPr>
                <w:rFonts w:ascii="宋体" w:hAnsi="宋体" w:cs="宋体" w:eastAsia="宋体" w:hint="default"/>
                <w:sz w:val="18"/>
                <w:szCs w:val="18"/>
              </w:rPr>
              <w:t>、机器人、虚拟现实终 端的第一代核心板产品； 已完成面向无人机、</w:t>
            </w:r>
            <w:r>
              <w:rPr>
                <w:rFonts w:ascii="宋体" w:hAnsi="宋体" w:cs="宋体" w:eastAsia="宋体" w:hint="default"/>
                <w:sz w:val="18"/>
                <w:szCs w:val="18"/>
              </w:rPr>
              <w:t>IP Camera</w:t>
            </w:r>
            <w:r>
              <w:rPr>
                <w:rFonts w:ascii="宋体" w:hAnsi="宋体" w:cs="宋体" w:eastAsia="宋体" w:hint="default"/>
                <w:sz w:val="18"/>
                <w:szCs w:val="18"/>
              </w:rPr>
              <w:t>、机器人、虚拟现实的 操作系统软件平台。</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30"/>
              <w:jc w:val="both"/>
              <w:rPr>
                <w:rFonts w:ascii="宋体" w:hAnsi="宋体" w:cs="宋体" w:eastAsia="宋体" w:hint="default"/>
                <w:sz w:val="18"/>
                <w:szCs w:val="18"/>
              </w:rPr>
            </w:pPr>
            <w:r>
              <w:rPr>
                <w:rFonts w:ascii="宋体" w:hAnsi="宋体" w:cs="宋体" w:eastAsia="宋体" w:hint="default"/>
                <w:sz w:val="18"/>
                <w:szCs w:val="18"/>
              </w:rPr>
              <w:t>智能硬件与物联网作为新一代 的计算平台，未来将形成与当 前智能手机同等量级甚至更大 的市场规模。公司在此领域已 经形成了完整的方案和初步的 市场地位，并作为未来重点业 务大力发展。</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shape style="position:absolute;margin-left:291.083008pt;margin-top:72.779984pt;width:124.4pt;height:32.2pt;mso-position-horizontal-relative:page;mso-position-vertical-relative:page;z-index:-926056" type="#_x0000_t202" filled="false" stroked="false">
            <v:textbox inset="0,0,0,0">
              <w:txbxContent>
                <w:p>
                  <w:pPr>
                    <w:spacing w:line="240" w:lineRule="auto" w:before="5"/>
                    <w:rPr>
                      <w:rFonts w:ascii="宋体" w:hAnsi="宋体" w:cs="宋体" w:eastAsia="宋体"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410.740021pt;margin-top:309.019989pt;width:124.25pt;height:62.9pt;mso-position-horizontal-relative:page;mso-position-vertical-relative:page;z-index:-926032" type="#_x0000_t202" filled="false" stroked="false">
            <v:textbox inset="0,0,0,0">
              <w:txbxContent>
                <w:p>
                  <w:pPr>
                    <w:spacing w:line="240" w:lineRule="auto" w:before="9"/>
                    <w:rPr>
                      <w:rFonts w:ascii="宋体" w:hAnsi="宋体" w:cs="宋体" w:eastAsia="宋体"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410.740021pt;margin-top:153.019989pt;width:124.1pt;height:15.6pt;mso-position-horizontal-relative:page;mso-position-vertical-relative:page;z-index:-926008"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410.740021pt;margin-top:215.419983pt;width:124.1pt;height:15.6pt;mso-position-horizontal-relative:page;mso-position-vertical-relative:page;z-index:-925984"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95.899994pt;margin-top:72.719986pt;width:120.15pt;height:32.25pt;mso-position-horizontal-relative:page;mso-position-vertical-relative:page;z-index:-925960" coordorigin="5918,1454" coordsize="2403,645">
            <v:group style="position:absolute;left:5930;top:1456;width:2379;height:644" coordorigin="5930,1456" coordsize="2379,644">
              <v:shape style="position:absolute;left:5930;top:1456;width:2379;height:644" coordorigin="5930,1456" coordsize="2379,644" path="m5930,2099l8309,2099,8309,1456,5930,1456,5930,2099xe" filled="true" fillcolor="#ffffff" stroked="false">
                <v:path arrowok="t"/>
                <v:fill type="solid"/>
              </v:shape>
            </v:group>
            <v:group style="position:absolute;left:5930;top:1460;width:2379;height:2" coordorigin="5930,1460" coordsize="2379,2">
              <v:shape style="position:absolute;left:5930;top:1460;width:2379;height:2" coordorigin="5930,1460" coordsize="2379,0" path="m5930,1460l8309,1460e" filled="false" stroked="true" strokeweight=".54pt" strokecolor="#ffffff">
                <v:path arrowok="t"/>
              </v:shape>
            </v:group>
            <v:group style="position:absolute;left:5923;top:2093;width:2394;height:2" coordorigin="5923,2093" coordsize="2394,2">
              <v:shape style="position:absolute;left:5923;top:2093;width:2394;height:2" coordorigin="5923,2093" coordsize="2394,0" path="m5923,2093l8316,2093e" filled="false" stroked="true" strokeweight=".48pt" strokecolor="#ffffff">
                <v:path arrowok="t"/>
              </v:shape>
            </v:group>
            <w10:wrap type="none"/>
          </v:group>
        </w:pict>
      </w:r>
      <w:r>
        <w:rPr/>
        <w:pict>
          <v:group style="position:absolute;margin-left:415.619995pt;margin-top:309.019989pt;width:119.95pt;height:62.9pt;mso-position-horizontal-relative:page;mso-position-vertical-relative:page;z-index:-925936" coordorigin="8312,6180" coordsize="2399,1258">
            <v:group style="position:absolute;left:8323;top:6180;width:2376;height:1258" coordorigin="8323,6180" coordsize="2376,1258">
              <v:shape style="position:absolute;left:8323;top:6180;width:2376;height:1258" coordorigin="8323,6180" coordsize="2376,1258" path="m8323,7438l10699,7438,10699,6180,8323,6180,8323,7438xe" filled="true" fillcolor="#ffffff" stroked="false">
                <v:path arrowok="t"/>
                <v:fill type="solid"/>
              </v:shape>
            </v:group>
            <v:group style="position:absolute;left:8317;top:7432;width:2390;height:2" coordorigin="8317,7432" coordsize="2390,2">
              <v:shape style="position:absolute;left:8317;top:7432;width:2390;height:2" coordorigin="8317,7432" coordsize="2390,0" path="m8317,7432l10706,7432e" filled="false" stroked="true" strokeweight=".48pt" strokecolor="#ffffff">
                <v:path arrowok="t"/>
              </v:shape>
            </v:group>
            <w10:wrap type="none"/>
          </v:group>
        </w:pict>
      </w:r>
      <w:r>
        <w:rPr/>
        <w:pict>
          <v:group style="position:absolute;margin-left:416.339996pt;margin-top:153.019989pt;width:121.5pt;height:15.6pt;mso-position-horizontal-relative:page;mso-position-vertical-relative:page;z-index:-925888" coordorigin="8327,3060" coordsize="2430,312">
            <v:group style="position:absolute;left:8327;top:3060;width:2370;height:312" coordorigin="8327,3060" coordsize="2370,312">
              <v:shape style="position:absolute;left:8327;top:3060;width:2370;height:312" coordorigin="8327,3060" coordsize="2370,312" path="m8327,3372l10697,3372,10697,3060,8327,3060,8327,3372xe" filled="true" fillcolor="#ffffff" stroked="false">
                <v:path arrowok="t"/>
                <v:fill type="solid"/>
              </v:shape>
              <v:shape style="position:absolute;left:10577;top:312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pict>
          <v:group style="position:absolute;margin-left:416.339996pt;margin-top:215.419983pt;width:118.5pt;height:15.6pt;mso-position-horizontal-relative:page;mso-position-vertical-relative:page;z-index:-925864" coordorigin="8327,4308" coordsize="2370,312">
            <v:shape style="position:absolute;left:8327;top:4308;width:2370;height:312" coordorigin="8327,4308" coordsize="2370,312" path="m8327,4620l10697,4620,10697,4308,8327,4308,8327,4620xe" filled="true" fillcolor="#ffffff" stroked="false">
              <v:path arrowok="t"/>
              <v:fill type="solid"/>
            </v:shape>
            <w10:wrap type="none"/>
          </v:group>
        </w:pict>
      </w:r>
    </w:p>
    <w:tbl>
      <w:tblPr>
        <w:tblW w:w="0" w:type="auto"/>
        <w:jc w:val="left"/>
        <w:tblInd w:w="1126" w:type="dxa"/>
        <w:tblLayout w:type="fixed"/>
        <w:tblCellMar>
          <w:top w:w="0" w:type="dxa"/>
          <w:left w:w="0" w:type="dxa"/>
          <w:bottom w:w="0" w:type="dxa"/>
          <w:right w:w="0" w:type="dxa"/>
        </w:tblCellMar>
        <w:tblLook w:val="01E0"/>
      </w:tblPr>
      <w:tblGrid>
        <w:gridCol w:w="2394"/>
        <w:gridCol w:w="2394"/>
        <w:gridCol w:w="2393"/>
        <w:gridCol w:w="2390"/>
      </w:tblGrid>
      <w:tr>
        <w:trPr>
          <w:trHeight w:val="659" w:hRule="exact"/>
        </w:trPr>
        <w:tc>
          <w:tcPr>
            <w:tcW w:w="2394" w:type="dxa"/>
            <w:tcBorders>
              <w:top w:val="single" w:sz="6" w:space="0" w:color="000000"/>
              <w:left w:val="single" w:sz="6" w:space="0" w:color="000000"/>
              <w:bottom w:val="single" w:sz="6" w:space="0" w:color="000000"/>
              <w:right w:val="single" w:sz="6" w:space="0" w:color="000000"/>
            </w:tcBorders>
          </w:tcPr>
          <w:p>
            <w:pPr/>
          </w:p>
        </w:tc>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5"/>
              <w:jc w:val="left"/>
              <w:rPr>
                <w:rFonts w:ascii="宋体" w:hAnsi="宋体" w:cs="宋体" w:eastAsia="宋体" w:hint="default"/>
                <w:sz w:val="18"/>
                <w:szCs w:val="18"/>
              </w:rPr>
            </w:pPr>
            <w:r>
              <w:rPr>
                <w:rFonts w:ascii="宋体" w:hAnsi="宋体" w:cs="宋体" w:eastAsia="宋体" w:hint="default"/>
                <w:sz w:val="18"/>
                <w:szCs w:val="18"/>
              </w:rPr>
              <w:t>造商市场，帮助客户解决底层 </w:t>
            </w:r>
            <w:r>
              <w:rPr>
                <w:rFonts w:ascii="宋体" w:hAnsi="宋体" w:cs="宋体" w:eastAsia="宋体" w:hint="default"/>
                <w:spacing w:val="-5"/>
                <w:sz w:val="18"/>
                <w:szCs w:val="18"/>
              </w:rPr>
              <w:t>技术问题，快速实现产品开发</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tc>
        <w:tc>
          <w:tcPr>
            <w:tcW w:w="2390"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239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面向智能终端的图形图像处理</w:t>
            </w:r>
          </w:p>
        </w:tc>
        <w:tc>
          <w:tcPr>
            <w:tcW w:w="239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面向智能手机、平板电脑等移</w:t>
            </w:r>
          </w:p>
        </w:tc>
        <w:tc>
          <w:tcPr>
            <w:tcW w:w="2393" w:type="dxa"/>
            <w:tcBorders>
              <w:top w:val="single" w:sz="6" w:space="0" w:color="000000"/>
              <w:left w:val="single" w:sz="6" w:space="0" w:color="000000"/>
              <w:bottom w:val="nil" w:sz="6" w:space="0" w:color="auto"/>
              <w:right w:val="single" w:sz="7"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已在北京、上海和深圳建成</w:t>
            </w:r>
          </w:p>
        </w:tc>
        <w:tc>
          <w:tcPr>
            <w:tcW w:w="2390" w:type="dxa"/>
            <w:tcBorders>
              <w:top w:val="single" w:sz="6" w:space="0" w:color="000000"/>
              <w:left w:val="single" w:sz="7" w:space="0" w:color="000000"/>
              <w:bottom w:val="nil" w:sz="6" w:space="0" w:color="auto"/>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围绕</w:t>
            </w:r>
            <w:r>
              <w:rPr>
                <w:rFonts w:ascii="宋体" w:hAnsi="宋体" w:cs="宋体" w:eastAsia="宋体" w:hint="default"/>
                <w:sz w:val="18"/>
                <w:szCs w:val="18"/>
              </w:rPr>
              <w:t>Camera</w:t>
            </w:r>
            <w:r>
              <w:rPr>
                <w:rFonts w:ascii="宋体" w:hAnsi="宋体" w:cs="宋体" w:eastAsia="宋体" w:hint="default"/>
                <w:sz w:val="18"/>
                <w:szCs w:val="18"/>
              </w:rPr>
              <w:t>拍照、图像识别和</w:t>
            </w:r>
          </w:p>
        </w:tc>
      </w:tr>
      <w:tr>
        <w:trPr>
          <w:trHeight w:val="312" w:hRule="exact"/>
        </w:trPr>
        <w:tc>
          <w:tcPr>
            <w:tcW w:w="23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技术研发</w:t>
            </w:r>
          </w:p>
        </w:tc>
        <w:tc>
          <w:tcPr>
            <w:tcW w:w="23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动终端，及新的智能硬件、物</w:t>
            </w:r>
          </w:p>
        </w:tc>
        <w:tc>
          <w:tcPr>
            <w:tcW w:w="2393" w:type="dxa"/>
            <w:tcBorders>
              <w:top w:val="nil" w:sz="6" w:space="0" w:color="auto"/>
              <w:left w:val="single" w:sz="6" w:space="0" w:color="000000"/>
              <w:bottom w:val="nil" w:sz="6" w:space="0" w:color="auto"/>
              <w:right w:val="single" w:sz="7"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Camera</w:t>
            </w:r>
            <w:r>
              <w:rPr>
                <w:rFonts w:ascii="宋体" w:hAnsi="宋体" w:cs="宋体" w:eastAsia="宋体" w:hint="default"/>
                <w:sz w:val="18"/>
                <w:szCs w:val="18"/>
              </w:rPr>
              <w:t>测试和调优实验室和近</w:t>
            </w:r>
          </w:p>
        </w:tc>
        <w:tc>
          <w:tcPr>
            <w:tcW w:w="2390" w:type="dxa"/>
            <w:tcBorders>
              <w:top w:val="nil" w:sz="6" w:space="0" w:color="auto"/>
              <w:left w:val="single" w:sz="7" w:space="0" w:color="000000"/>
              <w:bottom w:val="nil" w:sz="6" w:space="0" w:color="auto"/>
              <w:right w:val="single" w:sz="6"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处理的技术，已成为智能手机</w:t>
            </w:r>
          </w:p>
        </w:tc>
      </w:tr>
      <w:tr>
        <w:trPr>
          <w:trHeight w:val="312" w:hRule="exact"/>
        </w:trPr>
        <w:tc>
          <w:tcPr>
            <w:tcW w:w="2394" w:type="dxa"/>
            <w:tcBorders>
              <w:top w:val="nil" w:sz="6" w:space="0" w:color="auto"/>
              <w:left w:val="single" w:sz="6" w:space="0" w:color="000000"/>
              <w:bottom w:val="nil" w:sz="6" w:space="0" w:color="auto"/>
              <w:right w:val="single" w:sz="6" w:space="0" w:color="000000"/>
            </w:tcBorders>
          </w:tcPr>
          <w:p>
            <w:pPr/>
          </w:p>
        </w:tc>
        <w:tc>
          <w:tcPr>
            <w:tcW w:w="23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联网、车载终端领域，开发围</w:t>
            </w:r>
          </w:p>
        </w:tc>
        <w:tc>
          <w:tcPr>
            <w:tcW w:w="2393" w:type="dxa"/>
            <w:tcBorders>
              <w:top w:val="nil" w:sz="6" w:space="0" w:color="auto"/>
              <w:left w:val="single" w:sz="6" w:space="0" w:color="000000"/>
              <w:bottom w:val="nil" w:sz="6" w:space="0" w:color="auto"/>
              <w:right w:val="single" w:sz="7"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百人的开发团队；</w:t>
            </w:r>
          </w:p>
        </w:tc>
        <w:tc>
          <w:tcPr>
            <w:tcW w:w="2390" w:type="dxa"/>
            <w:tcBorders>
              <w:top w:val="nil" w:sz="6" w:space="0" w:color="auto"/>
              <w:left w:val="single" w:sz="7" w:space="0" w:color="000000"/>
              <w:bottom w:val="nil" w:sz="6" w:space="0" w:color="auto"/>
              <w:right w:val="single" w:sz="6"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的核心应用。而且在新的智能</w:t>
            </w:r>
          </w:p>
        </w:tc>
      </w:tr>
      <w:tr>
        <w:trPr>
          <w:trHeight w:val="312" w:hRule="exact"/>
        </w:trPr>
        <w:tc>
          <w:tcPr>
            <w:tcW w:w="2394" w:type="dxa"/>
            <w:tcBorders>
              <w:top w:val="nil" w:sz="6" w:space="0" w:color="auto"/>
              <w:left w:val="single" w:sz="6" w:space="0" w:color="000000"/>
              <w:bottom w:val="nil" w:sz="6" w:space="0" w:color="auto"/>
              <w:right w:val="single" w:sz="6" w:space="0" w:color="000000"/>
            </w:tcBorders>
          </w:tcPr>
          <w:p>
            <w:pPr/>
          </w:p>
        </w:tc>
        <w:tc>
          <w:tcPr>
            <w:tcW w:w="23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绕</w:t>
            </w:r>
            <w:r>
              <w:rPr>
                <w:rFonts w:ascii="宋体" w:hAnsi="宋体" w:cs="宋体" w:eastAsia="宋体" w:hint="default"/>
                <w:sz w:val="18"/>
                <w:szCs w:val="18"/>
              </w:rPr>
              <w:t>Camera</w:t>
            </w:r>
            <w:r>
              <w:rPr>
                <w:rFonts w:ascii="宋体" w:hAnsi="宋体" w:cs="宋体" w:eastAsia="宋体" w:hint="default"/>
                <w:sz w:val="18"/>
                <w:szCs w:val="18"/>
              </w:rPr>
              <w:t>拍照、图像识别、图</w:t>
            </w:r>
          </w:p>
        </w:tc>
        <w:tc>
          <w:tcPr>
            <w:tcW w:w="2393" w:type="dxa"/>
            <w:tcBorders>
              <w:top w:val="nil" w:sz="6" w:space="0" w:color="auto"/>
              <w:left w:val="single" w:sz="6" w:space="0" w:color="000000"/>
              <w:bottom w:val="nil" w:sz="6" w:space="0" w:color="auto"/>
              <w:right w:val="single" w:sz="7"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5"/>
                <w:sz w:val="18"/>
                <w:szCs w:val="18"/>
              </w:rPr>
              <w:t>完成了面向高通、展讯等平台</w:t>
            </w:r>
          </w:p>
        </w:tc>
        <w:tc>
          <w:tcPr>
            <w:tcW w:w="2390" w:type="dxa"/>
            <w:tcBorders>
              <w:top w:val="nil" w:sz="6" w:space="0" w:color="auto"/>
              <w:left w:val="single" w:sz="7" w:space="0" w:color="000000"/>
              <w:bottom w:val="nil" w:sz="6" w:space="0" w:color="auto"/>
              <w:right w:val="single" w:sz="6"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硬件（如无人机、</w:t>
            </w:r>
            <w:r>
              <w:rPr>
                <w:rFonts w:ascii="宋体" w:hAnsi="宋体" w:cs="宋体" w:eastAsia="宋体" w:hint="default"/>
                <w:sz w:val="18"/>
                <w:szCs w:val="18"/>
              </w:rPr>
              <w:t>IP Camera</w:t>
            </w:r>
          </w:p>
        </w:tc>
      </w:tr>
      <w:tr>
        <w:trPr>
          <w:trHeight w:val="312" w:hRule="exact"/>
        </w:trPr>
        <w:tc>
          <w:tcPr>
            <w:tcW w:w="2394" w:type="dxa"/>
            <w:tcBorders>
              <w:top w:val="nil" w:sz="6" w:space="0" w:color="auto"/>
              <w:left w:val="single" w:sz="6" w:space="0" w:color="000000"/>
              <w:bottom w:val="nil" w:sz="6" w:space="0" w:color="auto"/>
              <w:right w:val="single" w:sz="6" w:space="0" w:color="000000"/>
            </w:tcBorders>
          </w:tcPr>
          <w:p>
            <w:pPr/>
          </w:p>
        </w:tc>
        <w:tc>
          <w:tcPr>
            <w:tcW w:w="23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像处理相关的技术和方案，并</w:t>
            </w:r>
          </w:p>
        </w:tc>
        <w:tc>
          <w:tcPr>
            <w:tcW w:w="2393" w:type="dxa"/>
            <w:tcBorders>
              <w:top w:val="nil" w:sz="6" w:space="0" w:color="auto"/>
              <w:left w:val="single" w:sz="6" w:space="0" w:color="000000"/>
              <w:bottom w:val="nil" w:sz="6" w:space="0" w:color="auto"/>
              <w:right w:val="single" w:sz="7"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主流和新型</w:t>
            </w:r>
            <w:r>
              <w:rPr>
                <w:rFonts w:ascii="宋体" w:hAnsi="宋体" w:cs="宋体" w:eastAsia="宋体" w:hint="default"/>
                <w:sz w:val="18"/>
                <w:szCs w:val="18"/>
              </w:rPr>
              <w:t>Camera</w:t>
            </w:r>
            <w:r>
              <w:rPr>
                <w:rFonts w:ascii="宋体" w:hAnsi="宋体" w:cs="宋体" w:eastAsia="宋体" w:hint="default"/>
                <w:sz w:val="18"/>
                <w:szCs w:val="18"/>
              </w:rPr>
              <w:t>元器件的基</w:t>
            </w:r>
          </w:p>
        </w:tc>
        <w:tc>
          <w:tcPr>
            <w:tcW w:w="2390" w:type="dxa"/>
            <w:tcBorders>
              <w:top w:val="nil" w:sz="6" w:space="0" w:color="auto"/>
              <w:left w:val="single" w:sz="7" w:space="0" w:color="000000"/>
              <w:bottom w:val="nil" w:sz="6" w:space="0" w:color="auto"/>
              <w:right w:val="single" w:sz="6"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机器人、虚拟现实等）与车载</w:t>
            </w:r>
          </w:p>
        </w:tc>
      </w:tr>
      <w:tr>
        <w:trPr>
          <w:trHeight w:val="312" w:hRule="exact"/>
        </w:trPr>
        <w:tc>
          <w:tcPr>
            <w:tcW w:w="2394" w:type="dxa"/>
            <w:tcBorders>
              <w:top w:val="nil" w:sz="6" w:space="0" w:color="auto"/>
              <w:left w:val="single" w:sz="6" w:space="0" w:color="000000"/>
              <w:bottom w:val="nil" w:sz="6" w:space="0" w:color="auto"/>
              <w:right w:val="single" w:sz="6" w:space="0" w:color="000000"/>
            </w:tcBorders>
          </w:tcPr>
          <w:p>
            <w:pPr/>
          </w:p>
        </w:tc>
        <w:tc>
          <w:tcPr>
            <w:tcW w:w="23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推广到目标市场中。</w:t>
            </w:r>
          </w:p>
        </w:tc>
        <w:tc>
          <w:tcPr>
            <w:tcW w:w="2393" w:type="dxa"/>
            <w:tcBorders>
              <w:top w:val="nil" w:sz="6" w:space="0" w:color="auto"/>
              <w:left w:val="single" w:sz="6" w:space="0" w:color="000000"/>
              <w:bottom w:val="nil" w:sz="6" w:space="0" w:color="auto"/>
              <w:right w:val="single" w:sz="7"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础软件平台；</w:t>
            </w:r>
          </w:p>
        </w:tc>
        <w:tc>
          <w:tcPr>
            <w:tcW w:w="2390" w:type="dxa"/>
            <w:tcBorders>
              <w:top w:val="nil" w:sz="6" w:space="0" w:color="auto"/>
              <w:left w:val="single" w:sz="7" w:space="0" w:color="000000"/>
              <w:bottom w:val="nil" w:sz="6" w:space="0" w:color="auto"/>
              <w:right w:val="single" w:sz="6"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终端中，也是最重要的技术之</w:t>
            </w:r>
          </w:p>
        </w:tc>
      </w:tr>
      <w:tr>
        <w:trPr>
          <w:trHeight w:val="312" w:hRule="exact"/>
        </w:trPr>
        <w:tc>
          <w:tcPr>
            <w:tcW w:w="2394" w:type="dxa"/>
            <w:tcBorders>
              <w:top w:val="nil" w:sz="6" w:space="0" w:color="auto"/>
              <w:left w:val="single" w:sz="6" w:space="0" w:color="000000"/>
              <w:bottom w:val="nil" w:sz="6" w:space="0" w:color="auto"/>
              <w:right w:val="single" w:sz="6" w:space="0" w:color="000000"/>
            </w:tcBorders>
          </w:tcPr>
          <w:p>
            <w:pPr/>
          </w:p>
        </w:tc>
        <w:tc>
          <w:tcPr>
            <w:tcW w:w="2394" w:type="dxa"/>
            <w:tcBorders>
              <w:top w:val="nil" w:sz="6" w:space="0" w:color="auto"/>
              <w:left w:val="single" w:sz="6" w:space="0" w:color="000000"/>
              <w:bottom w:val="nil" w:sz="6" w:space="0" w:color="auto"/>
              <w:right w:val="single" w:sz="6" w:space="0" w:color="000000"/>
            </w:tcBorders>
          </w:tcPr>
          <w:p>
            <w:pPr/>
          </w:p>
        </w:tc>
        <w:tc>
          <w:tcPr>
            <w:tcW w:w="2393" w:type="dxa"/>
            <w:tcBorders>
              <w:top w:val="nil" w:sz="6" w:space="0" w:color="auto"/>
              <w:left w:val="single" w:sz="6" w:space="0" w:color="000000"/>
              <w:bottom w:val="nil" w:sz="6" w:space="0" w:color="auto"/>
              <w:right w:val="single" w:sz="7"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开发了人脸识别跟踪、性别年</w:t>
            </w:r>
          </w:p>
        </w:tc>
        <w:tc>
          <w:tcPr>
            <w:tcW w:w="2390" w:type="dxa"/>
            <w:tcBorders>
              <w:top w:val="nil" w:sz="6" w:space="0" w:color="auto"/>
              <w:left w:val="single" w:sz="7" w:space="0" w:color="000000"/>
              <w:bottom w:val="nil" w:sz="6" w:space="0" w:color="auto"/>
              <w:right w:val="single" w:sz="6"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一。公司基于前期在图形图像</w:t>
            </w:r>
          </w:p>
        </w:tc>
      </w:tr>
      <w:tr>
        <w:trPr>
          <w:trHeight w:val="312" w:hRule="exact"/>
        </w:trPr>
        <w:tc>
          <w:tcPr>
            <w:tcW w:w="2394" w:type="dxa"/>
            <w:tcBorders>
              <w:top w:val="nil" w:sz="6" w:space="0" w:color="auto"/>
              <w:left w:val="single" w:sz="6" w:space="0" w:color="000000"/>
              <w:bottom w:val="nil" w:sz="6" w:space="0" w:color="auto"/>
              <w:right w:val="single" w:sz="6" w:space="0" w:color="000000"/>
            </w:tcBorders>
          </w:tcPr>
          <w:p>
            <w:pPr/>
          </w:p>
        </w:tc>
        <w:tc>
          <w:tcPr>
            <w:tcW w:w="2394" w:type="dxa"/>
            <w:tcBorders>
              <w:top w:val="nil" w:sz="6" w:space="0" w:color="auto"/>
              <w:left w:val="single" w:sz="6" w:space="0" w:color="000000"/>
              <w:bottom w:val="nil" w:sz="6" w:space="0" w:color="auto"/>
              <w:right w:val="single" w:sz="6" w:space="0" w:color="000000"/>
            </w:tcBorders>
          </w:tcPr>
          <w:p>
            <w:pPr/>
          </w:p>
        </w:tc>
        <w:tc>
          <w:tcPr>
            <w:tcW w:w="2393" w:type="dxa"/>
            <w:tcBorders>
              <w:top w:val="nil" w:sz="6" w:space="0" w:color="auto"/>
              <w:left w:val="single" w:sz="6" w:space="0" w:color="000000"/>
              <w:bottom w:val="nil" w:sz="6" w:space="0" w:color="auto"/>
              <w:right w:val="single" w:sz="7"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5"/>
                <w:sz w:val="18"/>
                <w:szCs w:val="18"/>
              </w:rPr>
              <w:t>龄识别、智能美容、视频防抖</w:t>
            </w:r>
          </w:p>
        </w:tc>
        <w:tc>
          <w:tcPr>
            <w:tcW w:w="2390" w:type="dxa"/>
            <w:tcBorders>
              <w:top w:val="nil" w:sz="6" w:space="0" w:color="auto"/>
              <w:left w:val="single" w:sz="7" w:space="0" w:color="000000"/>
              <w:bottom w:val="nil" w:sz="6" w:space="0" w:color="auto"/>
              <w:right w:val="single" w:sz="6"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处理技术方面的积累与优势，</w:t>
            </w:r>
          </w:p>
        </w:tc>
      </w:tr>
      <w:tr>
        <w:trPr>
          <w:trHeight w:val="312" w:hRule="exact"/>
        </w:trPr>
        <w:tc>
          <w:tcPr>
            <w:tcW w:w="2394" w:type="dxa"/>
            <w:tcBorders>
              <w:top w:val="nil" w:sz="6" w:space="0" w:color="auto"/>
              <w:left w:val="single" w:sz="6" w:space="0" w:color="000000"/>
              <w:bottom w:val="nil" w:sz="6" w:space="0" w:color="auto"/>
              <w:right w:val="single" w:sz="6" w:space="0" w:color="000000"/>
            </w:tcBorders>
          </w:tcPr>
          <w:p>
            <w:pPr/>
          </w:p>
        </w:tc>
        <w:tc>
          <w:tcPr>
            <w:tcW w:w="2394" w:type="dxa"/>
            <w:tcBorders>
              <w:top w:val="nil" w:sz="6" w:space="0" w:color="auto"/>
              <w:left w:val="single" w:sz="6" w:space="0" w:color="000000"/>
              <w:bottom w:val="nil" w:sz="6" w:space="0" w:color="auto"/>
              <w:right w:val="single" w:sz="6" w:space="0" w:color="000000"/>
            </w:tcBorders>
          </w:tcPr>
          <w:p>
            <w:pPr/>
          </w:p>
        </w:tc>
        <w:tc>
          <w:tcPr>
            <w:tcW w:w="2393" w:type="dxa"/>
            <w:tcBorders>
              <w:top w:val="nil" w:sz="6" w:space="0" w:color="auto"/>
              <w:left w:val="single" w:sz="6" w:space="0" w:color="000000"/>
              <w:bottom w:val="nil" w:sz="6" w:space="0" w:color="auto"/>
              <w:right w:val="single" w:sz="7"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夜景增强、全景拍照等众多算</w:t>
            </w:r>
          </w:p>
        </w:tc>
        <w:tc>
          <w:tcPr>
            <w:tcW w:w="2390" w:type="dxa"/>
            <w:tcBorders>
              <w:top w:val="nil" w:sz="6" w:space="0" w:color="auto"/>
              <w:left w:val="single" w:sz="7" w:space="0" w:color="000000"/>
              <w:bottom w:val="nil" w:sz="6" w:space="0" w:color="auto"/>
              <w:right w:val="single" w:sz="6"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不断深入挖掘新的技术趋势，</w:t>
            </w:r>
          </w:p>
        </w:tc>
      </w:tr>
      <w:tr>
        <w:trPr>
          <w:trHeight w:val="312" w:hRule="exact"/>
        </w:trPr>
        <w:tc>
          <w:tcPr>
            <w:tcW w:w="2394" w:type="dxa"/>
            <w:tcBorders>
              <w:top w:val="nil" w:sz="6" w:space="0" w:color="auto"/>
              <w:left w:val="single" w:sz="6" w:space="0" w:color="000000"/>
              <w:bottom w:val="nil" w:sz="6" w:space="0" w:color="auto"/>
              <w:right w:val="single" w:sz="6" w:space="0" w:color="000000"/>
            </w:tcBorders>
          </w:tcPr>
          <w:p>
            <w:pPr/>
          </w:p>
        </w:tc>
        <w:tc>
          <w:tcPr>
            <w:tcW w:w="2394" w:type="dxa"/>
            <w:tcBorders>
              <w:top w:val="nil" w:sz="6" w:space="0" w:color="auto"/>
              <w:left w:val="single" w:sz="6" w:space="0" w:color="000000"/>
              <w:bottom w:val="nil" w:sz="6" w:space="0" w:color="auto"/>
              <w:right w:val="single" w:sz="6" w:space="0" w:color="000000"/>
            </w:tcBorders>
          </w:tcPr>
          <w:p>
            <w:pPr/>
          </w:p>
        </w:tc>
        <w:tc>
          <w:tcPr>
            <w:tcW w:w="2393" w:type="dxa"/>
            <w:tcBorders>
              <w:top w:val="nil" w:sz="6" w:space="0" w:color="auto"/>
              <w:left w:val="single" w:sz="6" w:space="0" w:color="000000"/>
              <w:bottom w:val="nil" w:sz="6" w:space="0" w:color="auto"/>
              <w:right w:val="single" w:sz="7"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法技术；</w:t>
            </w:r>
          </w:p>
        </w:tc>
        <w:tc>
          <w:tcPr>
            <w:tcW w:w="2390" w:type="dxa"/>
            <w:tcBorders>
              <w:top w:val="nil" w:sz="6" w:space="0" w:color="auto"/>
              <w:left w:val="single" w:sz="7" w:space="0" w:color="000000"/>
              <w:bottom w:val="nil" w:sz="6" w:space="0" w:color="auto"/>
              <w:right w:val="single" w:sz="6"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研发全面的方案并引入到新的</w:t>
            </w:r>
          </w:p>
        </w:tc>
      </w:tr>
      <w:tr>
        <w:trPr>
          <w:trHeight w:val="312" w:hRule="exact"/>
        </w:trPr>
        <w:tc>
          <w:tcPr>
            <w:tcW w:w="2394" w:type="dxa"/>
            <w:tcBorders>
              <w:top w:val="nil" w:sz="6" w:space="0" w:color="auto"/>
              <w:left w:val="single" w:sz="6" w:space="0" w:color="000000"/>
              <w:bottom w:val="nil" w:sz="6" w:space="0" w:color="auto"/>
              <w:right w:val="single" w:sz="6" w:space="0" w:color="000000"/>
            </w:tcBorders>
          </w:tcPr>
          <w:p>
            <w:pPr/>
          </w:p>
        </w:tc>
        <w:tc>
          <w:tcPr>
            <w:tcW w:w="2394" w:type="dxa"/>
            <w:tcBorders>
              <w:top w:val="nil" w:sz="6" w:space="0" w:color="auto"/>
              <w:left w:val="single" w:sz="6" w:space="0" w:color="000000"/>
              <w:bottom w:val="nil" w:sz="6" w:space="0" w:color="auto"/>
              <w:right w:val="single" w:sz="6" w:space="0" w:color="000000"/>
            </w:tcBorders>
          </w:tcPr>
          <w:p>
            <w:pPr/>
          </w:p>
        </w:tc>
        <w:tc>
          <w:tcPr>
            <w:tcW w:w="2393" w:type="dxa"/>
            <w:tcBorders>
              <w:top w:val="nil" w:sz="6" w:space="0" w:color="auto"/>
              <w:left w:val="single" w:sz="6" w:space="0" w:color="000000"/>
              <w:bottom w:val="nil" w:sz="6" w:space="0" w:color="auto"/>
              <w:right w:val="single" w:sz="7"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5"/>
                <w:sz w:val="18"/>
                <w:szCs w:val="18"/>
              </w:rPr>
              <w:t>开发了面向双摄像头、</w:t>
            </w:r>
            <w:r>
              <w:rPr>
                <w:rFonts w:ascii="宋体" w:hAnsi="宋体" w:cs="宋体" w:eastAsia="宋体" w:hint="default"/>
                <w:spacing w:val="-5"/>
                <w:sz w:val="18"/>
                <w:szCs w:val="18"/>
              </w:rPr>
              <w:t>360</w:t>
            </w:r>
            <w:r>
              <w:rPr>
                <w:rFonts w:ascii="宋体" w:hAnsi="宋体" w:cs="宋体" w:eastAsia="宋体" w:hint="default"/>
                <w:spacing w:val="-5"/>
                <w:sz w:val="18"/>
                <w:szCs w:val="18"/>
              </w:rPr>
              <w:t>度全</w:t>
            </w:r>
            <w:r>
              <w:rPr>
                <w:rFonts w:ascii="宋体" w:hAnsi="宋体" w:cs="宋体" w:eastAsia="宋体" w:hint="default"/>
                <w:sz w:val="18"/>
                <w:szCs w:val="18"/>
              </w:rPr>
            </w:r>
          </w:p>
        </w:tc>
        <w:tc>
          <w:tcPr>
            <w:tcW w:w="2390" w:type="dxa"/>
            <w:tcBorders>
              <w:top w:val="nil" w:sz="6" w:space="0" w:color="auto"/>
              <w:left w:val="single" w:sz="7" w:space="0" w:color="000000"/>
              <w:bottom w:val="nil" w:sz="6" w:space="0" w:color="auto"/>
              <w:right w:val="single" w:sz="6"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终端市场中。本项目的持续实</w:t>
            </w:r>
          </w:p>
        </w:tc>
      </w:tr>
      <w:tr>
        <w:trPr>
          <w:trHeight w:val="312" w:hRule="exact"/>
        </w:trPr>
        <w:tc>
          <w:tcPr>
            <w:tcW w:w="2394" w:type="dxa"/>
            <w:tcBorders>
              <w:top w:val="nil" w:sz="6" w:space="0" w:color="auto"/>
              <w:left w:val="single" w:sz="6" w:space="0" w:color="000000"/>
              <w:bottom w:val="nil" w:sz="6" w:space="0" w:color="auto"/>
              <w:right w:val="single" w:sz="6" w:space="0" w:color="000000"/>
            </w:tcBorders>
          </w:tcPr>
          <w:p>
            <w:pPr/>
          </w:p>
        </w:tc>
        <w:tc>
          <w:tcPr>
            <w:tcW w:w="2394" w:type="dxa"/>
            <w:tcBorders>
              <w:top w:val="nil" w:sz="6" w:space="0" w:color="auto"/>
              <w:left w:val="single" w:sz="6" w:space="0" w:color="000000"/>
              <w:bottom w:val="nil" w:sz="6" w:space="0" w:color="auto"/>
              <w:right w:val="single" w:sz="6" w:space="0" w:color="000000"/>
            </w:tcBorders>
          </w:tcPr>
          <w:p>
            <w:pPr/>
          </w:p>
        </w:tc>
        <w:tc>
          <w:tcPr>
            <w:tcW w:w="2393" w:type="dxa"/>
            <w:tcBorders>
              <w:top w:val="nil" w:sz="6" w:space="0" w:color="auto"/>
              <w:left w:val="single" w:sz="6" w:space="0" w:color="000000"/>
              <w:bottom w:val="nil" w:sz="6" w:space="0" w:color="auto"/>
              <w:right w:val="single" w:sz="7"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景摄像头、无人机稳像平台、</w:t>
            </w:r>
          </w:p>
        </w:tc>
        <w:tc>
          <w:tcPr>
            <w:tcW w:w="2390" w:type="dxa"/>
            <w:tcBorders>
              <w:top w:val="nil" w:sz="6" w:space="0" w:color="auto"/>
              <w:left w:val="single" w:sz="7" w:space="0" w:color="000000"/>
              <w:bottom w:val="nil" w:sz="6" w:space="0" w:color="auto"/>
              <w:right w:val="single" w:sz="6"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施，已成为公司核心竞争力的</w:t>
            </w:r>
          </w:p>
        </w:tc>
      </w:tr>
      <w:tr>
        <w:trPr>
          <w:trHeight w:val="312" w:hRule="exact"/>
        </w:trPr>
        <w:tc>
          <w:tcPr>
            <w:tcW w:w="2394" w:type="dxa"/>
            <w:tcBorders>
              <w:top w:val="nil" w:sz="6" w:space="0" w:color="auto"/>
              <w:left w:val="single" w:sz="6" w:space="0" w:color="000000"/>
              <w:bottom w:val="nil" w:sz="6" w:space="0" w:color="auto"/>
              <w:right w:val="single" w:sz="6" w:space="0" w:color="000000"/>
            </w:tcBorders>
          </w:tcPr>
          <w:p>
            <w:pPr/>
          </w:p>
        </w:tc>
        <w:tc>
          <w:tcPr>
            <w:tcW w:w="2394" w:type="dxa"/>
            <w:tcBorders>
              <w:top w:val="nil" w:sz="6" w:space="0" w:color="auto"/>
              <w:left w:val="single" w:sz="6" w:space="0" w:color="000000"/>
              <w:bottom w:val="nil" w:sz="6" w:space="0" w:color="auto"/>
              <w:right w:val="single" w:sz="6" w:space="0" w:color="000000"/>
            </w:tcBorders>
          </w:tcPr>
          <w:p>
            <w:pPr/>
          </w:p>
        </w:tc>
        <w:tc>
          <w:tcPr>
            <w:tcW w:w="2393" w:type="dxa"/>
            <w:tcBorders>
              <w:top w:val="nil" w:sz="6" w:space="0" w:color="auto"/>
              <w:left w:val="single" w:sz="6" w:space="0" w:color="000000"/>
              <w:bottom w:val="nil" w:sz="6" w:space="0" w:color="auto"/>
              <w:right w:val="single" w:sz="7"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无线监控摄像机的图形图像优</w:t>
            </w:r>
          </w:p>
        </w:tc>
        <w:tc>
          <w:tcPr>
            <w:tcW w:w="2390" w:type="dxa"/>
            <w:tcBorders>
              <w:top w:val="nil" w:sz="6" w:space="0" w:color="auto"/>
              <w:left w:val="single" w:sz="7" w:space="0" w:color="000000"/>
              <w:bottom w:val="nil" w:sz="6" w:space="0" w:color="auto"/>
              <w:right w:val="single" w:sz="6"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一个重要组成部分。</w:t>
            </w:r>
          </w:p>
        </w:tc>
      </w:tr>
      <w:tr>
        <w:trPr>
          <w:trHeight w:val="312" w:hRule="exact"/>
        </w:trPr>
        <w:tc>
          <w:tcPr>
            <w:tcW w:w="2394" w:type="dxa"/>
            <w:tcBorders>
              <w:top w:val="nil" w:sz="6" w:space="0" w:color="auto"/>
              <w:left w:val="single" w:sz="6" w:space="0" w:color="000000"/>
              <w:bottom w:val="nil" w:sz="6" w:space="0" w:color="auto"/>
              <w:right w:val="single" w:sz="6" w:space="0" w:color="000000"/>
            </w:tcBorders>
          </w:tcPr>
          <w:p>
            <w:pPr/>
          </w:p>
        </w:tc>
        <w:tc>
          <w:tcPr>
            <w:tcW w:w="2394" w:type="dxa"/>
            <w:tcBorders>
              <w:top w:val="nil" w:sz="6" w:space="0" w:color="auto"/>
              <w:left w:val="single" w:sz="6" w:space="0" w:color="000000"/>
              <w:bottom w:val="nil" w:sz="6" w:space="0" w:color="auto"/>
              <w:right w:val="single" w:sz="6" w:space="0" w:color="000000"/>
            </w:tcBorders>
          </w:tcPr>
          <w:p>
            <w:pPr/>
          </w:p>
        </w:tc>
        <w:tc>
          <w:tcPr>
            <w:tcW w:w="239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化方案；</w:t>
            </w:r>
          </w:p>
        </w:tc>
        <w:tc>
          <w:tcPr>
            <w:tcW w:w="239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2394" w:type="dxa"/>
            <w:tcBorders>
              <w:top w:val="nil" w:sz="6" w:space="0" w:color="auto"/>
              <w:left w:val="single" w:sz="6" w:space="0" w:color="000000"/>
              <w:bottom w:val="nil" w:sz="6" w:space="0" w:color="auto"/>
              <w:right w:val="single" w:sz="6" w:space="0" w:color="000000"/>
            </w:tcBorders>
          </w:tcPr>
          <w:p>
            <w:pPr/>
          </w:p>
        </w:tc>
        <w:tc>
          <w:tcPr>
            <w:tcW w:w="2394" w:type="dxa"/>
            <w:tcBorders>
              <w:top w:val="nil" w:sz="6" w:space="0" w:color="auto"/>
              <w:left w:val="single" w:sz="6" w:space="0" w:color="000000"/>
              <w:bottom w:val="nil" w:sz="6" w:space="0" w:color="auto"/>
              <w:right w:val="single" w:sz="6" w:space="0" w:color="000000"/>
            </w:tcBorders>
          </w:tcPr>
          <w:p>
            <w:pPr/>
          </w:p>
        </w:tc>
        <w:tc>
          <w:tcPr>
            <w:tcW w:w="239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5"/>
                <w:sz w:val="18"/>
                <w:szCs w:val="18"/>
              </w:rPr>
              <w:t>推出了从硬件测试、驱动开发</w:t>
            </w:r>
          </w:p>
        </w:tc>
        <w:tc>
          <w:tcPr>
            <w:tcW w:w="239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2394" w:type="dxa"/>
            <w:tcBorders>
              <w:top w:val="nil" w:sz="6" w:space="0" w:color="auto"/>
              <w:left w:val="single" w:sz="6" w:space="0" w:color="000000"/>
              <w:bottom w:val="nil" w:sz="6" w:space="0" w:color="auto"/>
              <w:right w:val="single" w:sz="6" w:space="0" w:color="000000"/>
            </w:tcBorders>
          </w:tcPr>
          <w:p>
            <w:pPr/>
          </w:p>
        </w:tc>
        <w:tc>
          <w:tcPr>
            <w:tcW w:w="2394" w:type="dxa"/>
            <w:tcBorders>
              <w:top w:val="nil" w:sz="6" w:space="0" w:color="auto"/>
              <w:left w:val="single" w:sz="6" w:space="0" w:color="000000"/>
              <w:bottom w:val="nil" w:sz="6" w:space="0" w:color="auto"/>
              <w:right w:val="single" w:sz="6" w:space="0" w:color="000000"/>
            </w:tcBorders>
          </w:tcPr>
          <w:p>
            <w:pPr/>
          </w:p>
        </w:tc>
        <w:tc>
          <w:tcPr>
            <w:tcW w:w="239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优化算法到应用的一站式解决</w:t>
            </w:r>
          </w:p>
        </w:tc>
        <w:tc>
          <w:tcPr>
            <w:tcW w:w="2390" w:type="dxa"/>
            <w:tcBorders>
              <w:top w:val="nil" w:sz="6" w:space="0" w:color="auto"/>
              <w:left w:val="single" w:sz="6" w:space="0" w:color="000000"/>
              <w:bottom w:val="nil" w:sz="6" w:space="0" w:color="auto"/>
              <w:right w:val="single" w:sz="6" w:space="0" w:color="000000"/>
            </w:tcBorders>
          </w:tcPr>
          <w:p>
            <w:pPr/>
          </w:p>
        </w:tc>
      </w:tr>
      <w:tr>
        <w:trPr>
          <w:trHeight w:val="329" w:hRule="exact"/>
        </w:trPr>
        <w:tc>
          <w:tcPr>
            <w:tcW w:w="2394" w:type="dxa"/>
            <w:tcBorders>
              <w:top w:val="nil" w:sz="6" w:space="0" w:color="auto"/>
              <w:left w:val="single" w:sz="6" w:space="0" w:color="000000"/>
              <w:bottom w:val="single" w:sz="6" w:space="0" w:color="000000"/>
              <w:right w:val="single" w:sz="6" w:space="0" w:color="000000"/>
            </w:tcBorders>
          </w:tcPr>
          <w:p>
            <w:pPr/>
          </w:p>
        </w:tc>
        <w:tc>
          <w:tcPr>
            <w:tcW w:w="2394" w:type="dxa"/>
            <w:tcBorders>
              <w:top w:val="nil" w:sz="6" w:space="0" w:color="auto"/>
              <w:left w:val="single" w:sz="6" w:space="0" w:color="000000"/>
              <w:bottom w:val="single" w:sz="6" w:space="0" w:color="000000"/>
              <w:right w:val="single" w:sz="6" w:space="0" w:color="000000"/>
            </w:tcBorders>
          </w:tcPr>
          <w:p>
            <w:pPr/>
          </w:p>
        </w:tc>
        <w:tc>
          <w:tcPr>
            <w:tcW w:w="239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方案。</w:t>
            </w:r>
          </w:p>
        </w:tc>
        <w:tc>
          <w:tcPr>
            <w:tcW w:w="2390" w:type="dxa"/>
            <w:tcBorders>
              <w:top w:val="nil" w:sz="6" w:space="0" w:color="auto"/>
              <w:left w:val="single" w:sz="6" w:space="0" w:color="000000"/>
              <w:bottom w:val="single" w:sz="6" w:space="0" w:color="000000"/>
              <w:right w:val="single" w:sz="6" w:space="0" w:color="000000"/>
            </w:tcBorders>
          </w:tcPr>
          <w:p>
            <w:pPr/>
          </w:p>
        </w:tc>
      </w:tr>
      <w:tr>
        <w:trPr>
          <w:trHeight w:val="330" w:hRule="exact"/>
        </w:trPr>
        <w:tc>
          <w:tcPr>
            <w:tcW w:w="239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企业级移动管理系统解决方案</w:t>
            </w:r>
          </w:p>
        </w:tc>
        <w:tc>
          <w:tcPr>
            <w:tcW w:w="239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面向企业市场，为企业基于移</w:t>
            </w:r>
          </w:p>
        </w:tc>
        <w:tc>
          <w:tcPr>
            <w:tcW w:w="239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已建成</w:t>
            </w:r>
            <w:r>
              <w:rPr>
                <w:rFonts w:ascii="宋体" w:hAnsi="宋体" w:cs="宋体" w:eastAsia="宋体" w:hint="default"/>
                <w:sz w:val="18"/>
                <w:szCs w:val="18"/>
              </w:rPr>
              <w:t>40</w:t>
            </w:r>
            <w:r>
              <w:rPr>
                <w:rFonts w:ascii="宋体" w:hAnsi="宋体" w:cs="宋体" w:eastAsia="宋体" w:hint="default"/>
                <w:sz w:val="18"/>
                <w:szCs w:val="18"/>
              </w:rPr>
              <w:t>人的产品团队；</w:t>
            </w:r>
          </w:p>
        </w:tc>
        <w:tc>
          <w:tcPr>
            <w:tcW w:w="23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提供面向移动办公</w:t>
            </w:r>
            <w:r>
              <w:rPr>
                <w:rFonts w:ascii="宋体" w:hAnsi="宋体" w:cs="宋体" w:eastAsia="宋体" w:hint="default"/>
                <w:sz w:val="18"/>
                <w:szCs w:val="18"/>
              </w:rPr>
              <w:t>SaaS</w:t>
            </w:r>
            <w:r>
              <w:rPr>
                <w:rFonts w:ascii="宋体" w:hAnsi="宋体" w:cs="宋体" w:eastAsia="宋体" w:hint="default"/>
                <w:sz w:val="18"/>
                <w:szCs w:val="18"/>
              </w:rPr>
              <w:t>场景的</w:t>
            </w:r>
          </w:p>
        </w:tc>
      </w:tr>
      <w:tr>
        <w:trPr>
          <w:trHeight w:val="312" w:hRule="exact"/>
        </w:trPr>
        <w:tc>
          <w:tcPr>
            <w:tcW w:w="2394" w:type="dxa"/>
            <w:tcBorders>
              <w:top w:val="nil" w:sz="6" w:space="0" w:color="auto"/>
              <w:left w:val="single" w:sz="6" w:space="0" w:color="000000"/>
              <w:bottom w:val="nil" w:sz="6" w:space="0" w:color="auto"/>
              <w:right w:val="single" w:sz="6" w:space="0" w:color="000000"/>
            </w:tcBorders>
          </w:tcPr>
          <w:p>
            <w:pPr/>
          </w:p>
        </w:tc>
        <w:tc>
          <w:tcPr>
            <w:tcW w:w="23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动信息化管理平台的安全架构</w:t>
            </w:r>
          </w:p>
        </w:tc>
        <w:tc>
          <w:tcPr>
            <w:tcW w:w="239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开发企业移动设备管理平台</w:t>
            </w:r>
          </w:p>
        </w:tc>
        <w:tc>
          <w:tcPr>
            <w:tcW w:w="239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产品方案，其企业移动管理产</w:t>
            </w:r>
          </w:p>
        </w:tc>
      </w:tr>
      <w:tr>
        <w:trPr>
          <w:trHeight w:val="312" w:hRule="exact"/>
        </w:trPr>
        <w:tc>
          <w:tcPr>
            <w:tcW w:w="2394" w:type="dxa"/>
            <w:tcBorders>
              <w:top w:val="nil" w:sz="6" w:space="0" w:color="auto"/>
              <w:left w:val="single" w:sz="6" w:space="0" w:color="000000"/>
              <w:bottom w:val="nil" w:sz="6" w:space="0" w:color="auto"/>
              <w:right w:val="single" w:sz="6" w:space="0" w:color="000000"/>
            </w:tcBorders>
          </w:tcPr>
          <w:p>
            <w:pPr/>
          </w:p>
        </w:tc>
        <w:tc>
          <w:tcPr>
            <w:tcW w:w="23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提供支持解决方案。其产品包</w:t>
            </w:r>
          </w:p>
        </w:tc>
        <w:tc>
          <w:tcPr>
            <w:tcW w:w="239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ThunderEMM</w:t>
            </w:r>
            <w:r>
              <w:rPr>
                <w:rFonts w:ascii="宋体" w:hAnsi="宋体" w:cs="宋体" w:eastAsia="宋体" w:hint="default"/>
                <w:sz w:val="18"/>
                <w:szCs w:val="18"/>
              </w:rPr>
              <w:t>产品，支持企业全</w:t>
            </w:r>
          </w:p>
        </w:tc>
        <w:tc>
          <w:tcPr>
            <w:tcW w:w="239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品</w:t>
            </w:r>
            <w:r>
              <w:rPr>
                <w:rFonts w:ascii="宋体" w:hAnsi="宋体" w:cs="宋体" w:eastAsia="宋体" w:hint="default"/>
                <w:sz w:val="18"/>
                <w:szCs w:val="18"/>
              </w:rPr>
              <w:t>ThunderEMM</w:t>
            </w:r>
            <w:r>
              <w:rPr>
                <w:rFonts w:ascii="宋体" w:hAnsi="宋体" w:cs="宋体" w:eastAsia="宋体" w:hint="default"/>
                <w:sz w:val="18"/>
                <w:szCs w:val="18"/>
              </w:rPr>
              <w:t>，移动身份认证</w:t>
            </w:r>
          </w:p>
        </w:tc>
      </w:tr>
      <w:tr>
        <w:trPr>
          <w:trHeight w:val="312" w:hRule="exact"/>
        </w:trPr>
        <w:tc>
          <w:tcPr>
            <w:tcW w:w="2394" w:type="dxa"/>
            <w:tcBorders>
              <w:top w:val="nil" w:sz="6" w:space="0" w:color="auto"/>
              <w:left w:val="single" w:sz="6" w:space="0" w:color="000000"/>
              <w:bottom w:val="nil" w:sz="6" w:space="0" w:color="auto"/>
              <w:right w:val="single" w:sz="6" w:space="0" w:color="000000"/>
            </w:tcBorders>
          </w:tcPr>
          <w:p>
            <w:pPr/>
          </w:p>
        </w:tc>
        <w:tc>
          <w:tcPr>
            <w:tcW w:w="23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括企业移动设备管理平台</w:t>
            </w:r>
          </w:p>
        </w:tc>
        <w:tc>
          <w:tcPr>
            <w:tcW w:w="239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方位移动设备管理解决方案并</w:t>
            </w:r>
          </w:p>
        </w:tc>
        <w:tc>
          <w:tcPr>
            <w:tcW w:w="239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产品</w:t>
            </w:r>
            <w:r>
              <w:rPr>
                <w:rFonts w:ascii="宋体" w:hAnsi="宋体" w:cs="宋体" w:eastAsia="宋体" w:hint="default"/>
                <w:sz w:val="18"/>
                <w:szCs w:val="18"/>
              </w:rPr>
              <w:t>ThunderIAM</w:t>
            </w:r>
            <w:r>
              <w:rPr>
                <w:rFonts w:ascii="宋体" w:hAnsi="宋体" w:cs="宋体" w:eastAsia="宋体" w:hint="default"/>
                <w:sz w:val="18"/>
                <w:szCs w:val="18"/>
              </w:rPr>
              <w:t>已成为该领域</w:t>
            </w:r>
          </w:p>
        </w:tc>
      </w:tr>
      <w:tr>
        <w:trPr>
          <w:trHeight w:val="312" w:hRule="exact"/>
        </w:trPr>
        <w:tc>
          <w:tcPr>
            <w:tcW w:w="2394" w:type="dxa"/>
            <w:tcBorders>
              <w:top w:val="nil" w:sz="6" w:space="0" w:color="auto"/>
              <w:left w:val="single" w:sz="6" w:space="0" w:color="000000"/>
              <w:bottom w:val="nil" w:sz="6" w:space="0" w:color="auto"/>
              <w:right w:val="single" w:sz="6" w:space="0" w:color="000000"/>
            </w:tcBorders>
          </w:tcPr>
          <w:p>
            <w:pPr/>
          </w:p>
        </w:tc>
        <w:tc>
          <w:tcPr>
            <w:tcW w:w="23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ThunderEMM</w:t>
            </w:r>
            <w:r>
              <w:rPr>
                <w:rFonts w:ascii="宋体" w:hAnsi="宋体" w:cs="宋体" w:eastAsia="宋体" w:hint="default"/>
                <w:sz w:val="18"/>
                <w:szCs w:val="18"/>
              </w:rPr>
              <w:t>和移动统一身份认</w:t>
            </w:r>
          </w:p>
        </w:tc>
        <w:tc>
          <w:tcPr>
            <w:tcW w:w="239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提供海量并发推送平台，支持</w:t>
            </w:r>
          </w:p>
        </w:tc>
        <w:tc>
          <w:tcPr>
            <w:tcW w:w="239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的佼佼者，有助公司拓展新的</w:t>
            </w:r>
          </w:p>
        </w:tc>
      </w:tr>
      <w:tr>
        <w:trPr>
          <w:trHeight w:val="312" w:hRule="exact"/>
        </w:trPr>
        <w:tc>
          <w:tcPr>
            <w:tcW w:w="2394" w:type="dxa"/>
            <w:tcBorders>
              <w:top w:val="nil" w:sz="6" w:space="0" w:color="auto"/>
              <w:left w:val="single" w:sz="6" w:space="0" w:color="000000"/>
              <w:bottom w:val="nil" w:sz="6" w:space="0" w:color="auto"/>
              <w:right w:val="single" w:sz="6" w:space="0" w:color="000000"/>
            </w:tcBorders>
          </w:tcPr>
          <w:p>
            <w:pPr/>
          </w:p>
        </w:tc>
        <w:tc>
          <w:tcPr>
            <w:tcW w:w="23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证平台</w:t>
            </w:r>
            <w:r>
              <w:rPr>
                <w:rFonts w:ascii="宋体" w:hAnsi="宋体" w:cs="宋体" w:eastAsia="宋体" w:hint="default"/>
                <w:sz w:val="18"/>
                <w:szCs w:val="18"/>
              </w:rPr>
              <w:t>ThunderIAM, </w:t>
            </w:r>
            <w:r>
              <w:rPr>
                <w:rFonts w:ascii="宋体" w:hAnsi="宋体" w:cs="宋体" w:eastAsia="宋体" w:hint="default"/>
                <w:sz w:val="18"/>
                <w:szCs w:val="18"/>
              </w:rPr>
              <w:t>同时为企</w:t>
            </w:r>
          </w:p>
        </w:tc>
        <w:tc>
          <w:tcPr>
            <w:tcW w:w="239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SaaS</w:t>
            </w:r>
            <w:r>
              <w:rPr>
                <w:rFonts w:ascii="宋体" w:hAnsi="宋体" w:cs="宋体" w:eastAsia="宋体" w:hint="default"/>
                <w:sz w:val="18"/>
                <w:szCs w:val="18"/>
              </w:rPr>
              <w:t>产品模式；</w:t>
            </w:r>
          </w:p>
        </w:tc>
        <w:tc>
          <w:tcPr>
            <w:tcW w:w="239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企业级市场。</w:t>
            </w:r>
          </w:p>
        </w:tc>
      </w:tr>
      <w:tr>
        <w:trPr>
          <w:trHeight w:val="312" w:hRule="exact"/>
        </w:trPr>
        <w:tc>
          <w:tcPr>
            <w:tcW w:w="2394" w:type="dxa"/>
            <w:tcBorders>
              <w:top w:val="nil" w:sz="6" w:space="0" w:color="auto"/>
              <w:left w:val="single" w:sz="6" w:space="0" w:color="000000"/>
              <w:bottom w:val="nil" w:sz="6" w:space="0" w:color="auto"/>
              <w:right w:val="single" w:sz="6" w:space="0" w:color="000000"/>
            </w:tcBorders>
          </w:tcPr>
          <w:p>
            <w:pPr/>
          </w:p>
        </w:tc>
        <w:tc>
          <w:tcPr>
            <w:tcW w:w="23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业提供移动端到端解决方案。</w:t>
            </w:r>
          </w:p>
        </w:tc>
        <w:tc>
          <w:tcPr>
            <w:tcW w:w="239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企业身份认证管理平台</w:t>
            </w:r>
          </w:p>
        </w:tc>
        <w:tc>
          <w:tcPr>
            <w:tcW w:w="239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2394" w:type="dxa"/>
            <w:tcBorders>
              <w:top w:val="nil" w:sz="6" w:space="0" w:color="auto"/>
              <w:left w:val="single" w:sz="6" w:space="0" w:color="000000"/>
              <w:bottom w:val="nil" w:sz="6" w:space="0" w:color="auto"/>
              <w:right w:val="single" w:sz="6" w:space="0" w:color="000000"/>
            </w:tcBorders>
          </w:tcPr>
          <w:p>
            <w:pPr/>
          </w:p>
        </w:tc>
        <w:tc>
          <w:tcPr>
            <w:tcW w:w="2394" w:type="dxa"/>
            <w:tcBorders>
              <w:top w:val="nil" w:sz="6" w:space="0" w:color="auto"/>
              <w:left w:val="single" w:sz="6" w:space="0" w:color="000000"/>
              <w:bottom w:val="nil" w:sz="6" w:space="0" w:color="auto"/>
              <w:right w:val="single" w:sz="6" w:space="0" w:color="000000"/>
            </w:tcBorders>
          </w:tcPr>
          <w:p>
            <w:pPr/>
          </w:p>
        </w:tc>
        <w:tc>
          <w:tcPr>
            <w:tcW w:w="239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ThunderIAM,</w:t>
            </w:r>
            <w:r>
              <w:rPr>
                <w:rFonts w:ascii="宋体" w:hAnsi="宋体" w:cs="宋体" w:eastAsia="宋体" w:hint="default"/>
                <w:sz w:val="18"/>
                <w:szCs w:val="18"/>
              </w:rPr>
              <w:t>为企业提供统一</w:t>
            </w:r>
          </w:p>
        </w:tc>
        <w:tc>
          <w:tcPr>
            <w:tcW w:w="239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2394" w:type="dxa"/>
            <w:tcBorders>
              <w:top w:val="nil" w:sz="6" w:space="0" w:color="auto"/>
              <w:left w:val="single" w:sz="6" w:space="0" w:color="000000"/>
              <w:bottom w:val="nil" w:sz="6" w:space="0" w:color="auto"/>
              <w:right w:val="single" w:sz="6" w:space="0" w:color="000000"/>
            </w:tcBorders>
          </w:tcPr>
          <w:p>
            <w:pPr/>
          </w:p>
        </w:tc>
        <w:tc>
          <w:tcPr>
            <w:tcW w:w="2394" w:type="dxa"/>
            <w:tcBorders>
              <w:top w:val="nil" w:sz="6" w:space="0" w:color="auto"/>
              <w:left w:val="single" w:sz="6" w:space="0" w:color="000000"/>
              <w:bottom w:val="nil" w:sz="6" w:space="0" w:color="auto"/>
              <w:right w:val="single" w:sz="6" w:space="0" w:color="000000"/>
            </w:tcBorders>
          </w:tcPr>
          <w:p>
            <w:pPr/>
          </w:p>
        </w:tc>
        <w:tc>
          <w:tcPr>
            <w:tcW w:w="239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平台身份认证，支持多因子身</w:t>
            </w:r>
          </w:p>
        </w:tc>
        <w:tc>
          <w:tcPr>
            <w:tcW w:w="239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2394" w:type="dxa"/>
            <w:tcBorders>
              <w:top w:val="nil" w:sz="6" w:space="0" w:color="auto"/>
              <w:left w:val="single" w:sz="6" w:space="0" w:color="000000"/>
              <w:bottom w:val="nil" w:sz="6" w:space="0" w:color="auto"/>
              <w:right w:val="single" w:sz="6" w:space="0" w:color="000000"/>
            </w:tcBorders>
          </w:tcPr>
          <w:p>
            <w:pPr/>
          </w:p>
        </w:tc>
        <w:tc>
          <w:tcPr>
            <w:tcW w:w="2394" w:type="dxa"/>
            <w:tcBorders>
              <w:top w:val="nil" w:sz="6" w:space="0" w:color="auto"/>
              <w:left w:val="single" w:sz="6" w:space="0" w:color="000000"/>
              <w:bottom w:val="nil" w:sz="6" w:space="0" w:color="auto"/>
              <w:right w:val="single" w:sz="6" w:space="0" w:color="000000"/>
            </w:tcBorders>
          </w:tcPr>
          <w:p>
            <w:pPr/>
          </w:p>
        </w:tc>
        <w:tc>
          <w:tcPr>
            <w:tcW w:w="239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份认证模式，负荷国际主流</w:t>
            </w:r>
          </w:p>
        </w:tc>
        <w:tc>
          <w:tcPr>
            <w:tcW w:w="2390" w:type="dxa"/>
            <w:tcBorders>
              <w:top w:val="nil" w:sz="6" w:space="0" w:color="auto"/>
              <w:left w:val="single" w:sz="6" w:space="0" w:color="000000"/>
              <w:bottom w:val="nil" w:sz="6" w:space="0" w:color="auto"/>
              <w:right w:val="single" w:sz="6" w:space="0" w:color="000000"/>
            </w:tcBorders>
          </w:tcPr>
          <w:p>
            <w:pPr/>
          </w:p>
        </w:tc>
      </w:tr>
      <w:tr>
        <w:trPr>
          <w:trHeight w:val="330" w:hRule="exact"/>
        </w:trPr>
        <w:tc>
          <w:tcPr>
            <w:tcW w:w="2394" w:type="dxa"/>
            <w:tcBorders>
              <w:top w:val="nil" w:sz="6" w:space="0" w:color="auto"/>
              <w:left w:val="single" w:sz="6" w:space="0" w:color="000000"/>
              <w:bottom w:val="single" w:sz="6" w:space="0" w:color="000000"/>
              <w:right w:val="single" w:sz="6" w:space="0" w:color="000000"/>
            </w:tcBorders>
          </w:tcPr>
          <w:p>
            <w:pPr/>
          </w:p>
        </w:tc>
        <w:tc>
          <w:tcPr>
            <w:tcW w:w="2394" w:type="dxa"/>
            <w:tcBorders>
              <w:top w:val="nil" w:sz="6" w:space="0" w:color="auto"/>
              <w:left w:val="single" w:sz="6" w:space="0" w:color="000000"/>
              <w:bottom w:val="single" w:sz="6" w:space="0" w:color="000000"/>
              <w:right w:val="single" w:sz="6" w:space="0" w:color="000000"/>
            </w:tcBorders>
          </w:tcPr>
          <w:p>
            <w:pPr/>
          </w:p>
        </w:tc>
        <w:tc>
          <w:tcPr>
            <w:tcW w:w="239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FIDO</w:t>
            </w:r>
            <w:r>
              <w:rPr>
                <w:rFonts w:ascii="宋体" w:hAnsi="宋体" w:cs="宋体" w:eastAsia="宋体" w:hint="default"/>
                <w:sz w:val="18"/>
                <w:szCs w:val="18"/>
              </w:rPr>
              <w:t>认证标准。</w:t>
            </w:r>
          </w:p>
        </w:tc>
        <w:tc>
          <w:tcPr>
            <w:tcW w:w="2390" w:type="dxa"/>
            <w:tcBorders>
              <w:top w:val="nil" w:sz="6" w:space="0" w:color="auto"/>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4"/>
          <w:szCs w:val="24"/>
        </w:rPr>
      </w:pPr>
    </w:p>
    <w:p>
      <w:pPr>
        <w:spacing w:before="44"/>
        <w:ind w:left="1134" w:right="3499"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90.11%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92.75%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115,769,132.64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79,179,009.93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41,884,745.19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润的比重</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2"/>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3499"/>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538,766,781.69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450,405,551.64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507,137,782.98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380,001,433.27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31,628,998.71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70,404,118.37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126,721,704.85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35,419,263.09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257.78%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-111,721,704.85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-35,419,263.09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215.43%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666,815,494.00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27,039,320.00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2,366.10%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105,325,671.17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48,463,313.23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117.33%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561,489,822.83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-21,423,993.23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487,660,032.07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13,268,136.79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3,575.42%</w:t>
            </w:r>
          </w:p>
        </w:tc>
      </w:tr>
    </w:tbl>
    <w:p>
      <w:pPr>
        <w:pStyle w:val="BodyText"/>
        <w:spacing w:line="240" w:lineRule="auto" w:before="26"/>
        <w:ind w:left="1134" w:right="3499"/>
        <w:jc w:val="left"/>
      </w:pPr>
      <w:r>
        <w:rPr/>
        <w:t>相关数据同比发生重大变动的主要影响因素说明</w:t>
      </w:r>
    </w:p>
    <w:p>
      <w:pPr>
        <w:pStyle w:val="BodyText"/>
        <w:spacing w:line="307" w:lineRule="auto" w:before="78"/>
        <w:ind w:left="1134" w:right="3612"/>
        <w:jc w:val="left"/>
      </w:pPr>
      <w:r>
        <w:rPr/>
        <w:t>√ 适用 □</w:t>
      </w:r>
      <w:r>
        <w:rPr>
          <w:spacing w:val="-1"/>
        </w:rPr>
        <w:t> </w:t>
      </w:r>
      <w:r>
        <w:rPr/>
        <w:t>不适用</w:t>
      </w:r>
      <w:r>
        <w:rPr/>
        <w:t> </w:t>
      </w:r>
      <w:r>
        <w:rPr>
          <w:rFonts w:ascii="宋体" w:hAnsi="宋体" w:cs="宋体" w:eastAsia="宋体" w:hint="default"/>
        </w:rPr>
        <w:t>(1)</w:t>
      </w:r>
      <w:r>
        <w:rPr/>
        <w:t>报告期投资活动现金流入小计</w:t>
      </w:r>
      <w:r>
        <w:rPr>
          <w:rFonts w:ascii="宋体" w:hAnsi="宋体" w:cs="宋体" w:eastAsia="宋体" w:hint="default"/>
        </w:rPr>
        <w:t>15,000,000.00</w:t>
      </w:r>
      <w:r>
        <w:rPr/>
        <w:t>元，系公司收到的政府补助。</w:t>
      </w:r>
    </w:p>
    <w:p>
      <w:pPr>
        <w:pStyle w:val="BodyText"/>
        <w:spacing w:line="290" w:lineRule="auto" w:before="18"/>
        <w:ind w:right="1093"/>
        <w:jc w:val="left"/>
      </w:pPr>
      <w:r>
        <w:rPr>
          <w:rFonts w:ascii="宋体" w:hAnsi="宋体" w:cs="宋体" w:eastAsia="宋体" w:hint="default"/>
        </w:rPr>
        <w:t>(2)</w:t>
      </w:r>
      <w:r>
        <w:rPr/>
        <w:t>报告期投资活动现金流出小计</w:t>
      </w:r>
      <w:r>
        <w:rPr>
          <w:rFonts w:ascii="宋体" w:hAnsi="宋体" w:cs="宋体" w:eastAsia="宋体" w:hint="default"/>
        </w:rPr>
        <w:t>126,721,704.85</w:t>
      </w:r>
      <w:r>
        <w:rPr/>
        <w:t>元，较上年度增长</w:t>
      </w:r>
      <w:r>
        <w:rPr>
          <w:rFonts w:ascii="宋体" w:hAnsi="宋体" w:cs="宋体" w:eastAsia="宋体" w:hint="default"/>
        </w:rPr>
        <w:t>257.78%</w:t>
      </w:r>
      <w:r>
        <w:rPr/>
        <w:t>，系公司对外投资增加所致。 </w:t>
      </w:r>
      <w:r>
        <w:rPr>
          <w:rFonts w:ascii="宋体" w:hAnsi="宋体" w:cs="宋体" w:eastAsia="宋体" w:hint="default"/>
          <w:spacing w:val="-1"/>
        </w:rPr>
        <w:t>(3)</w:t>
      </w:r>
      <w:r>
        <w:rPr>
          <w:spacing w:val="-1"/>
        </w:rPr>
        <w:t>报告期筹资活动现金流入小计</w:t>
      </w:r>
      <w:r>
        <w:rPr>
          <w:rFonts w:ascii="宋体" w:hAnsi="宋体" w:cs="宋体" w:eastAsia="宋体" w:hint="default"/>
          <w:spacing w:val="-1"/>
        </w:rPr>
        <w:t>666,815,494.00</w:t>
      </w:r>
      <w:r>
        <w:rPr>
          <w:spacing w:val="-1"/>
        </w:rPr>
        <w:t>元，较上年度增长</w:t>
      </w:r>
      <w:r>
        <w:rPr>
          <w:rFonts w:ascii="宋体" w:hAnsi="宋体" w:cs="宋体" w:eastAsia="宋体" w:hint="default"/>
          <w:spacing w:val="-1"/>
        </w:rPr>
        <w:t>2,366.10%</w:t>
      </w:r>
      <w:r>
        <w:rPr>
          <w:spacing w:val="-1"/>
        </w:rPr>
        <w:t>，主要系公司报告期首次公</w:t>
      </w:r>
      <w:r>
        <w:rPr>
          <w:spacing w:val="-72"/>
        </w:rPr>
        <w:t> </w:t>
      </w:r>
      <w:r>
        <w:rPr>
          <w:spacing w:val="-72"/>
        </w:rPr>
      </w:r>
      <w:r>
        <w:rPr/>
        <w:t>开发行股票并在创业板上市融资及银行贷款增加所致。 </w:t>
      </w:r>
      <w:r>
        <w:rPr>
          <w:rFonts w:ascii="宋体" w:hAnsi="宋体" w:cs="宋体" w:eastAsia="宋体" w:hint="default"/>
          <w:spacing w:val="-1"/>
        </w:rPr>
        <w:t>(4)</w:t>
      </w:r>
      <w:r>
        <w:rPr>
          <w:spacing w:val="-1"/>
        </w:rPr>
        <w:t>报告期筹资活动现金流出小计</w:t>
      </w:r>
      <w:r>
        <w:rPr>
          <w:rFonts w:ascii="宋体" w:hAnsi="宋体" w:cs="宋体" w:eastAsia="宋体" w:hint="default"/>
          <w:spacing w:val="-1"/>
        </w:rPr>
        <w:t>105,325,671.17</w:t>
      </w:r>
      <w:r>
        <w:rPr>
          <w:spacing w:val="-1"/>
        </w:rPr>
        <w:t>元，较上年度增长</w:t>
      </w:r>
      <w:r>
        <w:rPr>
          <w:rFonts w:ascii="宋体" w:hAnsi="宋体" w:cs="宋体" w:eastAsia="宋体" w:hint="default"/>
          <w:spacing w:val="-1"/>
        </w:rPr>
        <w:t>117.33%</w:t>
      </w:r>
      <w:r>
        <w:rPr>
          <w:spacing w:val="-1"/>
        </w:rPr>
        <w:t>，主要系公司报告期利润分配</w:t>
      </w:r>
      <w:r>
        <w:rPr>
          <w:spacing w:val="-73"/>
        </w:rPr>
        <w:t> </w:t>
      </w:r>
      <w:r>
        <w:rPr>
          <w:spacing w:val="-73"/>
        </w:rPr>
      </w:r>
      <w:r>
        <w:rPr/>
        <w:t>及偿还债务所致。</w:t>
      </w:r>
    </w:p>
    <w:p>
      <w:pPr>
        <w:pStyle w:val="BodyText"/>
        <w:spacing w:line="240" w:lineRule="auto" w:before="32"/>
        <w:ind w:left="1134" w:right="0"/>
        <w:jc w:val="left"/>
      </w:pPr>
      <w:r>
        <w:rPr/>
        <w:t>报告期内公司经营活动产生的现金净流量与本年度净利润存在重大差异的原因说明</w:t>
      </w:r>
    </w:p>
    <w:p>
      <w:pPr>
        <w:pStyle w:val="BodyText"/>
        <w:spacing w:line="283" w:lineRule="auto" w:before="78"/>
        <w:ind w:right="1118"/>
        <w:jc w:val="left"/>
      </w:pPr>
      <w:r>
        <w:rPr/>
        <w:t>√ 适用 □</w:t>
      </w:r>
      <w:r>
        <w:rPr>
          <w:spacing w:val="-1"/>
        </w:rPr>
        <w:t> </w:t>
      </w:r>
      <w:r>
        <w:rPr/>
        <w:t>不适用</w:t>
      </w:r>
      <w:r>
        <w:rPr/>
        <w:t> </w:t>
      </w:r>
      <w:r>
        <w:rPr>
          <w:spacing w:val="-1"/>
        </w:rPr>
        <w:t>报告期公司净利润</w:t>
      </w:r>
      <w:r>
        <w:rPr>
          <w:rFonts w:ascii="宋体" w:hAnsi="宋体" w:cs="宋体" w:eastAsia="宋体" w:hint="default"/>
          <w:spacing w:val="-1"/>
        </w:rPr>
        <w:t>116,382,783.22</w:t>
      </w:r>
      <w:r>
        <w:rPr>
          <w:spacing w:val="-1"/>
        </w:rPr>
        <w:t>元，经营活动产生的现金净流量</w:t>
      </w:r>
      <w:r>
        <w:rPr>
          <w:rFonts w:ascii="宋体" w:hAnsi="宋体" w:cs="宋体" w:eastAsia="宋体" w:hint="default"/>
          <w:spacing w:val="-1"/>
        </w:rPr>
        <w:t>31,628,998.71</w:t>
      </w:r>
      <w:r>
        <w:rPr>
          <w:spacing w:val="-1"/>
        </w:rPr>
        <w:t>元，相差</w:t>
      </w:r>
      <w:r>
        <w:rPr>
          <w:rFonts w:ascii="宋体" w:hAnsi="宋体" w:cs="宋体" w:eastAsia="宋体" w:hint="default"/>
          <w:spacing w:val="-1"/>
        </w:rPr>
        <w:t>84,753,784.51</w:t>
      </w:r>
      <w:r>
        <w:rPr>
          <w:rFonts w:ascii="宋体" w:hAnsi="宋体" w:cs="宋体" w:eastAsia="宋体" w:hint="default"/>
          <w:spacing w:val="-63"/>
        </w:rPr>
        <w:t> </w:t>
      </w:r>
      <w:r>
        <w:rPr>
          <w:rFonts w:ascii="宋体" w:hAnsi="宋体" w:cs="宋体" w:eastAsia="宋体" w:hint="default"/>
          <w:spacing w:val="-63"/>
        </w:rPr>
      </w:r>
      <w:r>
        <w:rPr/>
        <w:t>元。其中经营性应收项目增加</w:t>
      </w:r>
      <w:r>
        <w:rPr>
          <w:rFonts w:ascii="宋体" w:hAnsi="宋体" w:cs="宋体" w:eastAsia="宋体" w:hint="default"/>
        </w:rPr>
        <w:t>120,771,433.45</w:t>
      </w:r>
      <w:r>
        <w:rPr/>
        <w:t>元，经营性应付项目增加</w:t>
      </w:r>
      <w:r>
        <w:rPr>
          <w:rFonts w:ascii="宋体" w:hAnsi="宋体" w:cs="宋体" w:eastAsia="宋体" w:hint="default"/>
        </w:rPr>
        <w:t>24,073,555.55</w:t>
      </w:r>
      <w:r>
        <w:rPr/>
        <w:t>元，是构成差异的 主要原因。</w:t>
      </w:r>
    </w:p>
    <w:p>
      <w:pPr>
        <w:spacing w:after="0" w:line="283"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3499"/>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2"/>
        <w:rPr>
          <w:rFonts w:ascii="宋体" w:hAnsi="宋体" w:cs="宋体" w:eastAsia="宋体" w:hint="default"/>
          <w:b/>
          <w:bCs/>
          <w:sz w:val="23"/>
          <w:szCs w:val="23"/>
        </w:rPr>
      </w:pPr>
    </w:p>
    <w:p>
      <w:pPr>
        <w:spacing w:before="44"/>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512"/>
        <w:gridCol w:w="1916"/>
        <w:gridCol w:w="1623"/>
        <w:gridCol w:w="2254"/>
        <w:gridCol w:w="2254"/>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22,964,979.86</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17.92%</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主要为按照国家规定享受的 软件增值税即征即退</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134" w:right="3499"/>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499"/>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79"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213"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73,894.48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61.77%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20,069.62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47.69%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268.19%</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7"/>
              <w:jc w:val="both"/>
              <w:rPr>
                <w:rFonts w:ascii="宋体" w:hAnsi="宋体" w:cs="宋体" w:eastAsia="宋体" w:hint="default"/>
                <w:sz w:val="18"/>
                <w:szCs w:val="18"/>
              </w:rPr>
            </w:pPr>
            <w:r>
              <w:rPr>
                <w:rFonts w:ascii="宋体" w:hAnsi="宋体" w:cs="宋体" w:eastAsia="宋体" w:hint="default"/>
                <w:spacing w:val="10"/>
                <w:sz w:val="18"/>
                <w:szCs w:val="18"/>
              </w:rPr>
              <w:t>增长主要系公司报告期首次公开发</w:t>
            </w:r>
            <w:r>
              <w:rPr>
                <w:rFonts w:ascii="宋体" w:hAnsi="宋体" w:cs="宋体" w:eastAsia="宋体" w:hint="default"/>
                <w:sz w:val="18"/>
                <w:szCs w:val="18"/>
              </w:rPr>
              <w:t> </w:t>
            </w:r>
            <w:r>
              <w:rPr>
                <w:rFonts w:ascii="宋体" w:hAnsi="宋体" w:cs="宋体" w:eastAsia="宋体" w:hint="default"/>
                <w:spacing w:val="11"/>
                <w:sz w:val="18"/>
                <w:szCs w:val="18"/>
              </w:rPr>
              <w:t>行股票并在创业板上市募集资金所</w:t>
            </w:r>
            <w:r>
              <w:rPr>
                <w:rFonts w:ascii="宋体" w:hAnsi="宋体" w:cs="宋体" w:eastAsia="宋体" w:hint="default"/>
                <w:spacing w:val="12"/>
                <w:sz w:val="18"/>
                <w:szCs w:val="18"/>
              </w:rPr>
              <w:t> </w:t>
            </w:r>
            <w:r>
              <w:rPr>
                <w:rFonts w:ascii="宋体" w:hAnsi="宋体" w:cs="宋体" w:eastAsia="宋体" w:hint="default"/>
                <w:sz w:val="18"/>
                <w:szCs w:val="18"/>
              </w:rPr>
              <w:t>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23,798.42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19.89%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11,813.25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28.07%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101.46%</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增长主要系公司报告期收入增长及</w:t>
            </w:r>
            <w:r>
              <w:rPr>
                <w:rFonts w:ascii="宋体" w:hAnsi="宋体" w:cs="宋体" w:eastAsia="宋体" w:hint="default"/>
                <w:sz w:val="18"/>
                <w:szCs w:val="18"/>
              </w:rPr>
              <w:t> 个别欠款回款不及时所致。</w:t>
            </w:r>
          </w:p>
        </w:tc>
      </w:tr>
      <w:tr>
        <w:trPr>
          <w:trHeight w:val="393"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462.40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0.39%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3" w:right="0"/>
              <w:jc w:val="left"/>
              <w:rPr>
                <w:rFonts w:ascii="Times New Roman" w:hAnsi="Times New Roman" w:cs="Times New Roman" w:eastAsia="Times New Roman" w:hint="default"/>
                <w:sz w:val="18"/>
                <w:szCs w:val="18"/>
              </w:rPr>
            </w:pPr>
            <w:r>
              <w:rPr>
                <w:rFonts w:ascii="Times New Roman"/>
                <w:sz w:val="18"/>
              </w:rPr>
              <w:t>355.11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0.84%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30.21%</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增长主要系公司报告期支付的押金、 保证金和员工备用金增加所致。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212.72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0.18%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1" w:right="0"/>
              <w:jc w:val="left"/>
              <w:rPr>
                <w:rFonts w:ascii="Times New Roman" w:hAnsi="Times New Roman" w:cs="Times New Roman" w:eastAsia="Times New Roman" w:hint="default"/>
                <w:sz w:val="18"/>
                <w:szCs w:val="18"/>
              </w:rPr>
            </w:pPr>
            <w:r>
              <w:rPr>
                <w:rFonts w:ascii="Times New Roman"/>
                <w:sz w:val="18"/>
              </w:rPr>
              <w:t>1,316.38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3.13%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-83.84%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下降主要系公司报告期预缴的企业</w:t>
            </w:r>
            <w:r>
              <w:rPr>
                <w:rFonts w:ascii="宋体" w:hAnsi="宋体" w:cs="宋体" w:eastAsia="宋体" w:hint="default"/>
                <w:sz w:val="18"/>
                <w:szCs w:val="18"/>
              </w:rPr>
              <w:t> 所得税下降所致。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3"/>
              <w:jc w:val="left"/>
              <w:rPr>
                <w:rFonts w:ascii="宋体" w:hAnsi="宋体" w:cs="宋体" w:eastAsia="宋体" w:hint="default"/>
                <w:sz w:val="18"/>
                <w:szCs w:val="18"/>
              </w:rPr>
            </w:pPr>
            <w:r>
              <w:rPr>
                <w:rFonts w:ascii="宋体" w:hAnsi="宋体" w:cs="宋体" w:eastAsia="宋体" w:hint="default"/>
                <w:spacing w:val="7"/>
                <w:sz w:val="18"/>
                <w:szCs w:val="18"/>
              </w:rPr>
              <w:t>可供出售金融资</w:t>
            </w:r>
            <w:r>
              <w:rPr>
                <w:rFonts w:ascii="宋体" w:hAnsi="宋体" w:cs="宋体" w:eastAsia="宋体" w:hint="default"/>
                <w:sz w:val="18"/>
                <w:szCs w:val="18"/>
              </w:rPr>
              <w:t> 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8" w:right="0"/>
              <w:jc w:val="left"/>
              <w:rPr>
                <w:rFonts w:ascii="Times New Roman" w:hAnsi="Times New Roman" w:cs="Times New Roman" w:eastAsia="Times New Roman" w:hint="default"/>
                <w:sz w:val="18"/>
                <w:szCs w:val="18"/>
              </w:rPr>
            </w:pPr>
            <w:r>
              <w:rPr>
                <w:rFonts w:ascii="Times New Roman"/>
                <w:sz w:val="18"/>
              </w:rPr>
              <w:t>2,534.39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406.88%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pacing w:val="10"/>
                <w:sz w:val="18"/>
                <w:szCs w:val="18"/>
              </w:rPr>
              <w:t>增长主要系公司报告期对外战略性</w:t>
            </w:r>
            <w:r>
              <w:rPr>
                <w:rFonts w:ascii="宋体" w:hAnsi="宋体" w:cs="宋体" w:eastAsia="宋体" w:hint="default"/>
                <w:sz w:val="18"/>
                <w:szCs w:val="18"/>
              </w:rPr>
              <w:t> 投资入股非上市公司金额增加所致。</w:t>
            </w: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830.70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0.69%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550.71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1.31%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50.84%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增长主要系公司报告期为员工提供</w:t>
            </w:r>
            <w:r>
              <w:rPr>
                <w:rFonts w:ascii="宋体" w:hAnsi="宋体" w:cs="宋体" w:eastAsia="宋体" w:hint="default"/>
                <w:sz w:val="18"/>
                <w:szCs w:val="18"/>
              </w:rPr>
              <w:t> 无息购房借款所致。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3" w:right="0"/>
              <w:jc w:val="left"/>
              <w:rPr>
                <w:rFonts w:ascii="Times New Roman" w:hAnsi="Times New Roman" w:cs="Times New Roman" w:eastAsia="Times New Roman" w:hint="default"/>
                <w:sz w:val="18"/>
                <w:szCs w:val="18"/>
              </w:rPr>
            </w:pPr>
            <w:r>
              <w:rPr>
                <w:rFonts w:ascii="Times New Roman"/>
                <w:sz w:val="18"/>
              </w:rPr>
              <w:t>8,225.29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6.88%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863.26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2.05%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852.82%</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增长主要系公司报告期加大投资力</w:t>
            </w:r>
            <w:r>
              <w:rPr>
                <w:rFonts w:ascii="宋体" w:hAnsi="宋体" w:cs="宋体" w:eastAsia="宋体" w:hint="default"/>
                <w:sz w:val="18"/>
                <w:szCs w:val="18"/>
              </w:rPr>
              <w:t> 度、设立联营和合营公司所致。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319.43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0.27%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160.71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0.38%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98.76%</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增长主要系公司报告期外购办公软</w:t>
            </w:r>
            <w:r>
              <w:rPr>
                <w:rFonts w:ascii="宋体" w:hAnsi="宋体" w:cs="宋体" w:eastAsia="宋体" w:hint="default"/>
                <w:sz w:val="18"/>
                <w:szCs w:val="18"/>
              </w:rPr>
              <w:t> 件增加所致。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552.95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0.46%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217.14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0.52%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154.65%</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增长主要系公司报告期办公房屋装</w:t>
            </w:r>
            <w:r>
              <w:rPr>
                <w:rFonts w:ascii="宋体" w:hAnsi="宋体" w:cs="宋体" w:eastAsia="宋体" w:hint="default"/>
                <w:sz w:val="18"/>
                <w:szCs w:val="18"/>
              </w:rPr>
              <w:t> 修增加所致。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345.62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0.29%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155.51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0.37%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122.25%</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10"/>
                <w:sz w:val="18"/>
                <w:szCs w:val="18"/>
              </w:rPr>
              <w:t>增长主要系公司报告期收到政府补</w:t>
            </w:r>
            <w:r>
              <w:rPr>
                <w:rFonts w:ascii="宋体" w:hAnsi="宋体" w:cs="宋体" w:eastAsia="宋体" w:hint="default"/>
                <w:sz w:val="18"/>
                <w:szCs w:val="18"/>
              </w:rPr>
              <w:t> </w:t>
            </w:r>
            <w:r>
              <w:rPr>
                <w:rFonts w:ascii="宋体" w:hAnsi="宋体" w:cs="宋体" w:eastAsia="宋体" w:hint="default"/>
                <w:spacing w:val="-2"/>
                <w:sz w:val="18"/>
                <w:szCs w:val="18"/>
              </w:rPr>
              <w:t>助作为递延收益，产生税务可抵减暂</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时性差异的所致。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3" w:right="0"/>
              <w:jc w:val="left"/>
              <w:rPr>
                <w:rFonts w:ascii="Times New Roman" w:hAnsi="Times New Roman" w:cs="Times New Roman" w:eastAsia="Times New Roman" w:hint="default"/>
                <w:sz w:val="18"/>
                <w:szCs w:val="18"/>
              </w:rPr>
            </w:pPr>
            <w:r>
              <w:rPr>
                <w:rFonts w:ascii="Times New Roman"/>
                <w:sz w:val="18"/>
              </w:rPr>
              <w:t>2,933.96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2.45%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7" w:right="0"/>
              <w:jc w:val="left"/>
              <w:rPr>
                <w:rFonts w:ascii="Times New Roman" w:hAnsi="Times New Roman" w:cs="Times New Roman" w:eastAsia="Times New Roman" w:hint="default"/>
                <w:sz w:val="18"/>
                <w:szCs w:val="18"/>
              </w:rPr>
            </w:pPr>
            <w:r>
              <w:rPr>
                <w:rFonts w:ascii="Times New Roman"/>
                <w:sz w:val="18"/>
              </w:rPr>
              <w:t>1420.68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3.38%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106.52%</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10"/>
                <w:sz w:val="18"/>
                <w:szCs w:val="18"/>
              </w:rPr>
              <w:t>增长主要系公司南京子公司报告期</w:t>
            </w:r>
            <w:r>
              <w:rPr>
                <w:rFonts w:ascii="宋体" w:hAnsi="宋体" w:cs="宋体" w:eastAsia="宋体" w:hint="default"/>
                <w:sz w:val="18"/>
                <w:szCs w:val="18"/>
              </w:rPr>
              <w:t> 预付购买办公用房款所致。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11,065.05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2692.36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310.98%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增长主要系公司报告期加大财务杠</w:t>
            </w:r>
            <w:r>
              <w:rPr>
                <w:rFonts w:ascii="宋体" w:hAnsi="宋体" w:cs="宋体" w:eastAsia="宋体" w:hint="default"/>
                <w:sz w:val="18"/>
                <w:szCs w:val="18"/>
              </w:rPr>
              <w:t> 杆力度，银行贷款增加所致。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1,188.31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602.89%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10"/>
                <w:sz w:val="18"/>
                <w:szCs w:val="18"/>
              </w:rPr>
              <w:t>增长主要系公司报告期采购规模增</w:t>
            </w:r>
            <w:r>
              <w:rPr>
                <w:rFonts w:ascii="宋体" w:hAnsi="宋体" w:cs="宋体" w:eastAsia="宋体" w:hint="default"/>
                <w:sz w:val="18"/>
                <w:szCs w:val="18"/>
              </w:rPr>
              <w:t> </w:t>
            </w:r>
            <w:r>
              <w:rPr>
                <w:rFonts w:ascii="宋体" w:hAnsi="宋体" w:cs="宋体" w:eastAsia="宋体" w:hint="default"/>
                <w:spacing w:val="-2"/>
                <w:sz w:val="18"/>
                <w:szCs w:val="18"/>
              </w:rPr>
              <w:t>加、尚未结算的应付服务费及货款增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长所致。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553.17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259.02%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增长主要系公司报告期末应交增值</w:t>
            </w:r>
            <w:r>
              <w:rPr>
                <w:rFonts w:ascii="宋体" w:hAnsi="宋体" w:cs="宋体" w:eastAsia="宋体" w:hint="default"/>
                <w:sz w:val="18"/>
                <w:szCs w:val="18"/>
              </w:rPr>
              <w:t> 税及企业所得税增加所致。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921.68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354.25%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增长主要系公司报告期应付上市费</w:t>
            </w:r>
            <w:r>
              <w:rPr>
                <w:rFonts w:ascii="宋体" w:hAnsi="宋体" w:cs="宋体" w:eastAsia="宋体" w:hint="default"/>
                <w:sz w:val="18"/>
                <w:szCs w:val="18"/>
              </w:rPr>
              <w:t> 用增加所致。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7"/>
                <w:sz w:val="18"/>
                <w:szCs w:val="18"/>
              </w:rPr>
              <w:t>一年内到期的非</w:t>
            </w:r>
            <w:r>
              <w:rPr>
                <w:rFonts w:ascii="宋体" w:hAnsi="宋体" w:cs="宋体" w:eastAsia="宋体" w:hint="default"/>
                <w:sz w:val="18"/>
                <w:szCs w:val="18"/>
              </w:rPr>
              <w:t> 流动负债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10"/>
                <w:sz w:val="18"/>
                <w:szCs w:val="18"/>
              </w:rPr>
              <w:t>系公司南京子公司购买办公用房办</w:t>
            </w:r>
            <w:r>
              <w:rPr>
                <w:rFonts w:ascii="宋体" w:hAnsi="宋体" w:cs="宋体" w:eastAsia="宋体" w:hint="default"/>
                <w:sz w:val="18"/>
                <w:szCs w:val="18"/>
              </w:rPr>
              <w:t> </w:t>
            </w:r>
            <w:r>
              <w:rPr>
                <w:rFonts w:ascii="宋体" w:hAnsi="宋体" w:cs="宋体" w:eastAsia="宋体" w:hint="default"/>
                <w:spacing w:val="10"/>
                <w:sz w:val="18"/>
                <w:szCs w:val="18"/>
              </w:rPr>
              <w:t>理银行按揭贷款将在一年内到期的</w:t>
            </w:r>
            <w:r>
              <w:rPr>
                <w:rFonts w:ascii="宋体" w:hAnsi="宋体" w:cs="宋体" w:eastAsia="宋体" w:hint="default"/>
                <w:sz w:val="18"/>
                <w:szCs w:val="18"/>
              </w:rPr>
              <w:t> 部分。</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1,225.92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系公司南京子公司购买办公用房办</w:t>
            </w:r>
            <w:r>
              <w:rPr>
                <w:rFonts w:ascii="宋体" w:hAnsi="宋体" w:cs="宋体" w:eastAsia="宋体" w:hint="default"/>
                <w:sz w:val="18"/>
                <w:szCs w:val="18"/>
              </w:rPr>
              <w:t> 理的银行按揭贷款。</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系公司收到的政府补助尚未达到验</w:t>
            </w:r>
            <w:r>
              <w:rPr>
                <w:rFonts w:ascii="宋体" w:hAnsi="宋体" w:cs="宋体" w:eastAsia="宋体" w:hint="default"/>
                <w:sz w:val="18"/>
                <w:szCs w:val="18"/>
              </w:rPr>
              <w:t> 收状态。</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3"/>
        <w:spacing w:line="240" w:lineRule="auto"/>
        <w:ind w:left="1134" w:right="3499"/>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9"/>
        <w:rPr>
          <w:rFonts w:ascii="宋体" w:hAnsi="宋体" w:cs="宋体" w:eastAsia="宋体" w:hint="default"/>
          <w:b/>
          <w:bCs/>
          <w:sz w:val="26"/>
          <w:szCs w:val="26"/>
        </w:rPr>
      </w:pPr>
    </w:p>
    <w:p>
      <w:pPr>
        <w:spacing w:before="0"/>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3499"/>
        <w:jc w:val="left"/>
        <w:rPr>
          <w:b w:val="0"/>
          <w:bCs w:val="0"/>
        </w:rPr>
      </w:pPr>
      <w:bookmarkStart w:name="五、投资状况分析" w:id="43"/>
      <w:bookmarkEnd w:id="43"/>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499"/>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126,721,704.85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35,419,263.09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257.78%</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spacing w:before="0"/>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3499"/>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spacing w:before="0"/>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3499"/>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3499"/>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3499"/>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宋体" w:hAnsi="宋体" w:cs="宋体" w:eastAsia="宋体" w:hint="default"/>
                <w:sz w:val="18"/>
                <w:szCs w:val="18"/>
              </w:rPr>
              <w:t>公开发行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53,054</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53,054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专户存储</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53,054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53,054</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月公开发行股票募集资金。由于资金到账时间较短，截止到本报告期末尚未支出募集资金。</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23"/>
        <w:gridCol w:w="717"/>
        <w:gridCol w:w="716"/>
        <w:gridCol w:w="719"/>
        <w:gridCol w:w="718"/>
        <w:gridCol w:w="716"/>
        <w:gridCol w:w="719"/>
        <w:gridCol w:w="718"/>
        <w:gridCol w:w="718"/>
        <w:gridCol w:w="710"/>
      </w:tblGrid>
      <w:tr>
        <w:trPr>
          <w:trHeight w:val="1650"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69" w:right="9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63" w:right="62"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3" w:right="87"/>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8" w:right="87"/>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9"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1" w:right="8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71"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2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1" w:right="8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0" w:right="86"/>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9"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8"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面向多模</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LTE</w:t>
            </w:r>
            <w:r>
              <w:rPr>
                <w:rFonts w:ascii="Times New Roman" w:hAnsi="Times New Roman" w:cs="Times New Roman" w:eastAsia="Times New Roman" w:hint="default"/>
                <w:sz w:val="18"/>
                <w:szCs w:val="18"/>
              </w:rPr>
              <w:t> </w:t>
            </w:r>
            <w:r>
              <w:rPr>
                <w:rFonts w:ascii="宋体" w:hAnsi="宋体" w:cs="宋体" w:eastAsia="宋体" w:hint="default"/>
                <w:sz w:val="18"/>
                <w:szCs w:val="18"/>
              </w:rPr>
              <w:t>智能 手机的操作系统开 发项目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15,993</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15,993</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8,261.91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16,084.3</w:t>
            </w:r>
          </w:p>
          <w:p>
            <w:pPr>
              <w:pStyle w:val="TableParagraph"/>
              <w:spacing w:line="240" w:lineRule="auto" w:before="106"/>
              <w:ind w:right="16"/>
              <w:jc w:val="right"/>
              <w:rPr>
                <w:rFonts w:ascii="Times New Roman" w:hAnsi="Times New Roman" w:cs="Times New Roman" w:eastAsia="Times New Roman" w:hint="default"/>
                <w:sz w:val="18"/>
                <w:szCs w:val="18"/>
              </w:rPr>
            </w:pPr>
            <w:r>
              <w:rPr>
                <w:rFonts w:ascii="Times New Roman"/>
                <w:sz w:val="18"/>
              </w:rPr>
              <w:t>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IHV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认证实验室建 设项目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11,134</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11,134</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430.80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748.84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面向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位芯片的下 一代平板电脑操作 系统开发项目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10,279</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10,279</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-446.61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-864.05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新一代智能电视操 作系统开发项目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4,166</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4,166</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-764.96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-840.72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企业级移动管理系 统开发项目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5,050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5,050</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-140.30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306.59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创新技术研发中心</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6,432</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6,432</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w w:val="95"/>
                <w:sz w:val="18"/>
              </w:rPr>
              <w:t>-2,521.3</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5"/>
              <w:jc w:val="right"/>
              <w:rPr>
                <w:rFonts w:ascii="Times New Roman" w:hAnsi="Times New Roman" w:cs="Times New Roman" w:eastAsia="Times New Roman" w:hint="default"/>
                <w:sz w:val="18"/>
                <w:szCs w:val="18"/>
              </w:rPr>
            </w:pPr>
            <w:r>
              <w:rPr>
                <w:rFonts w:ascii="Times New Roman"/>
                <w:w w:val="95"/>
                <w:sz w:val="18"/>
              </w:rPr>
              <w:t>-2,963.4</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23"/>
        <w:gridCol w:w="717"/>
        <w:gridCol w:w="716"/>
        <w:gridCol w:w="694"/>
        <w:gridCol w:w="743"/>
        <w:gridCol w:w="716"/>
        <w:gridCol w:w="719"/>
        <w:gridCol w:w="718"/>
        <w:gridCol w:w="718"/>
        <w:gridCol w:w="710"/>
      </w:tblGrid>
      <w:tr>
        <w:trPr>
          <w:trHeight w:val="36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建设项目</w:t>
            </w:r>
          </w:p>
        </w:tc>
        <w:tc>
          <w:tcPr>
            <w:tcW w:w="738"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2</w:t>
            </w: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53,054</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53,054</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694"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4,819.46</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12,471.6</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1</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9" w:space="0" w:color="D2D2D2"/>
            </w:tcBorders>
          </w:tcPr>
          <w:p>
            <w:pPr/>
          </w:p>
        </w:tc>
        <w:tc>
          <w:tcPr>
            <w:tcW w:w="7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9" w:space="0" w:color="D2D2D2"/>
            </w:tcBorders>
          </w:tcPr>
          <w:p>
            <w:pPr/>
          </w:p>
        </w:tc>
        <w:tc>
          <w:tcPr>
            <w:tcW w:w="7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8"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9"/>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53,054</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53,054</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6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0</w:t>
            </w:r>
          </w:p>
        </w:tc>
        <w:tc>
          <w:tcPr>
            <w:tcW w:w="7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3"/>
              <w:jc w:val="center"/>
              <w:rPr>
                <w:rFonts w:ascii="Times New Roman" w:hAnsi="Times New Roman" w:cs="Times New Roman" w:eastAsia="Times New Roman" w:hint="default"/>
                <w:sz w:val="18"/>
                <w:szCs w:val="18"/>
              </w:rPr>
            </w:pPr>
            <w:r>
              <w:rPr>
                <w:rFonts w:ascii="Times New Roman"/>
                <w:sz w:val="18"/>
              </w:rPr>
              <w:t>--</w:t>
            </w:r>
          </w:p>
        </w:tc>
        <w:tc>
          <w:tcPr>
            <w:tcW w:w="7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w:t>
            </w:r>
          </w:p>
        </w:tc>
        <w:tc>
          <w:tcPr>
            <w:tcW w:w="7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4,819.46</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12,471.6</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1</w:t>
            </w:r>
          </w:p>
        </w:tc>
        <w:tc>
          <w:tcPr>
            <w:tcW w:w="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743" w:type="dxa"/>
            <w:vMerge/>
            <w:tcBorders>
              <w:left w:val="single" w:sz="4" w:space="0" w:color="000000"/>
              <w:right w:val="single" w:sz="4" w:space="0" w:color="000000"/>
            </w:tcBorders>
            <w:shd w:val="clear" w:color="auto" w:fill="D2D2D2"/>
          </w:tcPr>
          <w:p>
            <w:pPr/>
          </w:p>
        </w:tc>
        <w:tc>
          <w:tcPr>
            <w:tcW w:w="716" w:type="dxa"/>
            <w:vMerge/>
            <w:tcBorders>
              <w:left w:val="single" w:sz="4" w:space="0" w:color="000000"/>
              <w:right w:val="single" w:sz="4" w:space="0" w:color="000000"/>
            </w:tcBorders>
            <w:shd w:val="clear" w:color="auto" w:fill="D2D2D2"/>
          </w:tcPr>
          <w:p>
            <w:pPr/>
          </w:p>
        </w:tc>
        <w:tc>
          <w:tcPr>
            <w:tcW w:w="719"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r>
      <w:tr>
        <w:trPr>
          <w:trHeight w:val="16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4" w:space="0" w:color="000000"/>
            </w:tcBorders>
          </w:tcPr>
          <w:p>
            <w:pPr/>
          </w:p>
        </w:tc>
        <w:tc>
          <w:tcPr>
            <w:tcW w:w="743" w:type="dxa"/>
            <w:vMerge/>
            <w:tcBorders>
              <w:left w:val="single" w:sz="4" w:space="0" w:color="000000"/>
              <w:bottom w:val="single" w:sz="4" w:space="0" w:color="000000"/>
              <w:right w:val="single" w:sz="4" w:space="0" w:color="000000"/>
            </w:tcBorders>
            <w:shd w:val="clear" w:color="auto" w:fill="D2D2D2"/>
          </w:tcPr>
          <w:p>
            <w:pPr/>
          </w:p>
        </w:tc>
        <w:tc>
          <w:tcPr>
            <w:tcW w:w="716" w:type="dxa"/>
            <w:vMerge/>
            <w:tcBorders>
              <w:left w:val="single" w:sz="4" w:space="0" w:color="000000"/>
              <w:bottom w:val="single" w:sz="4" w:space="0" w:color="000000"/>
              <w:right w:val="single" w:sz="4" w:space="0" w:color="000000"/>
            </w:tcBorders>
            <w:shd w:val="clear" w:color="auto" w:fill="D2D2D2"/>
          </w:tcPr>
          <w:p>
            <w:pPr/>
          </w:p>
        </w:tc>
        <w:tc>
          <w:tcPr>
            <w:tcW w:w="719"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2"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6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2" w:type="dxa"/>
            <w:gridSpan w:val="11"/>
            <w:vMerge/>
            <w:tcBorders>
              <w:left w:val="single" w:sz="9" w:space="0" w:color="D2D2D2"/>
              <w:bottom w:val="single" w:sz="4" w:space="0" w:color="000000"/>
              <w:right w:val="single" w:sz="4" w:space="0" w:color="000000"/>
            </w:tcBorders>
          </w:tcPr>
          <w:p>
            <w:pP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650" w:type="dxa"/>
            <w:vMerge/>
            <w:tcBorders>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
        </w:tc>
      </w:tr>
      <w:tr>
        <w:trPr>
          <w:trHeight w:val="25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25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65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2" w:type="dxa"/>
            <w:gridSpan w:val="11"/>
            <w:vMerge/>
            <w:tcBorders>
              <w:left w:val="single" w:sz="9" w:space="0" w:color="D2D2D2"/>
              <w:bottom w:val="single" w:sz="4" w:space="0" w:color="000000"/>
              <w:right w:val="single" w:sz="4" w:space="0" w:color="000000"/>
            </w:tcBorders>
          </w:tcPr>
          <w:p>
            <w:pP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650" w:type="dxa"/>
            <w:vMerge/>
            <w:tcBorders>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
        </w:tc>
      </w:tr>
      <w:tr>
        <w:trPr>
          <w:trHeight w:val="25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募集资金专户存储</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13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3499"/>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499"/>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3499"/>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3499"/>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before="44"/>
        <w:ind w:left="113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133"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829" w:space="3090"/>
            <w:col w:w="299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成都中科创 达软件有限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59,020,167.3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52,249,733.1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71,029,195.0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10,559,721.1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14,451,419.5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香港天集有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18,968,900.0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199,233,180.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22,788,856.7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64,432,990.3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-14,881,122.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-15,350,100.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33</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西安中科创达软件有限公司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有利于扩大业务规模</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大连中科创达软件有限公司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有利于扩大业务规模</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沈阳中科创达软件有限公司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有利于扩大业务规模</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深圳互连科技有限公司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有利于扩大业务规模</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青柠优视科技（北京）有限公司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有利于扩大业务规模</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北京安创空间科技有限公司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引入投资者股权稀释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引入合资方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ARM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公司有利于公司发展， 不再纳入合并报表范围</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left="1134" w:right="3499"/>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34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2"/>
          <w:szCs w:val="22"/>
        </w:rPr>
      </w:pPr>
    </w:p>
    <w:p>
      <w:pPr>
        <w:pStyle w:val="Heading2"/>
        <w:spacing w:line="240" w:lineRule="auto"/>
        <w:ind w:right="3499"/>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1553" w:right="0"/>
        <w:jc w:val="left"/>
      </w:pPr>
      <w:r>
        <w:rPr/>
        <w:t>未来三至五年，是公司实施</w:t>
      </w:r>
      <w:r>
        <w:rPr>
          <w:rFonts w:ascii="宋体" w:hAnsi="宋体" w:cs="宋体" w:eastAsia="宋体" w:hint="default"/>
        </w:rPr>
        <w:t>2.0</w:t>
      </w:r>
      <w:r>
        <w:rPr/>
        <w:t>转型升级战略的关键阶段，即从目前以收取技术开发服务费为主的盈</w:t>
      </w:r>
    </w:p>
    <w:p>
      <w:pPr>
        <w:spacing w:after="0" w:line="240"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利模式升级为以销售产品和</w:t>
      </w:r>
      <w:r>
        <w:rPr>
          <w:rFonts w:ascii="宋体" w:hAnsi="宋体" w:cs="宋体" w:eastAsia="宋体" w:hint="default"/>
        </w:rPr>
        <w:t>IP</w:t>
      </w:r>
      <w:r>
        <w:rPr/>
        <w:t>为主的盈利模式。公司将集中资源重点发展以下业务：</w:t>
      </w:r>
    </w:p>
    <w:p>
      <w:pPr>
        <w:pStyle w:val="BodyText"/>
        <w:spacing w:line="273" w:lineRule="auto" w:before="37"/>
        <w:ind w:left="1554" w:right="1197"/>
        <w:jc w:val="left"/>
      </w:pPr>
      <w:r>
        <w:rPr/>
        <w:t>（一）持续巩固和提升智能手机业务优势 智能手机业务是公司目前的核心业务，报告期来自于手机业务的收入约占公司全部营业收入的</w:t>
      </w:r>
      <w:r>
        <w:rPr>
          <w:rFonts w:ascii="宋体" w:hAnsi="宋体" w:cs="宋体" w:eastAsia="宋体" w:hint="default"/>
        </w:rPr>
        <w:t>85%</w:t>
      </w:r>
      <w:r>
        <w:rPr/>
        <w:t>左</w:t>
      </w:r>
    </w:p>
    <w:p>
      <w:pPr>
        <w:pStyle w:val="BodyText"/>
        <w:spacing w:line="273" w:lineRule="auto" w:before="7"/>
        <w:ind w:right="0"/>
        <w:jc w:val="left"/>
      </w:pPr>
      <w:r>
        <w:rPr>
          <w:spacing w:val="-1"/>
        </w:rPr>
        <w:t>右。随着公司技术实力的持续提升、战略客户合作的进一步深入，未来智能手机业务预计会保持持续稳定</w:t>
      </w:r>
      <w:r>
        <w:rPr>
          <w:spacing w:val="-83"/>
        </w:rPr>
        <w:t> </w:t>
      </w:r>
      <w:r>
        <w:rPr>
          <w:spacing w:val="-83"/>
        </w:rPr>
      </w:r>
      <w:r>
        <w:rPr/>
        <w:t>增长，并为公司发展新业务提供稳定的盈利和现金流保障。</w:t>
      </w:r>
    </w:p>
    <w:p>
      <w:pPr>
        <w:pStyle w:val="BodyText"/>
        <w:spacing w:line="273" w:lineRule="auto" w:before="7"/>
        <w:ind w:left="1553" w:right="1198"/>
        <w:jc w:val="left"/>
      </w:pPr>
      <w:r>
        <w:rPr/>
        <w:t>（二）加大智能车载业务拓展力度 公司自</w:t>
      </w:r>
      <w:r>
        <w:rPr>
          <w:rFonts w:ascii="宋体" w:hAnsi="宋体" w:cs="宋体" w:eastAsia="宋体" w:hint="default"/>
        </w:rPr>
        <w:t>2014</w:t>
      </w:r>
      <w:r>
        <w:rPr/>
        <w:t>年开始进行车载业务的研发投入，目前已建立了</w:t>
      </w:r>
      <w:r>
        <w:rPr>
          <w:rFonts w:ascii="宋体" w:hAnsi="宋体" w:cs="宋体" w:eastAsia="宋体" w:hint="default"/>
        </w:rPr>
        <w:t>200</w:t>
      </w:r>
      <w:r>
        <w:rPr/>
        <w:t>余人的车载研发团队。除加大自研投</w:t>
      </w:r>
    </w:p>
    <w:p>
      <w:pPr>
        <w:pStyle w:val="BodyText"/>
        <w:spacing w:line="240" w:lineRule="auto" w:before="7"/>
        <w:ind w:right="0"/>
        <w:jc w:val="left"/>
      </w:pPr>
      <w:r>
        <w:rPr/>
        <w:t>入外，公司</w:t>
      </w:r>
      <w:r>
        <w:rPr>
          <w:rFonts w:ascii="宋体" w:hAnsi="宋体" w:cs="宋体" w:eastAsia="宋体" w:hint="default"/>
        </w:rPr>
        <w:t>2016</w:t>
      </w:r>
      <w:r>
        <w:rPr/>
        <w:t>年开始通过外延式发展进一步加大车载业务拓展力度，预计业务会有较快增长。</w:t>
      </w:r>
    </w:p>
    <w:p>
      <w:pPr>
        <w:pStyle w:val="BodyText"/>
        <w:spacing w:line="240" w:lineRule="auto" w:before="37"/>
        <w:ind w:left="1554" w:right="3499"/>
        <w:jc w:val="left"/>
      </w:pPr>
      <w:r>
        <w:rPr/>
        <w:t>（三）重点投入智能硬件领域</w:t>
      </w:r>
    </w:p>
    <w:p>
      <w:pPr>
        <w:pStyle w:val="BodyText"/>
        <w:spacing w:line="273" w:lineRule="auto" w:before="37"/>
        <w:ind w:right="1129" w:firstLine="420"/>
        <w:jc w:val="both"/>
      </w:pPr>
      <w:r>
        <w:rPr>
          <w:spacing w:val="-4"/>
        </w:rPr>
        <w:t>公司在智能硬件领域重点业务方向为无人机、</w:t>
      </w:r>
      <w:r>
        <w:rPr>
          <w:rFonts w:ascii="宋体" w:hAnsi="宋体" w:cs="宋体" w:eastAsia="宋体" w:hint="default"/>
          <w:spacing w:val="-4"/>
        </w:rPr>
        <w:t>VR/AR</w:t>
      </w:r>
      <w:r>
        <w:rPr>
          <w:spacing w:val="-4"/>
        </w:rPr>
        <w:t>、机器人和</w:t>
      </w:r>
      <w:r>
        <w:rPr>
          <w:rFonts w:ascii="宋体" w:hAnsi="宋体" w:cs="宋体" w:eastAsia="宋体" w:hint="default"/>
          <w:spacing w:val="-4"/>
        </w:rPr>
        <w:t>IP</w:t>
      </w:r>
      <w:r>
        <w:rPr>
          <w:rFonts w:ascii="宋体" w:hAnsi="宋体" w:cs="宋体" w:eastAsia="宋体" w:hint="default"/>
          <w:spacing w:val="-36"/>
        </w:rPr>
        <w:t> </w:t>
      </w:r>
      <w:r>
        <w:rPr>
          <w:rFonts w:ascii="宋体" w:hAnsi="宋体" w:cs="宋体" w:eastAsia="宋体" w:hint="default"/>
          <w:spacing w:val="-4"/>
        </w:rPr>
        <w:t>Camera</w:t>
      </w:r>
      <w:r>
        <w:rPr>
          <w:spacing w:val="-4"/>
        </w:rPr>
        <w:t>。目前面向无人机客户的“芯</w:t>
      </w:r>
      <w:r>
        <w:rPr/>
        <w:t> </w:t>
      </w:r>
      <w:r>
        <w:rPr>
          <w:spacing w:val="-1"/>
        </w:rPr>
        <w:t>片</w:t>
      </w:r>
      <w:r>
        <w:rPr>
          <w:rFonts w:ascii="宋体" w:hAnsi="宋体" w:cs="宋体" w:eastAsia="宋体" w:hint="default"/>
          <w:spacing w:val="-1"/>
        </w:rPr>
        <w:t>+</w:t>
      </w:r>
      <w:r>
        <w:rPr>
          <w:spacing w:val="-1"/>
        </w:rPr>
        <w:t>操作系统</w:t>
      </w:r>
      <w:r>
        <w:rPr>
          <w:rFonts w:ascii="宋体" w:hAnsi="宋体" w:cs="宋体" w:eastAsia="宋体" w:hint="default"/>
          <w:spacing w:val="-1"/>
        </w:rPr>
        <w:t>+</w:t>
      </w:r>
      <w:r>
        <w:rPr>
          <w:spacing w:val="-1"/>
        </w:rPr>
        <w:t>核心算法”的模块化产品已经研发完成，预计</w:t>
      </w:r>
      <w:r>
        <w:rPr>
          <w:rFonts w:ascii="宋体" w:hAnsi="宋体" w:cs="宋体" w:eastAsia="宋体" w:hint="default"/>
          <w:spacing w:val="-1"/>
        </w:rPr>
        <w:t>2016</w:t>
      </w:r>
      <w:r>
        <w:rPr>
          <w:spacing w:val="-1"/>
        </w:rPr>
        <w:t>年第二季度开始向无人机厂商出货。在</w:t>
      </w:r>
      <w:r>
        <w:rPr>
          <w:rFonts w:ascii="宋体" w:hAnsi="宋体" w:cs="宋体" w:eastAsia="宋体" w:hint="default"/>
          <w:spacing w:val="-1"/>
        </w:rPr>
        <w:t>VR</w:t>
      </w:r>
      <w:r>
        <w:rPr>
          <w:rFonts w:ascii="宋体" w:hAnsi="宋体" w:cs="宋体" w:eastAsia="宋体" w:hint="default"/>
          <w:spacing w:val="-80"/>
        </w:rPr>
        <w:t> </w:t>
      </w:r>
      <w:r>
        <w:rPr/>
        <w:t>方面也在加速研发和产业链布局，智能硬件业务预计将快速增长。</w:t>
      </w:r>
    </w:p>
    <w:p>
      <w:pPr>
        <w:spacing w:line="240" w:lineRule="auto" w:before="11"/>
        <w:rPr>
          <w:rFonts w:ascii="宋体" w:hAnsi="宋体" w:cs="宋体" w:eastAsia="宋体" w:hint="default"/>
          <w:sz w:val="21"/>
          <w:szCs w:val="21"/>
        </w:rPr>
      </w:pPr>
    </w:p>
    <w:p>
      <w:pPr>
        <w:pStyle w:val="Heading2"/>
        <w:spacing w:line="240" w:lineRule="auto"/>
        <w:ind w:right="3499"/>
        <w:jc w:val="left"/>
        <w:rPr>
          <w:b w:val="0"/>
          <w:bCs w:val="0"/>
        </w:rPr>
      </w:pPr>
      <w:bookmarkStart w:name="十、接待调研、沟通、采访等活动情况" w:id="58"/>
      <w:bookmarkEnd w:id="58"/>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499"/>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32"/>
              <w:jc w:val="left"/>
              <w:rPr>
                <w:rFonts w:ascii="宋体" w:hAnsi="宋体" w:cs="宋体" w:eastAsia="宋体" w:hint="default"/>
                <w:sz w:val="18"/>
                <w:szCs w:val="18"/>
              </w:rPr>
            </w:pPr>
            <w:r>
              <w:rPr>
                <w:rFonts w:ascii="宋体" w:hAnsi="宋体" w:cs="宋体" w:eastAsia="宋体" w:hint="default"/>
                <w:sz w:val="18"/>
                <w:szCs w:val="18"/>
              </w:rPr>
              <w:t>互动易平台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 活动记录表</w:t>
            </w:r>
          </w:p>
        </w:tc>
      </w:tr>
    </w:tbl>
    <w:p>
      <w:pPr>
        <w:spacing w:after="0" w:line="30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_TOC_250006" w:id="60"/>
      <w:bookmarkStart w:name="第五节 重要事项" w:id="61"/>
      <w:r>
        <w:rPr>
          <w:b w:val="0"/>
          <w:bCs w:val="0"/>
        </w:rPr>
      </w:r>
      <w:r>
        <w:rPr/>
        <w:t>第五节</w:t>
      </w:r>
      <w:r>
        <w:rPr>
          <w:spacing w:val="-5"/>
        </w:rPr>
        <w:t> </w:t>
      </w:r>
      <w:r>
        <w:rPr/>
        <w:t>重要事项</w:t>
      </w:r>
      <w:bookmarkEnd w:id="60"/>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3499"/>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line="338" w:lineRule="auto" w:before="117"/>
        <w:ind w:left="1133" w:right="30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公司报告期利润分配预案及资本公积金转增股本预案与公司章程和分红管理办法等的相关规定一致</w:t>
      </w:r>
    </w:p>
    <w:p>
      <w:pPr>
        <w:spacing w:line="348" w:lineRule="auto" w:before="42"/>
        <w:ind w:left="1133" w:right="42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tbl>
      <w:tblPr>
        <w:tblW w:w="0" w:type="auto"/>
        <w:jc w:val="left"/>
        <w:tblInd w:w="1129" w:type="dxa"/>
        <w:tblLayout w:type="fixed"/>
        <w:tblCellMar>
          <w:top w:w="0" w:type="dxa"/>
          <w:left w:w="0" w:type="dxa"/>
          <w:bottom w:w="0" w:type="dxa"/>
          <w:right w:w="0" w:type="dxa"/>
        </w:tblCellMar>
        <w:tblLook w:val="01E0"/>
      </w:tblPr>
      <w:tblGrid>
        <w:gridCol w:w="3706"/>
        <w:gridCol w:w="5863"/>
      </w:tblGrid>
      <w:tr>
        <w:trPr>
          <w:trHeight w:val="403"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226,011,327.87</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275"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
              <w:jc w:val="both"/>
              <w:rPr>
                <w:rFonts w:ascii="宋体" w:hAnsi="宋体" w:cs="宋体" w:eastAsia="宋体" w:hint="default"/>
                <w:sz w:val="18"/>
                <w:szCs w:val="18"/>
              </w:rPr>
            </w:pPr>
            <w:r>
              <w:rPr>
                <w:rFonts w:ascii="宋体" w:hAnsi="宋体" w:cs="宋体" w:eastAsia="宋体" w:hint="default"/>
                <w:spacing w:val="-1"/>
                <w:sz w:val="18"/>
                <w:szCs w:val="18"/>
              </w:rPr>
              <w:t>鉴于公司目前盈利状况良好，具有较强的成长性，根据中国证监会鼓励上市公司现金分红，给予投资者稳定、合理回报的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指导意见，在符合利润分配原则，保证公司正常经营和长远发展的前提下，为了更好的兼顾股东的即期利益和长远利益， 根据《公司法》 和《公司章程》的有关规定，拟提议公司以截至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日公司总股本 </w:t>
            </w:r>
            <w:r>
              <w:rPr>
                <w:rFonts w:ascii="Times New Roman" w:hAnsi="Times New Roman" w:cs="Times New Roman" w:eastAsia="Times New Roman" w:hint="default"/>
                <w:sz w:val="18"/>
                <w:szCs w:val="18"/>
              </w:rPr>
              <w:t>100,000,000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股为基</w:t>
            </w:r>
          </w:p>
          <w:p>
            <w:pPr>
              <w:pStyle w:val="TableParagraph"/>
              <w:spacing w:line="248" w:lineRule="exact"/>
              <w:ind w:left="22" w:right="0"/>
              <w:jc w:val="both"/>
              <w:rPr>
                <w:rFonts w:ascii="宋体" w:hAnsi="宋体" w:cs="宋体" w:eastAsia="宋体" w:hint="default"/>
                <w:sz w:val="18"/>
                <w:szCs w:val="18"/>
              </w:rPr>
            </w:pPr>
            <w:r>
              <w:rPr>
                <w:rFonts w:ascii="宋体" w:hAnsi="宋体" w:cs="宋体" w:eastAsia="宋体" w:hint="default"/>
                <w:sz w:val="18"/>
                <w:szCs w:val="18"/>
              </w:rPr>
              <w:t>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w:t>
            </w:r>
            <w:r>
              <w:rPr>
                <w:rFonts w:ascii="宋体" w:hAnsi="宋体" w:cs="宋体" w:eastAsia="宋体" w:hint="default"/>
                <w:spacing w:val="1"/>
                <w:sz w:val="18"/>
                <w:szCs w:val="18"/>
              </w:rPr>
              <w:t>现</w:t>
            </w:r>
            <w:r>
              <w:rPr>
                <w:rFonts w:ascii="宋体" w:hAnsi="宋体" w:cs="宋体" w:eastAsia="宋体" w:hint="default"/>
                <w:sz w:val="18"/>
                <w:szCs w:val="18"/>
              </w:rPr>
              <w:t>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1"/>
                <w:sz w:val="18"/>
                <w:szCs w:val="18"/>
              </w:rPr>
              <w:t>（</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z w:val="18"/>
                <w:szCs w:val="18"/>
              </w:rPr>
              <w:t>，共分配现金股利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50,000,000.00 </w:t>
            </w:r>
            <w:r>
              <w:rPr>
                <w:rFonts w:ascii="宋体" w:hAnsi="宋体" w:cs="宋体" w:eastAsia="宋体" w:hint="default"/>
                <w:sz w:val="18"/>
                <w:szCs w:val="18"/>
              </w:rPr>
              <w:t>元，</w:t>
            </w:r>
            <w:r>
              <w:rPr>
                <w:rFonts w:ascii="宋体" w:hAnsi="宋体" w:cs="宋体" w:eastAsia="宋体" w:hint="default"/>
                <w:spacing w:val="-2"/>
                <w:sz w:val="18"/>
                <w:szCs w:val="18"/>
              </w:rPr>
              <w:t>以</w:t>
            </w:r>
            <w:r>
              <w:rPr>
                <w:rFonts w:ascii="宋体" w:hAnsi="宋体" w:cs="宋体" w:eastAsia="宋体" w:hint="default"/>
                <w:sz w:val="18"/>
                <w:szCs w:val="18"/>
              </w:rPr>
              <w:t>资本公积金向全体股东每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w:t>
            </w:r>
          </w:p>
          <w:p>
            <w:pPr>
              <w:pStyle w:val="TableParagraph"/>
              <w:spacing w:line="309"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股。此预案经公司第二届董事会</w:t>
            </w:r>
            <w:r>
              <w:rPr>
                <w:rFonts w:ascii="宋体" w:hAnsi="宋体" w:cs="宋体" w:eastAsia="宋体" w:hint="default"/>
                <w:spacing w:val="-7"/>
                <w:sz w:val="18"/>
                <w:szCs w:val="18"/>
              </w:rPr>
              <w:t> </w:t>
            </w:r>
            <w:r>
              <w:rPr>
                <w:rFonts w:ascii="宋体" w:hAnsi="宋体" w:cs="宋体" w:eastAsia="宋体" w:hint="default"/>
                <w:sz w:val="18"/>
                <w:szCs w:val="18"/>
              </w:rPr>
              <w:t>第七次会议审议通过后还需经公司</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年年度股东大会审议，公司全体独立董事 </w:t>
            </w:r>
            <w:r>
              <w:rPr>
                <w:rFonts w:ascii="宋体" w:hAnsi="宋体" w:cs="宋体" w:eastAsia="宋体" w:hint="default"/>
                <w:spacing w:val="-4"/>
                <w:sz w:val="18"/>
                <w:szCs w:val="18"/>
              </w:rPr>
              <w:t>对此预案发表了同意意见。预案内容及审议程序符合《公司法》、《公司章程》的有关规定，充分保护了中小投资者的合法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权益。</w:t>
            </w:r>
          </w:p>
        </w:tc>
      </w:tr>
    </w:tbl>
    <w:p>
      <w:pPr>
        <w:pStyle w:val="BodyText"/>
        <w:spacing w:line="290" w:lineRule="auto" w:before="49"/>
        <w:ind w:right="1118"/>
        <w:jc w:val="left"/>
      </w:pPr>
      <w:r>
        <w:rPr/>
        <w:t>公司近</w:t>
      </w:r>
      <w:r>
        <w:rPr>
          <w:spacing w:val="-51"/>
        </w:rPr>
        <w:t> </w:t>
      </w:r>
      <w:r>
        <w:rPr>
          <w:rFonts w:ascii="宋体" w:hAnsi="宋体" w:cs="宋体" w:eastAsia="宋体" w:hint="default"/>
        </w:rPr>
        <w:t>3</w:t>
      </w:r>
      <w:r>
        <w:rPr>
          <w:rFonts w:ascii="宋体" w:hAnsi="宋体" w:cs="宋体" w:eastAsia="宋体" w:hint="default"/>
          <w:spacing w:val="-51"/>
        </w:rPr>
        <w:t> </w:t>
      </w:r>
      <w:r>
        <w:rPr>
          <w:spacing w:val="-3"/>
        </w:rPr>
        <w:t>年（包括本报告期）的普通股股利分配方案（预案）、资本公积金转增股本方案（预案）情况</w:t>
      </w:r>
      <w:r>
        <w:rPr>
          <w:spacing w:val="-95"/>
        </w:rPr>
        <w:t> </w:t>
      </w:r>
      <w:r>
        <w:rPr>
          <w:spacing w:val="-95"/>
        </w:rPr>
      </w:r>
      <w:r>
        <w:rPr>
          <w:rFonts w:ascii="宋体" w:hAnsi="宋体" w:cs="宋体" w:eastAsia="宋体" w:hint="default"/>
        </w:rPr>
        <w:t>1</w:t>
      </w:r>
      <w:r>
        <w:rPr/>
        <w:t>、</w:t>
      </w:r>
      <w:r>
        <w:rPr>
          <w:rFonts w:ascii="宋体" w:hAnsi="宋体" w:cs="宋体" w:eastAsia="宋体" w:hint="default"/>
        </w:rPr>
        <w:t>2013</w:t>
      </w:r>
      <w:r>
        <w:rPr/>
        <w:t>年度利润分配方案经</w:t>
      </w:r>
      <w:r>
        <w:rPr>
          <w:rFonts w:ascii="宋体" w:hAnsi="宋体" w:cs="宋体" w:eastAsia="宋体" w:hint="default"/>
        </w:rPr>
        <w:t>2013</w:t>
      </w:r>
      <w:r>
        <w:rPr/>
        <w:t>年年度股东大会审议通过后，以截至</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日的公司总股本</w:t>
      </w:r>
      <w:r>
        <w:rPr>
          <w:rFonts w:ascii="宋体" w:hAnsi="宋体" w:cs="宋体" w:eastAsia="宋体" w:hint="default"/>
        </w:rPr>
        <w:t>7,50 </w:t>
      </w:r>
      <w:r>
        <w:rPr/>
        <w:t>万股为</w:t>
      </w:r>
      <w:r>
        <w:rPr>
          <w:spacing w:val="-2"/>
        </w:rPr>
        <w:t> </w:t>
      </w:r>
      <w:r>
        <w:rPr/>
        <w:t>基数，向全体股东现金分红</w:t>
      </w:r>
      <w:r>
        <w:rPr>
          <w:rFonts w:ascii="宋体" w:hAnsi="宋体" w:cs="宋体" w:eastAsia="宋体" w:hint="default"/>
        </w:rPr>
        <w:t>26,250,000.00</w:t>
      </w:r>
      <w:r>
        <w:rPr/>
        <w:t>元。</w:t>
      </w:r>
    </w:p>
    <w:p>
      <w:pPr>
        <w:pStyle w:val="BodyText"/>
        <w:spacing w:line="273" w:lineRule="auto"/>
        <w:ind w:right="0"/>
        <w:jc w:val="left"/>
      </w:pPr>
      <w:r>
        <w:rPr>
          <w:rFonts w:ascii="宋体" w:hAnsi="宋体" w:cs="宋体" w:eastAsia="宋体" w:hint="default"/>
          <w:spacing w:val="-1"/>
        </w:rPr>
        <w:t>2</w:t>
      </w:r>
      <w:r>
        <w:rPr>
          <w:spacing w:val="-1"/>
        </w:rPr>
        <w:t>、</w:t>
      </w:r>
      <w:r>
        <w:rPr>
          <w:rFonts w:ascii="宋体" w:hAnsi="宋体" w:cs="宋体" w:eastAsia="宋体" w:hint="default"/>
          <w:spacing w:val="-1"/>
        </w:rPr>
        <w:t>2014</w:t>
      </w:r>
      <w:r>
        <w:rPr>
          <w:spacing w:val="-1"/>
        </w:rPr>
        <w:t>年度利润分配方案经</w:t>
      </w:r>
      <w:r>
        <w:rPr>
          <w:rFonts w:ascii="宋体" w:hAnsi="宋体" w:cs="宋体" w:eastAsia="宋体" w:hint="default"/>
          <w:spacing w:val="-1"/>
        </w:rPr>
        <w:t>2014</w:t>
      </w:r>
      <w:r>
        <w:rPr>
          <w:spacing w:val="-1"/>
        </w:rPr>
        <w:t>年年度股东大会审议通过后，以截至</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日的公司总股本</w:t>
      </w:r>
      <w:r>
        <w:rPr>
          <w:rFonts w:ascii="宋体" w:hAnsi="宋体" w:cs="宋体" w:eastAsia="宋体" w:hint="default"/>
          <w:spacing w:val="-1"/>
        </w:rPr>
        <w:t>7,500</w:t>
      </w:r>
      <w:r>
        <w:rPr>
          <w:rFonts w:ascii="宋体" w:hAnsi="宋体" w:cs="宋体" w:eastAsia="宋体" w:hint="default"/>
          <w:spacing w:val="-75"/>
        </w:rPr>
        <w:t> </w:t>
      </w:r>
      <w:r>
        <w:rPr>
          <w:rFonts w:ascii="宋体" w:hAnsi="宋体" w:cs="宋体" w:eastAsia="宋体" w:hint="default"/>
          <w:spacing w:val="-75"/>
        </w:rPr>
      </w:r>
      <w:r>
        <w:rPr/>
        <w:t>万股为基数，向全体股东现金分红</w:t>
      </w:r>
      <w:r>
        <w:rPr>
          <w:rFonts w:ascii="宋体" w:hAnsi="宋体" w:cs="宋体" w:eastAsia="宋体" w:hint="default"/>
        </w:rPr>
        <w:t>37,500,000.00</w:t>
      </w:r>
      <w:r>
        <w:rPr/>
        <w:t>元。 </w:t>
      </w:r>
      <w:r>
        <w:rPr>
          <w:rFonts w:ascii="宋体" w:hAnsi="宋体" w:cs="宋体" w:eastAsia="宋体" w:hint="default"/>
        </w:rPr>
        <w:t>3</w:t>
      </w:r>
      <w:r>
        <w:rPr/>
        <w:t>、</w:t>
      </w:r>
      <w:r>
        <w:rPr>
          <w:rFonts w:ascii="宋体" w:hAnsi="宋体" w:cs="宋体" w:eastAsia="宋体" w:hint="default"/>
        </w:rPr>
        <w:t>2015</w:t>
      </w:r>
      <w:r>
        <w:rPr/>
        <w:t>年度利润分配预案：以截至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日的公司总股本</w:t>
      </w:r>
      <w:r>
        <w:rPr>
          <w:rFonts w:ascii="宋体" w:hAnsi="宋体" w:cs="宋体" w:eastAsia="宋体" w:hint="default"/>
        </w:rPr>
        <w:t>10,000</w:t>
      </w:r>
      <w:r>
        <w:rPr/>
        <w:t>万股为基数，向全体股东每</w:t>
      </w:r>
      <w:r>
        <w:rPr>
          <w:rFonts w:ascii="宋体" w:hAnsi="宋体" w:cs="宋体" w:eastAsia="宋体" w:hint="default"/>
        </w:rPr>
        <w:t>10</w:t>
      </w:r>
      <w:r>
        <w:rPr/>
        <w:t>股</w:t>
      </w:r>
      <w:r>
        <w:rPr>
          <w:spacing w:val="-31"/>
        </w:rPr>
        <w:t> </w:t>
      </w:r>
      <w:r>
        <w:rPr/>
        <w:t>分配现金股利人民币</w:t>
      </w:r>
      <w:r>
        <w:rPr>
          <w:rFonts w:ascii="宋体" w:hAnsi="宋体" w:cs="宋体" w:eastAsia="宋体" w:hint="default"/>
        </w:rPr>
        <w:t>5.00</w:t>
      </w:r>
      <w:r>
        <w:rPr/>
        <w:t>元（含税），共计分配现金股利</w:t>
      </w:r>
      <w:r>
        <w:rPr>
          <w:rFonts w:ascii="宋体" w:hAnsi="宋体" w:cs="宋体" w:eastAsia="宋体" w:hint="default"/>
        </w:rPr>
        <w:t>50,000,000.00</w:t>
      </w:r>
      <w:r>
        <w:rPr/>
        <w:t>元，以资本公积金向全体股东每</w:t>
      </w:r>
      <w:r>
        <w:rPr>
          <w:spacing w:val="-30"/>
        </w:rPr>
        <w:t> </w:t>
      </w:r>
      <w:r>
        <w:rPr>
          <w:spacing w:val="-30"/>
        </w:rPr>
      </w:r>
      <w:r>
        <w:rPr>
          <w:rFonts w:ascii="宋体" w:hAnsi="宋体" w:cs="宋体" w:eastAsia="宋体" w:hint="default"/>
        </w:rPr>
        <w:t>10</w:t>
      </w:r>
      <w:r>
        <w:rPr/>
        <w:t>股转增</w:t>
      </w:r>
      <w:r>
        <w:rPr>
          <w:rFonts w:ascii="宋体" w:hAnsi="宋体" w:cs="宋体" w:eastAsia="宋体" w:hint="default"/>
        </w:rPr>
        <w:t>30</w:t>
      </w:r>
      <w:r>
        <w:rPr/>
        <w:t>股。</w:t>
      </w:r>
    </w:p>
    <w:p>
      <w:pPr>
        <w:pStyle w:val="BodyText"/>
        <w:spacing w:line="240" w:lineRule="auto" w:before="48"/>
        <w:ind w:left="1134" w:right="3499"/>
        <w:jc w:val="left"/>
      </w:pPr>
      <w:r>
        <w:rPr/>
        <w:t>公司近三年（包括本报告期）普通股现金分红情况表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shape style="position:absolute;margin-left:220.817001pt;margin-top:670.539978pt;width:268.1pt;height:14.6pt;mso-position-horizontal-relative:page;mso-position-vertical-relative:page;z-index:-92581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自公司本次发行并在深圳证券交易所上市之日起十二个月内，</w:t>
                  </w:r>
                </w:p>
              </w:txbxContent>
            </v:textbox>
            <w10:wrap type="none"/>
          </v:shape>
        </w:pict>
      </w:r>
      <w:r>
        <w:rPr/>
        <w:pict>
          <v:group style="position:absolute;margin-left:171.5pt;margin-top:445.119995pt;width:32.65pt;height:17.650pt;mso-position-horizontal-relative:page;mso-position-vertical-relative:page;z-index:-925792" coordorigin="3430,8902" coordsize="653,353">
            <v:shape style="position:absolute;left:3430;top:8902;width:653;height:353" coordorigin="3430,8902" coordsize="653,353" path="m3430,9255l4083,9255,4083,8902,3430,8902,3430,9255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116,609,383.31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112,311,779.00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26,250,000.00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96,680,887.62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3499"/>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bookmarkStart w:name="1、公司、股东、实际控制人、收购人、董事、监事、高级管理人员或其他关联方在报告期" w:id="64"/>
      <w:bookmarkEnd w:id="64"/>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51"/>
        <w:gridCol w:w="1417"/>
        <w:gridCol w:w="709"/>
        <w:gridCol w:w="5103"/>
        <w:gridCol w:w="568"/>
        <w:gridCol w:w="425"/>
        <w:gridCol w:w="496"/>
      </w:tblGrid>
      <w:tr>
        <w:trPr>
          <w:trHeight w:val="161" w:hRule="exact"/>
        </w:trPr>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59" w:right="78"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5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9" w:right="96"/>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6" w:right="2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4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2" w:right="61"/>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4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709" w:type="dxa"/>
            <w:vMerge/>
            <w:tcBorders>
              <w:left w:val="single" w:sz="4" w:space="0" w:color="000000"/>
              <w:right w:val="single" w:sz="4" w:space="0" w:color="000000"/>
            </w:tcBorders>
            <w:shd w:val="clear" w:color="auto" w:fill="D2D2D2"/>
          </w:tcPr>
          <w:p>
            <w:pPr/>
          </w:p>
        </w:tc>
        <w:tc>
          <w:tcPr>
            <w:tcW w:w="5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96" w:type="dxa"/>
            <w:vMerge/>
            <w:tcBorders>
              <w:left w:val="single" w:sz="4" w:space="0" w:color="000000"/>
              <w:right w:val="single" w:sz="4" w:space="0" w:color="000000"/>
            </w:tcBorders>
            <w:shd w:val="clear" w:color="auto" w:fill="D2D2D2"/>
          </w:tcPr>
          <w:p>
            <w:pPr/>
          </w:p>
        </w:tc>
      </w:tr>
      <w:tr>
        <w:trPr>
          <w:trHeight w:val="161" w:hRule="exact"/>
        </w:trPr>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5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96" w:type="dxa"/>
            <w:vMerge/>
            <w:tcBorders>
              <w:left w:val="single" w:sz="4" w:space="0" w:color="000000"/>
              <w:bottom w:val="single" w:sz="4" w:space="0" w:color="000000"/>
              <w:right w:val="single" w:sz="4" w:space="0" w:color="000000"/>
            </w:tcBorders>
            <w:shd w:val="clear" w:color="auto" w:fill="D2D2D2"/>
          </w:tcPr>
          <w:p>
            <w:pPr/>
          </w:p>
        </w:tc>
      </w:tr>
      <w:tr>
        <w:trPr>
          <w:trHeight w:val="2586" w:hRule="exact"/>
        </w:trPr>
        <w:tc>
          <w:tcPr>
            <w:tcW w:w="851"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38" w:lineRule="auto"/>
              <w:ind w:left="22"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Qualcomm</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International,</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Inc.;</w:t>
            </w:r>
            <w:r>
              <w:rPr>
                <w:rFonts w:ascii="Times New Roman" w:hAnsi="Times New Roman" w:cs="Times New Roman" w:eastAsia="Times New Roman" w:hint="default"/>
                <w:w w:val="99"/>
                <w:sz w:val="18"/>
                <w:szCs w:val="18"/>
              </w:rPr>
              <w:t> </w:t>
            </w:r>
            <w:r>
              <w:rPr>
                <w:rFonts w:ascii="宋体" w:hAnsi="宋体" w:cs="宋体" w:eastAsia="宋体" w:hint="default"/>
                <w:spacing w:val="-3"/>
                <w:sz w:val="18"/>
                <w:szCs w:val="18"/>
              </w:rPr>
              <w:t>展讯通信（天津）</w:t>
            </w:r>
            <w:r>
              <w:rPr>
                <w:rFonts w:ascii="宋体" w:hAnsi="宋体" w:cs="宋体" w:eastAsia="宋体" w:hint="default"/>
                <w:sz w:val="18"/>
                <w:szCs w:val="18"/>
              </w:rPr>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0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1" w:right="134"/>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、自公司本次发行并在证券交易所上市之日起十二个月内，不 转让或者委托他人管理其直接或间接持有的公司本次发行前已发 行的股份，也不由公司回购直接或间接持有的公司本次发行前已 </w:t>
            </w:r>
            <w:r>
              <w:rPr>
                <w:rFonts w:ascii="宋体" w:hAnsi="宋体" w:cs="宋体" w:eastAsia="宋体" w:hint="default"/>
                <w:spacing w:val="-3"/>
                <w:sz w:val="18"/>
                <w:szCs w:val="18"/>
              </w:rPr>
              <w:t>发行的股份。</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、自公司本次发行并在证券交易所上市之日起二十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四个月内，累计转让或出售的股份总数不超过持有的公司本次发 行前股份总数的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；自公司本次发行并在证券交易所上市之日 起三十六个月内，累计转让或出售的股份总数不超过持有的公司 本次发行前股份总数的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正在 履行</w:t>
            </w:r>
          </w:p>
        </w:tc>
      </w:tr>
      <w:tr>
        <w:trPr>
          <w:trHeight w:val="608" w:hRule="exact"/>
        </w:trPr>
        <w:tc>
          <w:tcPr>
            <w:tcW w:w="851"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9" w:space="0" w:color="D2D2D2"/>
              <w:right w:val="single" w:sz="4" w:space="0" w:color="000000"/>
            </w:tcBorders>
          </w:tcPr>
          <w:p>
            <w:pPr>
              <w:pStyle w:val="TableParagraph"/>
              <w:spacing w:line="307" w:lineRule="auto" w:before="51"/>
              <w:ind w:left="16" w:right="42"/>
              <w:jc w:val="left"/>
              <w:rPr>
                <w:rFonts w:ascii="宋体" w:hAnsi="宋体" w:cs="宋体" w:eastAsia="宋体" w:hint="default"/>
                <w:sz w:val="18"/>
                <w:szCs w:val="18"/>
              </w:rPr>
            </w:pPr>
            <w:r>
              <w:rPr>
                <w:rFonts w:ascii="宋体" w:hAnsi="宋体" w:cs="宋体" w:eastAsia="宋体" w:hint="default"/>
                <w:sz w:val="18"/>
                <w:szCs w:val="18"/>
              </w:rPr>
              <w:t>国科瑞祺物联网 创业投资有限公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达孜县创达汇 咨询有限公司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达 孜县创达立咨询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达孜县 创达信科技有限 公司</w:t>
            </w:r>
            <w:r>
              <w:rPr>
                <w:rFonts w:ascii="Times New Roman" w:hAnsi="Times New Roman" w:cs="Times New Roman" w:eastAsia="Times New Roman" w:hint="default"/>
                <w:sz w:val="18"/>
                <w:szCs w:val="18"/>
              </w:rPr>
              <w:t>;ARM</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世悦控股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杨洁</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34"/>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51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1"/>
              <w:ind w:left="22" w:right="21"/>
              <w:jc w:val="left"/>
              <w:rPr>
                <w:rFonts w:ascii="宋体" w:hAnsi="宋体" w:cs="宋体" w:eastAsia="宋体" w:hint="default"/>
                <w:sz w:val="18"/>
                <w:szCs w:val="18"/>
              </w:rPr>
            </w:pPr>
            <w:r>
              <w:rPr>
                <w:rFonts w:ascii="宋体" w:hAnsi="宋体" w:cs="宋体" w:eastAsia="宋体" w:hint="default"/>
                <w:sz w:val="18"/>
                <w:szCs w:val="18"/>
              </w:rPr>
              <w:t>自公司股票在深圳证券交易所上市交易之日起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个月内，不转让</w:t>
            </w:r>
            <w:r>
              <w:rPr>
                <w:rFonts w:ascii="宋体" w:hAnsi="宋体" w:cs="宋体" w:eastAsia="宋体" w:hint="default"/>
                <w:sz w:val="18"/>
                <w:szCs w:val="18"/>
              </w:rPr>
              <w:t> 其直接或间接持有的公司股份，也不由公司回购该部分股份。</w:t>
            </w:r>
          </w:p>
        </w:tc>
        <w:tc>
          <w:tcPr>
            <w:tcW w:w="5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01"/>
              <w:jc w:val="left"/>
              <w:rPr>
                <w:rFonts w:ascii="宋体" w:hAnsi="宋体" w:cs="宋体" w:eastAsia="宋体" w:hint="default"/>
                <w:sz w:val="18"/>
                <w:szCs w:val="18"/>
              </w:rPr>
            </w:pPr>
            <w:r>
              <w:rPr>
                <w:rFonts w:ascii="宋体" w:hAnsi="宋体" w:cs="宋体" w:eastAsia="宋体" w:hint="default"/>
                <w:sz w:val="18"/>
                <w:szCs w:val="18"/>
              </w:rPr>
              <w:t>正在 履行</w:t>
            </w:r>
          </w:p>
        </w:tc>
      </w:tr>
      <w:tr>
        <w:trPr>
          <w:trHeight w:val="1328"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首次公开 发行或再 融资时所 作承诺</w:t>
            </w:r>
          </w:p>
        </w:tc>
        <w:tc>
          <w:tcPr>
            <w:tcW w:w="1417" w:type="dxa"/>
            <w:vMerge/>
            <w:tcBorders>
              <w:left w:val="single" w:sz="9"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5103"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96" w:type="dxa"/>
            <w:vMerge/>
            <w:tcBorders>
              <w:left w:val="single" w:sz="4" w:space="0" w:color="000000"/>
              <w:right w:val="single" w:sz="4" w:space="0" w:color="000000"/>
            </w:tcBorders>
          </w:tcPr>
          <w:p>
            <w:pPr/>
          </w:p>
        </w:tc>
      </w:tr>
      <w:tr>
        <w:trPr>
          <w:trHeight w:val="1272" w:hRule="exact"/>
        </w:trPr>
        <w:tc>
          <w:tcPr>
            <w:tcW w:w="851" w:type="dxa"/>
            <w:vMerge w:val="restart"/>
            <w:tcBorders>
              <w:top w:val="nil" w:sz="6" w:space="0" w:color="auto"/>
              <w:left w:val="single" w:sz="4" w:space="0" w:color="000000"/>
              <w:right w:val="single" w:sz="4" w:space="0" w:color="000000"/>
            </w:tcBorders>
            <w:shd w:val="clear" w:color="auto" w:fill="D2D2D2"/>
          </w:tcPr>
          <w:p>
            <w:pPr/>
          </w:p>
        </w:tc>
        <w:tc>
          <w:tcPr>
            <w:tcW w:w="1417" w:type="dxa"/>
            <w:vMerge/>
            <w:tcBorders>
              <w:left w:val="single" w:sz="9"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5103"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96" w:type="dxa"/>
            <w:vMerge/>
            <w:tcBorders>
              <w:left w:val="single" w:sz="4" w:space="0" w:color="000000"/>
              <w:bottom w:val="single" w:sz="4" w:space="0" w:color="000000"/>
              <w:right w:val="single" w:sz="4" w:space="0" w:color="000000"/>
            </w:tcBorders>
          </w:tcPr>
          <w:p>
            <w:pPr/>
          </w:p>
        </w:tc>
      </w:tr>
      <w:tr>
        <w:trPr>
          <w:trHeight w:val="1923"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00" w:lineRule="auto"/>
              <w:ind w:left="22" w:right="23"/>
              <w:jc w:val="both"/>
              <w:rPr>
                <w:rFonts w:ascii="宋体" w:hAnsi="宋体" w:cs="宋体" w:eastAsia="宋体" w:hint="default"/>
                <w:sz w:val="18"/>
                <w:szCs w:val="18"/>
              </w:rPr>
            </w:pPr>
            <w:r>
              <w:rPr>
                <w:rFonts w:ascii="宋体" w:hAnsi="宋体" w:cs="宋体" w:eastAsia="宋体" w:hint="default"/>
                <w:sz w:val="18"/>
                <w:szCs w:val="18"/>
              </w:rPr>
              <w:t>吴安华</w:t>
            </w:r>
            <w:r>
              <w:rPr>
                <w:rFonts w:ascii="Times New Roman" w:hAnsi="Times New Roman" w:cs="Times New Roman" w:eastAsia="Times New Roman" w:hint="default"/>
                <w:sz w:val="18"/>
                <w:szCs w:val="18"/>
              </w:rPr>
              <w:t>;</w:t>
            </w:r>
            <w:r>
              <w:rPr>
                <w:rFonts w:ascii="宋体" w:hAnsi="宋体" w:cs="宋体" w:eastAsia="宋体" w:hint="default"/>
                <w:sz w:val="18"/>
                <w:szCs w:val="18"/>
              </w:rPr>
              <w:t>耿增强</w:t>
            </w:r>
            <w:r>
              <w:rPr>
                <w:rFonts w:ascii="Times New Roman" w:hAnsi="Times New Roman" w:cs="Times New Roman" w:eastAsia="Times New Roman" w:hint="default"/>
                <w:sz w:val="18"/>
                <w:szCs w:val="18"/>
              </w:rPr>
              <w:t>;</w:t>
            </w:r>
            <w:r>
              <w:rPr>
                <w:rFonts w:ascii="宋体" w:hAnsi="宋体" w:cs="宋体" w:eastAsia="宋体" w:hint="default"/>
                <w:sz w:val="18"/>
                <w:szCs w:val="18"/>
              </w:rPr>
              <w:t>陈 晓华</w:t>
            </w:r>
            <w:r>
              <w:rPr>
                <w:rFonts w:ascii="Times New Roman" w:hAnsi="Times New Roman" w:cs="Times New Roman" w:eastAsia="Times New Roman" w:hint="default"/>
                <w:sz w:val="18"/>
                <w:szCs w:val="18"/>
              </w:rPr>
              <w:t>;</w:t>
            </w:r>
            <w:r>
              <w:rPr>
                <w:rFonts w:ascii="宋体" w:hAnsi="宋体" w:cs="宋体" w:eastAsia="宋体" w:hint="default"/>
                <w:sz w:val="18"/>
                <w:szCs w:val="18"/>
              </w:rPr>
              <w:t>邹鹏程</w:t>
            </w:r>
            <w:r>
              <w:rPr>
                <w:rFonts w:ascii="Times New Roman" w:hAnsi="Times New Roman" w:cs="Times New Roman" w:eastAsia="Times New Roman" w:hint="default"/>
                <w:sz w:val="18"/>
                <w:szCs w:val="18"/>
              </w:rPr>
              <w:t>;</w:t>
            </w:r>
            <w:r>
              <w:rPr>
                <w:rFonts w:ascii="宋体" w:hAnsi="宋体" w:cs="宋体" w:eastAsia="宋体" w:hint="default"/>
                <w:sz w:val="18"/>
                <w:szCs w:val="18"/>
              </w:rPr>
              <w:t>段志</w:t>
            </w:r>
            <w:r>
              <w:rPr>
                <w:rFonts w:ascii="宋体" w:hAnsi="宋体" w:cs="宋体" w:eastAsia="宋体" w:hint="default"/>
                <w:spacing w:val="-2"/>
                <w:sz w:val="18"/>
                <w:szCs w:val="18"/>
              </w:rPr>
              <w:t> </w:t>
            </w:r>
            <w:r>
              <w:rPr>
                <w:rFonts w:ascii="宋体" w:hAnsi="宋体" w:cs="宋体" w:eastAsia="宋体" w:hint="default"/>
                <w:sz w:val="18"/>
                <w:szCs w:val="18"/>
              </w:rPr>
              <w:t>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 不转让或者委托他人管理其直接或间接持有的公司本次发行前已 持有的股份，也不由本公司回购直接或间接持有的公司本次发行 前已发行的股份；在担任公司董事、监事或高级管理人员期间， 如实并及时申报直接或间接持有公司股份及其变动情况；在上述 承诺期限届满后，每年转让直接或间接持有的公司股份不超过直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50"/>
              <w:jc w:val="left"/>
              <w:rPr>
                <w:rFonts w:ascii="宋体" w:hAnsi="宋体" w:cs="宋体" w:eastAsia="宋体" w:hint="default"/>
                <w:sz w:val="20"/>
                <w:szCs w:val="20"/>
              </w:rPr>
            </w:pPr>
            <w:r>
              <w:rPr>
                <w:rFonts w:ascii="宋体" w:hAnsi="宋体" w:cs="宋体" w:eastAsia="宋体" w:hint="default"/>
                <w:position w:val="-5"/>
                <w:sz w:val="20"/>
                <w:szCs w:val="20"/>
              </w:rPr>
              <w:pict>
                <v:group style="width:27.9pt;height:14.6pt;mso-position-horizontal-relative:char;mso-position-vertical-relative:line" coordorigin="0,0" coordsize="558,292">
                  <v:group style="position:absolute;left:0;top:0;width:558;height:292" coordorigin="0,0" coordsize="558,292">
                    <v:shape style="position:absolute;left:0;top:0;width:558;height:292" coordorigin="0,0" coordsize="558,292" path="m0,292l558,292,558,0,0,0,0,29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正在 履行</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6"/>
          <w:szCs w:val="26"/>
        </w:rPr>
      </w:pPr>
    </w:p>
    <w:p>
      <w:pPr>
        <w:spacing w:line="312" w:lineRule="auto" w:before="44"/>
        <w:ind w:left="4139" w:right="2617" w:firstLine="0"/>
        <w:jc w:val="left"/>
        <w:rPr>
          <w:rFonts w:ascii="宋体" w:hAnsi="宋体" w:cs="宋体" w:eastAsia="宋体" w:hint="default"/>
          <w:sz w:val="18"/>
          <w:szCs w:val="18"/>
        </w:rPr>
      </w:pPr>
      <w:r>
        <w:rPr/>
        <w:pict>
          <v:shape style="position:absolute;margin-left:229.820007pt;margin-top:1.671743pt;width:259.1pt;height:204.9pt;mso-position-horizontal-relative:page;mso-position-vertical-relative:paragraph;z-index:-9257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自申报离职之日起十二个月内不转让直接持有的公司股份；</w:t>
                  </w:r>
                </w:p>
              </w:txbxContent>
            </v:textbox>
            <w10:wrap type="none"/>
          </v:shape>
        </w:pict>
      </w:r>
      <w:r>
        <w:rPr>
          <w:rFonts w:ascii="宋体" w:hAnsi="宋体" w:cs="宋体" w:eastAsia="宋体" w:hint="default"/>
          <w:sz w:val="18"/>
          <w:szCs w:val="18"/>
        </w:rPr>
        <w:t>接或间接持有公司股份总数的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；离职后六个月内，不转让直 接或间接持有的公司股份；在公司股票上市之日起六个月内申报 离职的，自申报离职之日起十八个月内不转让直接持有的公司的 股份；在公司股票上市之日起第七个月至第十二个月之间申报离 职的， 若申报离职，则自离职信息申报之日起六个月内，增持的公司股 </w:t>
      </w:r>
      <w:r>
        <w:rPr>
          <w:rFonts w:ascii="宋体" w:hAnsi="宋体" w:cs="宋体" w:eastAsia="宋体" w:hint="default"/>
          <w:spacing w:val="-3"/>
          <w:sz w:val="18"/>
          <w:szCs w:val="18"/>
        </w:rPr>
        <w:t>份也将按上述承诺予以锁定。</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、所持股票在锁定期满后两年内减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持的，转让价格不低于公司首次公开发行股票之时的发行价。</w:t>
      </w:r>
      <w:r>
        <w:rPr>
          <w:rFonts w:ascii="Times New Roman" w:hAnsi="Times New Roman" w:cs="Times New Roman" w:eastAsia="Times New Roman" w:hint="default"/>
          <w:sz w:val="18"/>
          <w:szCs w:val="18"/>
        </w:rPr>
        <w:t>3</w:t>
      </w:r>
      <w:r>
        <w:rPr>
          <w:rFonts w:ascii="宋体" w:hAnsi="宋体" w:cs="宋体" w:eastAsia="宋体" w:hint="default"/>
          <w:sz w:val="18"/>
          <w:szCs w:val="18"/>
        </w:rPr>
        <w:t>、 发行人上市后</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个月内如公司股票连续</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个交易日的收盘价低于</w:t>
      </w:r>
    </w:p>
    <w:p>
      <w:pPr>
        <w:spacing w:before="3"/>
        <w:ind w:left="4139" w:right="0" w:firstLine="0"/>
        <w:jc w:val="left"/>
        <w:rPr>
          <w:rFonts w:ascii="宋体" w:hAnsi="宋体" w:cs="宋体" w:eastAsia="宋体" w:hint="default"/>
          <w:sz w:val="18"/>
          <w:szCs w:val="18"/>
        </w:rPr>
      </w:pPr>
      <w:r>
        <w:rPr>
          <w:rFonts w:ascii="宋体" w:hAnsi="宋体" w:cs="宋体" w:eastAsia="宋体" w:hint="default"/>
          <w:sz w:val="18"/>
          <w:szCs w:val="18"/>
        </w:rPr>
        <w:t>发行价，或者上市后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个月期末收盘价低于发行价，持有发行人</w:t>
      </w:r>
    </w:p>
    <w:p>
      <w:pPr>
        <w:spacing w:before="63"/>
        <w:ind w:left="4139" w:right="0" w:firstLine="0"/>
        <w:jc w:val="left"/>
        <w:rPr>
          <w:rFonts w:ascii="宋体" w:hAnsi="宋体" w:cs="宋体" w:eastAsia="宋体" w:hint="default"/>
          <w:sz w:val="18"/>
          <w:szCs w:val="18"/>
        </w:rPr>
      </w:pPr>
      <w:r>
        <w:rPr>
          <w:rFonts w:ascii="宋体" w:hAnsi="宋体" w:cs="宋体" w:eastAsia="宋体" w:hint="default"/>
          <w:sz w:val="18"/>
          <w:szCs w:val="18"/>
        </w:rPr>
        <w:t>股票的锁定期限自动延长至少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4</w:t>
      </w:r>
      <w:r>
        <w:rPr>
          <w:rFonts w:ascii="宋体" w:hAnsi="宋体" w:cs="宋体" w:eastAsia="宋体" w:hint="default"/>
          <w:sz w:val="18"/>
          <w:szCs w:val="18"/>
        </w:rPr>
        <w:t>、在上述承诺履行期间，</w:t>
      </w:r>
    </w:p>
    <w:p>
      <w:pPr>
        <w:spacing w:line="302" w:lineRule="auto" w:before="63"/>
        <w:ind w:left="4139" w:right="271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职务变更、离职等原因不影响第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项和第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项承诺的效力，在此 期间仍将继续履行上述承诺。</w:t>
      </w:r>
      <w:r>
        <w:rPr>
          <w:rFonts w:ascii="Times New Roman" w:hAnsi="Times New Roman" w:cs="Times New Roman" w:eastAsia="Times New Roman" w:hint="default"/>
          <w:sz w:val="18"/>
          <w:szCs w:val="18"/>
        </w:rPr>
        <w:t>"</w:t>
      </w:r>
    </w:p>
    <w:p>
      <w:pPr>
        <w:spacing w:after="0" w:line="302"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9"/>
          <w:szCs w:val="19"/>
        </w:rPr>
      </w:pPr>
    </w:p>
    <w:p>
      <w:pPr>
        <w:spacing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赵鸿飞</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2"/>
          <w:szCs w:val="12"/>
        </w:rPr>
      </w:pPr>
    </w:p>
    <w:p>
      <w:pPr>
        <w:spacing w:line="316" w:lineRule="auto" w:before="0"/>
        <w:ind w:left="837" w:right="-20" w:firstLine="0"/>
        <w:jc w:val="left"/>
        <w:rPr>
          <w:rFonts w:ascii="宋体" w:hAnsi="宋体" w:cs="宋体" w:eastAsia="宋体" w:hint="default"/>
          <w:sz w:val="18"/>
          <w:szCs w:val="18"/>
        </w:rPr>
      </w:pPr>
      <w:r>
        <w:rPr>
          <w:rFonts w:ascii="宋体" w:hAnsi="宋体" w:cs="宋体" w:eastAsia="宋体" w:hint="default"/>
          <w:sz w:val="18"/>
          <w:szCs w:val="18"/>
        </w:rPr>
        <w:t>股份限 售承诺</w:t>
      </w:r>
    </w:p>
    <w:p>
      <w:pPr>
        <w:spacing w:line="312" w:lineRule="auto" w:before="101"/>
        <w:ind w:left="129" w:right="0" w:firstLine="0"/>
        <w:jc w:val="both"/>
        <w:rPr>
          <w:rFonts w:ascii="宋体" w:hAnsi="宋体" w:cs="宋体" w:eastAsia="宋体" w:hint="default"/>
          <w:sz w:val="18"/>
          <w:szCs w:val="18"/>
        </w:rPr>
      </w:pPr>
      <w:r>
        <w:rPr>
          <w:spacing w:val="-3"/>
        </w:rPr>
        <w:br w:type="column"/>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本公司控股股东、实际控制人、公司董事长赵鸿飞就所持股份的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限售安排、自愿锁定股份、延长锁定期限的承诺就公司股票的锁 </w:t>
      </w:r>
      <w:r>
        <w:rPr>
          <w:rFonts w:ascii="宋体" w:hAnsi="宋体" w:cs="宋体" w:eastAsia="宋体" w:hint="default"/>
          <w:spacing w:val="-3"/>
          <w:sz w:val="18"/>
          <w:szCs w:val="18"/>
        </w:rPr>
        <w:t>定期限承诺如下：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、自公司股票在深圳证券交易所创业板上市交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易之日起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个月内，不转让或委托他人管理其在公司首次公开发</w:t>
      </w:r>
      <w:r>
        <w:rPr>
          <w:rFonts w:ascii="宋体" w:hAnsi="宋体" w:cs="宋体" w:eastAsia="宋体" w:hint="default"/>
          <w:sz w:val="18"/>
          <w:szCs w:val="18"/>
        </w:rPr>
        <w:t> 行股票前直接或间接持有的公司股份，也不由公司回购该部分股 </w:t>
      </w:r>
      <w:r>
        <w:rPr>
          <w:rFonts w:ascii="宋体" w:hAnsi="宋体" w:cs="宋体" w:eastAsia="宋体" w:hint="default"/>
          <w:spacing w:val="-3"/>
          <w:sz w:val="18"/>
          <w:szCs w:val="18"/>
        </w:rPr>
        <w:t>份。</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、在担任公司董事、监事或高级管理人员期间，如实并及时</w:t>
      </w:r>
      <w:r>
        <w:rPr>
          <w:rFonts w:ascii="宋体" w:hAnsi="宋体" w:cs="宋体" w:eastAsia="宋体" w:hint="default"/>
          <w:sz w:val="18"/>
          <w:szCs w:val="18"/>
        </w:rPr>
        <w:t> 申报直接或间接持有公司股份及其变动情况；在上述承诺期限届 满后，每年转让直接或间接持有的公司股份不超过直接或间接持 有公司股份总数的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；离职后六个月内，不转让直接或间接持 有的公司股份；在公司股票上市之日起六个月内申报离职的，自 申报离职之日起十八个月内不转让直接持有的公司的股份；在公 司股票上市之日起第七个月至第十二个月之间申报离职的，自申 报离职之日起十二个月内不转让直接持有的公司股份；若申报离 职，则自离职信息申报之日起六个月内，增持的公司股份也将按 上述承诺予以锁定。</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、公司股票上市后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个交易日的收盘价（如果因派发现金红利、送股、转增股本、增 发新股等原因进行除权、除息的，须按照深圳证券交易所的有关 规定作复权处理，下同）低于发行价，或者上市后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w:t>
      </w:r>
    </w:p>
    <w:p>
      <w:pPr>
        <w:spacing w:before="4"/>
        <w:ind w:left="129"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盘价低于发行价，持有发行人股票的锁定期限自动延长</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6"/>
          <w:sz w:val="18"/>
          <w:szCs w:val="18"/>
        </w:rPr>
        <w:t> </w:t>
      </w:r>
      <w:r>
        <w:rPr>
          <w:rFonts w:ascii="宋体" w:hAnsi="宋体" w:cs="宋体" w:eastAsia="宋体" w:hint="default"/>
          <w:spacing w:val="-9"/>
          <w:sz w:val="18"/>
          <w:szCs w:val="18"/>
        </w:rPr>
        <w:t>个月。</w:t>
      </w:r>
      <w:r>
        <w:rPr>
          <w:rFonts w:ascii="Times New Roman" w:hAnsi="Times New Roman" w:cs="Times New Roman" w:eastAsia="Times New Roman" w:hint="default"/>
          <w:spacing w:val="-9"/>
          <w:sz w:val="18"/>
          <w:szCs w:val="18"/>
        </w:rPr>
        <w:t>"</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7"/>
          <w:szCs w:val="17"/>
        </w:rPr>
      </w:pPr>
    </w:p>
    <w:p>
      <w:pPr>
        <w:spacing w:before="0"/>
        <w:ind w:left="16" w:right="0" w:firstLine="0"/>
        <w:jc w:val="left"/>
        <w:rPr>
          <w:rFonts w:ascii="Times New Roman" w:hAnsi="Times New Roman" w:cs="Times New Roman" w:eastAsia="Times New Roman" w:hint="default"/>
          <w:sz w:val="18"/>
          <w:szCs w:val="18"/>
        </w:rPr>
      </w:pPr>
      <w:r>
        <w:rPr>
          <w:rFonts w:ascii="Times New Roman"/>
          <w:sz w:val="18"/>
        </w:rPr>
        <w:t>2015</w:t>
      </w:r>
    </w:p>
    <w:p>
      <w:pPr>
        <w:tabs>
          <w:tab w:pos="1007" w:val="left" w:leader="none"/>
        </w:tabs>
        <w:spacing w:line="203" w:lineRule="exact" w:before="65"/>
        <w:ind w:left="16" w:right="0"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tab/>
      </w:r>
      <w:r>
        <w:rPr>
          <w:rFonts w:ascii="宋体" w:hAnsi="宋体" w:cs="宋体" w:eastAsia="宋体" w:hint="default"/>
          <w:sz w:val="18"/>
          <w:szCs w:val="18"/>
        </w:rPr>
        <w:t>正在</w:t>
      </w:r>
    </w:p>
    <w:p>
      <w:pPr>
        <w:spacing w:line="156" w:lineRule="exact" w:before="0"/>
        <w:ind w:left="564" w:right="176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tabs>
          <w:tab w:pos="1007" w:val="left" w:leader="none"/>
        </w:tabs>
        <w:spacing w:line="203" w:lineRule="exact" w:before="0"/>
        <w:ind w:left="16" w:right="0"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tab/>
      </w:r>
      <w:r>
        <w:rPr>
          <w:rFonts w:ascii="宋体" w:hAnsi="宋体" w:cs="宋体" w:eastAsia="宋体" w:hint="default"/>
          <w:sz w:val="18"/>
          <w:szCs w:val="18"/>
        </w:rPr>
        <w:t>履行</w:t>
      </w:r>
    </w:p>
    <w:p>
      <w:pPr>
        <w:spacing w:before="63"/>
        <w:ind w:left="16" w:right="0" w:firstLine="0"/>
        <w:jc w:val="left"/>
        <w:rPr>
          <w:rFonts w:ascii="宋体" w:hAnsi="宋体" w:cs="宋体" w:eastAsia="宋体" w:hint="default"/>
          <w:sz w:val="18"/>
          <w:szCs w:val="18"/>
        </w:rPr>
      </w:pPr>
      <w:r>
        <w:rPr>
          <w:rFonts w:ascii="宋体" w:hAnsi="宋体" w:cs="宋体" w:eastAsia="宋体" w:hint="default"/>
          <w:sz w:val="18"/>
          <w:szCs w:val="18"/>
        </w:rPr>
        <w:t>日</w:t>
      </w:r>
    </w:p>
    <w:p>
      <w:pPr>
        <w:spacing w:after="0"/>
        <w:jc w:val="left"/>
        <w:rPr>
          <w:rFonts w:ascii="宋体" w:hAnsi="宋体" w:cs="宋体" w:eastAsia="宋体" w:hint="default"/>
          <w:sz w:val="18"/>
          <w:szCs w:val="18"/>
        </w:rPr>
        <w:sectPr>
          <w:type w:val="continuous"/>
          <w:pgSz w:w="11910" w:h="16840"/>
          <w:pgMar w:top="1060" w:bottom="1160" w:left="0" w:right="0"/>
          <w:cols w:num="4" w:equalWidth="0">
            <w:col w:w="2553" w:space="39"/>
            <w:col w:w="1378" w:space="40"/>
            <w:col w:w="5177" w:space="40"/>
            <w:col w:w="2683"/>
          </w:cols>
        </w:sectPr>
      </w:pPr>
    </w:p>
    <w:p>
      <w:pPr>
        <w:spacing w:line="240" w:lineRule="auto" w:before="4"/>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60" w:left="0" w:right="0"/>
        </w:sectPr>
      </w:pPr>
    </w:p>
    <w:p>
      <w:pPr>
        <w:spacing w:line="240" w:lineRule="auto" w:before="4"/>
        <w:rPr>
          <w:rFonts w:ascii="宋体" w:hAnsi="宋体" w:cs="宋体" w:eastAsia="宋体" w:hint="default"/>
          <w:sz w:val="15"/>
          <w:szCs w:val="15"/>
        </w:rPr>
      </w:pPr>
    </w:p>
    <w:p>
      <w:pPr>
        <w:spacing w:line="300" w:lineRule="auto" w:before="0"/>
        <w:ind w:left="2012" w:right="-19" w:firstLine="0"/>
        <w:jc w:val="left"/>
        <w:rPr>
          <w:rFonts w:ascii="宋体" w:hAnsi="宋体" w:cs="宋体" w:eastAsia="宋体" w:hint="default"/>
          <w:sz w:val="18"/>
          <w:szCs w:val="18"/>
        </w:rPr>
      </w:pPr>
      <w:r>
        <w:rPr>
          <w:rFonts w:ascii="宋体" w:hAnsi="宋体" w:cs="宋体" w:eastAsia="宋体" w:hint="default"/>
          <w:sz w:val="18"/>
          <w:szCs w:val="18"/>
        </w:rPr>
        <w:t>陈晓华</w:t>
      </w:r>
      <w:r>
        <w:rPr>
          <w:rFonts w:ascii="Times New Roman" w:hAnsi="Times New Roman" w:cs="Times New Roman" w:eastAsia="Times New Roman" w:hint="default"/>
          <w:sz w:val="18"/>
          <w:szCs w:val="18"/>
        </w:rPr>
        <w:t>;</w:t>
      </w:r>
      <w:r>
        <w:rPr>
          <w:rFonts w:ascii="宋体" w:hAnsi="宋体" w:cs="宋体" w:eastAsia="宋体" w:hint="default"/>
          <w:sz w:val="18"/>
          <w:szCs w:val="18"/>
        </w:rPr>
        <w:t>越超有限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大洋中科</w:t>
      </w:r>
    </w:p>
    <w:p>
      <w:pPr>
        <w:spacing w:line="212" w:lineRule="exact" w:before="14"/>
        <w:ind w:left="201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SPC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株式会社</w:t>
      </w:r>
    </w:p>
    <w:p>
      <w:pPr>
        <w:spacing w:line="240" w:lineRule="auto" w:before="0"/>
        <w:rPr>
          <w:rFonts w:ascii="宋体" w:hAnsi="宋体" w:cs="宋体" w:eastAsia="宋体" w:hint="default"/>
          <w:sz w:val="18"/>
          <w:szCs w:val="18"/>
        </w:rPr>
      </w:pPr>
      <w:r>
        <w:rPr/>
        <w:br w:type="column"/>
      </w:r>
      <w:r>
        <w:rPr>
          <w:rFonts w:ascii="宋体"/>
          <w:sz w:val="18"/>
        </w:rPr>
      </w:r>
    </w:p>
    <w:p>
      <w:pPr>
        <w:spacing w:line="316" w:lineRule="auto" w:before="121"/>
        <w:ind w:left="66" w:right="-20" w:firstLine="0"/>
        <w:jc w:val="left"/>
        <w:rPr>
          <w:rFonts w:ascii="宋体" w:hAnsi="宋体" w:cs="宋体" w:eastAsia="宋体" w:hint="default"/>
          <w:sz w:val="18"/>
          <w:szCs w:val="18"/>
        </w:rPr>
      </w:pPr>
      <w:r>
        <w:rPr>
          <w:rFonts w:ascii="宋体" w:hAnsi="宋体" w:cs="宋体" w:eastAsia="宋体" w:hint="default"/>
          <w:sz w:val="18"/>
          <w:szCs w:val="18"/>
        </w:rPr>
        <w:t>股份限 售承诺</w:t>
      </w:r>
    </w:p>
    <w:p>
      <w:pPr>
        <w:spacing w:before="44"/>
        <w:ind w:left="129" w:right="0" w:firstLine="0"/>
        <w:jc w:val="left"/>
        <w:rPr>
          <w:rFonts w:ascii="Times New Roman" w:hAnsi="Times New Roman" w:cs="Times New Roman" w:eastAsia="Times New Roman" w:hint="default"/>
          <w:sz w:val="18"/>
          <w:szCs w:val="18"/>
        </w:rPr>
      </w:pPr>
      <w:r>
        <w:rPr>
          <w:spacing w:val="-3"/>
        </w:rPr>
        <w:br w:type="column"/>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就其所持公司股票的锁定期限承诺如下：自公司股票在深圳证券</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2015</w:t>
      </w:r>
    </w:p>
    <w:p>
      <w:pPr>
        <w:tabs>
          <w:tab w:pos="6224" w:val="left" w:leader="none"/>
        </w:tabs>
        <w:spacing w:line="203" w:lineRule="exact" w:before="63"/>
        <w:ind w:left="129" w:right="0" w:firstLine="0"/>
        <w:jc w:val="left"/>
        <w:rPr>
          <w:rFonts w:ascii="宋体" w:hAnsi="宋体" w:cs="宋体" w:eastAsia="宋体" w:hint="default"/>
          <w:sz w:val="18"/>
          <w:szCs w:val="18"/>
        </w:rPr>
      </w:pPr>
      <w:r>
        <w:rPr>
          <w:rFonts w:ascii="宋体" w:hAnsi="宋体" w:cs="宋体" w:eastAsia="宋体" w:hint="default"/>
          <w:sz w:val="18"/>
          <w:szCs w:val="18"/>
        </w:rPr>
        <w:t>交易所上市交易之日起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个</w:t>
      </w:r>
      <w:r>
        <w:rPr>
          <w:rFonts w:ascii="宋体" w:hAnsi="宋体" w:cs="宋体" w:eastAsia="宋体" w:hint="default"/>
          <w:sz w:val="18"/>
          <w:szCs w:val="18"/>
        </w:rPr>
        <w:t>月内</w:t>
      </w:r>
      <w:r>
        <w:rPr>
          <w:rFonts w:ascii="宋体" w:hAnsi="宋体" w:cs="宋体" w:eastAsia="宋体" w:hint="default"/>
          <w:spacing w:val="-83"/>
          <w:sz w:val="18"/>
          <w:szCs w:val="18"/>
        </w:rPr>
        <w:t>，</w:t>
      </w:r>
      <w:r>
        <w:rPr>
          <w:rFonts w:ascii="宋体" w:hAnsi="宋体" w:cs="宋体" w:eastAsia="宋体" w:hint="default"/>
          <w:sz w:val="18"/>
          <w:szCs w:val="18"/>
        </w:rPr>
        <w:t>不转让或委托他人管理其在公</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tab/>
      </w:r>
      <w:r>
        <w:rPr>
          <w:rFonts w:ascii="宋体" w:hAnsi="宋体" w:cs="宋体" w:eastAsia="宋体" w:hint="default"/>
          <w:sz w:val="18"/>
          <w:szCs w:val="18"/>
        </w:rPr>
        <w:t>正在</w:t>
      </w:r>
    </w:p>
    <w:p>
      <w:pPr>
        <w:tabs>
          <w:tab w:pos="6224" w:val="left" w:leader="none"/>
        </w:tabs>
        <w:spacing w:line="151" w:lineRule="auto" w:before="31"/>
        <w:ind w:left="129" w:right="1309" w:firstLine="567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司首次公开发行股票前直接或间接持有的公司股份，也不由公司 月</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10</w:t>
        <w:tab/>
      </w:r>
      <w:r>
        <w:rPr>
          <w:rFonts w:ascii="宋体" w:hAnsi="宋体" w:cs="宋体" w:eastAsia="宋体" w:hint="default"/>
          <w:sz w:val="18"/>
          <w:szCs w:val="18"/>
        </w:rPr>
        <w:t>履行</w:t>
      </w:r>
    </w:p>
    <w:p>
      <w:pPr>
        <w:spacing w:after="0" w:line="151" w:lineRule="auto"/>
        <w:jc w:val="left"/>
        <w:rPr>
          <w:rFonts w:ascii="宋体" w:hAnsi="宋体" w:cs="宋体" w:eastAsia="宋体" w:hint="default"/>
          <w:sz w:val="18"/>
          <w:szCs w:val="18"/>
        </w:rPr>
        <w:sectPr>
          <w:type w:val="continuous"/>
          <w:pgSz w:w="11910" w:h="16840"/>
          <w:pgMar w:top="1060" w:bottom="1160" w:left="0" w:right="0"/>
          <w:cols w:num="3" w:equalWidth="0">
            <w:col w:w="3324" w:space="40"/>
            <w:col w:w="607" w:space="40"/>
            <w:col w:w="7899"/>
          </w:cols>
        </w:sectPr>
      </w:pPr>
    </w:p>
    <w:p>
      <w:pPr>
        <w:tabs>
          <w:tab w:pos="9243" w:val="left" w:leader="none"/>
        </w:tabs>
        <w:spacing w:line="194" w:lineRule="exact" w:before="0"/>
        <w:ind w:left="4139" w:right="0" w:firstLine="0"/>
        <w:jc w:val="left"/>
        <w:rPr>
          <w:rFonts w:ascii="宋体" w:hAnsi="宋体" w:cs="宋体" w:eastAsia="宋体" w:hint="default"/>
          <w:sz w:val="18"/>
          <w:szCs w:val="18"/>
        </w:rPr>
      </w:pPr>
      <w:r>
        <w:rPr>
          <w:rFonts w:ascii="宋体" w:hAnsi="宋体" w:cs="宋体" w:eastAsia="宋体" w:hint="default"/>
          <w:w w:val="95"/>
          <w:sz w:val="18"/>
          <w:szCs w:val="18"/>
        </w:rPr>
        <w:t>回购该部分股份。</w:t>
      </w:r>
      <w:r>
        <w:rPr>
          <w:rFonts w:ascii="Times New Roman" w:hAnsi="Times New Roman" w:cs="Times New Roman" w:eastAsia="Times New Roman" w:hint="default"/>
          <w:w w:val="95"/>
          <w:sz w:val="18"/>
          <w:szCs w:val="18"/>
        </w:rPr>
        <w:t>"</w:t>
        <w:tab/>
      </w:r>
      <w:r>
        <w:rPr>
          <w:rFonts w:ascii="宋体" w:hAnsi="宋体" w:cs="宋体" w:eastAsia="宋体" w:hint="default"/>
          <w:sz w:val="18"/>
          <w:szCs w:val="18"/>
        </w:rPr>
        <w:t>日</w:t>
      </w:r>
    </w:p>
    <w:p>
      <w:pPr>
        <w:spacing w:line="240" w:lineRule="auto" w:before="4"/>
        <w:rPr>
          <w:rFonts w:ascii="宋体" w:hAnsi="宋体" w:cs="宋体" w:eastAsia="宋体" w:hint="default"/>
          <w:sz w:val="8"/>
          <w:szCs w:val="8"/>
        </w:rPr>
      </w:pPr>
    </w:p>
    <w:p>
      <w:pPr>
        <w:spacing w:before="44"/>
        <w:ind w:left="4139"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就所持有公司股票的减持意向承诺如下：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、作为持有发行人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spacing w:line="206" w:lineRule="exact" w:before="61"/>
        <w:ind w:left="4139" w:right="0" w:firstLine="0"/>
        <w:jc w:val="left"/>
        <w:rPr>
          <w:rFonts w:ascii="宋体" w:hAnsi="宋体" w:cs="宋体" w:eastAsia="宋体" w:hint="default"/>
          <w:sz w:val="18"/>
          <w:szCs w:val="18"/>
        </w:rPr>
      </w:pPr>
      <w:r>
        <w:rPr>
          <w:rFonts w:ascii="宋体" w:hAnsi="宋体" w:cs="宋体" w:eastAsia="宋体" w:hint="default"/>
          <w:spacing w:val="-3"/>
          <w:sz w:val="18"/>
          <w:szCs w:val="18"/>
        </w:rPr>
        <w:t>以上股份的股东，按照法律法规及监管要求，持有发行人的股票，</w:t>
      </w:r>
    </w:p>
    <w:p>
      <w:pPr>
        <w:spacing w:line="142" w:lineRule="exact" w:before="0"/>
        <w:ind w:left="0" w:right="2300" w:firstLine="0"/>
        <w:jc w:val="right"/>
        <w:rPr>
          <w:rFonts w:ascii="Times New Roman" w:hAnsi="Times New Roman" w:cs="Times New Roman" w:eastAsia="Times New Roman" w:hint="default"/>
          <w:sz w:val="18"/>
          <w:szCs w:val="18"/>
        </w:rPr>
      </w:pPr>
      <w:r>
        <w:rPr>
          <w:rFonts w:ascii="Times New Roman"/>
          <w:sz w:val="18"/>
        </w:rPr>
        <w:t>2015</w:t>
      </w:r>
    </w:p>
    <w:p>
      <w:pPr>
        <w:spacing w:after="0" w:line="142" w:lineRule="exact"/>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194" w:lineRule="exact" w:before="0"/>
        <w:ind w:left="2012" w:right="-19" w:firstLine="0"/>
        <w:jc w:val="left"/>
        <w:rPr>
          <w:rFonts w:ascii="宋体" w:hAnsi="宋体" w:cs="宋体" w:eastAsia="宋体" w:hint="default"/>
          <w:sz w:val="18"/>
          <w:szCs w:val="18"/>
        </w:rPr>
      </w:pPr>
      <w:r>
        <w:rPr>
          <w:rFonts w:ascii="宋体" w:hAnsi="宋体" w:cs="宋体" w:eastAsia="宋体" w:hint="default"/>
          <w:sz w:val="18"/>
          <w:szCs w:val="18"/>
        </w:rPr>
        <w:t>陈晓华</w:t>
      </w:r>
      <w:r>
        <w:rPr>
          <w:rFonts w:ascii="Times New Roman" w:hAnsi="Times New Roman" w:cs="Times New Roman" w:eastAsia="Times New Roman" w:hint="default"/>
          <w:sz w:val="18"/>
          <w:szCs w:val="18"/>
        </w:rPr>
        <w:t>;</w:t>
      </w:r>
      <w:r>
        <w:rPr>
          <w:rFonts w:ascii="宋体" w:hAnsi="宋体" w:cs="宋体" w:eastAsia="宋体" w:hint="default"/>
          <w:sz w:val="18"/>
          <w:szCs w:val="18"/>
        </w:rPr>
        <w:t>越超有限</w:t>
      </w:r>
    </w:p>
    <w:p>
      <w:pPr>
        <w:spacing w:line="212" w:lineRule="exact" w:before="100"/>
        <w:ind w:left="66"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股份减</w:t>
      </w:r>
    </w:p>
    <w:p>
      <w:pPr>
        <w:spacing w:line="199" w:lineRule="exact" w:before="0"/>
        <w:ind w:left="129"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并严格履行发行人首次公开发行股票招股说明书披露的股票锁定</w:t>
      </w:r>
    </w:p>
    <w:p>
      <w:pPr>
        <w:tabs>
          <w:tab w:pos="1015" w:val="left" w:leader="none"/>
        </w:tabs>
        <w:spacing w:line="212" w:lineRule="exact" w:before="100"/>
        <w:ind w:left="2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tab/>
      </w:r>
      <w:r>
        <w:rPr>
          <w:rFonts w:ascii="宋体" w:hAnsi="宋体" w:cs="宋体" w:eastAsia="宋体" w:hint="default"/>
          <w:sz w:val="18"/>
          <w:szCs w:val="18"/>
        </w:rPr>
        <w:t>正在</w:t>
      </w:r>
    </w:p>
    <w:p>
      <w:pPr>
        <w:spacing w:after="0" w:line="212" w:lineRule="exact"/>
        <w:jc w:val="left"/>
        <w:rPr>
          <w:rFonts w:ascii="宋体" w:hAnsi="宋体" w:cs="宋体" w:eastAsia="宋体" w:hint="default"/>
          <w:sz w:val="18"/>
          <w:szCs w:val="18"/>
        </w:rPr>
        <w:sectPr>
          <w:type w:val="continuous"/>
          <w:pgSz w:w="11910" w:h="16840"/>
          <w:pgMar w:top="1060" w:bottom="1160" w:left="0" w:right="0"/>
          <w:cols w:num="4" w:equalWidth="0">
            <w:col w:w="3324" w:space="40"/>
            <w:col w:w="607" w:space="40"/>
            <w:col w:w="5170" w:space="40"/>
            <w:col w:w="2689"/>
          </w:cols>
        </w:sectPr>
      </w:pPr>
    </w:p>
    <w:p>
      <w:pPr>
        <w:spacing w:line="194" w:lineRule="exact" w:before="0"/>
        <w:ind w:left="2012" w:right="-19"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大洋中科</w:t>
      </w:r>
    </w:p>
    <w:p>
      <w:pPr>
        <w:spacing w:line="212" w:lineRule="exact" w:before="64"/>
        <w:ind w:left="201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SPC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株式会社</w:t>
      </w:r>
    </w:p>
    <w:p>
      <w:pPr>
        <w:spacing w:before="101"/>
        <w:ind w:left="246"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持承诺</w:t>
      </w:r>
    </w:p>
    <w:p>
      <w:pPr>
        <w:tabs>
          <w:tab w:pos="5799" w:val="left" w:leader="none"/>
        </w:tabs>
        <w:spacing w:line="157" w:lineRule="exact" w:before="0"/>
        <w:ind w:left="12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承诺。</w:t>
      </w:r>
      <w:r>
        <w:rPr>
          <w:rFonts w:ascii="Times New Roman" w:hAnsi="Times New Roman" w:cs="Times New Roman" w:eastAsia="Times New Roman" w:hint="default"/>
          <w:sz w:val="18"/>
          <w:szCs w:val="18"/>
        </w:rPr>
        <w:t>2</w:t>
      </w:r>
      <w:r>
        <w:rPr>
          <w:rFonts w:ascii="宋体" w:hAnsi="宋体" w:cs="宋体" w:eastAsia="宋体" w:hint="default"/>
          <w:sz w:val="18"/>
          <w:szCs w:val="18"/>
        </w:rPr>
        <w:t>、减持发行人股份的价格根据当时的二级市场价格确定，</w:t>
        <w:tab/>
      </w:r>
      <w:r>
        <w:rPr>
          <w:rFonts w:ascii="Times New Roman" w:hAnsi="Times New Roman" w:cs="Times New Roman" w:eastAsia="Times New Roman" w:hint="default"/>
          <w:position w:val="2"/>
          <w:sz w:val="18"/>
          <w:szCs w:val="18"/>
        </w:rPr>
        <w:t>3</w:t>
      </w:r>
      <w:r>
        <w:rPr>
          <w:rFonts w:ascii="Times New Roman" w:hAnsi="Times New Roman" w:cs="Times New Roman" w:eastAsia="Times New Roman" w:hint="default"/>
          <w:spacing w:val="-1"/>
          <w:position w:val="2"/>
          <w:sz w:val="18"/>
          <w:szCs w:val="18"/>
        </w:rPr>
        <w:t> </w:t>
      </w:r>
      <w:r>
        <w:rPr>
          <w:rFonts w:ascii="宋体" w:hAnsi="宋体" w:cs="宋体" w:eastAsia="宋体" w:hint="default"/>
          <w:position w:val="2"/>
          <w:sz w:val="18"/>
          <w:szCs w:val="18"/>
        </w:rPr>
        <w:t>年</w:t>
      </w:r>
      <w:r>
        <w:rPr>
          <w:rFonts w:ascii="宋体" w:hAnsi="宋体" w:cs="宋体" w:eastAsia="宋体" w:hint="default"/>
          <w:sz w:val="18"/>
          <w:szCs w:val="18"/>
        </w:rPr>
      </w:r>
    </w:p>
    <w:p>
      <w:pPr>
        <w:tabs>
          <w:tab w:pos="6224" w:val="left" w:leader="none"/>
        </w:tabs>
        <w:spacing w:line="156" w:lineRule="exact" w:before="0"/>
        <w:ind w:left="5233" w:right="0"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tab/>
      </w:r>
      <w:r>
        <w:rPr>
          <w:rFonts w:ascii="宋体" w:hAnsi="宋体" w:cs="宋体" w:eastAsia="宋体" w:hint="default"/>
          <w:sz w:val="18"/>
          <w:szCs w:val="18"/>
        </w:rPr>
        <w:t>履行</w:t>
      </w:r>
    </w:p>
    <w:p>
      <w:pPr>
        <w:spacing w:line="156" w:lineRule="exact" w:before="0"/>
        <w:ind w:left="129" w:right="0" w:firstLine="0"/>
        <w:jc w:val="left"/>
        <w:rPr>
          <w:rFonts w:ascii="宋体" w:hAnsi="宋体" w:cs="宋体" w:eastAsia="宋体" w:hint="default"/>
          <w:sz w:val="18"/>
          <w:szCs w:val="18"/>
        </w:rPr>
      </w:pPr>
      <w:r>
        <w:rPr>
          <w:rFonts w:ascii="宋体" w:hAnsi="宋体" w:cs="宋体" w:eastAsia="宋体" w:hint="default"/>
          <w:sz w:val="18"/>
          <w:szCs w:val="18"/>
        </w:rPr>
        <w:t>并应符合相关法律法规及证券交易所规则要求；在发行人首次公</w:t>
      </w:r>
    </w:p>
    <w:p>
      <w:pPr>
        <w:spacing w:after="0" w:line="156" w:lineRule="exact"/>
        <w:jc w:val="left"/>
        <w:rPr>
          <w:rFonts w:ascii="宋体" w:hAnsi="宋体" w:cs="宋体" w:eastAsia="宋体" w:hint="default"/>
          <w:sz w:val="18"/>
          <w:szCs w:val="18"/>
        </w:rPr>
        <w:sectPr>
          <w:type w:val="continuous"/>
          <w:pgSz w:w="11910" w:h="16840"/>
          <w:pgMar w:top="1060" w:bottom="1160" w:left="0" w:right="0"/>
          <w:cols w:num="3" w:equalWidth="0">
            <w:col w:w="3144" w:space="40"/>
            <w:col w:w="787" w:space="40"/>
            <w:col w:w="7899"/>
          </w:cols>
        </w:sectPr>
      </w:pPr>
    </w:p>
    <w:p>
      <w:pPr>
        <w:spacing w:line="149" w:lineRule="exact" w:before="0"/>
        <w:ind w:left="0" w:right="2480" w:firstLine="0"/>
        <w:jc w:val="right"/>
        <w:rPr>
          <w:rFonts w:ascii="宋体" w:hAnsi="宋体" w:cs="宋体" w:eastAsia="宋体" w:hint="default"/>
          <w:sz w:val="18"/>
          <w:szCs w:val="18"/>
        </w:rPr>
      </w:pPr>
      <w:r>
        <w:rPr/>
        <w:pict>
          <v:group style="position:absolute;margin-left:56.459999pt;margin-top:71.759979pt;width:478.95pt;height:685.9pt;mso-position-horizontal-relative:page;mso-position-vertical-relative:page;z-index:-925744" coordorigin="1129,1435" coordsize="9579,13718">
            <v:group style="position:absolute;left:1139;top:1450;width:842;height:4098" coordorigin="1139,1450" coordsize="842,4098">
              <v:shape style="position:absolute;left:1139;top:1450;width:842;height:4098" coordorigin="1139,1450" coordsize="842,4098" path="m1139,5547l1980,5547,1980,1450,1139,1450,1139,5547xe" filled="true" fillcolor="#d2d2d2" stroked="false">
                <v:path arrowok="t"/>
                <v:fill type="solid"/>
              </v:shape>
            </v:group>
            <v:group style="position:absolute;left:1139;top:1445;width:842;height:2" coordorigin="1139,1445" coordsize="842,2">
              <v:shape style="position:absolute;left:1139;top:1445;width:842;height:2" coordorigin="1139,1445" coordsize="842,0" path="m1139,1445l1980,1445e" filled="false" stroked="true" strokeweight=".48pt" strokecolor="#000000">
                <v:path arrowok="t"/>
              </v:shape>
            </v:group>
            <v:group style="position:absolute;left:1990;top:1445;width:1408;height:2" coordorigin="1990,1445" coordsize="1408,2">
              <v:shape style="position:absolute;left:1990;top:1445;width:1408;height:2" coordorigin="1990,1445" coordsize="1408,0" path="m1990,1445l3398,1445e" filled="false" stroked="true" strokeweight=".48pt" strokecolor="#000000">
                <v:path arrowok="t"/>
              </v:shape>
            </v:group>
            <v:group style="position:absolute;left:3407;top:1445;width:700;height:2" coordorigin="3407,1445" coordsize="700,2">
              <v:shape style="position:absolute;left:3407;top:1445;width:700;height:2" coordorigin="3407,1445" coordsize="700,0" path="m3407,1445l4107,1445e" filled="false" stroked="true" strokeweight=".48pt" strokecolor="#000000">
                <v:path arrowok="t"/>
              </v:shape>
            </v:group>
            <v:group style="position:absolute;left:9220;top:1450;width:558;height:4098" coordorigin="9220,1450" coordsize="558,4098">
              <v:shape style="position:absolute;left:9220;top:1450;width:558;height:4098" coordorigin="9220,1450" coordsize="558,4098" path="m9220,5547l9778,5547,9778,1450,9220,1450,9220,5547xe" filled="true" fillcolor="#ffffff" stroked="false">
                <v:path arrowok="t"/>
                <v:fill type="solid"/>
              </v:shape>
            </v:group>
            <v:group style="position:absolute;left:4116;top:1445;width:5094;height:2" coordorigin="4116,1445" coordsize="5094,2">
              <v:shape style="position:absolute;left:4116;top:1445;width:5094;height:2" coordorigin="4116,1445" coordsize="5094,0" path="m4116,1445l9210,1445e" filled="false" stroked="true" strokeweight=".48pt" strokecolor="#000000">
                <v:path arrowok="t"/>
              </v:shape>
            </v:group>
            <v:group style="position:absolute;left:9220;top:1445;width:558;height:2" coordorigin="9220,1445" coordsize="558,2">
              <v:shape style="position:absolute;left:9220;top:1445;width:558;height:2" coordorigin="9220,1445" coordsize="558,0" path="m9220,1445l9778,1445e" filled="false" stroked="true" strokeweight=".48pt" strokecolor="#000000">
                <v:path arrowok="t"/>
              </v:shape>
            </v:group>
            <v:group style="position:absolute;left:9787;top:1445;width:416;height:2" coordorigin="9787,1445" coordsize="416,2">
              <v:shape style="position:absolute;left:9787;top:1445;width:416;height:2" coordorigin="9787,1445" coordsize="416,0" path="m9787,1445l10202,1445e" filled="false" stroked="true" strokeweight=".48pt" strokecolor="#000000">
                <v:path arrowok="t"/>
              </v:shape>
            </v:group>
            <v:group style="position:absolute;left:10212;top:1445;width:486;height:2" coordorigin="10212,1445" coordsize="486,2">
              <v:shape style="position:absolute;left:10212;top:1445;width:486;height:2" coordorigin="10212,1445" coordsize="486,0" path="m10212,1445l10698,1445e" filled="false" stroked="true" strokeweight=".48pt" strokecolor="#000000">
                <v:path arrowok="t"/>
              </v:shape>
            </v:group>
            <v:group style="position:absolute;left:1139;top:5547;width:842;height:6019" coordorigin="1139,5547" coordsize="842,6019">
              <v:shape style="position:absolute;left:1139;top:5547;width:842;height:6019" coordorigin="1139,5547" coordsize="842,6019" path="m1139,11565l1980,11565,1980,5547,1139,5547,1139,11565xe" filled="true" fillcolor="#d2d2d2" stroked="false">
                <v:path arrowok="t"/>
                <v:fill type="solid"/>
              </v:shape>
            </v:group>
            <v:group style="position:absolute;left:1990;top:5552;width:1408;height:2" coordorigin="1990,5552" coordsize="1408,2">
              <v:shape style="position:absolute;left:1990;top:5552;width:1408;height:2" coordorigin="1990,5552" coordsize="1408,0" path="m1990,5552l3398,5552e" filled="false" stroked="true" strokeweight=".48pt" strokecolor="#000000">
                <v:path arrowok="t"/>
              </v:shape>
            </v:group>
            <v:group style="position:absolute;left:3407;top:5552;width:700;height:2" coordorigin="3407,5552" coordsize="700,2">
              <v:shape style="position:absolute;left:3407;top:5552;width:700;height:2" coordorigin="3407,5552" coordsize="700,0" path="m3407,5552l4107,5552e" filled="false" stroked="true" strokeweight=".48pt" strokecolor="#000000">
                <v:path arrowok="t"/>
              </v:shape>
            </v:group>
            <v:group style="position:absolute;left:4116;top:5552;width:5094;height:2" coordorigin="4116,5552" coordsize="5094,2">
              <v:shape style="position:absolute;left:4116;top:5552;width:5094;height:2" coordorigin="4116,5552" coordsize="5094,0" path="m4116,5552l9210,5552e" filled="false" stroked="true" strokeweight=".48pt" strokecolor="#000000">
                <v:path arrowok="t"/>
              </v:shape>
            </v:group>
            <v:group style="position:absolute;left:9220;top:5552;width:558;height:2" coordorigin="9220,5552" coordsize="558,2">
              <v:shape style="position:absolute;left:9220;top:5552;width:558;height:2" coordorigin="9220,5552" coordsize="558,0" path="m9220,5552l9778,5552e" filled="false" stroked="true" strokeweight=".48pt" strokecolor="#000000">
                <v:path arrowok="t"/>
              </v:shape>
            </v:group>
            <v:group style="position:absolute;left:9787;top:5552;width:416;height:2" coordorigin="9787,5552" coordsize="416,2">
              <v:shape style="position:absolute;left:9787;top:5552;width:416;height:2" coordorigin="9787,5552" coordsize="416,0" path="m9787,5552l10202,5552e" filled="false" stroked="true" strokeweight=".48pt" strokecolor="#000000">
                <v:path arrowok="t"/>
              </v:shape>
            </v:group>
            <v:group style="position:absolute;left:10212;top:5552;width:486;height:2" coordorigin="10212,5552" coordsize="486,2">
              <v:shape style="position:absolute;left:10212;top:5552;width:486;height:2" coordorigin="10212,5552" coordsize="486,0" path="m10212,5552l10698,5552e" filled="false" stroked="true" strokeweight=".48pt" strokecolor="#000000">
                <v:path arrowok="t"/>
              </v:shape>
            </v:group>
            <v:group style="position:absolute;left:1139;top:11565;width:842;height:1338" coordorigin="1139,11565" coordsize="842,1338">
              <v:shape style="position:absolute;left:1139;top:11565;width:842;height:1338" coordorigin="1139,11565" coordsize="842,1338" path="m1139,12903l1980,12903,1980,11565,1139,11565,1139,12903xe" filled="true" fillcolor="#d2d2d2" stroked="false">
                <v:path arrowok="t"/>
                <v:fill type="solid"/>
              </v:shape>
            </v:group>
            <v:group style="position:absolute;left:1990;top:11570;width:1408;height:2" coordorigin="1990,11570" coordsize="1408,2">
              <v:shape style="position:absolute;left:1990;top:11570;width:1408;height:2" coordorigin="1990,11570" coordsize="1408,0" path="m1990,11570l3398,11570e" filled="false" stroked="true" strokeweight=".48pt" strokecolor="#000000">
                <v:path arrowok="t"/>
              </v:shape>
            </v:group>
            <v:group style="position:absolute;left:3407;top:11570;width:700;height:2" coordorigin="3407,11570" coordsize="700,2">
              <v:shape style="position:absolute;left:3407;top:11570;width:700;height:2" coordorigin="3407,11570" coordsize="700,0" path="m3407,11570l4107,11570e" filled="false" stroked="true" strokeweight=".48pt" strokecolor="#000000">
                <v:path arrowok="t"/>
              </v:shape>
            </v:group>
            <v:group style="position:absolute;left:4116;top:11570;width:5094;height:2" coordorigin="4116,11570" coordsize="5094,2">
              <v:shape style="position:absolute;left:4116;top:11570;width:5094;height:2" coordorigin="4116,11570" coordsize="5094,0" path="m4116,11570l9210,11570e" filled="false" stroked="true" strokeweight=".48pt" strokecolor="#000000">
                <v:path arrowok="t"/>
              </v:shape>
            </v:group>
            <v:group style="position:absolute;left:9220;top:11570;width:558;height:2" coordorigin="9220,11570" coordsize="558,2">
              <v:shape style="position:absolute;left:9220;top:11570;width:558;height:2" coordorigin="9220,11570" coordsize="558,0" path="m9220,11570l9778,11570e" filled="false" stroked="true" strokeweight=".48pt" strokecolor="#000000">
                <v:path arrowok="t"/>
              </v:shape>
            </v:group>
            <v:group style="position:absolute;left:9787;top:11570;width:416;height:2" coordorigin="9787,11570" coordsize="416,2">
              <v:shape style="position:absolute;left:9787;top:11570;width:416;height:2" coordorigin="9787,11570" coordsize="416,0" path="m9787,11570l10202,11570e" filled="false" stroked="true" strokeweight=".48pt" strokecolor="#000000">
                <v:path arrowok="t"/>
              </v:shape>
            </v:group>
            <v:group style="position:absolute;left:10212;top:11570;width:486;height:2" coordorigin="10212,11570" coordsize="486,2">
              <v:shape style="position:absolute;left:10212;top:11570;width:486;height:2" coordorigin="10212,11570" coordsize="486,0" path="m10212,11570l10698,11570e" filled="false" stroked="true" strokeweight=".48pt" strokecolor="#000000">
                <v:path arrowok="t"/>
              </v:shape>
            </v:group>
            <v:group style="position:absolute;left:1139;top:12903;width:842;height:2234" coordorigin="1139,12903" coordsize="842,2234">
              <v:shape style="position:absolute;left:1139;top:12903;width:842;height:2234" coordorigin="1139,12903" coordsize="842,2234" path="m1139,15137l1980,15137,1980,12903,1139,12903,1139,15137xe" filled="true" fillcolor="#d2d2d2" stroked="false">
                <v:path arrowok="t"/>
                <v:fill type="solid"/>
              </v:shape>
            </v:group>
            <v:group style="position:absolute;left:9220;top:12913;width:558;height:448" coordorigin="9220,12913" coordsize="558,448">
              <v:shape style="position:absolute;left:9220;top:12913;width:558;height:448" coordorigin="9220,12913" coordsize="558,448" path="m9220,13360l9778,13360,9778,12913,9220,12913,9220,13360xe" filled="true" fillcolor="#ffffff" stroked="false">
                <v:path arrowok="t"/>
                <v:fill type="solid"/>
              </v:shape>
            </v:group>
            <v:group style="position:absolute;left:9232;top:13360;width:2;height:1329" coordorigin="9232,13360" coordsize="2,1329">
              <v:shape style="position:absolute;left:9232;top:13360;width:2;height:1329" coordorigin="9232,13360" coordsize="0,1329" path="m9232,13360l9232,14689e" filled="false" stroked="true" strokeweight="1.2pt" strokecolor="#ffffff">
                <v:path arrowok="t"/>
              </v:shape>
            </v:group>
            <v:group style="position:absolute;left:9244;top:13360;width:510;height:353" coordorigin="9244,13360" coordsize="510,353">
              <v:shape style="position:absolute;left:9244;top:13360;width:510;height:353" coordorigin="9244,13360" coordsize="510,353" path="m9244,13713l9754,13713,9754,13360,9244,13360,9244,13713xe" filled="true" fillcolor="#ffffff" stroked="false">
                <v:path arrowok="t"/>
                <v:fill type="solid"/>
              </v:shape>
            </v:group>
            <v:group style="position:absolute;left:9244;top:13713;width:510;height:313" coordorigin="9244,13713" coordsize="510,313">
              <v:shape style="position:absolute;left:9244;top:13713;width:510;height:313" coordorigin="9244,13713" coordsize="510,313" path="m9244,14026l9754,14026,9754,13713,9244,13713,9244,14026xe" filled="true" fillcolor="#ffffff" stroked="false">
                <v:path arrowok="t"/>
                <v:fill type="solid"/>
              </v:shape>
            </v:group>
            <v:group style="position:absolute;left:9244;top:14026;width:510;height:312" coordorigin="9244,14026" coordsize="510,312">
              <v:shape style="position:absolute;left:9244;top:14026;width:510;height:312" coordorigin="9244,14026" coordsize="510,312" path="m9244,14338l9754,14338,9754,14026,9244,14026,9244,14338xe" filled="true" fillcolor="#ffffff" stroked="false">
                <v:path arrowok="t"/>
                <v:fill type="solid"/>
              </v:shape>
            </v:group>
            <v:group style="position:absolute;left:1990;top:12908;width:1408;height:2" coordorigin="1990,12908" coordsize="1408,2">
              <v:shape style="position:absolute;left:1990;top:12908;width:1408;height:2" coordorigin="1990,12908" coordsize="1408,0" path="m1990,12908l3398,12908e" filled="false" stroked="true" strokeweight=".48pt" strokecolor="#000000">
                <v:path arrowok="t"/>
              </v:shape>
            </v:group>
            <v:group style="position:absolute;left:3407;top:12908;width:700;height:2" coordorigin="3407,12908" coordsize="700,2">
              <v:shape style="position:absolute;left:3407;top:12908;width:700;height:2" coordorigin="3407,12908" coordsize="700,0" path="m3407,12908l4107,12908e" filled="false" stroked="true" strokeweight=".48pt" strokecolor="#000000">
                <v:path arrowok="t"/>
              </v:shape>
            </v:group>
            <v:group style="position:absolute;left:4116;top:12908;width:5094;height:2" coordorigin="4116,12908" coordsize="5094,2">
              <v:shape style="position:absolute;left:4116;top:12908;width:5094;height:2" coordorigin="4116,12908" coordsize="5094,0" path="m4116,12908l9210,12908e" filled="false" stroked="true" strokeweight=".48pt" strokecolor="#000000">
                <v:path arrowok="t"/>
              </v:shape>
            </v:group>
            <v:group style="position:absolute;left:9220;top:12908;width:558;height:2" coordorigin="9220,12908" coordsize="558,2">
              <v:shape style="position:absolute;left:9220;top:12908;width:558;height:2" coordorigin="9220,12908" coordsize="558,0" path="m9220,12908l9778,12908e" filled="false" stroked="true" strokeweight=".48pt" strokecolor="#000000">
                <v:path arrowok="t"/>
              </v:shape>
            </v:group>
            <v:group style="position:absolute;left:9787;top:12908;width:416;height:2" coordorigin="9787,12908" coordsize="416,2">
              <v:shape style="position:absolute;left:9787;top:12908;width:416;height:2" coordorigin="9787,12908" coordsize="416,0" path="m9787,12908l10202,12908e" filled="false" stroked="true" strokeweight=".48pt" strokecolor="#000000">
                <v:path arrowok="t"/>
              </v:shape>
            </v:group>
            <v:group style="position:absolute;left:10212;top:12908;width:486;height:2" coordorigin="10212,12908" coordsize="486,2">
              <v:shape style="position:absolute;left:10212;top:12908;width:486;height:2" coordorigin="10212,12908" coordsize="486,0" path="m10212,12908l10698,12908e" filled="false" stroked="true" strokeweight=".48pt" strokecolor="#000000">
                <v:path arrowok="t"/>
              </v:shape>
            </v:group>
            <v:group style="position:absolute;left:1134;top:1440;width:2;height:13708" coordorigin="1134,1440" coordsize="2,13708">
              <v:shape style="position:absolute;left:1134;top:1440;width:2;height:13708" coordorigin="1134,1440" coordsize="0,13708" path="m1134,1440l1134,15148e" filled="false" stroked="true" strokeweight=".48pt" strokecolor="#000000">
                <v:path arrowok="t"/>
              </v:shape>
            </v:group>
            <v:group style="position:absolute;left:1139;top:15143;width:842;height:2" coordorigin="1139,15143" coordsize="842,2">
              <v:shape style="position:absolute;left:1139;top:15143;width:842;height:2" coordorigin="1139,15143" coordsize="842,0" path="m1139,15143l1980,15143e" filled="false" stroked="true" strokeweight=".48pt" strokecolor="#000000">
                <v:path arrowok="t"/>
              </v:shape>
            </v:group>
            <v:group style="position:absolute;left:1985;top:1440;width:2;height:13708" coordorigin="1985,1440" coordsize="2,13708">
              <v:shape style="position:absolute;left:1985;top:1440;width:2;height:13708" coordorigin="1985,1440" coordsize="0,13708" path="m1985,1440l1985,15148e" filled="false" stroked="true" strokeweight=".48pt" strokecolor="#000000">
                <v:path arrowok="t"/>
              </v:shape>
            </v:group>
            <v:group style="position:absolute;left:1990;top:15143;width:1408;height:2" coordorigin="1990,15143" coordsize="1408,2">
              <v:shape style="position:absolute;left:1990;top:15143;width:1408;height:2" coordorigin="1990,15143" coordsize="1408,0" path="m1990,15143l3398,15143e" filled="false" stroked="true" strokeweight=".48pt" strokecolor="#000000">
                <v:path arrowok="t"/>
              </v:shape>
            </v:group>
            <v:group style="position:absolute;left:3402;top:1440;width:2;height:13708" coordorigin="3402,1440" coordsize="2,13708">
              <v:shape style="position:absolute;left:3402;top:1440;width:2;height:13708" coordorigin="3402,1440" coordsize="0,13708" path="m3402,1440l3402,15148e" filled="false" stroked="true" strokeweight=".48pt" strokecolor="#000000">
                <v:path arrowok="t"/>
              </v:shape>
            </v:group>
            <v:group style="position:absolute;left:3407;top:15143;width:700;height:2" coordorigin="3407,15143" coordsize="700,2">
              <v:shape style="position:absolute;left:3407;top:15143;width:700;height:2" coordorigin="3407,15143" coordsize="700,0" path="m3407,15143l4107,15143e" filled="false" stroked="true" strokeweight=".48pt" strokecolor="#000000">
                <v:path arrowok="t"/>
              </v:shape>
            </v:group>
            <v:group style="position:absolute;left:4112;top:1440;width:2;height:13708" coordorigin="4112,1440" coordsize="2,13708">
              <v:shape style="position:absolute;left:4112;top:1440;width:2;height:13708" coordorigin="4112,1440" coordsize="0,13708" path="m4112,1440l4112,15148e" filled="false" stroked="true" strokeweight=".48pt" strokecolor="#000000">
                <v:path arrowok="t"/>
              </v:shape>
            </v:group>
            <v:group style="position:absolute;left:4116;top:15143;width:5094;height:2" coordorigin="4116,15143" coordsize="5094,2">
              <v:shape style="position:absolute;left:4116;top:15143;width:5094;height:2" coordorigin="4116,15143" coordsize="5094,0" path="m4116,15143l9210,15143e" filled="false" stroked="true" strokeweight=".48pt" strokecolor="#000000">
                <v:path arrowok="t"/>
              </v:shape>
            </v:group>
            <v:group style="position:absolute;left:9215;top:1440;width:2;height:13708" coordorigin="9215,1440" coordsize="2,13708">
              <v:shape style="position:absolute;left:9215;top:1440;width:2;height:13708" coordorigin="9215,1440" coordsize="0,13708" path="m9215,1440l9215,15148e" filled="false" stroked="true" strokeweight=".48pt" strokecolor="#000000">
                <v:path arrowok="t"/>
              </v:shape>
            </v:group>
            <v:group style="position:absolute;left:9220;top:15143;width:558;height:2" coordorigin="9220,15143" coordsize="558,2">
              <v:shape style="position:absolute;left:9220;top:15143;width:558;height:2" coordorigin="9220,15143" coordsize="558,0" path="m9220,15143l9778,15143e" filled="false" stroked="true" strokeweight=".48pt" strokecolor="#000000">
                <v:path arrowok="t"/>
              </v:shape>
            </v:group>
            <v:group style="position:absolute;left:9782;top:1440;width:2;height:13708" coordorigin="9782,1440" coordsize="2,13708">
              <v:shape style="position:absolute;left:9782;top:1440;width:2;height:13708" coordorigin="9782,1440" coordsize="0,13708" path="m9782,1440l9782,15148e" filled="false" stroked="true" strokeweight=".48pt" strokecolor="#000000">
                <v:path arrowok="t"/>
              </v:shape>
            </v:group>
            <v:group style="position:absolute;left:9787;top:15143;width:416;height:2" coordorigin="9787,15143" coordsize="416,2">
              <v:shape style="position:absolute;left:9787;top:15143;width:416;height:2" coordorigin="9787,15143" coordsize="416,0" path="m9787,15143l10202,15143e" filled="false" stroked="true" strokeweight=".48pt" strokecolor="#000000">
                <v:path arrowok="t"/>
              </v:shape>
            </v:group>
            <v:group style="position:absolute;left:10207;top:1440;width:2;height:13708" coordorigin="10207,1440" coordsize="2,13708">
              <v:shape style="position:absolute;left:10207;top:1440;width:2;height:13708" coordorigin="10207,1440" coordsize="0,13708" path="m10207,1440l10207,15148e" filled="false" stroked="true" strokeweight=".48pt" strokecolor="#000000">
                <v:path arrowok="t"/>
              </v:shape>
            </v:group>
            <v:group style="position:absolute;left:10212;top:15143;width:486;height:2" coordorigin="10212,15143" coordsize="486,2">
              <v:shape style="position:absolute;left:10212;top:15143;width:486;height:2" coordorigin="10212,15143" coordsize="486,0" path="m10212,15143l10698,15143e" filled="false" stroked="true" strokeweight=".48pt" strokecolor="#000000">
                <v:path arrowok="t"/>
              </v:shape>
            </v:group>
            <v:group style="position:absolute;left:10703;top:1440;width:2;height:13708" coordorigin="10703,1440" coordsize="2,13708">
              <v:shape style="position:absolute;left:10703;top:1440;width:2;height:13708" coordorigin="10703,1440" coordsize="0,13708" path="m10703,1440l10703,15148e" filled="false" stroked="true" strokeweight=".48pt" strokecolor="#000000">
                <v:path arrowok="t"/>
              </v:shape>
            </v:group>
            <w10:wrap type="none"/>
          </v:group>
        </w:pict>
      </w:r>
      <w:r>
        <w:rPr>
          <w:rFonts w:ascii="宋体" w:hAnsi="宋体" w:cs="宋体" w:eastAsia="宋体" w:hint="default"/>
          <w:sz w:val="18"/>
          <w:szCs w:val="18"/>
        </w:rPr>
        <w:t>日</w:t>
      </w:r>
    </w:p>
    <w:p>
      <w:pPr>
        <w:spacing w:line="205" w:lineRule="exact" w:before="0"/>
        <w:ind w:left="4139" w:right="0" w:firstLine="0"/>
        <w:jc w:val="left"/>
        <w:rPr>
          <w:rFonts w:ascii="宋体" w:hAnsi="宋体" w:cs="宋体" w:eastAsia="宋体" w:hint="default"/>
          <w:sz w:val="18"/>
          <w:szCs w:val="18"/>
        </w:rPr>
      </w:pPr>
      <w:r>
        <w:rPr>
          <w:rFonts w:ascii="宋体" w:hAnsi="宋体" w:cs="宋体" w:eastAsia="宋体" w:hint="default"/>
          <w:sz w:val="18"/>
          <w:szCs w:val="18"/>
        </w:rPr>
        <w:t>开发行前所持有的发行人股份在锁定期满后两年内减持的，转让</w:t>
      </w:r>
    </w:p>
    <w:p>
      <w:pPr>
        <w:spacing w:before="76"/>
        <w:ind w:left="4139" w:right="0" w:firstLine="0"/>
        <w:jc w:val="left"/>
        <w:rPr>
          <w:rFonts w:ascii="宋体" w:hAnsi="宋体" w:cs="宋体" w:eastAsia="宋体" w:hint="default"/>
          <w:sz w:val="18"/>
          <w:szCs w:val="18"/>
        </w:rPr>
      </w:pPr>
      <w:r>
        <w:rPr>
          <w:rFonts w:ascii="宋体" w:hAnsi="宋体" w:cs="宋体" w:eastAsia="宋体" w:hint="default"/>
          <w:spacing w:val="-3"/>
          <w:sz w:val="18"/>
          <w:szCs w:val="18"/>
        </w:rPr>
        <w:t>价格不低于首次公开发行股票之时的发行价。</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、持有的公司股票</w:t>
      </w:r>
    </w:p>
    <w:p>
      <w:pPr>
        <w:spacing w:after="0"/>
        <w:jc w:val="left"/>
        <w:rPr>
          <w:rFonts w:ascii="宋体" w:hAnsi="宋体" w:cs="宋体" w:eastAsia="宋体" w:hint="default"/>
          <w:sz w:val="18"/>
          <w:szCs w:val="18"/>
        </w:rPr>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851"/>
        <w:gridCol w:w="1417"/>
        <w:gridCol w:w="709"/>
        <w:gridCol w:w="5103"/>
        <w:gridCol w:w="568"/>
        <w:gridCol w:w="425"/>
        <w:gridCol w:w="498"/>
      </w:tblGrid>
      <w:tr>
        <w:trPr>
          <w:trHeight w:val="1923" w:hRule="exact"/>
        </w:trPr>
        <w:tc>
          <w:tcPr>
            <w:tcW w:w="851"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锁定期届满后两年内合计减持不超过持有公司首次公开发行时的 股份总数的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、在减持发行人股份前，应提前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个交易日 予以公告，并按照深圳证券交易所的规则及时、准确、完整地履 </w:t>
            </w:r>
            <w:r>
              <w:rPr>
                <w:rFonts w:ascii="宋体" w:hAnsi="宋体" w:cs="宋体" w:eastAsia="宋体" w:hint="default"/>
                <w:spacing w:val="-3"/>
                <w:sz w:val="18"/>
                <w:szCs w:val="18"/>
              </w:rPr>
              <w:t>行信息披露义务。</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、在上述承诺履行期间，陈晓华职务变更、离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职等原因不影响减持意向承诺的效力，在此期间仍将继续履行上 述承诺。</w:t>
            </w:r>
            <w:r>
              <w:rPr>
                <w:rFonts w:ascii="Times New Roman" w:hAnsi="Times New Roman" w:cs="Times New Roman" w:eastAsia="Times New Roman" w:hint="default"/>
                <w:sz w:val="18"/>
                <w:szCs w:val="18"/>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851"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赵鸿飞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股份减 持承诺</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就所持有公司股票的减持意向承诺如下：</w:t>
            </w:r>
            <w:r>
              <w:rPr>
                <w:rFonts w:ascii="Times New Roman" w:hAnsi="Times New Roman" w:cs="Times New Roman" w:eastAsia="Times New Roman" w:hint="default"/>
                <w:sz w:val="18"/>
                <w:szCs w:val="18"/>
              </w:rPr>
              <w:t>1</w:t>
            </w:r>
            <w:r>
              <w:rPr>
                <w:rFonts w:ascii="宋体" w:hAnsi="宋体" w:cs="宋体" w:eastAsia="宋体" w:hint="default"/>
                <w:sz w:val="18"/>
                <w:szCs w:val="18"/>
              </w:rPr>
              <w:t>、作为发行人的控股 股东，在上述锁定期满后，在不影响控股股东地位的前提下，可 根据需要以集中竞价交易、大宗交易或其他合法的方式适当转让 部分发行人股票。在上述锁定期满后二十四个月内，如拟转让持 有的发行人股票，则每十二个月转让数量不超过赵鸿飞所持发行 人股票数量的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，且转让价格（如果因派发现金红利、送股、 转增股本、增发新股等原因进行除权、除息的，须按照深圳证券 交易所的有关规定作复权处理，下同）不低于发行价。在减持所 持有的发行人股份前，应提前三个交易日予以公告，并在六个月 内完成，并按照深圳证券交易所的规则及时、准确、完整地履行 信息披露义务。 </w:t>
            </w:r>
            <w:r>
              <w:rPr>
                <w:rFonts w:ascii="Times New Roman" w:hAnsi="Times New Roman" w:cs="Times New Roman" w:eastAsia="Times New Roman" w:hint="default"/>
                <w:sz w:val="18"/>
                <w:szCs w:val="18"/>
              </w:rPr>
              <w:t>2</w:t>
            </w:r>
            <w:r>
              <w:rPr>
                <w:rFonts w:ascii="宋体" w:hAnsi="宋体" w:cs="宋体" w:eastAsia="宋体" w:hint="default"/>
                <w:sz w:val="18"/>
                <w:szCs w:val="18"/>
              </w:rPr>
              <w:t>、作为发行人的控股股东，按照法律法规及监 管要求，持有发行人的股票，并严格履行发行人首次公开发行股 </w:t>
            </w:r>
            <w:r>
              <w:rPr>
                <w:rFonts w:ascii="宋体" w:hAnsi="宋体" w:cs="宋体" w:eastAsia="宋体" w:hint="default"/>
                <w:spacing w:val="-3"/>
                <w:sz w:val="18"/>
                <w:szCs w:val="18"/>
              </w:rPr>
              <w:t>票招股说明书披露的股票锁定承诺。</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、在上述承诺履行期间，职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务变更、离职等原因不影响锁定期限承诺第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项和减持意向承诺 的效力，在此期间仍将继续履行上述承诺。</w:t>
            </w:r>
            <w:r>
              <w:rPr>
                <w:rFonts w:ascii="Times New Roman" w:hAnsi="Times New Roman" w:cs="Times New Roman" w:eastAsia="Times New Roman" w:hint="default"/>
                <w:sz w:val="18"/>
                <w:szCs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103"/>
              <w:jc w:val="left"/>
              <w:rPr>
                <w:rFonts w:ascii="宋体" w:hAnsi="宋体" w:cs="宋体" w:eastAsia="宋体" w:hint="default"/>
                <w:sz w:val="18"/>
                <w:szCs w:val="18"/>
              </w:rPr>
            </w:pPr>
            <w:r>
              <w:rPr>
                <w:rFonts w:ascii="宋体" w:hAnsi="宋体" w:cs="宋体" w:eastAsia="宋体" w:hint="default"/>
                <w:sz w:val="18"/>
                <w:szCs w:val="18"/>
              </w:rPr>
              <w:t>正在 履行</w:t>
            </w:r>
          </w:p>
        </w:tc>
      </w:tr>
      <w:tr>
        <w:trPr>
          <w:trHeight w:val="7227"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赵鸿飞</w:t>
            </w:r>
          </w:p>
        </w:tc>
        <w:tc>
          <w:tcPr>
            <w:tcW w:w="70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22" w:right="-55"/>
              <w:jc w:val="left"/>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17"/>
                <w:sz w:val="18"/>
                <w:szCs w:val="18"/>
              </w:rPr>
              <w:t>易、资金</w:t>
            </w:r>
            <w:r>
              <w:rPr>
                <w:rFonts w:ascii="宋体" w:hAnsi="宋体" w:cs="宋体" w:eastAsia="宋体" w:hint="default"/>
                <w:sz w:val="18"/>
                <w:szCs w:val="18"/>
              </w:rPr>
              <w:t> 占用方 面的承</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5103" w:type="dxa"/>
            <w:tcBorders>
              <w:top w:val="single" w:sz="4" w:space="0" w:color="000000"/>
              <w:left w:val="single" w:sz="13" w:space="0" w:color="FFFFFF"/>
              <w:bottom w:val="single" w:sz="4" w:space="0" w:color="000000"/>
              <w:right w:val="single" w:sz="4" w:space="0" w:color="000000"/>
            </w:tcBorders>
          </w:tcPr>
          <w:p>
            <w:pPr>
              <w:pStyle w:val="TableParagraph"/>
              <w:spacing w:line="300" w:lineRule="auto" w:before="51"/>
              <w:ind w:left="11" w:right="2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为避免因同业竞争损害公司及其他股东的利益，公司控股股东和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w w:val="100"/>
                <w:sz w:val="18"/>
                <w:szCs w:val="18"/>
              </w:rPr>
              <w:t>实际控制人赵鸿飞出具《避免同业竞争承诺函》（以下简称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承诺</w:t>
            </w:r>
            <w:r>
              <w:rPr>
                <w:rFonts w:ascii="宋体" w:hAnsi="宋体" w:cs="宋体" w:eastAsia="宋体" w:hint="default"/>
                <w:spacing w:val="-66"/>
                <w:w w:val="100"/>
                <w:sz w:val="18"/>
                <w:szCs w:val="18"/>
              </w:rPr>
              <w:t> </w:t>
            </w:r>
            <w:r>
              <w:rPr>
                <w:rFonts w:ascii="宋体" w:hAnsi="宋体" w:cs="宋体" w:eastAsia="宋体" w:hint="default"/>
                <w:spacing w:val="-3"/>
                <w:sz w:val="18"/>
                <w:szCs w:val="18"/>
              </w:rPr>
              <w:t>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）承诺：除公司及其子公司、启元合创（现已注销）外，本人</w:t>
            </w:r>
          </w:p>
          <w:p>
            <w:pPr>
              <w:pStyle w:val="TableParagraph"/>
              <w:spacing w:line="316" w:lineRule="auto" w:before="13"/>
              <w:ind w:left="11" w:right="21"/>
              <w:jc w:val="both"/>
              <w:rPr>
                <w:rFonts w:ascii="宋体" w:hAnsi="宋体" w:cs="宋体" w:eastAsia="宋体" w:hint="default"/>
                <w:sz w:val="18"/>
                <w:szCs w:val="18"/>
              </w:rPr>
            </w:pPr>
            <w:r>
              <w:rPr>
                <w:rFonts w:ascii="宋体" w:hAnsi="宋体" w:cs="宋体" w:eastAsia="宋体" w:hint="default"/>
                <w:sz w:val="18"/>
                <w:szCs w:val="18"/>
              </w:rPr>
              <w:t>（包括近亲属）没有其他直接或间接控制的企业，本人目前不存 在自营、与他人共同经营或为他人经营与公司及其子公司相同、 相似业务的情形，与公司及其子公司之间不存在同业竞争；在本 人直接或间接持有公司股份期间，本人及本人所控制的其他企业 将不采取参股、控股、联营、合营、合作或者其他任何方式直接 或间接从事与公司及其子公司业务范围相同、相似或构成实质竞 争的业务，如本人或本人所控制的其他企业获得的商业机会与公 司及其子公司主营业务发生同业竞争或可能发生同业竞争的，本 人将立即通知公司，尽力将该商业机会给予公司，以确保公司及 其全体股东利益不受损害；如本人违反上述承诺，则因此而取得 的相关收益将全部归公司所有，如因此给公司及其他股东造成损 失的，本人将及时、足额赔偿公司及其他股东因此遭受的全部损 失。公司控股股东和实际控制人赵鸿飞出具《减少关联交易的承 </w:t>
            </w:r>
            <w:r>
              <w:rPr>
                <w:rFonts w:ascii="宋体" w:hAnsi="宋体" w:cs="宋体" w:eastAsia="宋体" w:hint="default"/>
                <w:spacing w:val="-6"/>
                <w:sz w:val="18"/>
                <w:szCs w:val="18"/>
              </w:rPr>
              <w:t>诺函》，承诺：如果本公司因最近三年的关联交易事项、关联方资</w:t>
            </w:r>
            <w:r>
              <w:rPr>
                <w:rFonts w:ascii="宋体" w:hAnsi="宋体" w:cs="宋体" w:eastAsia="宋体" w:hint="default"/>
                <w:sz w:val="18"/>
                <w:szCs w:val="18"/>
              </w:rPr>
              <w:t> 金占用事项而受到任何处罚、产生任何纠纷或者遭受任何经济损 失，赵鸿飞将承担全部责任，以确保本公司及其公众股东不致因 此而遭受损失。赵鸿飞将善意履行作为本公司大股东、实际控制 人的义务，不利用本人所处实际控制人地位，就本公司与赵鸿飞 或赵鸿飞控制的其他企业相关的任何关联交易采取任何行动，故 意促使本公司的股东大会或董事会作出侵犯本公司和其他股东合</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7"/>
              <w:jc w:val="center"/>
              <w:rPr>
                <w:rFonts w:ascii="宋体" w:hAnsi="宋体" w:cs="宋体" w:eastAsia="宋体" w:hint="default"/>
                <w:sz w:val="18"/>
                <w:szCs w:val="18"/>
              </w:rPr>
            </w:pPr>
            <w:r>
              <w:rPr>
                <w:rFonts w:ascii="宋体" w:hAnsi="宋体" w:cs="宋体" w:eastAsia="宋体" w:hint="default"/>
                <w:sz w:val="18"/>
                <w:szCs w:val="18"/>
              </w:rPr>
              <w:t>长期</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2" w:right="103"/>
              <w:jc w:val="left"/>
              <w:rPr>
                <w:rFonts w:ascii="宋体" w:hAnsi="宋体" w:cs="宋体" w:eastAsia="宋体" w:hint="default"/>
                <w:sz w:val="18"/>
                <w:szCs w:val="18"/>
              </w:rPr>
            </w:pPr>
            <w:r>
              <w:rPr>
                <w:rFonts w:ascii="宋体" w:hAnsi="宋体" w:cs="宋体" w:eastAsia="宋体" w:hint="default"/>
                <w:sz w:val="18"/>
                <w:szCs w:val="18"/>
              </w:rPr>
              <w:t>正在 履行</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462.179993pt;margin-top:496.23999pt;width:25.5pt;height:17.6pt;mso-position-horizontal-relative:page;mso-position-vertical-relative:page;z-index:-925720" coordorigin="9244,9925" coordsize="510,352">
            <v:shape style="position:absolute;left:9244;top:9925;width:510;height:352" coordorigin="9244,9925" coordsize="510,352" path="m9244,10276l9754,10276,9754,9925,9244,9925,9244,1027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851"/>
        <w:gridCol w:w="1417"/>
        <w:gridCol w:w="709"/>
        <w:gridCol w:w="5103"/>
        <w:gridCol w:w="568"/>
        <w:gridCol w:w="425"/>
        <w:gridCol w:w="496"/>
      </w:tblGrid>
      <w:tr>
        <w:trPr>
          <w:trHeight w:val="6915" w:hRule="exact"/>
        </w:trPr>
        <w:tc>
          <w:tcPr>
            <w:tcW w:w="851"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法权益的决议。如果本公司必须与赵鸿飞或赵鸿飞控制的其他企 业发生任何关联交易，则赵鸿飞承诺将严格遵守本公司公司章程 及其他规定，依法履行审批程序。如赵鸿飞或赵鸿飞控制的其他 企业违反上述承诺并造成本公司经济损失的，赵鸿飞同意赔偿相 应损失。公司控股股东和实际控制人赵鸿飞出具《减少关联交易 </w:t>
            </w:r>
            <w:r>
              <w:rPr>
                <w:rFonts w:ascii="宋体" w:hAnsi="宋体" w:cs="宋体" w:eastAsia="宋体" w:hint="default"/>
                <w:spacing w:val="-6"/>
                <w:sz w:val="18"/>
                <w:szCs w:val="18"/>
              </w:rPr>
              <w:t>的承诺函》，承诺：如果本公司因最近三年的关联交易事项、关联</w:t>
            </w:r>
            <w:r>
              <w:rPr>
                <w:rFonts w:ascii="宋体" w:hAnsi="宋体" w:cs="宋体" w:eastAsia="宋体" w:hint="default"/>
                <w:sz w:val="18"/>
                <w:szCs w:val="18"/>
              </w:rPr>
              <w:t> 方资金占用事项而受到任何处罚、产生任何纠纷或者遭受任何经 济损失，赵鸿飞将承担全部责任，以确保本公司及其公众股东不 致因此而遭受损失。赵鸿飞将善意履行作为本公司大股东、实际 控制人的义务，不利用本人所处实际控制人地位，就本公司与赵 鸿飞或赵鸿飞控制的其他企业相关的任何关联交易采取任何行 动，故意促使本公司的股东大会或董事会作出侵犯本公司和其他 股东合法权益的决议。如果本公司必须与赵鸿飞或赵鸿飞控制的 其他企业发生任何关联交易，则赵鸿飞承诺将严格遵守本公司公 司章程及其他规定，依法履行审批程序。如赵鸿飞或赵鸿飞控制 的其他企业违反上述承诺并造成本公司经济损失的，赵鸿飞同意 赔偿相应损失。公司控股股东和实际控制人赵鸿飞已出具防止资 金占用的承诺函，承诺赵鸿飞及赵鸿飞直接或间接控制的所有企 业（如有）将不以代垫费用或其他支出、直接或间接借款、代偿 债务等任何方式占用本公司及其子公司的资金，且将严格遵守中 国证监会关于上市公司法人治理的有关规定，避免与本公司发生 与正常生产经营无关的资金往来行为。</w:t>
            </w:r>
            <w:r>
              <w:rPr>
                <w:rFonts w:ascii="Times New Roman" w:hAnsi="Times New Roman" w:cs="Times New Roman" w:eastAsia="Times New Roman" w:hint="default"/>
                <w:sz w:val="18"/>
                <w:szCs w:val="18"/>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851"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越超有限公司</w:t>
            </w:r>
          </w:p>
        </w:tc>
        <w:tc>
          <w:tcPr>
            <w:tcW w:w="70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0"/>
              <w:jc w:val="left"/>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17"/>
                <w:sz w:val="18"/>
                <w:szCs w:val="18"/>
              </w:rPr>
              <w:t>易、资金</w:t>
            </w:r>
            <w:r>
              <w:rPr>
                <w:rFonts w:ascii="宋体" w:hAnsi="宋体" w:cs="宋体" w:eastAsia="宋体" w:hint="default"/>
                <w:sz w:val="18"/>
                <w:szCs w:val="18"/>
              </w:rPr>
              <w:t> 占用方 面的承 诺</w:t>
            </w:r>
          </w:p>
        </w:tc>
        <w:tc>
          <w:tcPr>
            <w:tcW w:w="5103" w:type="dxa"/>
            <w:tcBorders>
              <w:top w:val="single" w:sz="4" w:space="0" w:color="000000"/>
              <w:left w:val="single" w:sz="13" w:space="0" w:color="FFFFFF"/>
              <w:bottom w:val="single" w:sz="4" w:space="0" w:color="000000"/>
              <w:right w:val="single" w:sz="13" w:space="0" w:color="FFFFFF"/>
            </w:tcBorders>
          </w:tcPr>
          <w:p>
            <w:pPr>
              <w:pStyle w:val="TableParagraph"/>
              <w:spacing w:line="304" w:lineRule="auto" w:before="51"/>
              <w:ind w:left="11"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此外，持有公司股份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以上的股东越超公司出具承诺，承诺目 前未开展智能手机、平板电脑、电视等终端设备软件开发与服务 业务，将来截至越超公司在本公司持股</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以上的期间：（</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）控</w:t>
            </w:r>
            <w:r>
              <w:rPr>
                <w:rFonts w:ascii="宋体" w:hAnsi="宋体" w:cs="宋体" w:eastAsia="宋体" w:hint="default"/>
                <w:spacing w:val="-86"/>
                <w:sz w:val="18"/>
                <w:szCs w:val="18"/>
              </w:rPr>
              <w:t> </w:t>
            </w:r>
            <w:r>
              <w:rPr>
                <w:rFonts w:ascii="宋体" w:hAnsi="宋体" w:cs="宋体" w:eastAsia="宋体" w:hint="default"/>
                <w:sz w:val="18"/>
                <w:szCs w:val="18"/>
              </w:rPr>
              <w:t>制的企业不以任何方式参与任何与本公司主营业务构成同业竞争</w:t>
            </w:r>
          </w:p>
          <w:p>
            <w:pPr>
              <w:pStyle w:val="TableParagraph"/>
              <w:spacing w:line="203" w:lineRule="exact" w:before="28"/>
              <w:ind w:left="11" w:right="0"/>
              <w:jc w:val="left"/>
              <w:rPr>
                <w:rFonts w:ascii="宋体" w:hAnsi="宋体" w:cs="宋体" w:eastAsia="宋体" w:hint="default"/>
                <w:sz w:val="18"/>
                <w:szCs w:val="18"/>
              </w:rPr>
            </w:pPr>
            <w:r>
              <w:rPr>
                <w:rFonts w:ascii="宋体" w:hAnsi="宋体" w:cs="宋体" w:eastAsia="宋体" w:hint="default"/>
                <w:sz w:val="18"/>
                <w:szCs w:val="18"/>
              </w:rPr>
              <w:t>的业务或活动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）如所控制的企业获得的商业机会与本公司主</w:t>
            </w:r>
          </w:p>
          <w:p>
            <w:pPr>
              <w:pStyle w:val="TableParagraph"/>
              <w:spacing w:line="149" w:lineRule="exact"/>
              <w:ind w:left="-15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46"/>
              <w:jc w:val="left"/>
              <w:rPr>
                <w:rFonts w:ascii="宋体" w:hAnsi="宋体" w:cs="宋体" w:eastAsia="宋体" w:hint="default"/>
                <w:sz w:val="18"/>
                <w:szCs w:val="18"/>
              </w:rPr>
            </w:pPr>
            <w:r>
              <w:rPr>
                <w:rFonts w:ascii="宋体" w:hAnsi="宋体" w:cs="宋体" w:eastAsia="宋体" w:hint="default"/>
                <w:sz w:val="18"/>
                <w:szCs w:val="18"/>
              </w:rPr>
              <w:t>营业务发生同业竞争或可能发生同业竞争的</w:t>
            </w:r>
            <w:r>
              <w:rPr>
                <w:rFonts w:ascii="宋体" w:hAnsi="宋体" w:cs="宋体" w:eastAsia="宋体" w:hint="default"/>
                <w:spacing w:val="-83"/>
                <w:sz w:val="18"/>
                <w:szCs w:val="18"/>
              </w:rPr>
              <w:t>，</w:t>
            </w:r>
            <w:r>
              <w:rPr>
                <w:rFonts w:ascii="宋体" w:hAnsi="宋体" w:cs="宋体" w:eastAsia="宋体" w:hint="default"/>
                <w:sz w:val="18"/>
                <w:szCs w:val="18"/>
              </w:rPr>
              <w:t>将立即通知本公司</w:t>
            </w:r>
            <w:r>
              <w:rPr>
                <w:rFonts w:ascii="宋体" w:hAnsi="宋体" w:cs="宋体" w:eastAsia="宋体" w:hint="default"/>
                <w:spacing w:val="-33"/>
                <w:sz w:val="18"/>
                <w:szCs w:val="18"/>
              </w:rPr>
              <w:t>，</w:t>
            </w:r>
            <w:r>
              <w:rPr>
                <w:rFonts w:ascii="宋体" w:hAnsi="宋体" w:cs="宋体" w:eastAsia="宋体" w:hint="default"/>
                <w:sz w:val="18"/>
                <w:szCs w:val="18"/>
              </w:rPr>
            </w:r>
          </w:p>
          <w:p>
            <w:pPr>
              <w:pStyle w:val="TableParagraph"/>
              <w:spacing w:line="314" w:lineRule="auto" w:before="76"/>
              <w:ind w:left="11" w:right="16"/>
              <w:jc w:val="left"/>
              <w:rPr>
                <w:rFonts w:ascii="Times New Roman" w:hAnsi="Times New Roman" w:cs="Times New Roman" w:eastAsia="Times New Roman" w:hint="default"/>
                <w:sz w:val="18"/>
                <w:szCs w:val="18"/>
              </w:rPr>
            </w:pPr>
            <w:r>
              <w:rPr>
                <w:rFonts w:ascii="宋体" w:hAnsi="宋体" w:cs="宋体" w:eastAsia="宋体" w:hint="default"/>
                <w:sz w:val="18"/>
                <w:szCs w:val="18"/>
              </w:rPr>
              <w:t>尽力将该商业机会给予本公司，以确保本公司及其其他股东利益 不受损害。此外，持有公司股份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以上的股东越超公司、大洋 中科、陈晓华分别出具承诺，承诺将善意履行作为公司股东的义 务，不利用所处股东地位，就本公司与其相关的任何关联交易采 取任何行动，故意促使本公司的股东大会或董事会作出侵犯本公 司和其他股东合法权益的决议；如果本公司必须与其发生任何关 联交易，则承诺将严格遵守本公司公司章程及其他规定，依法履 行审批程序。</w:t>
            </w:r>
            <w:r>
              <w:rPr>
                <w:rFonts w:ascii="Times New Roman" w:hAnsi="Times New Roman" w:cs="Times New Roman" w:eastAsia="Times New Roman" w:hint="default"/>
                <w:sz w:val="18"/>
                <w:szCs w:val="18"/>
              </w:rPr>
              <w:t>"</w:t>
            </w:r>
          </w:p>
        </w:tc>
        <w:tc>
          <w:tcPr>
            <w:tcW w:w="56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长期</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正在 履行</w:t>
            </w:r>
          </w:p>
        </w:tc>
      </w:tr>
      <w:tr>
        <w:trPr>
          <w:trHeight w:val="2547"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39"/>
              <w:ind w:left="22" w:right="72"/>
              <w:jc w:val="left"/>
              <w:rPr>
                <w:rFonts w:ascii="宋体" w:hAnsi="宋体" w:cs="宋体" w:eastAsia="宋体" w:hint="default"/>
                <w:sz w:val="18"/>
                <w:szCs w:val="18"/>
              </w:rPr>
            </w:pPr>
            <w:r>
              <w:rPr>
                <w:rFonts w:ascii="宋体" w:hAnsi="宋体" w:cs="宋体" w:eastAsia="宋体" w:hint="default"/>
                <w:sz w:val="18"/>
                <w:szCs w:val="18"/>
              </w:rPr>
              <w:t>大洋中科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株 式会社</w:t>
            </w:r>
            <w:r>
              <w:rPr>
                <w:rFonts w:ascii="Times New Roman" w:hAnsi="Times New Roman" w:cs="Times New Roman" w:eastAsia="Times New Roman" w:hint="default"/>
                <w:sz w:val="18"/>
                <w:szCs w:val="18"/>
              </w:rPr>
              <w:t>;</w:t>
            </w:r>
            <w:r>
              <w:rPr>
                <w:rFonts w:ascii="宋体" w:hAnsi="宋体" w:cs="宋体" w:eastAsia="宋体" w:hint="default"/>
                <w:sz w:val="18"/>
                <w:szCs w:val="18"/>
              </w:rPr>
              <w:t>陈晓华</w:t>
            </w:r>
          </w:p>
        </w:tc>
        <w:tc>
          <w:tcPr>
            <w:tcW w:w="70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0"/>
              <w:jc w:val="left"/>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17"/>
                <w:sz w:val="18"/>
                <w:szCs w:val="18"/>
              </w:rPr>
              <w:t>易、资金</w:t>
            </w:r>
            <w:r>
              <w:rPr>
                <w:rFonts w:ascii="宋体" w:hAnsi="宋体" w:cs="宋体" w:eastAsia="宋体" w:hint="default"/>
                <w:sz w:val="18"/>
                <w:szCs w:val="18"/>
              </w:rPr>
              <w:t> 占用方 面的承 诺</w:t>
            </w:r>
          </w:p>
        </w:tc>
        <w:tc>
          <w:tcPr>
            <w:tcW w:w="5103" w:type="dxa"/>
            <w:tcBorders>
              <w:top w:val="single" w:sz="4" w:space="0" w:color="000000"/>
              <w:left w:val="single" w:sz="13" w:space="0" w:color="FFFFFF"/>
              <w:bottom w:val="single" w:sz="4" w:space="0" w:color="000000"/>
              <w:right w:val="single" w:sz="4" w:space="0" w:color="000000"/>
            </w:tcBorders>
          </w:tcPr>
          <w:p>
            <w:pPr>
              <w:pStyle w:val="TableParagraph"/>
              <w:spacing w:line="290" w:lineRule="atLeast" w:before="10"/>
              <w:ind w:left="11"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其他持有公司股份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以上的股东大洋中科、陈晓华分别出具书 面承诺，承诺目前未开展智能手机、平板电脑、电视等终端设备</w:t>
            </w:r>
          </w:p>
          <w:p>
            <w:pPr>
              <w:pStyle w:val="TableParagraph"/>
              <w:spacing w:line="107" w:lineRule="exact"/>
              <w:ind w:left="-15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软件开发与服务业务，将来也不以任何方式（包括但不限于单独</w:t>
            </w:r>
          </w:p>
          <w:p>
            <w:pPr>
              <w:pStyle w:val="TableParagraph"/>
              <w:spacing w:line="314" w:lineRule="auto" w:before="77"/>
              <w:ind w:left="11" w:right="28"/>
              <w:jc w:val="left"/>
              <w:rPr>
                <w:rFonts w:ascii="宋体" w:hAnsi="宋体" w:cs="宋体" w:eastAsia="宋体" w:hint="default"/>
                <w:sz w:val="18"/>
                <w:szCs w:val="18"/>
              </w:rPr>
            </w:pPr>
            <w:r>
              <w:rPr>
                <w:rFonts w:ascii="宋体" w:hAnsi="宋体" w:cs="宋体" w:eastAsia="宋体" w:hint="default"/>
                <w:sz w:val="18"/>
                <w:szCs w:val="18"/>
              </w:rPr>
              <w:t>经营、通过合资经营或拥有另一公司或企业的股份及其他权益） 直接或间接参与任何与本公司主营业务构成同业竞争的业务或活 动。此外，持有公司股份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以上的股东越超公司、大洋中科、 陈晓华分别出具承诺，承诺将善意履行作为公司股东的义务，不 利用所处股东地位，就本公司与其相关的任何关联交易采取任何</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长期</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01"/>
              <w:jc w:val="left"/>
              <w:rPr>
                <w:rFonts w:ascii="宋体" w:hAnsi="宋体" w:cs="宋体" w:eastAsia="宋体" w:hint="default"/>
                <w:sz w:val="18"/>
                <w:szCs w:val="18"/>
              </w:rPr>
            </w:pPr>
            <w:r>
              <w:rPr>
                <w:rFonts w:ascii="宋体" w:hAnsi="宋体" w:cs="宋体" w:eastAsia="宋体" w:hint="default"/>
                <w:sz w:val="18"/>
                <w:szCs w:val="18"/>
              </w:rPr>
              <w:t>正在 履行</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454.859985pt;margin-top:72.47998pt;width:34.050pt;height:64.45pt;mso-position-horizontal-relative:page;mso-position-vertical-relative:page;z-index:-9256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60.980011pt;margin-top:72.47998pt;width:27.9pt;height:246.35pt;mso-position-horizontal-relative:page;mso-position-vertical-relative:page;z-index:-925672" coordorigin="9220,1450" coordsize="558,4927">
            <v:group style="position:absolute;left:9220;top:1450;width:558;height:1289" coordorigin="9220,1450" coordsize="558,1289">
              <v:shape style="position:absolute;left:9220;top:1450;width:558;height:1289" coordorigin="9220,1450" coordsize="558,1289" path="m9220,2738l9778,2738,9778,1450,9220,1450,9220,2738xe" filled="true" fillcolor="#ffffff" stroked="false">
                <v:path arrowok="t"/>
                <v:fill type="solid"/>
              </v:shape>
            </v:group>
            <v:group style="position:absolute;left:9220;top:2748;width:558;height:3277" coordorigin="9220,2748" coordsize="558,3277">
              <v:shape style="position:absolute;left:9220;top:2748;width:558;height:3277" coordorigin="9220,2748" coordsize="558,3277" path="m9220,6024l9778,6024,9778,2748,9220,2748,9220,6024xe" filled="true" fillcolor="#ffffff" stroked="false">
                <v:path arrowok="t"/>
                <v:fill type="solid"/>
              </v:shape>
            </v:group>
            <v:group style="position:absolute;left:9244;top:6024;width:510;height:352" coordorigin="9244,6024" coordsize="510,352">
              <v:shape style="position:absolute;left:9244;top:6024;width:510;height:352" coordorigin="9244,6024" coordsize="510,352" path="m9244,6376l9754,6376,9754,6024,9244,6024,9244,6376xe" filled="true" fillcolor="#ffffff" stroked="false">
                <v:path arrowok="t"/>
                <v:fill type="solid"/>
              </v:shape>
            </v:group>
            <w10:wrap type="none"/>
          </v:group>
        </w:pict>
      </w:r>
      <w:r>
        <w:rPr/>
        <w:pict>
          <v:group style="position:absolute;margin-left:462.179993pt;margin-top:334.399994pt;width:25.5pt;height:33.25pt;mso-position-horizontal-relative:page;mso-position-vertical-relative:page;z-index:-925648" coordorigin="9244,6688" coordsize="510,665">
            <v:group style="position:absolute;left:9244;top:6688;width:510;height:312" coordorigin="9244,6688" coordsize="510,312">
              <v:shape style="position:absolute;left:9244;top:6688;width:510;height:312" coordorigin="9244,6688" coordsize="510,312" path="m9244,7000l9754,7000,9754,6688,9244,6688,9244,7000xe" filled="true" fillcolor="#ffffff" stroked="false">
                <v:path arrowok="t"/>
                <v:fill type="solid"/>
              </v:shape>
            </v:group>
            <v:group style="position:absolute;left:9244;top:7000;width:510;height:353" coordorigin="9244,7000" coordsize="510,353">
              <v:shape style="position:absolute;left:9244;top:7000;width:510;height:353" coordorigin="9244,7000" coordsize="510,353" path="m9244,7353l9754,7353,9754,7000,9244,7000,9244,735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851"/>
        <w:gridCol w:w="1417"/>
        <w:gridCol w:w="709"/>
        <w:gridCol w:w="5103"/>
        <w:gridCol w:w="568"/>
        <w:gridCol w:w="425"/>
        <w:gridCol w:w="496"/>
      </w:tblGrid>
      <w:tr>
        <w:trPr>
          <w:trHeight w:val="317" w:hRule="exact"/>
        </w:trPr>
        <w:tc>
          <w:tcPr>
            <w:tcW w:w="851"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行动，故意促使本公司的股东大会或董事会作出侵犯本公司和其</w:t>
            </w:r>
          </w:p>
        </w:tc>
        <w:tc>
          <w:tcPr>
            <w:tcW w:w="568"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96" w:type="dxa"/>
            <w:vMerge w:val="restart"/>
            <w:tcBorders>
              <w:top w:val="single" w:sz="4" w:space="0" w:color="000000"/>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他股东合法权益的决议</w:t>
            </w:r>
            <w:r>
              <w:rPr>
                <w:rFonts w:ascii="宋体" w:hAnsi="宋体" w:cs="宋体" w:eastAsia="宋体" w:hint="default"/>
                <w:spacing w:val="-83"/>
                <w:sz w:val="18"/>
                <w:szCs w:val="18"/>
              </w:rPr>
              <w:t>；</w:t>
            </w:r>
            <w:r>
              <w:rPr>
                <w:rFonts w:ascii="宋体" w:hAnsi="宋体" w:cs="宋体" w:eastAsia="宋体" w:hint="default"/>
                <w:sz w:val="18"/>
                <w:szCs w:val="18"/>
              </w:rPr>
              <w:t>如果本公司必须与其发生任何关联交易</w:t>
            </w:r>
          </w:p>
        </w:tc>
        <w:tc>
          <w:tcPr>
            <w:tcW w:w="56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96" w:type="dxa"/>
            <w:vMerge/>
            <w:tcBorders>
              <w:left w:val="single" w:sz="4" w:space="0" w:color="000000"/>
              <w:right w:val="single" w:sz="4" w:space="0" w:color="000000"/>
            </w:tcBorders>
          </w:tcPr>
          <w:p>
            <w:pPr/>
          </w:p>
        </w:tc>
      </w:tr>
      <w:tr>
        <w:trPr>
          <w:trHeight w:val="313" w:hRule="exact"/>
        </w:trPr>
        <w:tc>
          <w:tcPr>
            <w:tcW w:w="851"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则承诺将严格遵守本公司公司章程及其他规定，依法履行审批程</w:t>
            </w:r>
          </w:p>
        </w:tc>
        <w:tc>
          <w:tcPr>
            <w:tcW w:w="56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96" w:type="dxa"/>
            <w:vMerge/>
            <w:tcBorders>
              <w:left w:val="single" w:sz="4" w:space="0" w:color="000000"/>
              <w:right w:val="single" w:sz="4" w:space="0" w:color="000000"/>
            </w:tcBorders>
          </w:tcPr>
          <w:p>
            <w:pPr/>
          </w:p>
        </w:tc>
      </w:tr>
      <w:tr>
        <w:trPr>
          <w:trHeight w:val="357" w:hRule="exact"/>
        </w:trPr>
        <w:tc>
          <w:tcPr>
            <w:tcW w:w="851"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序。</w:t>
            </w:r>
            <w:r>
              <w:rPr>
                <w:rFonts w:ascii="Times New Roman" w:hAnsi="Times New Roman" w:cs="Times New Roman" w:eastAsia="Times New Roman" w:hint="default"/>
                <w:sz w:val="18"/>
                <w:szCs w:val="18"/>
              </w:rPr>
              <w:t>"</w:t>
            </w:r>
          </w:p>
        </w:tc>
        <w:tc>
          <w:tcPr>
            <w:tcW w:w="56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96" w:type="dxa"/>
            <w:vMerge/>
            <w:tcBorders>
              <w:left w:val="single" w:sz="4" w:space="0" w:color="000000"/>
              <w:bottom w:val="single" w:sz="4" w:space="0" w:color="000000"/>
              <w:right w:val="single" w:sz="4" w:space="0" w:color="000000"/>
            </w:tcBorders>
          </w:tcPr>
          <w:p>
            <w:pPr/>
          </w:p>
        </w:tc>
      </w:tr>
      <w:tr>
        <w:trPr>
          <w:trHeight w:val="362" w:hRule="exact"/>
        </w:trPr>
        <w:tc>
          <w:tcPr>
            <w:tcW w:w="851"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、公司回购（</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）自公司股票上市交易后三年内首次触发启动条</w:t>
            </w:r>
          </w:p>
        </w:tc>
        <w:tc>
          <w:tcPr>
            <w:tcW w:w="568" w:type="dxa"/>
            <w:vMerge w:val="restart"/>
            <w:tcBorders>
              <w:top w:val="single" w:sz="4" w:space="0" w:color="000000"/>
              <w:left w:val="single" w:sz="10" w:space="0" w:color="FFFFFF"/>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16"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16"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03" w:lineRule="exact"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150"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nil" w:sz="6" w:space="0" w:color="auto"/>
              <w:right w:val="single" w:sz="4" w:space="0" w:color="000000"/>
            </w:tcBorders>
          </w:tcPr>
          <w:p>
            <w:pPr/>
          </w:p>
        </w:tc>
        <w:tc>
          <w:tcPr>
            <w:tcW w:w="49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件，和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或自公司股票上市交易后三年内首次触发启动条件之日起</w:t>
            </w:r>
          </w:p>
        </w:tc>
        <w:tc>
          <w:tcPr>
            <w:tcW w:w="568" w:type="dxa"/>
            <w:vMerge/>
            <w:tcBorders>
              <w:left w:val="single" w:sz="10" w:space="0" w:color="FFFFFF"/>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每隔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个月任一时点触发启动条件，为稳定公司股价之目的，公</w:t>
            </w:r>
          </w:p>
        </w:tc>
        <w:tc>
          <w:tcPr>
            <w:tcW w:w="568" w:type="dxa"/>
            <w:vMerge/>
            <w:tcBorders>
              <w:left w:val="single" w:sz="10" w:space="0" w:color="FFFFFF"/>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司应在符</w:t>
            </w:r>
            <w:r>
              <w:rPr>
                <w:rFonts w:ascii="宋体" w:hAnsi="宋体" w:cs="宋体" w:eastAsia="宋体" w:hint="default"/>
                <w:spacing w:val="-67"/>
                <w:sz w:val="18"/>
                <w:szCs w:val="18"/>
              </w:rPr>
              <w:t>合</w:t>
            </w:r>
            <w:r>
              <w:rPr>
                <w:rFonts w:ascii="宋体" w:hAnsi="宋体" w:cs="宋体" w:eastAsia="宋体" w:hint="default"/>
                <w:sz w:val="18"/>
                <w:szCs w:val="18"/>
              </w:rPr>
              <w:t>《上市公司回购社会公众股份管理办</w:t>
            </w:r>
            <w:r>
              <w:rPr>
                <w:rFonts w:ascii="宋体" w:hAnsi="宋体" w:cs="宋体" w:eastAsia="宋体" w:hint="default"/>
                <w:spacing w:val="-67"/>
                <w:sz w:val="18"/>
                <w:szCs w:val="18"/>
              </w:rPr>
              <w:t>法</w:t>
            </w:r>
            <w:r>
              <w:rPr>
                <w:rFonts w:ascii="宋体" w:hAnsi="宋体" w:cs="宋体" w:eastAsia="宋体" w:hint="default"/>
                <w:sz w:val="18"/>
                <w:szCs w:val="18"/>
              </w:rPr>
              <w:t>（试行</w:t>
            </w:r>
            <w:r>
              <w:rPr>
                <w:rFonts w:ascii="宋体" w:hAnsi="宋体" w:cs="宋体" w:eastAsia="宋体" w:hint="default"/>
                <w:spacing w:val="-90"/>
                <w:sz w:val="18"/>
                <w:szCs w:val="18"/>
              </w:rPr>
              <w:t>）</w:t>
            </w:r>
            <w:r>
              <w:rPr>
                <w:rFonts w:ascii="宋体" w:hAnsi="宋体" w:cs="宋体" w:eastAsia="宋体" w:hint="default"/>
                <w:spacing w:val="-67"/>
                <w:sz w:val="18"/>
                <w:szCs w:val="18"/>
              </w:rPr>
              <w:t>》及</w:t>
            </w:r>
            <w:r>
              <w:rPr>
                <w:rFonts w:ascii="宋体" w:hAnsi="宋体" w:cs="宋体" w:eastAsia="宋体" w:hint="default"/>
                <w:sz w:val="18"/>
                <w:szCs w:val="18"/>
              </w:rPr>
              <w:t>《关</w:t>
            </w:r>
          </w:p>
        </w:tc>
        <w:tc>
          <w:tcPr>
            <w:tcW w:w="568" w:type="dxa"/>
            <w:vMerge/>
            <w:tcBorders>
              <w:left w:val="single" w:sz="10" w:space="0" w:color="FFFFFF"/>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于上市公司以集中竞价交易方式回购股份的补充规定》等相关法</w:t>
            </w:r>
          </w:p>
        </w:tc>
        <w:tc>
          <w:tcPr>
            <w:tcW w:w="568" w:type="dxa"/>
            <w:vMerge/>
            <w:tcBorders>
              <w:left w:val="single" w:sz="10" w:space="0" w:color="FFFFFF"/>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律法规、规范性文件的规定、且不应导致公司股权分布不符合上</w:t>
            </w:r>
          </w:p>
        </w:tc>
        <w:tc>
          <w:tcPr>
            <w:tcW w:w="568" w:type="dxa"/>
            <w:vMerge/>
            <w:tcBorders>
              <w:left w:val="single" w:sz="10" w:space="0" w:color="FFFFFF"/>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市条件的前提下，向社会公众股东回购股份</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）公司股东大会</w:t>
            </w:r>
          </w:p>
        </w:tc>
        <w:tc>
          <w:tcPr>
            <w:tcW w:w="568" w:type="dxa"/>
            <w:vMerge/>
            <w:tcBorders>
              <w:left w:val="single" w:sz="10" w:space="0" w:color="FFFFFF"/>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对回购股份做出决议，须经出席会议的股东所持表决权的三分之</w:t>
            </w:r>
          </w:p>
        </w:tc>
        <w:tc>
          <w:tcPr>
            <w:tcW w:w="568" w:type="dxa"/>
            <w:vMerge/>
            <w:tcBorders>
              <w:left w:val="single" w:sz="10" w:space="0" w:color="FFFFFF"/>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二以上通过，公司控股股东承诺就该等回购事宜在股东大会中投</w:t>
            </w:r>
          </w:p>
        </w:tc>
        <w:tc>
          <w:tcPr>
            <w:tcW w:w="568" w:type="dxa"/>
            <w:vMerge/>
            <w:tcBorders>
              <w:left w:val="single" w:sz="10" w:space="0" w:color="FFFFFF"/>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赞成票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）公司为稳定股价之目的进行股份回购的，除应符合</w:t>
            </w:r>
          </w:p>
        </w:tc>
        <w:tc>
          <w:tcPr>
            <w:tcW w:w="568" w:type="dxa"/>
            <w:vMerge/>
            <w:tcBorders>
              <w:left w:val="single" w:sz="10" w:space="0" w:color="FFFFFF"/>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13" w:space="0" w:color="FFFFFF"/>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相关法律法规、规范性文件之规定之外，还应符合下列各项：</w:t>
            </w:r>
            <w:r>
              <w:rPr>
                <w:rFonts w:ascii="Times New Roman" w:hAnsi="Times New Roman" w:cs="Times New Roman" w:eastAsia="Times New Roman" w:hint="default"/>
                <w:sz w:val="18"/>
                <w:szCs w:val="18"/>
              </w:rPr>
              <w:t>1</w:t>
            </w:r>
          </w:p>
        </w:tc>
        <w:tc>
          <w:tcPr>
            <w:tcW w:w="568" w:type="dxa"/>
            <w:vMerge/>
            <w:tcBorders>
              <w:left w:val="single" w:sz="10" w:space="0" w:color="FFFFFF"/>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22"/>
              <w:jc w:val="left"/>
              <w:rPr>
                <w:rFonts w:ascii="宋体" w:hAnsi="宋体" w:cs="宋体" w:eastAsia="宋体" w:hint="default"/>
                <w:sz w:val="18"/>
                <w:szCs w:val="18"/>
              </w:rPr>
            </w:pPr>
            <w:r>
              <w:rPr>
                <w:rFonts w:ascii="宋体" w:hAnsi="宋体" w:cs="宋体" w:eastAsia="宋体" w:hint="default"/>
                <w:sz w:val="18"/>
                <w:szCs w:val="18"/>
              </w:rPr>
              <w:t>中科创达软件股 份有限公司</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5103" w:type="dxa"/>
            <w:tcBorders>
              <w:top w:val="nil" w:sz="6" w:space="0" w:color="auto"/>
              <w:left w:val="single" w:sz="4" w:space="0" w:color="000000"/>
              <w:bottom w:val="nil" w:sz="6" w:space="0" w:color="auto"/>
              <w:right w:val="single" w:sz="13" w:space="0" w:color="FFFFFF"/>
            </w:tcBorders>
          </w:tcPr>
          <w:p>
            <w:pPr>
              <w:pStyle w:val="TableParagraph"/>
              <w:spacing w:line="309" w:lineRule="auto" w:before="5"/>
              <w:ind w:left="22" w:right="9"/>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公司用于回购股份的资金总额累计不超过公司首次公开发行新股 </w:t>
            </w:r>
            <w:r>
              <w:rPr>
                <w:rFonts w:ascii="宋体" w:hAnsi="宋体" w:cs="宋体" w:eastAsia="宋体" w:hint="default"/>
                <w:spacing w:val="-3"/>
                <w:sz w:val="18"/>
                <w:szCs w:val="18"/>
              </w:rPr>
              <w:t>所募集资金的总额；</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）公司单次用于回购股份的资金不得低于人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）公司单次回购股份不超过公司总股本的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p>
        </w:tc>
        <w:tc>
          <w:tcPr>
            <w:tcW w:w="568" w:type="dxa"/>
            <w:vMerge/>
            <w:tcBorders>
              <w:left w:val="single" w:sz="10" w:space="0" w:color="FFFFFF"/>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7"/>
              <w:jc w:val="center"/>
              <w:rPr>
                <w:rFonts w:ascii="宋体" w:hAnsi="宋体" w:cs="宋体" w:eastAsia="宋体" w:hint="default"/>
                <w:sz w:val="18"/>
                <w:szCs w:val="18"/>
              </w:rPr>
            </w:pPr>
            <w:r>
              <w:rPr>
                <w:rFonts w:ascii="宋体" w:hAnsi="宋体" w:cs="宋体" w:eastAsia="宋体" w:hint="default"/>
                <w:sz w:val="18"/>
                <w:szCs w:val="18"/>
              </w:rPr>
              <w:t>长期</w:t>
            </w:r>
          </w:p>
        </w:tc>
        <w:tc>
          <w:tcPr>
            <w:tcW w:w="49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正在 履行</w:t>
            </w: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13" w:space="0" w:color="FFFFFF"/>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如上述第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）项与本项冲突的，按照本项执行</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）公司董事会</w:t>
            </w:r>
          </w:p>
        </w:tc>
        <w:tc>
          <w:tcPr>
            <w:tcW w:w="568" w:type="dxa"/>
            <w:vMerge/>
            <w:tcBorders>
              <w:left w:val="single" w:sz="10" w:space="0" w:color="FFFFFF"/>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公告回购股份预案后</w:t>
            </w:r>
            <w:r>
              <w:rPr>
                <w:rFonts w:ascii="宋体" w:hAnsi="宋体" w:cs="宋体" w:eastAsia="宋体" w:hint="default"/>
                <w:spacing w:val="-83"/>
                <w:sz w:val="18"/>
                <w:szCs w:val="18"/>
              </w:rPr>
              <w:t>，</w:t>
            </w:r>
            <w:r>
              <w:rPr>
                <w:rFonts w:ascii="宋体" w:hAnsi="宋体" w:cs="宋体" w:eastAsia="宋体" w:hint="default"/>
                <w:sz w:val="18"/>
                <w:szCs w:val="18"/>
              </w:rPr>
              <w:t>公司股票收盘价格连续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r>
              <w:rPr>
                <w:rFonts w:ascii="宋体" w:hAnsi="宋体" w:cs="宋体" w:eastAsia="宋体" w:hint="default"/>
                <w:spacing w:val="1"/>
                <w:sz w:val="18"/>
                <w:szCs w:val="18"/>
              </w:rPr>
              <w:t>日</w:t>
            </w:r>
            <w:r>
              <w:rPr>
                <w:rFonts w:ascii="宋体" w:hAnsi="宋体" w:cs="宋体" w:eastAsia="宋体" w:hint="default"/>
                <w:sz w:val="18"/>
                <w:szCs w:val="18"/>
              </w:rPr>
              <w:t>超过最</w:t>
            </w:r>
          </w:p>
        </w:tc>
        <w:tc>
          <w:tcPr>
            <w:tcW w:w="568" w:type="dxa"/>
            <w:vMerge/>
            <w:tcBorders>
              <w:left w:val="single" w:sz="10" w:space="0" w:color="FFFFFF"/>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近一期经审计的每股净资产，公司董事会应作出决议终止回购股</w:t>
            </w:r>
          </w:p>
        </w:tc>
        <w:tc>
          <w:tcPr>
            <w:tcW w:w="568" w:type="dxa"/>
            <w:vMerge/>
            <w:tcBorders>
              <w:left w:val="single" w:sz="10" w:space="0" w:color="FFFFFF"/>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份事宜，且在未来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宋体" w:hAnsi="宋体" w:cs="宋体" w:eastAsia="宋体" w:hint="default"/>
                <w:spacing w:val="1"/>
                <w:sz w:val="18"/>
                <w:szCs w:val="18"/>
              </w:rPr>
              <w:t>内</w:t>
            </w:r>
            <w:r>
              <w:rPr>
                <w:rFonts w:ascii="宋体" w:hAnsi="宋体" w:cs="宋体" w:eastAsia="宋体" w:hint="default"/>
                <w:sz w:val="18"/>
                <w:szCs w:val="18"/>
              </w:rPr>
              <w:t>不再启动股份回购事宜</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）在公司</w:t>
            </w:r>
          </w:p>
        </w:tc>
        <w:tc>
          <w:tcPr>
            <w:tcW w:w="568" w:type="dxa"/>
            <w:vMerge/>
            <w:tcBorders>
              <w:left w:val="single" w:sz="10" w:space="0" w:color="FFFFFF"/>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符合本预案规定的回购股份的相关条件的情况下，公司董事会经</w:t>
            </w:r>
          </w:p>
        </w:tc>
        <w:tc>
          <w:tcPr>
            <w:tcW w:w="568" w:type="dxa"/>
            <w:vMerge/>
            <w:tcBorders>
              <w:left w:val="single" w:sz="10" w:space="0" w:color="FFFFFF"/>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综合考虑公司经营发展实际情况、公司所处行业情况、公司股价</w:t>
            </w:r>
          </w:p>
        </w:tc>
        <w:tc>
          <w:tcPr>
            <w:tcW w:w="568" w:type="dxa"/>
            <w:vMerge/>
            <w:tcBorders>
              <w:left w:val="single" w:sz="10" w:space="0" w:color="FFFFFF"/>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的二级市场表现情况、公司现金流量状况、社会资金成本和外部</w:t>
            </w:r>
          </w:p>
        </w:tc>
        <w:tc>
          <w:tcPr>
            <w:tcW w:w="568" w:type="dxa"/>
            <w:vMerge/>
            <w:tcBorders>
              <w:left w:val="single" w:sz="10" w:space="0" w:color="FFFFFF"/>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融资环境等因素，认为公司不宜或暂无须回购股票的，经董事会</w:t>
            </w:r>
          </w:p>
        </w:tc>
        <w:tc>
          <w:tcPr>
            <w:tcW w:w="568" w:type="dxa"/>
            <w:vMerge/>
            <w:tcBorders>
              <w:left w:val="single" w:sz="10" w:space="0" w:color="FFFFFF"/>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决议通过并经半数以上独立董事同意后，应将不回购股票以稳定</w:t>
            </w:r>
          </w:p>
        </w:tc>
        <w:tc>
          <w:tcPr>
            <w:tcW w:w="568" w:type="dxa"/>
            <w:vMerge/>
            <w:tcBorders>
              <w:left w:val="single" w:sz="10" w:space="0" w:color="FFFFFF"/>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股价事宜提交股东大会审议，并经出席会议的股东所持表决权的</w:t>
            </w:r>
          </w:p>
        </w:tc>
        <w:tc>
          <w:tcPr>
            <w:tcW w:w="568" w:type="dxa"/>
            <w:vMerge/>
            <w:tcBorders>
              <w:left w:val="single" w:sz="10" w:space="0" w:color="FFFFFF"/>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三分之二以上通过。</w:t>
            </w:r>
            <w:r>
              <w:rPr>
                <w:rFonts w:ascii="Times New Roman" w:hAnsi="Times New Roman" w:cs="Times New Roman" w:eastAsia="Times New Roman" w:hint="default"/>
                <w:sz w:val="18"/>
                <w:szCs w:val="18"/>
              </w:rPr>
              <w:t>"</w:t>
            </w:r>
          </w:p>
        </w:tc>
        <w:tc>
          <w:tcPr>
            <w:tcW w:w="568" w:type="dxa"/>
            <w:vMerge/>
            <w:tcBorders>
              <w:left w:val="single" w:sz="10" w:space="0" w:color="FFFFFF"/>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496"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851"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公司上市后三年内，如公司股票收盘价格连续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个交易日低于</w:t>
            </w:r>
          </w:p>
        </w:tc>
        <w:tc>
          <w:tcPr>
            <w:tcW w:w="568"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496"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最近一期经审计的每股净资产（最近一期审计基准日后，因利润</w:t>
            </w:r>
          </w:p>
        </w:tc>
        <w:tc>
          <w:tcPr>
            <w:tcW w:w="568"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分配、资本公积金转增股本、增发、配股等情况导致公司净资产</w:t>
            </w:r>
          </w:p>
        </w:tc>
        <w:tc>
          <w:tcPr>
            <w:tcW w:w="568"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或股份总数出现变化的</w:t>
            </w:r>
            <w:r>
              <w:rPr>
                <w:rFonts w:ascii="宋体" w:hAnsi="宋体" w:cs="宋体" w:eastAsia="宋体" w:hint="default"/>
                <w:spacing w:val="-82"/>
                <w:sz w:val="18"/>
                <w:szCs w:val="18"/>
              </w:rPr>
              <w:t>，</w:t>
            </w:r>
            <w:r>
              <w:rPr>
                <w:rFonts w:ascii="宋体" w:hAnsi="宋体" w:cs="宋体" w:eastAsia="宋体" w:hint="default"/>
                <w:sz w:val="18"/>
                <w:szCs w:val="18"/>
              </w:rPr>
              <w:t>每股净资产相应进行调整</w:t>
            </w:r>
            <w:r>
              <w:rPr>
                <w:rFonts w:ascii="宋体" w:hAnsi="宋体" w:cs="宋体" w:eastAsia="宋体" w:hint="default"/>
                <w:spacing w:val="-172"/>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启</w:t>
            </w:r>
          </w:p>
        </w:tc>
        <w:tc>
          <w:tcPr>
            <w:tcW w:w="568"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动条件</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则</w:t>
            </w:r>
            <w:r>
              <w:rPr>
                <w:rFonts w:ascii="宋体" w:hAnsi="宋体" w:cs="宋体" w:eastAsia="宋体" w:hint="default"/>
                <w:spacing w:val="-2"/>
                <w:sz w:val="18"/>
                <w:szCs w:val="18"/>
              </w:rPr>
              <w:t>公</w:t>
            </w:r>
            <w:r>
              <w:rPr>
                <w:rFonts w:ascii="宋体" w:hAnsi="宋体" w:cs="宋体" w:eastAsia="宋体" w:hint="default"/>
                <w:sz w:val="18"/>
                <w:szCs w:val="18"/>
              </w:rPr>
              <w:t>司应按本预案启动稳定股价措施</w:t>
            </w:r>
            <w:r>
              <w:rPr>
                <w:rFonts w:ascii="宋体" w:hAnsi="宋体" w:cs="宋体" w:eastAsia="宋体" w:hint="default"/>
                <w:spacing w:val="-114"/>
                <w:sz w:val="18"/>
                <w:szCs w:val="18"/>
              </w:rPr>
              <w:t>。</w:t>
            </w:r>
            <w:r>
              <w:rPr>
                <w:rFonts w:ascii="宋体" w:hAnsi="宋体" w:cs="宋体" w:eastAsia="宋体" w:hint="default"/>
                <w:sz w:val="18"/>
                <w:szCs w:val="18"/>
              </w:rPr>
              <w:t>（二</w:t>
            </w:r>
            <w:r>
              <w:rPr>
                <w:rFonts w:ascii="宋体" w:hAnsi="宋体" w:cs="宋体" w:eastAsia="宋体" w:hint="default"/>
                <w:spacing w:val="-24"/>
                <w:sz w:val="18"/>
                <w:szCs w:val="18"/>
              </w:rPr>
              <w:t>）</w:t>
            </w:r>
            <w:r>
              <w:rPr>
                <w:rFonts w:ascii="宋体" w:hAnsi="宋体" w:cs="宋体" w:eastAsia="宋体" w:hint="default"/>
                <w:spacing w:val="-2"/>
                <w:sz w:val="18"/>
                <w:szCs w:val="18"/>
              </w:rPr>
              <w:t>稳</w:t>
            </w:r>
            <w:r>
              <w:rPr>
                <w:rFonts w:ascii="宋体" w:hAnsi="宋体" w:cs="宋体" w:eastAsia="宋体" w:hint="default"/>
                <w:sz w:val="18"/>
                <w:szCs w:val="18"/>
              </w:rPr>
              <w:t>定股价</w:t>
            </w:r>
          </w:p>
        </w:tc>
        <w:tc>
          <w:tcPr>
            <w:tcW w:w="568"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的具体措施</w:t>
            </w:r>
            <w:r>
              <w:rPr>
                <w:rFonts w:ascii="宋体" w:hAnsi="宋体" w:cs="宋体" w:eastAsia="宋体" w:hint="default"/>
                <w:spacing w:val="-38"/>
                <w:sz w:val="18"/>
                <w:szCs w:val="18"/>
              </w:rPr>
              <w:t>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、控股股东增持（</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）自公司股票上市交易后三年内</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23" w:right="0"/>
              <w:jc w:val="left"/>
              <w:rPr>
                <w:rFonts w:ascii="Times New Roman" w:hAnsi="Times New Roman" w:cs="Times New Roman" w:eastAsia="Times New Roman" w:hint="default"/>
                <w:sz w:val="18"/>
                <w:szCs w:val="18"/>
              </w:rPr>
            </w:pPr>
            <w:r>
              <w:rPr>
                <w:rFonts w:ascii="Times New Roman"/>
                <w:sz w:val="18"/>
              </w:rPr>
              <w:t>2015</w:t>
            </w:r>
          </w:p>
        </w:tc>
        <w:tc>
          <w:tcPr>
            <w:tcW w:w="425"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赵鸿飞</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2" w:right="134"/>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300" w:lineRule="auto" w:before="15"/>
              <w:ind w:left="22" w:right="21"/>
              <w:jc w:val="left"/>
              <w:rPr>
                <w:rFonts w:ascii="宋体" w:hAnsi="宋体" w:cs="宋体" w:eastAsia="宋体" w:hint="default"/>
                <w:sz w:val="18"/>
                <w:szCs w:val="18"/>
              </w:rPr>
            </w:pPr>
            <w:r>
              <w:rPr>
                <w:rFonts w:ascii="宋体" w:hAnsi="宋体" w:cs="宋体" w:eastAsia="宋体" w:hint="default"/>
                <w:spacing w:val="-2"/>
                <w:sz w:val="18"/>
                <w:szCs w:val="18"/>
              </w:rPr>
              <w:t>首次触发启动条件，和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或自公司股票上市交易后三年内首次触发</w:t>
            </w:r>
            <w:r>
              <w:rPr>
                <w:rFonts w:ascii="宋体" w:hAnsi="宋体" w:cs="宋体" w:eastAsia="宋体" w:hint="default"/>
                <w:spacing w:val="-76"/>
                <w:sz w:val="18"/>
                <w:szCs w:val="18"/>
              </w:rPr>
              <w:t> </w:t>
            </w:r>
            <w:r>
              <w:rPr>
                <w:rFonts w:ascii="宋体" w:hAnsi="宋体" w:cs="宋体" w:eastAsia="宋体" w:hint="default"/>
                <w:sz w:val="18"/>
                <w:szCs w:val="18"/>
              </w:rPr>
              <w:t>启动条件之日起每隔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个月任一时点触发启动条件，为稳定公司</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96"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正在 履行</w:t>
            </w: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股价之目的，公司控股股东应在符合《上市公司收购管理办法》</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及《创业板信息披露业务备忘录第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号－股东及其一致行动人增</w:t>
            </w:r>
          </w:p>
        </w:tc>
        <w:tc>
          <w:tcPr>
            <w:tcW w:w="568"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持股份业务管理》等法律法规、规范性文件的规定、且不应导致</w:t>
            </w:r>
          </w:p>
        </w:tc>
        <w:tc>
          <w:tcPr>
            <w:tcW w:w="568"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公司股权分布不符合上市条件的前提下，对公司股票进行增持。</w:t>
            </w:r>
          </w:p>
        </w:tc>
        <w:tc>
          <w:tcPr>
            <w:tcW w:w="568"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）控股股东承诺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）其单次增持总金额不应少于人民币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p>
        </w:tc>
        <w:tc>
          <w:tcPr>
            <w:tcW w:w="568"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）单次及</w:t>
            </w:r>
            <w:r>
              <w:rPr>
                <w:rFonts w:ascii="Times New Roman" w:hAnsi="Times New Roman" w:cs="Times New Roman" w:eastAsia="Times New Roman" w:hint="default"/>
                <w:sz w:val="18"/>
                <w:szCs w:val="18"/>
              </w:rPr>
              <w:t>/</w:t>
            </w:r>
            <w:r>
              <w:rPr>
                <w:rFonts w:ascii="宋体" w:hAnsi="宋体" w:cs="宋体" w:eastAsia="宋体" w:hint="default"/>
                <w:sz w:val="18"/>
                <w:szCs w:val="18"/>
              </w:rPr>
              <w:t>或连续十二个月增持公司股份数量不超过公司</w:t>
            </w:r>
          </w:p>
        </w:tc>
        <w:tc>
          <w:tcPr>
            <w:tcW w:w="568"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49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851"/>
        <w:gridCol w:w="1417"/>
        <w:gridCol w:w="709"/>
        <w:gridCol w:w="5103"/>
        <w:gridCol w:w="568"/>
        <w:gridCol w:w="425"/>
        <w:gridCol w:w="496"/>
      </w:tblGrid>
      <w:tr>
        <w:trPr>
          <w:trHeight w:val="362" w:hRule="exact"/>
        </w:trPr>
        <w:tc>
          <w:tcPr>
            <w:tcW w:w="851"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；如上述第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）项与本项冲突的，按照本项执行。</w:t>
            </w:r>
            <w:r>
              <w:rPr>
                <w:rFonts w:ascii="Times New Roman" w:hAnsi="Times New Roman" w:cs="Times New Roman" w:eastAsia="Times New Roman" w:hint="default"/>
                <w:sz w:val="18"/>
                <w:szCs w:val="18"/>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5"/>
              <w:ind w:left="22" w:right="23"/>
              <w:jc w:val="left"/>
              <w:rPr>
                <w:rFonts w:ascii="宋体" w:hAnsi="宋体" w:cs="宋体" w:eastAsia="宋体" w:hint="default"/>
                <w:sz w:val="18"/>
                <w:szCs w:val="18"/>
              </w:rPr>
            </w:pPr>
            <w:r>
              <w:rPr>
                <w:rFonts w:ascii="宋体" w:hAnsi="宋体" w:cs="宋体" w:eastAsia="宋体" w:hint="default"/>
                <w:sz w:val="18"/>
                <w:szCs w:val="18"/>
              </w:rPr>
              <w:t>陈晓华</w:t>
            </w:r>
            <w:r>
              <w:rPr>
                <w:rFonts w:ascii="Times New Roman" w:hAnsi="Times New Roman" w:cs="Times New Roman" w:eastAsia="Times New Roman" w:hint="default"/>
                <w:sz w:val="18"/>
                <w:szCs w:val="18"/>
              </w:rPr>
              <w:t>;</w:t>
            </w:r>
            <w:r>
              <w:rPr>
                <w:rFonts w:ascii="宋体" w:hAnsi="宋体" w:cs="宋体" w:eastAsia="宋体" w:hint="default"/>
                <w:sz w:val="18"/>
                <w:szCs w:val="18"/>
              </w:rPr>
              <w:t>耿增强</w:t>
            </w:r>
            <w:r>
              <w:rPr>
                <w:rFonts w:ascii="Times New Roman" w:hAnsi="Times New Roman" w:cs="Times New Roman" w:eastAsia="Times New Roman" w:hint="default"/>
                <w:sz w:val="18"/>
                <w:szCs w:val="18"/>
              </w:rPr>
              <w:t>;</w:t>
            </w:r>
            <w:r>
              <w:rPr>
                <w:rFonts w:ascii="宋体" w:hAnsi="宋体" w:cs="宋体" w:eastAsia="宋体" w:hint="default"/>
                <w:sz w:val="18"/>
                <w:szCs w:val="18"/>
              </w:rPr>
              <w:t>吴 安华</w:t>
            </w:r>
            <w:r>
              <w:rPr>
                <w:rFonts w:ascii="Times New Roman" w:hAnsi="Times New Roman" w:cs="Times New Roman" w:eastAsia="Times New Roman" w:hint="default"/>
                <w:sz w:val="18"/>
                <w:szCs w:val="18"/>
              </w:rPr>
              <w:t>;</w:t>
            </w:r>
            <w:r>
              <w:rPr>
                <w:rFonts w:ascii="宋体" w:hAnsi="宋体" w:cs="宋体" w:eastAsia="宋体" w:hint="default"/>
                <w:sz w:val="18"/>
                <w:szCs w:val="18"/>
              </w:rPr>
              <w:t>邹鹏程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134"/>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董事、高级管理人员增持（</w:t>
            </w:r>
            <w:r>
              <w:rPr>
                <w:rFonts w:ascii="Times New Roman" w:hAnsi="Times New Roman" w:cs="Times New Roman" w:eastAsia="Times New Roman" w:hint="default"/>
                <w:sz w:val="18"/>
                <w:szCs w:val="18"/>
              </w:rPr>
              <w:t>1</w:t>
            </w:r>
            <w:r>
              <w:rPr>
                <w:rFonts w:ascii="宋体" w:hAnsi="宋体" w:cs="宋体" w:eastAsia="宋体" w:hint="default"/>
                <w:sz w:val="18"/>
                <w:szCs w:val="18"/>
              </w:rPr>
              <w:t>）自公司股票上市交易后三年内首 </w:t>
            </w:r>
            <w:r>
              <w:rPr>
                <w:rFonts w:ascii="宋体" w:hAnsi="宋体" w:cs="宋体" w:eastAsia="宋体" w:hint="default"/>
                <w:spacing w:val="-2"/>
                <w:sz w:val="18"/>
                <w:szCs w:val="18"/>
              </w:rPr>
              <w:t>次触发启动条件，和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或自公司股票上市交易后三年内首次触发启</w:t>
            </w:r>
            <w:r>
              <w:rPr>
                <w:rFonts w:ascii="宋体" w:hAnsi="宋体" w:cs="宋体" w:eastAsia="宋体" w:hint="default"/>
                <w:spacing w:val="-76"/>
                <w:sz w:val="18"/>
                <w:szCs w:val="18"/>
              </w:rPr>
              <w:t> </w:t>
            </w:r>
            <w:r>
              <w:rPr>
                <w:rFonts w:ascii="宋体" w:hAnsi="宋体" w:cs="宋体" w:eastAsia="宋体" w:hint="default"/>
                <w:sz w:val="18"/>
                <w:szCs w:val="18"/>
              </w:rPr>
              <w:t>动条件之日起每隔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个月任一时点触发启动条件，为稳定公司股 价之目的，公司全体董事、高级管理人员应在符合《上市公司收 购管理办法》及《上市公司董事、监事和高级管理人员所持本公 司股份及其变动管理规则》等法律法规、规范性文件的规定、且 不应导致公司股权分布不符合上市条件的前提下，对公司股票进 行增持。 （</w:t>
            </w:r>
            <w:r>
              <w:rPr>
                <w:rFonts w:ascii="Times New Roman" w:hAnsi="Times New Roman" w:cs="Times New Roman" w:eastAsia="Times New Roman" w:hint="default"/>
                <w:sz w:val="18"/>
                <w:szCs w:val="18"/>
              </w:rPr>
              <w:t>2</w:t>
            </w:r>
            <w:r>
              <w:rPr>
                <w:rFonts w:ascii="宋体" w:hAnsi="宋体" w:cs="宋体" w:eastAsia="宋体" w:hint="default"/>
                <w:sz w:val="18"/>
                <w:szCs w:val="18"/>
              </w:rPr>
              <w:t>）有义务增持的公司董事、高级管理人员承诺，其 用于单次及</w:t>
            </w:r>
            <w:r>
              <w:rPr>
                <w:rFonts w:ascii="Times New Roman" w:hAnsi="Times New Roman" w:cs="Times New Roman" w:eastAsia="Times New Roman" w:hint="default"/>
                <w:sz w:val="18"/>
                <w:szCs w:val="18"/>
              </w:rPr>
              <w:t>/</w:t>
            </w:r>
            <w:r>
              <w:rPr>
                <w:rFonts w:ascii="宋体" w:hAnsi="宋体" w:cs="宋体" w:eastAsia="宋体" w:hint="default"/>
                <w:sz w:val="18"/>
                <w:szCs w:val="18"/>
              </w:rPr>
              <w:t>或连续十二个月增持公司股份的货币资金不少于该 等董事、高级管理人员上年度薪酬总和（税前，下同）的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 但不超过该等董事、高级管理人员上年度的薪酬总和。公司全体 </w:t>
            </w:r>
            <w:r>
              <w:rPr>
                <w:rFonts w:ascii="宋体" w:hAnsi="宋体" w:cs="宋体" w:eastAsia="宋体" w:hint="default"/>
                <w:spacing w:val="-4"/>
                <w:sz w:val="18"/>
                <w:szCs w:val="18"/>
              </w:rPr>
              <w:t>董事、高级管理人员对该等增持义务的履行承担连带责任。（</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公司在首次公开发行</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股股票上市后三年内新聘任的董事和高级 管理人员应当遵守本预案关于公司董事、高级管理人员的义务及 责任的规定，公司及公司控股股东、现有董事、高级管理人员应 当促成公司新聘任的该等董事、高级管理人员遵守本预案并签署 相关承诺。</w:t>
            </w:r>
            <w:r>
              <w:rPr>
                <w:rFonts w:ascii="Times New Roman" w:hAnsi="Times New Roman" w:cs="Times New Roman" w:eastAsia="Times New Roman" w:hint="default"/>
                <w:sz w:val="18"/>
                <w:szCs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101"/>
              <w:jc w:val="left"/>
              <w:rPr>
                <w:rFonts w:ascii="宋体" w:hAnsi="宋体" w:cs="宋体" w:eastAsia="宋体" w:hint="default"/>
                <w:sz w:val="18"/>
                <w:szCs w:val="18"/>
              </w:rPr>
            </w:pPr>
            <w:r>
              <w:rPr>
                <w:rFonts w:ascii="宋体" w:hAnsi="宋体" w:cs="宋体" w:eastAsia="宋体" w:hint="default"/>
                <w:sz w:val="18"/>
                <w:szCs w:val="18"/>
              </w:rPr>
              <w:t>正在 履行</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承诺是否 按时履行</w:t>
            </w:r>
          </w:p>
        </w:tc>
        <w:tc>
          <w:tcPr>
            <w:tcW w:w="87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9"/>
        </w:rPr>
        <w:t> </w:t>
      </w:r>
      <w:r>
        <w:rPr>
          <w:spacing w:val="-69"/>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3499"/>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40" w:lineRule="auto" w:before="0"/>
        <w:ind w:left="113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3499"/>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spacing w:before="0"/>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3499"/>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5"/>
        <w:ind w:right="3499"/>
        <w:jc w:val="left"/>
      </w:pPr>
      <w:r>
        <w:rPr/>
        <w:t>详见本报告</w:t>
      </w:r>
      <w:r>
        <w:rPr>
          <w:rFonts w:ascii="Times New Roman" w:hAnsi="Times New Roman" w:cs="Times New Roman" w:eastAsia="Times New Roman" w:hint="default"/>
        </w:rPr>
        <w:t>“</w:t>
      </w:r>
      <w:r>
        <w:rPr/>
        <w:t>第十节 财务报告</w:t>
      </w:r>
      <w:r>
        <w:rPr>
          <w:spacing w:val="-42"/>
        </w:rPr>
        <w:t> </w:t>
      </w:r>
      <w:r>
        <w:rPr/>
        <w:t>八、合并范围的变更</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2"/>
          <w:szCs w:val="22"/>
        </w:rPr>
      </w:pPr>
    </w:p>
    <w:p>
      <w:pPr>
        <w:pStyle w:val="Heading2"/>
        <w:spacing w:line="240" w:lineRule="auto"/>
        <w:ind w:right="3499"/>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曹阳、王娟</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38" w:lineRule="auto" w:before="117"/>
        <w:ind w:left="113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2"/>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3499"/>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3499"/>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3499"/>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3499"/>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13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3499"/>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3499" w:firstLine="0"/>
        <w:jc w:val="left"/>
        <w:rPr>
          <w:rFonts w:ascii="宋体" w:hAnsi="宋体" w:cs="宋体" w:eastAsia="宋体" w:hint="default"/>
          <w:sz w:val="18"/>
          <w:szCs w:val="18"/>
        </w:rPr>
      </w:pPr>
      <w:r>
        <w:rPr>
          <w:rFonts w:ascii="宋体" w:hAnsi="宋体" w:cs="宋体" w:eastAsia="宋体" w:hint="default"/>
          <w:sz w:val="18"/>
          <w:szCs w:val="18"/>
        </w:rPr>
        <w:t>公司报告期无股权激励计划、员工持股计划或其他员工激励措施及其实施情况。</w:t>
      </w:r>
    </w:p>
    <w:p>
      <w:pPr>
        <w:spacing w:line="240" w:lineRule="auto" w:before="13"/>
        <w:rPr>
          <w:rFonts w:ascii="宋体" w:hAnsi="宋体" w:cs="宋体" w:eastAsia="宋体" w:hint="default"/>
          <w:sz w:val="24"/>
          <w:szCs w:val="24"/>
        </w:rPr>
      </w:pPr>
    </w:p>
    <w:p>
      <w:pPr>
        <w:pStyle w:val="Heading2"/>
        <w:spacing w:line="240" w:lineRule="auto"/>
        <w:ind w:right="3499"/>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499"/>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right="3499"/>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left="1134" w:right="3499"/>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right="3499"/>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right="3499"/>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3499"/>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499"/>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499"/>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3499"/>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3499"/>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3"/>
        <w:rPr>
          <w:rFonts w:ascii="宋体" w:hAnsi="宋体" w:cs="宋体" w:eastAsia="宋体" w:hint="default"/>
          <w:sz w:val="21"/>
          <w:szCs w:val="21"/>
        </w:rPr>
      </w:pPr>
    </w:p>
    <w:p>
      <w:pPr>
        <w:pStyle w:val="Heading3"/>
        <w:spacing w:line="240" w:lineRule="auto"/>
        <w:ind w:right="3499"/>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3499"/>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713"/>
        <w:gridCol w:w="916"/>
        <w:gridCol w:w="929"/>
        <w:gridCol w:w="1301"/>
        <w:gridCol w:w="1054"/>
        <w:gridCol w:w="1038"/>
        <w:gridCol w:w="1051"/>
        <w:gridCol w:w="790"/>
        <w:gridCol w:w="783"/>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5"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2"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026"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2"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9"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香港天集有限公司</w:t>
            </w:r>
          </w:p>
        </w:tc>
        <w:tc>
          <w:tcPr>
            <w:tcW w:w="91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3,246.8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3,246.8</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香港天集有限公司</w:t>
            </w:r>
          </w:p>
        </w:tc>
        <w:tc>
          <w:tcPr>
            <w:tcW w:w="91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3,181.86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3,181.86</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香港天集有限公司</w:t>
            </w:r>
          </w:p>
        </w:tc>
        <w:tc>
          <w:tcPr>
            <w:tcW w:w="91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389.62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389.62</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香港天集有限公司</w:t>
            </w:r>
          </w:p>
        </w:tc>
        <w:tc>
          <w:tcPr>
            <w:tcW w:w="91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649.36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649.36</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4,220.84</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 w:right="8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4,610.46</w:t>
            </w:r>
          </w:p>
        </w:tc>
      </w:tr>
      <w:tr>
        <w:trPr>
          <w:trHeight w:val="719"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7,467.64</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 w:right="8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7,467.64</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3" w:type="dxa"/>
            <w:vMerge w:val="restart"/>
            <w:tcBorders>
              <w:top w:val="single" w:sz="4" w:space="0" w:color="000000"/>
              <w:left w:val="single" w:sz="4" w:space="0" w:color="000000"/>
              <w:right w:val="single" w:sz="4" w:space="0" w:color="000000"/>
            </w:tcBorders>
            <w:shd w:val="clear" w:color="auto" w:fill="D2D2D2"/>
          </w:tcPr>
          <w:p>
            <w:pPr/>
          </w:p>
        </w:tc>
        <w:tc>
          <w:tcPr>
            <w:tcW w:w="9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8"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3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1"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3" w:type="dxa"/>
            <w:vMerge/>
            <w:tcBorders>
              <w:left w:val="single" w:sz="4" w:space="0" w:color="000000"/>
              <w:bottom w:val="nil" w:sz="6" w:space="0" w:color="auto"/>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3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3" w:right="80"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vMerge/>
            <w:tcBorders>
              <w:left w:val="single" w:sz="4" w:space="0" w:color="000000"/>
              <w:right w:val="single" w:sz="4" w:space="0" w:color="000000"/>
            </w:tcBorders>
            <w:shd w:val="clear" w:color="auto" w:fill="D2D2D2"/>
          </w:tcPr>
          <w:p>
            <w:pPr/>
          </w:p>
        </w:tc>
        <w:tc>
          <w:tcPr>
            <w:tcW w:w="1054"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57"/>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3" w:type="dxa"/>
            <w:vMerge w:val="restart"/>
            <w:tcBorders>
              <w:top w:val="nil" w:sz="6" w:space="0" w:color="auto"/>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301"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1051"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3" w:type="dxa"/>
            <w:vMerge/>
            <w:tcBorders>
              <w:left w:val="single" w:sz="4" w:space="0" w:color="000000"/>
              <w:bottom w:val="single" w:sz="4" w:space="0" w:color="000000"/>
              <w:right w:val="single" w:sz="4" w:space="0" w:color="000000"/>
            </w:tcBorders>
            <w:shd w:val="clear" w:color="auto" w:fill="D2D2D2"/>
          </w:tcPr>
          <w:p>
            <w:pPr/>
          </w:p>
        </w:tc>
        <w:tc>
          <w:tcPr>
            <w:tcW w:w="916"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3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4,220.84</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9" w:right="80"/>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4,610.46</w:t>
            </w:r>
          </w:p>
        </w:tc>
      </w:tr>
      <w:tr>
        <w:trPr>
          <w:trHeight w:val="402"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7,467.64</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9" w:right="0"/>
              <w:jc w:val="left"/>
              <w:rPr>
                <w:rFonts w:ascii="宋体" w:hAnsi="宋体" w:cs="宋体" w:eastAsia="宋体" w:hint="default"/>
                <w:sz w:val="18"/>
                <w:szCs w:val="18"/>
              </w:rPr>
            </w:pPr>
            <w:r>
              <w:rPr>
                <w:rFonts w:ascii="宋体" w:hAnsi="宋体" w:cs="宋体" w:eastAsia="宋体" w:hint="default"/>
                <w:sz w:val="18"/>
                <w:szCs w:val="18"/>
              </w:rPr>
              <w:t>报告期末实际担保余额合</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7,467.64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609"/>
        <w:gridCol w:w="2235"/>
        <w:gridCol w:w="2087"/>
        <w:gridCol w:w="2633"/>
      </w:tblGrid>
      <w:tr>
        <w:trPr>
          <w:trHeight w:val="362"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5" w:type="dxa"/>
            <w:tcBorders>
              <w:top w:val="single" w:sz="4" w:space="0" w:color="000000"/>
              <w:left w:val="single" w:sz="13" w:space="0" w:color="D2D2D2"/>
              <w:bottom w:val="single" w:sz="4" w:space="0" w:color="000000"/>
              <w:right w:val="single" w:sz="13" w:space="0" w:color="D2D2D2"/>
            </w:tcBorders>
          </w:tcPr>
          <w:p>
            <w:pP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33" w:type="dxa"/>
            <w:tcBorders>
              <w:top w:val="single" w:sz="4" w:space="0" w:color="000000"/>
              <w:left w:val="single" w:sz="13" w:space="0" w:color="D2D2D2"/>
              <w:bottom w:val="single" w:sz="4" w:space="0" w:color="000000"/>
              <w:right w:val="single" w:sz="4" w:space="0" w:color="000000"/>
            </w:tcBorders>
          </w:tcPr>
          <w:p>
            <w:pPr/>
          </w:p>
        </w:tc>
      </w:tr>
      <w:tr>
        <w:trPr>
          <w:trHeight w:val="407"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w:t>
            </w:r>
          </w:p>
        </w:tc>
      </w:tr>
      <w:tr>
        <w:trPr>
          <w:trHeight w:val="397" w:hRule="exact"/>
        </w:trPr>
        <w:tc>
          <w:tcPr>
            <w:tcW w:w="9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line="240" w:lineRule="auto" w:before="3"/>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2"/>
        <w:rPr>
          <w:rFonts w:ascii="宋体" w:hAnsi="宋体" w:cs="宋体" w:eastAsia="宋体" w:hint="default"/>
          <w:sz w:val="21"/>
          <w:szCs w:val="21"/>
        </w:rPr>
      </w:pPr>
    </w:p>
    <w:p>
      <w:pPr>
        <w:pStyle w:val="Heading3"/>
        <w:spacing w:line="240" w:lineRule="auto"/>
        <w:ind w:right="3499"/>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499"/>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1"/>
        <w:rPr>
          <w:rFonts w:ascii="宋体" w:hAnsi="宋体" w:cs="宋体" w:eastAsia="宋体" w:hint="default"/>
          <w:sz w:val="21"/>
          <w:szCs w:val="21"/>
        </w:rPr>
      </w:pPr>
    </w:p>
    <w:p>
      <w:pPr>
        <w:pStyle w:val="Heading3"/>
        <w:spacing w:line="240" w:lineRule="auto"/>
        <w:ind w:right="3499"/>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right="3499"/>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3499"/>
        <w:jc w:val="left"/>
        <w:rPr>
          <w:b w:val="0"/>
          <w:bCs w:val="0"/>
        </w:rPr>
      </w:pPr>
      <w:bookmarkStart w:name="十七、其他重大事项的说明" w:id="96"/>
      <w:bookmarkEnd w:id="96"/>
      <w:r>
        <w:rPr>
          <w:b w:val="0"/>
          <w:bCs w:val="0"/>
        </w:rPr>
      </w:r>
      <w:r>
        <w:rPr/>
        <w:t>十七、其他重大事项的说明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公司报告期不存在需要说明的其他重大事项。</w:t>
      </w:r>
    </w:p>
    <w:p>
      <w:pPr>
        <w:spacing w:line="240" w:lineRule="auto" w:before="4"/>
        <w:rPr>
          <w:rFonts w:ascii="宋体" w:hAnsi="宋体" w:cs="宋体" w:eastAsia="宋体" w:hint="default"/>
          <w:sz w:val="19"/>
          <w:szCs w:val="19"/>
        </w:rPr>
      </w:pPr>
    </w:p>
    <w:p>
      <w:pPr>
        <w:pStyle w:val="Heading2"/>
        <w:spacing w:line="240" w:lineRule="auto"/>
        <w:ind w:right="3499"/>
        <w:jc w:val="left"/>
        <w:rPr>
          <w:b w:val="0"/>
          <w:bCs w:val="0"/>
        </w:rPr>
      </w:pPr>
      <w:bookmarkStart w:name="十八、公司子公司重大事项" w:id="97"/>
      <w:bookmarkEnd w:id="97"/>
      <w:r>
        <w:rPr>
          <w:b w:val="0"/>
          <w:bCs w:val="0"/>
        </w:rPr>
      </w:r>
      <w:r>
        <w:rPr/>
        <w:t>十八、公司子公司重大事项</w:t>
      </w:r>
      <w:r>
        <w:rPr>
          <w:b w:val="0"/>
          <w:bCs w:val="0"/>
        </w:rPr>
      </w:r>
    </w:p>
    <w:p>
      <w:pPr>
        <w:spacing w:line="240" w:lineRule="auto" w:before="9"/>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3499"/>
        <w:jc w:val="left"/>
        <w:rPr>
          <w:b w:val="0"/>
          <w:bCs w:val="0"/>
        </w:rPr>
      </w:pPr>
      <w:bookmarkStart w:name="十九、社会责任情况" w:id="98"/>
      <w:bookmarkEnd w:id="98"/>
      <w:r>
        <w:rPr>
          <w:b w:val="0"/>
          <w:bCs w:val="0"/>
        </w:rPr>
      </w:r>
      <w:r>
        <w:rPr/>
        <w:t>十九、社会责任情况</w:t>
      </w:r>
      <w:r>
        <w:rPr>
          <w:b w:val="0"/>
          <w:bCs w:val="0"/>
        </w:rPr>
      </w:r>
    </w:p>
    <w:p>
      <w:pPr>
        <w:spacing w:line="240" w:lineRule="auto" w:before="7"/>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3499"/>
        <w:jc w:val="left"/>
        <w:rPr>
          <w:b w:val="0"/>
          <w:bCs w:val="0"/>
        </w:rPr>
      </w:pPr>
      <w:bookmarkStart w:name="二十、公司债券相关情况" w:id="99"/>
      <w:bookmarkEnd w:id="99"/>
      <w:r>
        <w:rPr>
          <w:b w:val="0"/>
          <w:bCs w:val="0"/>
        </w:rPr>
      </w:r>
      <w:r>
        <w:rPr/>
        <w:t>二十、公司债券相关情况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13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6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3499"/>
        <w:jc w:val="left"/>
        <w:rPr>
          <w:b w:val="0"/>
          <w:bCs w:val="0"/>
        </w:rPr>
      </w:pPr>
      <w:bookmarkStart w:name="_TOC_250005" w:id="100"/>
      <w:bookmarkStart w:name="第六节 股份变动及股东情况" w:id="101"/>
      <w:r>
        <w:rPr>
          <w:b w:val="0"/>
          <w:bCs w:val="0"/>
        </w:rPr>
      </w:r>
      <w:r>
        <w:rPr/>
        <w:t>第六节</w:t>
      </w:r>
      <w:r>
        <w:rPr>
          <w:spacing w:val="-10"/>
        </w:rPr>
        <w:t> </w:t>
      </w:r>
      <w:r>
        <w:rPr/>
        <w:t>股份变动及股东情况</w:t>
      </w:r>
      <w:bookmarkEnd w:id="10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3499"/>
        <w:jc w:val="left"/>
        <w:rPr>
          <w:b w:val="0"/>
          <w:bCs w:val="0"/>
        </w:rPr>
      </w:pPr>
      <w:bookmarkStart w:name="一、股份变动情况" w:id="102"/>
      <w:bookmarkEnd w:id="102"/>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499"/>
        <w:jc w:val="left"/>
        <w:rPr>
          <w:b w:val="0"/>
          <w:bCs w:val="0"/>
        </w:rPr>
      </w:pPr>
      <w:bookmarkStart w:name="1、股份变动情况" w:id="103"/>
      <w:bookmarkEnd w:id="10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204"/>
        <w:gridCol w:w="1046"/>
        <w:gridCol w:w="992"/>
        <w:gridCol w:w="992"/>
        <w:gridCol w:w="566"/>
        <w:gridCol w:w="568"/>
        <w:gridCol w:w="284"/>
        <w:gridCol w:w="992"/>
        <w:gridCol w:w="1123"/>
        <w:gridCol w:w="794"/>
      </w:tblGrid>
      <w:tr>
        <w:trPr>
          <w:trHeight w:val="402" w:hRule="exact"/>
        </w:trPr>
        <w:tc>
          <w:tcPr>
            <w:tcW w:w="2204" w:type="dxa"/>
            <w:vMerge w:val="restart"/>
            <w:tcBorders>
              <w:top w:val="single" w:sz="4" w:space="0" w:color="000000"/>
              <w:left w:val="single" w:sz="4" w:space="0" w:color="000000"/>
              <w:right w:val="single" w:sz="4" w:space="0" w:color="000000"/>
            </w:tcBorders>
            <w:shd w:val="clear" w:color="auto" w:fill="D2D2D2"/>
          </w:tcPr>
          <w:p>
            <w:pP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40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38" w:hRule="exact"/>
        </w:trPr>
        <w:tc>
          <w:tcPr>
            <w:tcW w:w="2204"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9" w:right="96"/>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28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shd w:val="clear" w:color="auto" w:fill="D2D2D2"/>
          </w:tcPr>
          <w:p>
            <w:pPr/>
          </w:p>
        </w:tc>
        <w:tc>
          <w:tcPr>
            <w:tcW w:w="794" w:type="dxa"/>
            <w:vMerge w:val="restart"/>
            <w:tcBorders>
              <w:top w:val="single" w:sz="4" w:space="0" w:color="000000"/>
              <w:left w:val="single" w:sz="4" w:space="0" w:color="000000"/>
              <w:right w:val="single" w:sz="4" w:space="0" w:color="000000"/>
            </w:tcBorders>
            <w:shd w:val="clear" w:color="auto" w:fill="D2D2D2"/>
          </w:tcPr>
          <w:p>
            <w:pPr/>
          </w:p>
        </w:tc>
      </w:tr>
      <w:tr>
        <w:trPr>
          <w:trHeight w:val="179" w:hRule="exact"/>
        </w:trPr>
        <w:tc>
          <w:tcPr>
            <w:tcW w:w="2204" w:type="dxa"/>
            <w:vMerge w:val="restart"/>
            <w:tcBorders>
              <w:top w:val="nil" w:sz="6" w:space="0" w:color="auto"/>
              <w:left w:val="single" w:sz="4" w:space="0" w:color="000000"/>
              <w:right w:val="single" w:sz="4" w:space="0" w:color="000000"/>
            </w:tcBorders>
            <w:shd w:val="clear" w:color="auto" w:fill="D2D2D2"/>
          </w:tcPr>
          <w:p>
            <w:pPr/>
          </w:p>
        </w:tc>
        <w:tc>
          <w:tcPr>
            <w:tcW w:w="1046"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2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46" w:right="47"/>
              <w:jc w:val="left"/>
              <w:rPr>
                <w:rFonts w:ascii="宋体" w:hAnsi="宋体" w:cs="宋体" w:eastAsia="宋体" w:hint="default"/>
                <w:sz w:val="18"/>
                <w:szCs w:val="18"/>
              </w:rPr>
            </w:pPr>
            <w:r>
              <w:rPr>
                <w:rFonts w:ascii="宋体" w:hAnsi="宋体" w:cs="宋体" w:eastAsia="宋体" w:hint="default"/>
                <w:sz w:val="18"/>
                <w:szCs w:val="18"/>
              </w:rPr>
              <w:t>其 他</w:t>
            </w:r>
          </w:p>
        </w:tc>
        <w:tc>
          <w:tcPr>
            <w:tcW w:w="992" w:type="dxa"/>
            <w:vMerge/>
            <w:tcBorders>
              <w:left w:val="single" w:sz="4" w:space="0" w:color="000000"/>
              <w:bottom w:val="nil" w:sz="6" w:space="0" w:color="auto"/>
              <w:right w:val="single" w:sz="4" w:space="0" w:color="000000"/>
            </w:tcBorders>
            <w:shd w:val="clear" w:color="auto" w:fill="D2D2D2"/>
          </w:tcPr>
          <w:p>
            <w:pPr/>
          </w:p>
        </w:tc>
        <w:tc>
          <w:tcPr>
            <w:tcW w:w="1123"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91" w:hRule="exact"/>
        </w:trPr>
        <w:tc>
          <w:tcPr>
            <w:tcW w:w="2204"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568"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04" w:type="dxa"/>
            <w:vMerge w:val="restart"/>
            <w:tcBorders>
              <w:top w:val="nil" w:sz="6" w:space="0" w:color="auto"/>
              <w:left w:val="single" w:sz="4" w:space="0" w:color="000000"/>
              <w:right w:val="single" w:sz="4" w:space="0" w:color="000000"/>
            </w:tcBorders>
            <w:shd w:val="clear" w:color="auto" w:fill="D2D2D2"/>
          </w:tcPr>
          <w:p>
            <w:pPr/>
          </w:p>
        </w:tc>
        <w:tc>
          <w:tcPr>
            <w:tcW w:w="1046"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123"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204" w:type="dxa"/>
            <w:vMerge/>
            <w:tcBorders>
              <w:left w:val="single" w:sz="4" w:space="0" w:color="000000"/>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284" w:type="dxa"/>
            <w:vMerge/>
            <w:tcBorders>
              <w:left w:val="single" w:sz="4" w:space="0" w:color="000000"/>
              <w:bottom w:val="nil" w:sz="6" w:space="0" w:color="auto"/>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
        </w:tc>
        <w:tc>
          <w:tcPr>
            <w:tcW w:w="1123" w:type="dxa"/>
            <w:vMerge w:val="restart"/>
            <w:tcBorders>
              <w:top w:val="nil" w:sz="6" w:space="0" w:color="auto"/>
              <w:left w:val="single" w:sz="4" w:space="0" w:color="000000"/>
              <w:right w:val="single" w:sz="4" w:space="0" w:color="000000"/>
            </w:tcBorders>
            <w:shd w:val="clear" w:color="auto" w:fill="D2D2D2"/>
          </w:tcPr>
          <w:p>
            <w:pPr/>
          </w:p>
        </w:tc>
        <w:tc>
          <w:tcPr>
            <w:tcW w:w="79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204" w:type="dxa"/>
            <w:vMerge/>
            <w:tcBorders>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28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56,232,184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74.98%</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56,232,184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56.23%</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10,860,398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14.48%</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10,860,398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10.86%</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45,371,786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60.50%</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45,371,786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45.37%</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18,767,816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25.02%</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18,767,816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18.77%</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18,767,816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25.02%</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18,767,816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18.77%</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46"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46"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26"/>
        <w:ind w:left="1134" w:right="3499"/>
        <w:jc w:val="left"/>
      </w:pPr>
      <w:r>
        <w:rPr/>
        <w:t>股份变动的原因</w:t>
      </w:r>
    </w:p>
    <w:p>
      <w:pPr>
        <w:pStyle w:val="BodyText"/>
        <w:spacing w:line="266" w:lineRule="auto" w:before="7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w:t>
      </w:r>
      <w:r>
        <w:rPr>
          <w:spacing w:val="-2"/>
        </w:rPr>
        <w:t>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24</w:t>
      </w:r>
      <w:r>
        <w:rPr>
          <w:spacing w:val="-2"/>
        </w:rPr>
        <w:t>日经中国证券监督管理委员会证监许可</w:t>
      </w:r>
      <w:r>
        <w:rPr>
          <w:rFonts w:ascii="Times New Roman" w:hAnsi="Times New Roman" w:cs="Times New Roman" w:eastAsia="Times New Roman" w:hint="default"/>
          <w:spacing w:val="-2"/>
        </w:rPr>
        <w:t>[2015]1372</w:t>
      </w:r>
      <w:r>
        <w:rPr>
          <w:spacing w:val="-2"/>
        </w:rPr>
        <w:t>号文核准，首次向社会公众发行人民</w:t>
      </w:r>
      <w:r>
        <w:rPr>
          <w:spacing w:val="-56"/>
        </w:rPr>
        <w:t> </w:t>
      </w:r>
      <w:r>
        <w:rPr>
          <w:spacing w:val="-56"/>
        </w:rPr>
      </w:r>
      <w:r>
        <w:rPr/>
        <w:t>币普通股</w:t>
      </w:r>
      <w:r>
        <w:rPr>
          <w:rFonts w:ascii="Times New Roman" w:hAnsi="Times New Roman" w:cs="Times New Roman" w:eastAsia="Times New Roman" w:hint="default"/>
        </w:rPr>
        <w:t>2,500</w:t>
      </w:r>
      <w:r>
        <w:rPr/>
        <w:t>万股，公开发售发行前原有股东所持人民币普通股</w:t>
      </w:r>
      <w:r>
        <w:rPr>
          <w:rFonts w:ascii="Times New Roman" w:hAnsi="Times New Roman" w:cs="Times New Roman" w:eastAsia="Times New Roman" w:hint="default"/>
        </w:rPr>
        <w:t>7,500</w:t>
      </w:r>
      <w:r>
        <w:rPr/>
        <w:t>万股，并根据深圳证券交易所深证 上【</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503</w:t>
      </w:r>
      <w:r>
        <w:rPr/>
        <w:t>号《上市通知书》，于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日在深圳证券交易所创业板上市。公开发行股票后， 公司的股份总数为</w:t>
      </w:r>
      <w:r>
        <w:rPr>
          <w:rFonts w:ascii="Times New Roman" w:hAnsi="Times New Roman" w:cs="Times New Roman" w:eastAsia="Times New Roman" w:hint="default"/>
        </w:rPr>
        <w:t>10,000</w:t>
      </w:r>
      <w:r>
        <w:rPr/>
        <w:t>万股，全部为人民币普通股。</w:t>
      </w:r>
    </w:p>
    <w:p>
      <w:pPr>
        <w:pStyle w:val="BodyText"/>
        <w:spacing w:line="240" w:lineRule="auto" w:before="36"/>
        <w:ind w:left="1134" w:right="3499"/>
        <w:jc w:val="left"/>
      </w:pPr>
      <w:r>
        <w:rPr/>
        <w:t>股份变动的批准情况</w:t>
      </w:r>
    </w:p>
    <w:p>
      <w:pPr>
        <w:pStyle w:val="BodyText"/>
        <w:spacing w:line="273" w:lineRule="auto" w:before="78"/>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w:t>
      </w:r>
      <w:r>
        <w:rPr>
          <w:spacing w:val="-2"/>
        </w:rPr>
        <w:t>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24</w:t>
      </w:r>
      <w:r>
        <w:rPr>
          <w:spacing w:val="-2"/>
        </w:rPr>
        <w:t>日经中国证券监督管理委员会证监许可</w:t>
      </w:r>
      <w:r>
        <w:rPr>
          <w:rFonts w:ascii="Times New Roman" w:hAnsi="Times New Roman" w:cs="Times New Roman" w:eastAsia="Times New Roman" w:hint="default"/>
          <w:spacing w:val="-2"/>
        </w:rPr>
        <w:t>[2015]1372</w:t>
      </w:r>
      <w:r>
        <w:rPr>
          <w:spacing w:val="-2"/>
        </w:rPr>
        <w:t>号文核准，首次向社会公众发行人民</w:t>
      </w:r>
      <w:r>
        <w:rPr>
          <w:spacing w:val="-56"/>
        </w:rPr>
        <w:t> </w:t>
      </w:r>
      <w:r>
        <w:rPr>
          <w:spacing w:val="-56"/>
        </w:rPr>
      </w:r>
      <w:r>
        <w:rPr/>
        <w:t>币普通股</w:t>
      </w:r>
      <w:r>
        <w:rPr>
          <w:rFonts w:ascii="Times New Roman" w:hAnsi="Times New Roman" w:cs="Times New Roman" w:eastAsia="Times New Roman" w:hint="default"/>
        </w:rPr>
        <w:t>2,500</w:t>
      </w:r>
      <w:r>
        <w:rPr/>
        <w:t>万股。</w:t>
      </w:r>
    </w:p>
    <w:p>
      <w:pPr>
        <w:pStyle w:val="BodyText"/>
        <w:spacing w:line="240" w:lineRule="auto" w:before="29"/>
        <w:ind w:left="1134" w:right="3499"/>
        <w:jc w:val="left"/>
      </w:pPr>
      <w:r>
        <w:rPr/>
        <w:t>股份变动的过户情况</w:t>
      </w:r>
    </w:p>
    <w:p>
      <w:pPr>
        <w:pStyle w:val="BodyText"/>
        <w:spacing w:line="280" w:lineRule="auto" w:before="78"/>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w:t>
      </w:r>
      <w:r>
        <w:rPr>
          <w:spacing w:val="-1"/>
        </w:rPr>
        <w:t>股份变动对最近一年和最近一期基本每股收益和稀释每股收益、归属于公司普通股股东的每股净资产等财</w:t>
      </w:r>
      <w:r>
        <w:rPr>
          <w:spacing w:val="-81"/>
        </w:rPr>
        <w:t> </w:t>
      </w:r>
      <w:r>
        <w:rPr>
          <w:spacing w:val="-81"/>
        </w:rPr>
      </w:r>
      <w:r>
        <w:rPr/>
        <w:t>务指标的影响</w:t>
      </w:r>
    </w:p>
    <w:p>
      <w:pPr>
        <w:pStyle w:val="BodyText"/>
        <w:spacing w:line="273" w:lineRule="auto" w:before="41"/>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日发行新股，总股本由</w:t>
      </w:r>
      <w:r>
        <w:rPr>
          <w:rFonts w:ascii="Times New Roman" w:hAnsi="Times New Roman" w:cs="Times New Roman" w:eastAsia="Times New Roman" w:hint="default"/>
        </w:rPr>
        <w:t>7500</w:t>
      </w:r>
      <w:r>
        <w:rPr/>
        <w:t>万股增加至</w:t>
      </w:r>
      <w:r>
        <w:rPr>
          <w:rFonts w:ascii="Times New Roman" w:hAnsi="Times New Roman" w:cs="Times New Roman" w:eastAsia="Times New Roman" w:hint="default"/>
        </w:rPr>
        <w:t>10000</w:t>
      </w:r>
      <w:r>
        <w:rPr/>
        <w:t>万股。本次股份变动，对公司最近一期 </w:t>
      </w:r>
      <w:r>
        <w:rPr>
          <w:spacing w:val="-1"/>
        </w:rPr>
        <w:t>的基本每股收益、稀释每股收益及归属于公司普通股股东的每股净资产等财务指标的影响情况如下：报告</w:t>
      </w:r>
    </w:p>
    <w:p>
      <w:pPr>
        <w:spacing w:after="0" w:line="273"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56" w:lineRule="auto" w:before="35"/>
        <w:ind w:right="1127"/>
        <w:jc w:val="left"/>
      </w:pPr>
      <w:r>
        <w:rPr>
          <w:spacing w:val="-2"/>
        </w:rPr>
        <w:t>期公司基本和稀释每股收益为</w:t>
      </w:r>
      <w:r>
        <w:rPr>
          <w:rFonts w:ascii="Times New Roman" w:hAnsi="Times New Roman" w:cs="Times New Roman" w:eastAsia="Times New Roman" w:hint="default"/>
          <w:spacing w:val="-2"/>
        </w:rPr>
        <w:t>1.5548</w:t>
      </w:r>
      <w:r>
        <w:rPr>
          <w:spacing w:val="-2"/>
        </w:rPr>
        <w:t>元</w:t>
      </w:r>
      <w:r>
        <w:rPr>
          <w:rFonts w:ascii="Times New Roman" w:hAnsi="Times New Roman" w:cs="Times New Roman" w:eastAsia="Times New Roman" w:hint="default"/>
          <w:spacing w:val="-2"/>
        </w:rPr>
        <w:t>/</w:t>
      </w:r>
      <w:r>
        <w:rPr>
          <w:spacing w:val="-2"/>
        </w:rPr>
        <w:t>股，较上年增长</w:t>
      </w:r>
      <w:r>
        <w:rPr>
          <w:rFonts w:ascii="Times New Roman" w:hAnsi="Times New Roman" w:cs="Times New Roman" w:eastAsia="Times New Roman" w:hint="default"/>
          <w:spacing w:val="-2"/>
        </w:rPr>
        <w:t>3.83%</w:t>
      </w:r>
      <w:r>
        <w:rPr>
          <w:spacing w:val="-2"/>
        </w:rPr>
        <w:t>；归属于公司普通股股东的每股净资产为</w:t>
      </w:r>
      <w:r>
        <w:rPr>
          <w:rFonts w:ascii="Times New Roman" w:hAnsi="Times New Roman" w:cs="Times New Roman" w:eastAsia="Times New Roman" w:hint="default"/>
          <w:spacing w:val="-2"/>
        </w:rPr>
        <w:t>9.70</w:t>
      </w:r>
      <w:r>
        <w:rPr>
          <w:rFonts w:ascii="Times New Roman" w:hAnsi="Times New Roman" w:cs="Times New Roman" w:eastAsia="Times New Roman" w:hint="default"/>
          <w:spacing w:val="-45"/>
        </w:rPr>
        <w:t> </w:t>
      </w:r>
      <w:r>
        <w:rPr/>
        <w:t>元</w:t>
      </w:r>
      <w:r>
        <w:rPr>
          <w:rFonts w:ascii="Times New Roman" w:hAnsi="Times New Roman" w:cs="Times New Roman" w:eastAsia="Times New Roman" w:hint="default"/>
        </w:rPr>
        <w:t>/</w:t>
      </w:r>
      <w:r>
        <w:rPr/>
        <w:t>股，较上年增长</w:t>
      </w:r>
      <w:r>
        <w:rPr>
          <w:rFonts w:ascii="Times New Roman" w:hAnsi="Times New Roman" w:cs="Times New Roman" w:eastAsia="Times New Roman" w:hint="default"/>
        </w:rPr>
        <w:t>114.13%</w:t>
      </w:r>
      <w:r>
        <w:rPr/>
        <w:t>。</w:t>
      </w:r>
    </w:p>
    <w:p>
      <w:pPr>
        <w:pStyle w:val="BodyText"/>
        <w:spacing w:line="240" w:lineRule="auto" w:before="46"/>
        <w:ind w:right="3499"/>
        <w:jc w:val="left"/>
      </w:pPr>
      <w:r>
        <w:rPr/>
        <w:t>公司认为必要或证券监管机构要求披露的其他内容</w:t>
      </w:r>
    </w:p>
    <w:p>
      <w:pPr>
        <w:pStyle w:val="BodyText"/>
        <w:spacing w:line="240" w:lineRule="auto" w:before="78"/>
        <w:ind w:left="1134" w:right="34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4"/>
          <w:szCs w:val="24"/>
        </w:rPr>
      </w:pPr>
    </w:p>
    <w:p>
      <w:pPr>
        <w:pStyle w:val="Heading3"/>
        <w:spacing w:line="240" w:lineRule="auto"/>
        <w:ind w:left="1134" w:right="3499"/>
        <w:jc w:val="left"/>
        <w:rPr>
          <w:b w:val="0"/>
          <w:bCs w:val="0"/>
        </w:rPr>
      </w:pPr>
      <w:bookmarkStart w:name="2、限售股份变动情况" w:id="104"/>
      <w:bookmarkEnd w:id="10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34" w:right="68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不适用 </w:t>
      </w:r>
      <w:bookmarkStart w:name="二、证券发行与上市情况" w:id="105"/>
      <w:bookmarkEnd w:id="105"/>
      <w:r>
        <w:rPr>
          <w:rFonts w:ascii="宋体" w:hAnsi="宋体" w:cs="宋体" w:eastAsia="宋体" w:hint="default"/>
          <w:sz w:val="21"/>
          <w:szCs w:val="21"/>
        </w:rPr>
      </w:r>
      <w:r>
        <w:rPr>
          <w:rFonts w:ascii="宋体" w:hAnsi="宋体" w:cs="宋体" w:eastAsia="宋体" w:hint="default"/>
          <w:b/>
          <w:bCs/>
          <w:sz w:val="24"/>
          <w:szCs w:val="24"/>
        </w:rPr>
        <w:t>二、证券发行与上市情况</w:t>
      </w:r>
      <w:r>
        <w:rPr>
          <w:rFonts w:ascii="宋体" w:hAnsi="宋体" w:cs="宋体" w:eastAsia="宋体" w:hint="default"/>
          <w:b/>
          <w:bCs/>
          <w:w w:val="99"/>
          <w:sz w:val="24"/>
          <w:szCs w:val="24"/>
        </w:rPr>
        <w:t> </w:t>
      </w:r>
      <w:bookmarkStart w:name="1、报告期内证券发行（不含优先股）情况" w:id="106"/>
      <w:bookmarkEnd w:id="10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spacing w:before="108"/>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23.27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25,000,000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25,000,000</w:t>
            </w:r>
          </w:p>
        </w:tc>
        <w:tc>
          <w:tcPr>
            <w:tcW w:w="16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2、公司股份总数及股东结构的变动、公司资产和负债结构的变动情况说明" w:id="107"/>
      <w:bookmarkEnd w:id="10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spacing w:before="0"/>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6" w:lineRule="auto" w:before="75"/>
        <w:ind w:right="1169"/>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日，公司经中国证券监督管理委员会《关于核准中科创达软件股份有限公司首次公开发行股 票的批复》（证监许可</w:t>
      </w:r>
      <w:r>
        <w:rPr>
          <w:rFonts w:ascii="Times New Roman" w:hAnsi="Times New Roman" w:cs="Times New Roman" w:eastAsia="Times New Roman" w:hint="default"/>
        </w:rPr>
        <w:t>[2015]1372</w:t>
      </w:r>
      <w:r>
        <w:rPr/>
        <w:t>号）核准，向社会公开发行人民币普通股（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2,500</w:t>
      </w:r>
      <w:r>
        <w:rPr/>
        <w:t>万股。经深圳证 券交易所《关于中科创达软件股份有限公司人民币普通股股票在创业板上市的通知》（深证上</w:t>
      </w:r>
      <w:r>
        <w:rPr>
          <w:rFonts w:ascii="Times New Roman" w:hAnsi="Times New Roman" w:cs="Times New Roman" w:eastAsia="Times New Roman" w:hint="default"/>
        </w:rPr>
        <w:t>[2015]503 </w:t>
      </w:r>
      <w:r>
        <w:rPr/>
        <w:t>号）同意，本次公开发行人民币普通股（</w:t>
      </w:r>
      <w:r>
        <w:rPr>
          <w:rFonts w:ascii="Times New Roman" w:hAnsi="Times New Roman" w:cs="Times New Roman" w:eastAsia="Times New Roman" w:hint="default"/>
        </w:rPr>
        <w:t>A</w:t>
      </w:r>
      <w:r>
        <w:rPr/>
        <w:t>股）于</w:t>
      </w:r>
      <w:r>
        <w:rPr>
          <w:rFonts w:ascii="Times New Roman" w:hAnsi="Times New Roman" w:cs="Times New Roman" w:eastAsia="Times New Roman" w:hint="default"/>
        </w:rPr>
        <w:t>2015</w:t>
      </w:r>
      <w:r>
        <w:rPr>
          <w:rFonts w:ascii="Times New Roman" w:hAnsi="Times New Roman" w:cs="Times New Roman" w:eastAsia="Times New Roman" w:hint="default"/>
          <w:spacing w:val="27"/>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日在深圳证券交易所上市交易</w:t>
      </w:r>
    </w:p>
    <w:p>
      <w:pPr>
        <w:spacing w:line="240" w:lineRule="auto" w:before="5"/>
        <w:rPr>
          <w:rFonts w:ascii="宋体" w:hAnsi="宋体" w:cs="宋体" w:eastAsia="宋体" w:hint="default"/>
          <w:sz w:val="23"/>
          <w:szCs w:val="23"/>
        </w:rPr>
      </w:pPr>
    </w:p>
    <w:p>
      <w:pPr>
        <w:pStyle w:val="Heading3"/>
        <w:spacing w:line="240" w:lineRule="auto"/>
        <w:ind w:right="3499"/>
        <w:jc w:val="left"/>
        <w:rPr>
          <w:b w:val="0"/>
          <w:bCs w:val="0"/>
        </w:rPr>
      </w:pPr>
      <w:bookmarkStart w:name="3、现存的内部职工股情况" w:id="108"/>
      <w:bookmarkEnd w:id="10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3499"/>
        <w:jc w:val="left"/>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499"/>
        <w:jc w:val="left"/>
        <w:rPr>
          <w:b w:val="0"/>
          <w:bCs w:val="0"/>
        </w:rPr>
      </w:pPr>
      <w:bookmarkStart w:name="1、公司股东数量及持股情况" w:id="110"/>
      <w:bookmarkEnd w:id="11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pict>
          <v:shape style="position:absolute;margin-left:449.277008pt;margin-top:68.371719pt;width:85.6pt;height:31.2pt;mso-position-horizontal-relative:page;mso-position-vertical-relative:paragraph;z-index:-925624"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399994pt;margin-top:68.371719pt;width:52.45pt;height:31.2pt;mso-position-horizontal-relative:page;mso-position-vertical-relative:paragraph;z-index:-925600" coordorigin="9648,1367" coordsize="1049,624">
            <v:shape style="position:absolute;left:9648;top:1367;width:1049;height:624" coordorigin="9648,1367" coordsize="1049,624" path="m9648,1991l10697,1991,10697,1367,9648,1367,9648,1991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971"/>
        <w:gridCol w:w="1160"/>
        <w:gridCol w:w="1439"/>
        <w:gridCol w:w="1218"/>
        <w:gridCol w:w="1306"/>
        <w:gridCol w:w="1087"/>
        <w:gridCol w:w="1306"/>
        <w:gridCol w:w="513"/>
        <w:gridCol w:w="558"/>
      </w:tblGrid>
      <w:tr>
        <w:trPr>
          <w:trHeight w:val="161" w:hRule="exact"/>
        </w:trPr>
        <w:tc>
          <w:tcPr>
            <w:tcW w:w="971" w:type="dxa"/>
            <w:vMerge w:val="restart"/>
            <w:tcBorders>
              <w:top w:val="single" w:sz="4" w:space="0" w:color="000000"/>
              <w:left w:val="single" w:sz="4" w:space="0" w:color="000000"/>
              <w:right w:val="single" w:sz="4" w:space="0" w:color="000000"/>
            </w:tcBorders>
            <w:shd w:val="clear" w:color="auto" w:fill="D2D2D2"/>
          </w:tcPr>
          <w:p>
            <w:pPr/>
          </w:p>
        </w:tc>
        <w:tc>
          <w:tcPr>
            <w:tcW w:w="1160"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41,088</w:t>
            </w:r>
          </w:p>
        </w:tc>
        <w:tc>
          <w:tcPr>
            <w:tcW w:w="1439" w:type="dxa"/>
            <w:vMerge w:val="restart"/>
            <w:tcBorders>
              <w:top w:val="single" w:sz="4" w:space="0" w:color="000000"/>
              <w:left w:val="single" w:sz="4" w:space="0" w:color="000000"/>
              <w:right w:val="single" w:sz="4" w:space="0" w:color="000000"/>
            </w:tcBorders>
            <w:shd w:val="clear" w:color="auto" w:fill="D2D2D2"/>
          </w:tcPr>
          <w:p>
            <w:pPr/>
          </w:p>
        </w:tc>
        <w:tc>
          <w:tcPr>
            <w:tcW w:w="1218"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3" w:right="0"/>
              <w:jc w:val="left"/>
              <w:rPr>
                <w:rFonts w:ascii="Times New Roman" w:hAnsi="Times New Roman" w:cs="Times New Roman" w:eastAsia="Times New Roman" w:hint="default"/>
                <w:sz w:val="18"/>
                <w:szCs w:val="18"/>
              </w:rPr>
            </w:pPr>
            <w:r>
              <w:rPr>
                <w:rFonts w:ascii="Times New Roman"/>
                <w:sz w:val="18"/>
              </w:rPr>
              <w:t>20,416</w:t>
            </w:r>
          </w:p>
        </w:tc>
        <w:tc>
          <w:tcPr>
            <w:tcW w:w="13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7" w:type="dxa"/>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971" w:type="dxa"/>
            <w:vMerge/>
            <w:tcBorders>
              <w:left w:val="single" w:sz="4" w:space="0" w:color="000000"/>
              <w:bottom w:val="nil" w:sz="6" w:space="0" w:color="auto"/>
              <w:right w:val="single" w:sz="4" w:space="0" w:color="000000"/>
            </w:tcBorders>
            <w:shd w:val="clear" w:color="auto" w:fill="D2D2D2"/>
          </w:tcPr>
          <w:p>
            <w:pPr/>
          </w:p>
        </w:tc>
        <w:tc>
          <w:tcPr>
            <w:tcW w:w="1160" w:type="dxa"/>
            <w:vMerge/>
            <w:tcBorders>
              <w:left w:val="single" w:sz="9" w:space="0" w:color="D2D2D2"/>
              <w:right w:val="single" w:sz="9" w:space="0" w:color="D2D2D2"/>
            </w:tcBorders>
          </w:tcPr>
          <w:p>
            <w:pPr/>
          </w:p>
        </w:tc>
        <w:tc>
          <w:tcPr>
            <w:tcW w:w="1439" w:type="dxa"/>
            <w:vMerge/>
            <w:tcBorders>
              <w:left w:val="single" w:sz="4" w:space="0" w:color="000000"/>
              <w:bottom w:val="nil" w:sz="6" w:space="0" w:color="auto"/>
              <w:right w:val="single" w:sz="4" w:space="0" w:color="000000"/>
            </w:tcBorders>
            <w:shd w:val="clear" w:color="auto" w:fill="D2D2D2"/>
          </w:tcPr>
          <w:p>
            <w:pPr/>
          </w:p>
        </w:tc>
        <w:tc>
          <w:tcPr>
            <w:tcW w:w="1218" w:type="dxa"/>
            <w:vMerge/>
            <w:tcBorders>
              <w:left w:val="single" w:sz="9" w:space="0" w:color="D2D2D2"/>
              <w:right w:val="single" w:sz="9" w:space="0" w:color="D2D2D2"/>
            </w:tcBorders>
          </w:tcPr>
          <w:p>
            <w:pPr/>
          </w:p>
        </w:tc>
        <w:tc>
          <w:tcPr>
            <w:tcW w:w="130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87" w:type="dxa"/>
            <w:vMerge/>
            <w:tcBorders>
              <w:left w:val="single" w:sz="10" w:space="0" w:color="D2D2D2"/>
              <w:right w:val="single" w:sz="13" w:space="0" w:color="D2D2D2"/>
            </w:tcBorders>
          </w:tcPr>
          <w:p>
            <w:pPr/>
          </w:p>
        </w:tc>
        <w:tc>
          <w:tcPr>
            <w:tcW w:w="1306" w:type="dxa"/>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017" w:hRule="exact"/>
        </w:trPr>
        <w:tc>
          <w:tcPr>
            <w:tcW w:w="9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47"/>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1160" w:type="dxa"/>
            <w:vMerge/>
            <w:tcBorders>
              <w:left w:val="single" w:sz="9" w:space="0" w:color="D2D2D2"/>
              <w:right w:val="single" w:sz="9" w:space="0" w:color="D2D2D2"/>
            </w:tcBorders>
          </w:tcPr>
          <w:p>
            <w:pPr/>
          </w:p>
        </w:tc>
        <w:tc>
          <w:tcPr>
            <w:tcW w:w="14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55"/>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18" w:type="dxa"/>
            <w:vMerge/>
            <w:tcBorders>
              <w:left w:val="single" w:sz="9" w:space="0" w:color="D2D2D2"/>
              <w:right w:val="single" w:sz="9" w:space="0" w:color="D2D2D2"/>
            </w:tcBorders>
          </w:tcPr>
          <w:p>
            <w:pPr/>
          </w:p>
        </w:tc>
        <w:tc>
          <w:tcPr>
            <w:tcW w:w="1306" w:type="dxa"/>
            <w:vMerge/>
            <w:tcBorders>
              <w:left w:val="single" w:sz="4" w:space="0" w:color="000000"/>
              <w:right w:val="single" w:sz="4" w:space="0" w:color="000000"/>
            </w:tcBorders>
            <w:shd w:val="clear" w:color="auto" w:fill="D2D2D2"/>
          </w:tcPr>
          <w:p>
            <w:pPr/>
          </w:p>
        </w:tc>
        <w:tc>
          <w:tcPr>
            <w:tcW w:w="1087" w:type="dxa"/>
            <w:vMerge/>
            <w:tcBorders>
              <w:left w:val="single" w:sz="10" w:space="0" w:color="D2D2D2"/>
              <w:right w:val="single" w:sz="13" w:space="0" w:color="D2D2D2"/>
            </w:tcBorders>
          </w:tcPr>
          <w:p>
            <w:pPr/>
          </w:p>
        </w:tc>
        <w:tc>
          <w:tcPr>
            <w:tcW w:w="1306" w:type="dxa"/>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971" w:type="dxa"/>
            <w:vMerge w:val="restart"/>
            <w:tcBorders>
              <w:top w:val="nil" w:sz="6" w:space="0" w:color="auto"/>
              <w:left w:val="single" w:sz="4" w:space="0" w:color="000000"/>
              <w:right w:val="single" w:sz="4" w:space="0" w:color="000000"/>
            </w:tcBorders>
            <w:shd w:val="clear" w:color="auto" w:fill="D2D2D2"/>
          </w:tcPr>
          <w:p>
            <w:pPr/>
          </w:p>
        </w:tc>
        <w:tc>
          <w:tcPr>
            <w:tcW w:w="1160" w:type="dxa"/>
            <w:vMerge/>
            <w:tcBorders>
              <w:left w:val="single" w:sz="9" w:space="0" w:color="D2D2D2"/>
              <w:right w:val="single" w:sz="9" w:space="0" w:color="D2D2D2"/>
            </w:tcBorders>
          </w:tcPr>
          <w:p>
            <w:pPr/>
          </w:p>
        </w:tc>
        <w:tc>
          <w:tcPr>
            <w:tcW w:w="1439" w:type="dxa"/>
            <w:vMerge w:val="restart"/>
            <w:tcBorders>
              <w:top w:val="nil" w:sz="6" w:space="0" w:color="auto"/>
              <w:left w:val="single" w:sz="4" w:space="0" w:color="000000"/>
              <w:right w:val="single" w:sz="4" w:space="0" w:color="000000"/>
            </w:tcBorders>
            <w:shd w:val="clear" w:color="auto" w:fill="D2D2D2"/>
          </w:tcPr>
          <w:p>
            <w:pPr/>
          </w:p>
        </w:tc>
        <w:tc>
          <w:tcPr>
            <w:tcW w:w="1218" w:type="dxa"/>
            <w:vMerge/>
            <w:tcBorders>
              <w:left w:val="single" w:sz="9" w:space="0" w:color="D2D2D2"/>
              <w:right w:val="single" w:sz="9" w:space="0" w:color="D2D2D2"/>
            </w:tcBorders>
          </w:tcPr>
          <w:p>
            <w:pPr/>
          </w:p>
        </w:tc>
        <w:tc>
          <w:tcPr>
            <w:tcW w:w="1306" w:type="dxa"/>
            <w:vMerge/>
            <w:tcBorders>
              <w:left w:val="single" w:sz="4" w:space="0" w:color="000000"/>
              <w:bottom w:val="nil" w:sz="6" w:space="0" w:color="auto"/>
              <w:right w:val="single" w:sz="4" w:space="0" w:color="000000"/>
            </w:tcBorders>
            <w:shd w:val="clear" w:color="auto" w:fill="D2D2D2"/>
          </w:tcPr>
          <w:p>
            <w:pPr/>
          </w:p>
        </w:tc>
        <w:tc>
          <w:tcPr>
            <w:tcW w:w="1087" w:type="dxa"/>
            <w:vMerge/>
            <w:tcBorders>
              <w:left w:val="single" w:sz="10" w:space="0" w:color="D2D2D2"/>
              <w:right w:val="single" w:sz="13" w:space="0" w:color="D2D2D2"/>
            </w:tcBorders>
          </w:tcPr>
          <w:p>
            <w:pPr/>
          </w:p>
        </w:tc>
        <w:tc>
          <w:tcPr>
            <w:tcW w:w="1306" w:type="dxa"/>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971" w:type="dxa"/>
            <w:vMerge/>
            <w:tcBorders>
              <w:left w:val="single" w:sz="4" w:space="0" w:color="000000"/>
              <w:bottom w:val="single" w:sz="4" w:space="0" w:color="000000"/>
              <w:right w:val="single" w:sz="4" w:space="0" w:color="000000"/>
            </w:tcBorders>
            <w:shd w:val="clear" w:color="auto" w:fill="D2D2D2"/>
          </w:tcPr>
          <w:p>
            <w:pPr/>
          </w:p>
        </w:tc>
        <w:tc>
          <w:tcPr>
            <w:tcW w:w="1160" w:type="dxa"/>
            <w:vMerge/>
            <w:tcBorders>
              <w:left w:val="single" w:sz="9" w:space="0" w:color="D2D2D2"/>
              <w:bottom w:val="single" w:sz="4" w:space="0" w:color="000000"/>
              <w:right w:val="single" w:sz="9" w:space="0" w:color="D2D2D2"/>
            </w:tcBorders>
          </w:tcPr>
          <w:p>
            <w:pPr/>
          </w:p>
        </w:tc>
        <w:tc>
          <w:tcPr>
            <w:tcW w:w="1439" w:type="dxa"/>
            <w:vMerge/>
            <w:tcBorders>
              <w:left w:val="single" w:sz="4" w:space="0" w:color="000000"/>
              <w:bottom w:val="single" w:sz="4" w:space="0" w:color="000000"/>
              <w:right w:val="single" w:sz="4" w:space="0" w:color="000000"/>
            </w:tcBorders>
            <w:shd w:val="clear" w:color="auto" w:fill="D2D2D2"/>
          </w:tcPr>
          <w:p>
            <w:pPr/>
          </w:p>
        </w:tc>
        <w:tc>
          <w:tcPr>
            <w:tcW w:w="1218" w:type="dxa"/>
            <w:vMerge/>
            <w:tcBorders>
              <w:left w:val="single" w:sz="9" w:space="0" w:color="D2D2D2"/>
              <w:bottom w:val="single" w:sz="4" w:space="0" w:color="000000"/>
              <w:right w:val="single" w:sz="9" w:space="0" w:color="D2D2D2"/>
            </w:tcBorders>
          </w:tcPr>
          <w:p>
            <w:pPr/>
          </w:p>
        </w:tc>
        <w:tc>
          <w:tcPr>
            <w:tcW w:w="13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7" w:type="dxa"/>
            <w:vMerge/>
            <w:tcBorders>
              <w:left w:val="single" w:sz="10" w:space="0" w:color="D2D2D2"/>
              <w:bottom w:val="single" w:sz="4" w:space="0" w:color="000000"/>
              <w:right w:val="single" w:sz="13" w:space="0" w:color="D2D2D2"/>
            </w:tcBorders>
          </w:tcPr>
          <w:p>
            <w:pPr/>
          </w:p>
        </w:tc>
        <w:tc>
          <w:tcPr>
            <w:tcW w:w="1306" w:type="dxa"/>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7" w:hRule="exact"/>
        </w:trPr>
        <w:tc>
          <w:tcPr>
            <w:tcW w:w="955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5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402" w:hRule="exact"/>
        </w:trPr>
        <w:tc>
          <w:tcPr>
            <w:tcW w:w="14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8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7" w:right="26"/>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4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3"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vMerge/>
            <w:tcBorders>
              <w:left w:val="single" w:sz="4" w:space="0" w:color="000000"/>
              <w:bottom w:val="single" w:sz="4" w:space="0" w:color="000000"/>
              <w:right w:val="single" w:sz="4" w:space="0" w:color="000000"/>
            </w:tcBorders>
            <w:shd w:val="clear" w:color="auto" w:fill="D2D2D2"/>
          </w:tcPr>
          <w:p>
            <w:pPr/>
          </w:p>
        </w:tc>
        <w:tc>
          <w:tcPr>
            <w:tcW w:w="1411"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c>
          <w:tcPr>
            <w:tcW w:w="840"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赵鸿飞</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36,322,48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36,322,48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越超有限公司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8,405,724</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8,405,724</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大洋中科特别目 的株式会社</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4,811,141</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4,811,141</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陈晓华</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3,806,365</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3,806,365</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96"/>
              <w:jc w:val="left"/>
              <w:rPr>
                <w:rFonts w:ascii="Times New Roman" w:hAnsi="Times New Roman" w:cs="Times New Roman" w:eastAsia="Times New Roman" w:hint="default"/>
                <w:sz w:val="18"/>
                <w:szCs w:val="18"/>
              </w:rPr>
            </w:pPr>
            <w:r>
              <w:rPr>
                <w:rFonts w:ascii="Times New Roman"/>
                <w:sz w:val="18"/>
              </w:rPr>
              <w:t>Qualcomm</w:t>
            </w:r>
            <w:r>
              <w:rPr>
                <w:rFonts w:ascii="Times New Roman"/>
                <w:w w:val="99"/>
                <w:sz w:val="18"/>
              </w:rPr>
              <w:t> </w:t>
            </w:r>
            <w:r>
              <w:rPr>
                <w:rFonts w:ascii="Times New Roman"/>
                <w:sz w:val="18"/>
              </w:rPr>
              <w:t>International,Inc.</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3,171,973</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3,171,973</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国科瑞祺物联网 创业投资有限公 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2,854,774</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2,854,774</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
              <w:jc w:val="left"/>
              <w:rPr>
                <w:rFonts w:ascii="宋体" w:hAnsi="宋体" w:cs="宋体" w:eastAsia="宋体" w:hint="default"/>
                <w:sz w:val="18"/>
                <w:szCs w:val="18"/>
              </w:rPr>
            </w:pPr>
            <w:r>
              <w:rPr>
                <w:rFonts w:ascii="宋体" w:hAnsi="宋体" w:cs="宋体" w:eastAsia="宋体" w:hint="default"/>
                <w:sz w:val="18"/>
                <w:szCs w:val="18"/>
              </w:rPr>
              <w:t>展讯通信（天津） 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2,231,250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2,231,250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达孜县创达汇咨 询有限公司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1,962,883</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1,962,883</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达孜县创达立咨 询有限公司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1,925,633</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1,925,633</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达孜县创达信科 技有限公司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1,885,858</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1,885,858</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上述股东之间不存在关联关系</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廖启昌</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319,949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319,949</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沈良驹</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陆凯磊</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张红兰</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陈新华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洪郁华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30,308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30,308</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郑佳</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80"/>
        <w:gridCol w:w="3989"/>
        <w:gridCol w:w="1349"/>
        <w:gridCol w:w="1350"/>
      </w:tblGrid>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谢韬</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18,250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虞芙颖</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舒逸民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12,375</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6" w:right="0"/>
              <w:jc w:val="left"/>
              <w:rPr>
                <w:rFonts w:ascii="宋体" w:hAnsi="宋体" w:cs="宋体" w:eastAsia="宋体" w:hint="default"/>
                <w:sz w:val="18"/>
                <w:szCs w:val="18"/>
              </w:rPr>
            </w:pPr>
            <w:r>
              <w:rPr>
                <w:rFonts w:ascii="宋体" w:hAnsi="宋体" w:cs="宋体" w:eastAsia="宋体" w:hint="default"/>
                <w:sz w:val="18"/>
                <w:szCs w:val="18"/>
              </w:rPr>
              <w:t>未知</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133" w:right="3499"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left="1134" w:right="3499"/>
        <w:jc w:val="left"/>
        <w:rPr>
          <w:b w:val="0"/>
          <w:bCs w:val="0"/>
        </w:rPr>
      </w:pPr>
      <w:bookmarkStart w:name="2、公司控股股东情况" w:id="111"/>
      <w:bookmarkEnd w:id="11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134" w:right="8592"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12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赵鸿飞</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5"/>
        <w:ind w:left="1134" w:right="3499"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3499"/>
        <w:jc w:val="left"/>
        <w:rPr>
          <w:b w:val="0"/>
          <w:bCs w:val="0"/>
        </w:rPr>
      </w:pPr>
      <w:bookmarkStart w:name="3、公司实际控制人情况" w:id="112"/>
      <w:bookmarkEnd w:id="112"/>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13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28"/>
        <w:gridCol w:w="2121"/>
        <w:gridCol w:w="4120"/>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赵鸿飞</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5"/>
        <w:ind w:left="1134" w:right="3499"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0" w:lineRule="auto" w:before="117"/>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5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3"/>
          <w:szCs w:val="13"/>
        </w:rPr>
      </w:pPr>
    </w:p>
    <w:p>
      <w:pPr>
        <w:spacing w:line="4245" w:lineRule="exact"/>
        <w:ind w:left="2336"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4591426" cy="26955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4591426" cy="2695575"/>
                    </a:xfrm>
                    <a:prstGeom prst="rect">
                      <a:avLst/>
                    </a:prstGeom>
                  </pic:spPr>
                </pic:pic>
              </a:graphicData>
            </a:graphic>
          </wp:inline>
        </w:drawing>
      </w:r>
      <w:r>
        <w:rPr>
          <w:rFonts w:ascii="宋体" w:hAnsi="宋体" w:cs="宋体" w:eastAsia="宋体" w:hint="default"/>
          <w:position w:val="-84"/>
          <w:sz w:val="20"/>
          <w:szCs w:val="20"/>
        </w:rPr>
      </w:r>
    </w:p>
    <w:p>
      <w:pPr>
        <w:spacing w:line="240" w:lineRule="auto" w:before="9"/>
        <w:rPr>
          <w:rFonts w:ascii="宋体" w:hAnsi="宋体" w:cs="宋体" w:eastAsia="宋体" w:hint="default"/>
          <w:sz w:val="17"/>
          <w:szCs w:val="17"/>
        </w:rPr>
      </w:pPr>
    </w:p>
    <w:p>
      <w:pPr>
        <w:spacing w:before="44"/>
        <w:ind w:left="1133" w:right="3499"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6"/>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3499"/>
        <w:jc w:val="left"/>
        <w:rPr>
          <w:b w:val="0"/>
          <w:bCs w:val="0"/>
        </w:rPr>
      </w:pPr>
      <w:bookmarkStart w:name="4、其他持股在10%以上的法人股东" w:id="113"/>
      <w:bookmarkEnd w:id="11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3499"/>
        <w:jc w:val="left"/>
        <w:rPr>
          <w:b w:val="0"/>
          <w:bCs w:val="0"/>
        </w:rPr>
      </w:pPr>
      <w:bookmarkStart w:name="5、控股股东、实际控制人、重组方及其他承诺主体股份限制减持情况" w:id="114"/>
      <w:bookmarkEnd w:id="11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spacing w:before="0"/>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_TOC_250004" w:id="115"/>
      <w:bookmarkStart w:name="第七节 优先股相关情况" w:id="116"/>
      <w:r>
        <w:rPr>
          <w:b w:val="0"/>
          <w:bCs w:val="0"/>
        </w:rPr>
      </w:r>
      <w:r>
        <w:rPr/>
        <w:t>第七节</w:t>
      </w:r>
      <w:r>
        <w:rPr>
          <w:spacing w:val="-8"/>
        </w:rPr>
        <w:t> </w:t>
      </w:r>
      <w:r>
        <w:rPr/>
        <w:t>优先股相关情况</w:t>
      </w:r>
      <w:bookmarkEnd w:id="115"/>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13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_TOC_250003" w:id="117"/>
      <w:bookmarkStart w:name="第八节 董事、监事、高级管理人员和员工情况" w:id="118"/>
      <w:r>
        <w:rPr>
          <w:b w:val="0"/>
          <w:bCs w:val="0"/>
        </w:rPr>
      </w:r>
      <w:r>
        <w:rPr/>
        <w:t>第八节</w:t>
      </w:r>
      <w:r>
        <w:rPr>
          <w:spacing w:val="-16"/>
        </w:rPr>
        <w:t> </w:t>
      </w:r>
      <w:r>
        <w:rPr/>
        <w:t>董事、监事、高级管理人员和员工情况</w:t>
      </w:r>
      <w:bookmarkEnd w:id="117"/>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3499"/>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444"/>
        <w:gridCol w:w="566"/>
        <w:gridCol w:w="851"/>
        <w:gridCol w:w="851"/>
        <w:gridCol w:w="992"/>
        <w:gridCol w:w="850"/>
        <w:gridCol w:w="710"/>
        <w:gridCol w:w="851"/>
        <w:gridCol w:w="1067"/>
      </w:tblGrid>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59"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4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0" w:right="77"/>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80"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59" w:firstLine="37"/>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4"/>
                <w:sz w:val="18"/>
                <w:szCs w:val="18"/>
              </w:rPr>
              <w:t>变动（股</w:t>
            </w: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77"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tabs>
                <w:tab w:pos="257" w:val="left" w:leader="none"/>
              </w:tabs>
              <w:spacing w:line="240" w:lineRule="auto" w:before="76"/>
              <w:ind w:left="-124" w:right="0"/>
              <w:jc w:val="left"/>
              <w:rPr>
                <w:rFonts w:ascii="宋体" w:hAnsi="宋体" w:cs="宋体" w:eastAsia="宋体" w:hint="default"/>
                <w:sz w:val="18"/>
                <w:szCs w:val="18"/>
              </w:rPr>
            </w:pPr>
            <w:r>
              <w:rPr>
                <w:rFonts w:ascii="宋体" w:hAnsi="宋体" w:cs="宋体" w:eastAsia="宋体" w:hint="default"/>
                <w:sz w:val="18"/>
                <w:szCs w:val="18"/>
              </w:rPr>
              <w:t>）</w:t>
              <w:tab/>
              <w:t>（股）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赵鸿飞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36,322,483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36,322,483</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耿增强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1,498,837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1,498,837</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吴安华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1,578,388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1,578,388</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董事、财 务总监、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陈晓华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3,806,365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3,806,365</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杨瑞荣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唐林林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45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刘学徽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邹鹏程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294,527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294,527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444"/>
        <w:gridCol w:w="566"/>
        <w:gridCol w:w="851"/>
        <w:gridCol w:w="851"/>
        <w:gridCol w:w="992"/>
        <w:gridCol w:w="850"/>
        <w:gridCol w:w="710"/>
        <w:gridCol w:w="851"/>
        <w:gridCol w:w="1067"/>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33"/>
              <w:jc w:val="left"/>
              <w:rPr>
                <w:rFonts w:ascii="Times New Roman" w:hAnsi="Times New Roman" w:cs="Times New Roman" w:eastAsia="Times New Roman" w:hint="default"/>
                <w:sz w:val="18"/>
                <w:szCs w:val="18"/>
              </w:rPr>
            </w:pPr>
            <w:r>
              <w:rPr>
                <w:rFonts w:ascii="Times New Roman"/>
                <w:sz w:val="18"/>
              </w:rPr>
              <w:t>John</w:t>
            </w:r>
            <w:r>
              <w:rPr>
                <w:rFonts w:ascii="Times New Roman"/>
                <w:w w:val="99"/>
                <w:sz w:val="18"/>
              </w:rPr>
              <w:t> </w:t>
            </w:r>
            <w:r>
              <w:rPr>
                <w:rFonts w:ascii="Times New Roman"/>
                <w:sz w:val="18"/>
              </w:rPr>
              <w:t>Peter</w:t>
            </w:r>
            <w:r>
              <w:rPr>
                <w:rFonts w:ascii="Times New Roman"/>
                <w:w w:val="99"/>
                <w:sz w:val="18"/>
              </w:rPr>
              <w:t> </w:t>
            </w:r>
            <w:r>
              <w:rPr>
                <w:rFonts w:ascii="Times New Roman"/>
                <w:sz w:val="18"/>
              </w:rPr>
              <w:t>Cipolla</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62"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胡世民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62"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段志强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1,585,709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1,585,709</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45,086,309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45,086,309</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3499"/>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胡事民</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540"/>
              <w:jc w:val="left"/>
              <w:rPr>
                <w:rFonts w:ascii="Times New Roman" w:hAnsi="Times New Roman" w:cs="Times New Roman" w:eastAsia="Times New Roman" w:hint="default"/>
                <w:sz w:val="18"/>
                <w:szCs w:val="18"/>
              </w:rPr>
            </w:pPr>
            <w:r>
              <w:rPr>
                <w:rFonts w:ascii="Times New Roman"/>
                <w:sz w:val="18"/>
              </w:rPr>
              <w:t>John</w:t>
            </w:r>
            <w:r>
              <w:rPr>
                <w:rFonts w:ascii="Times New Roman"/>
                <w:spacing w:val="-1"/>
                <w:sz w:val="18"/>
              </w:rPr>
              <w:t> </w:t>
            </w:r>
            <w:r>
              <w:rPr>
                <w:rFonts w:ascii="Times New Roman"/>
                <w:sz w:val="18"/>
              </w:rPr>
              <w:t>Peter</w:t>
            </w:r>
            <w:r>
              <w:rPr>
                <w:rFonts w:ascii="Times New Roman"/>
                <w:w w:val="99"/>
                <w:sz w:val="18"/>
              </w:rPr>
              <w:t> </w:t>
            </w:r>
            <w:r>
              <w:rPr>
                <w:rFonts w:ascii="Times New Roman"/>
                <w:sz w:val="18"/>
              </w:rPr>
              <w:t>Cipolla</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段志强</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主动辞职</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3499"/>
        <w:jc w:val="left"/>
        <w:rPr>
          <w:b w:val="0"/>
          <w:bCs w:val="0"/>
        </w:rPr>
      </w:pPr>
      <w:bookmarkStart w:name="三、任职情况" w:id="121"/>
      <w:bookmarkEnd w:id="121"/>
      <w:r>
        <w:rPr>
          <w:b w:val="0"/>
          <w:bCs w:val="0"/>
        </w:rPr>
      </w:r>
      <w:r>
        <w:rPr/>
        <w:t>三、任职情况</w:t>
      </w:r>
      <w:r>
        <w:rPr>
          <w:b w:val="0"/>
          <w:bCs w:val="0"/>
        </w:rPr>
      </w:r>
    </w:p>
    <w:p>
      <w:pPr>
        <w:spacing w:line="240" w:lineRule="auto" w:before="9"/>
        <w:rPr>
          <w:rFonts w:ascii="宋体" w:hAnsi="宋体" w:cs="宋体" w:eastAsia="宋体" w:hint="default"/>
          <w:b/>
          <w:bCs/>
          <w:sz w:val="24"/>
          <w:szCs w:val="24"/>
        </w:rPr>
      </w:pPr>
    </w:p>
    <w:p>
      <w:pPr>
        <w:pStyle w:val="BodyText"/>
        <w:spacing w:line="376" w:lineRule="auto"/>
        <w:ind w:left="1553" w:right="2563" w:hanging="420"/>
        <w:jc w:val="left"/>
      </w:pPr>
      <w:r>
        <w:rPr/>
        <w:t>公司现任董事、监事、高级管理人员专业背景、主要工作经历以及目前在公司的主要职责 非独立董事：</w:t>
      </w:r>
    </w:p>
    <w:p>
      <w:pPr>
        <w:pStyle w:val="BodyText"/>
        <w:spacing w:line="273" w:lineRule="auto" w:before="37"/>
        <w:ind w:left="1134" w:right="1133" w:firstLine="360"/>
        <w:jc w:val="both"/>
      </w:pPr>
      <w:r>
        <w:rPr/>
        <w:t>赵鸿飞先生，</w:t>
      </w:r>
      <w:r>
        <w:rPr>
          <w:rFonts w:ascii="宋体" w:hAnsi="宋体" w:cs="宋体" w:eastAsia="宋体" w:hint="default"/>
        </w:rPr>
        <w:t>1974</w:t>
      </w:r>
      <w:r>
        <w:rPr/>
        <w:t>年出生，中国国籍，无境外永久居留权，毕业于北京理工大学计算机应用专业，工 学硕士学位。</w:t>
      </w:r>
    </w:p>
    <w:p>
      <w:pPr>
        <w:pStyle w:val="BodyText"/>
        <w:spacing w:line="273" w:lineRule="auto" w:before="127"/>
        <w:ind w:right="1131" w:firstLine="360"/>
        <w:jc w:val="both"/>
      </w:pPr>
      <w:r>
        <w:rPr>
          <w:spacing w:val="-2"/>
        </w:rPr>
        <w:t>自</w:t>
      </w:r>
      <w:r>
        <w:rPr>
          <w:rFonts w:ascii="宋体" w:hAnsi="宋体" w:cs="宋体" w:eastAsia="宋体" w:hint="default"/>
          <w:spacing w:val="-2"/>
        </w:rPr>
        <w:t>2008</w:t>
      </w:r>
      <w:r>
        <w:rPr>
          <w:spacing w:val="-2"/>
        </w:rPr>
        <w:t>年</w:t>
      </w:r>
      <w:r>
        <w:rPr>
          <w:rFonts w:ascii="宋体" w:hAnsi="宋体" w:cs="宋体" w:eastAsia="宋体" w:hint="default"/>
          <w:spacing w:val="-2"/>
        </w:rPr>
        <w:t>3</w:t>
      </w:r>
      <w:r>
        <w:rPr>
          <w:spacing w:val="-2"/>
        </w:rPr>
        <w:t>月至今担任本公司董事；自</w:t>
      </w:r>
      <w:r>
        <w:rPr>
          <w:rFonts w:ascii="宋体" w:hAnsi="宋体" w:cs="宋体" w:eastAsia="宋体" w:hint="default"/>
          <w:spacing w:val="-2"/>
        </w:rPr>
        <w:t>2009</w:t>
      </w:r>
      <w:r>
        <w:rPr>
          <w:spacing w:val="-2"/>
        </w:rPr>
        <w:t>年</w:t>
      </w:r>
      <w:r>
        <w:rPr>
          <w:rFonts w:ascii="宋体" w:hAnsi="宋体" w:cs="宋体" w:eastAsia="宋体" w:hint="default"/>
          <w:spacing w:val="-2"/>
        </w:rPr>
        <w:t>10</w:t>
      </w:r>
      <w:r>
        <w:rPr>
          <w:spacing w:val="-2"/>
        </w:rPr>
        <w:t>月至今担任公司董事长；自</w:t>
      </w:r>
      <w:r>
        <w:rPr>
          <w:rFonts w:ascii="宋体" w:hAnsi="宋体" w:cs="宋体" w:eastAsia="宋体" w:hint="default"/>
          <w:spacing w:val="-2"/>
        </w:rPr>
        <w:t>2008</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2012</w:t>
      </w:r>
      <w:r>
        <w:rPr>
          <w:spacing w:val="-2"/>
        </w:rPr>
        <w:t>年</w:t>
      </w:r>
      <w:r>
        <w:rPr>
          <w:rFonts w:ascii="宋体" w:hAnsi="宋体" w:cs="宋体" w:eastAsia="宋体" w:hint="default"/>
          <w:spacing w:val="-2"/>
        </w:rPr>
        <w:t>9</w:t>
      </w:r>
      <w:r>
        <w:rPr>
          <w:spacing w:val="-2"/>
        </w:rPr>
        <w:t>月担任</w:t>
      </w:r>
      <w:r>
        <w:rPr/>
        <w:t> </w:t>
      </w:r>
      <w:r>
        <w:rPr>
          <w:spacing w:val="-1"/>
        </w:rPr>
        <w:t>公司总经理。自</w:t>
      </w:r>
      <w:r>
        <w:rPr>
          <w:rFonts w:ascii="宋体" w:hAnsi="宋体" w:cs="宋体" w:eastAsia="宋体" w:hint="default"/>
          <w:spacing w:val="-1"/>
        </w:rPr>
        <w:t>2006</w:t>
      </w:r>
      <w:r>
        <w:rPr>
          <w:spacing w:val="-1"/>
        </w:rPr>
        <w:t>年</w:t>
      </w:r>
      <w:r>
        <w:rPr>
          <w:rFonts w:ascii="宋体" w:hAnsi="宋体" w:cs="宋体" w:eastAsia="宋体" w:hint="default"/>
          <w:spacing w:val="-1"/>
        </w:rPr>
        <w:t>9</w:t>
      </w:r>
      <w:r>
        <w:rPr>
          <w:spacing w:val="-1"/>
        </w:rPr>
        <w:t>月至</w:t>
      </w:r>
      <w:r>
        <w:rPr>
          <w:rFonts w:ascii="宋体" w:hAnsi="宋体" w:cs="宋体" w:eastAsia="宋体" w:hint="default"/>
          <w:spacing w:val="-1"/>
        </w:rPr>
        <w:t>2008</w:t>
      </w:r>
      <w:r>
        <w:rPr>
          <w:spacing w:val="-1"/>
        </w:rPr>
        <w:t>年</w:t>
      </w:r>
      <w:r>
        <w:rPr>
          <w:rFonts w:ascii="宋体" w:hAnsi="宋体" w:cs="宋体" w:eastAsia="宋体" w:hint="default"/>
          <w:spacing w:val="-1"/>
        </w:rPr>
        <w:t>2</w:t>
      </w:r>
      <w:r>
        <w:rPr>
          <w:spacing w:val="-1"/>
        </w:rPr>
        <w:t>月，担任北京天桥北大青鸟科技股份有限公司（现已更名为：信达地</w:t>
      </w:r>
      <w:r>
        <w:rPr>
          <w:spacing w:val="-82"/>
        </w:rPr>
        <w:t> </w:t>
      </w:r>
      <w:r>
        <w:rPr>
          <w:spacing w:val="-82"/>
        </w:rPr>
      </w:r>
      <w:r>
        <w:rPr>
          <w:spacing w:val="-1"/>
        </w:rPr>
        <w:t>产股份有限公司）海外事业部副总经理；自</w:t>
      </w:r>
      <w:r>
        <w:rPr>
          <w:rFonts w:ascii="宋体" w:hAnsi="宋体" w:cs="宋体" w:eastAsia="宋体" w:hint="default"/>
          <w:spacing w:val="-1"/>
        </w:rPr>
        <w:t>1998</w:t>
      </w:r>
      <w:r>
        <w:rPr>
          <w:spacing w:val="-1"/>
        </w:rPr>
        <w:t>年</w:t>
      </w:r>
      <w:r>
        <w:rPr>
          <w:rFonts w:ascii="宋体" w:hAnsi="宋体" w:cs="宋体" w:eastAsia="宋体" w:hint="default"/>
          <w:spacing w:val="-1"/>
        </w:rPr>
        <w:t>3</w:t>
      </w:r>
      <w:r>
        <w:rPr>
          <w:spacing w:val="-1"/>
        </w:rPr>
        <w:t>月至</w:t>
      </w:r>
      <w:r>
        <w:rPr>
          <w:rFonts w:ascii="宋体" w:hAnsi="宋体" w:cs="宋体" w:eastAsia="宋体" w:hint="default"/>
          <w:spacing w:val="-1"/>
        </w:rPr>
        <w:t>2006</w:t>
      </w:r>
      <w:r>
        <w:rPr>
          <w:spacing w:val="-1"/>
        </w:rPr>
        <w:t>年</w:t>
      </w:r>
      <w:r>
        <w:rPr>
          <w:rFonts w:ascii="宋体" w:hAnsi="宋体" w:cs="宋体" w:eastAsia="宋体" w:hint="default"/>
          <w:spacing w:val="-1"/>
        </w:rPr>
        <w:t>8</w:t>
      </w:r>
      <w:r>
        <w:rPr>
          <w:spacing w:val="-1"/>
        </w:rPr>
        <w:t>月，历任恩益禧（</w:t>
      </w:r>
      <w:r>
        <w:rPr>
          <w:rFonts w:ascii="宋体" w:hAnsi="宋体" w:cs="宋体" w:eastAsia="宋体" w:hint="default"/>
          <w:spacing w:val="-1"/>
        </w:rPr>
        <w:t>NEC</w:t>
      </w:r>
      <w:r>
        <w:rPr>
          <w:spacing w:val="-1"/>
        </w:rPr>
        <w:t>）</w:t>
      </w:r>
      <w:r>
        <w:rPr>
          <w:rFonts w:ascii="宋体" w:hAnsi="宋体" w:cs="宋体" w:eastAsia="宋体" w:hint="default"/>
          <w:spacing w:val="-1"/>
        </w:rPr>
        <w:t>-</w:t>
      </w:r>
      <w:r>
        <w:rPr>
          <w:spacing w:val="-1"/>
        </w:rPr>
        <w:t>中科院软件研究</w:t>
      </w:r>
      <w:r>
        <w:rPr>
          <w:spacing w:val="-82"/>
        </w:rPr>
        <w:t> </w:t>
      </w:r>
      <w:r>
        <w:rPr>
          <w:spacing w:val="-82"/>
        </w:rPr>
      </w:r>
      <w:r>
        <w:rPr/>
        <w:t>所有限公司（现已更名为：日电卓越软件科技（北京）有限公司）工程师、项目经理。</w:t>
      </w:r>
    </w:p>
    <w:p>
      <w:pPr>
        <w:pStyle w:val="BodyText"/>
        <w:spacing w:line="273" w:lineRule="auto" w:before="127"/>
        <w:ind w:right="1133" w:firstLine="360"/>
        <w:jc w:val="both"/>
      </w:pPr>
      <w:r>
        <w:rPr/>
        <w:t>吴安华女士，</w:t>
      </w:r>
      <w:r>
        <w:rPr>
          <w:rFonts w:ascii="宋体" w:hAnsi="宋体" w:cs="宋体" w:eastAsia="宋体" w:hint="default"/>
        </w:rPr>
        <w:t>1967</w:t>
      </w:r>
      <w:r>
        <w:rPr/>
        <w:t>年出生，中国国籍，无境外永久居留权，毕业于中国科学院软件研究所计算机软件 专业，工学硕士学位。</w:t>
      </w:r>
    </w:p>
    <w:p>
      <w:pPr>
        <w:pStyle w:val="BodyText"/>
        <w:spacing w:line="273" w:lineRule="auto" w:before="127"/>
        <w:ind w:right="1127" w:firstLine="360"/>
        <w:jc w:val="both"/>
      </w:pPr>
      <w:r>
        <w:rPr/>
        <w:t>自</w:t>
      </w:r>
      <w:r>
        <w:rPr>
          <w:rFonts w:ascii="宋体" w:hAnsi="宋体" w:cs="宋体" w:eastAsia="宋体" w:hint="default"/>
        </w:rPr>
        <w:t>2008</w:t>
      </w:r>
      <w:r>
        <w:rPr/>
        <w:t>年</w:t>
      </w:r>
      <w:r>
        <w:rPr>
          <w:rFonts w:ascii="宋体" w:hAnsi="宋体" w:cs="宋体" w:eastAsia="宋体" w:hint="default"/>
        </w:rPr>
        <w:t>3</w:t>
      </w:r>
      <w:r>
        <w:rPr/>
        <w:t>月至今担任本公司董事；自</w:t>
      </w:r>
      <w:r>
        <w:rPr>
          <w:rFonts w:ascii="宋体" w:hAnsi="宋体" w:cs="宋体" w:eastAsia="宋体" w:hint="default"/>
        </w:rPr>
        <w:t>2009</w:t>
      </w:r>
      <w:r>
        <w:rPr/>
        <w:t>年</w:t>
      </w:r>
      <w:r>
        <w:rPr>
          <w:rFonts w:ascii="宋体" w:hAnsi="宋体" w:cs="宋体" w:eastAsia="宋体" w:hint="default"/>
        </w:rPr>
        <w:t>10</w:t>
      </w:r>
      <w:r>
        <w:rPr/>
        <w:t>月至今担任本公司副董事长；自</w:t>
      </w:r>
      <w:r>
        <w:rPr>
          <w:rFonts w:ascii="宋体" w:hAnsi="宋体" w:cs="宋体" w:eastAsia="宋体" w:hint="default"/>
        </w:rPr>
        <w:t>2012</w:t>
      </w:r>
      <w:r>
        <w:rPr/>
        <w:t>年</w:t>
      </w:r>
      <w:r>
        <w:rPr>
          <w:rFonts w:ascii="宋体" w:hAnsi="宋体" w:cs="宋体" w:eastAsia="宋体" w:hint="default"/>
        </w:rPr>
        <w:t>9</w:t>
      </w:r>
      <w:r>
        <w:rPr/>
        <w:t>月至今担任本 </w:t>
      </w:r>
      <w:r>
        <w:rPr>
          <w:spacing w:val="-1"/>
        </w:rPr>
        <w:t>公司副总经理；自</w:t>
      </w:r>
      <w:r>
        <w:rPr>
          <w:rFonts w:ascii="宋体" w:hAnsi="宋体" w:cs="宋体" w:eastAsia="宋体" w:hint="default"/>
          <w:spacing w:val="-1"/>
        </w:rPr>
        <w:t>2008</w:t>
      </w:r>
      <w:r>
        <w:rPr>
          <w:spacing w:val="-1"/>
        </w:rPr>
        <w:t>年</w:t>
      </w:r>
      <w:r>
        <w:rPr>
          <w:rFonts w:ascii="宋体" w:hAnsi="宋体" w:cs="宋体" w:eastAsia="宋体" w:hint="default"/>
          <w:spacing w:val="-1"/>
        </w:rPr>
        <w:t>3</w:t>
      </w:r>
      <w:r>
        <w:rPr>
          <w:spacing w:val="-1"/>
        </w:rPr>
        <w:t>月至</w:t>
      </w:r>
      <w:r>
        <w:rPr>
          <w:rFonts w:ascii="宋体" w:hAnsi="宋体" w:cs="宋体" w:eastAsia="宋体" w:hint="default"/>
          <w:spacing w:val="-1"/>
        </w:rPr>
        <w:t>2012</w:t>
      </w:r>
      <w:r>
        <w:rPr>
          <w:spacing w:val="-1"/>
        </w:rPr>
        <w:t>年</w:t>
      </w:r>
      <w:r>
        <w:rPr>
          <w:rFonts w:ascii="宋体" w:hAnsi="宋体" w:cs="宋体" w:eastAsia="宋体" w:hint="default"/>
          <w:spacing w:val="-1"/>
        </w:rPr>
        <w:t>9</w:t>
      </w:r>
      <w:r>
        <w:rPr>
          <w:spacing w:val="-1"/>
        </w:rPr>
        <w:t>月历任公司副总裁高级副总裁。</w:t>
      </w:r>
      <w:r>
        <w:rPr>
          <w:rFonts w:ascii="宋体" w:hAnsi="宋体" w:cs="宋体" w:eastAsia="宋体" w:hint="default"/>
          <w:spacing w:val="-1"/>
        </w:rPr>
        <w:t>2006</w:t>
      </w:r>
      <w:r>
        <w:rPr>
          <w:spacing w:val="-1"/>
        </w:rPr>
        <w:t>年</w:t>
      </w:r>
      <w:r>
        <w:rPr>
          <w:rFonts w:ascii="宋体" w:hAnsi="宋体" w:cs="宋体" w:eastAsia="宋体" w:hint="default"/>
          <w:spacing w:val="-1"/>
        </w:rPr>
        <w:t>9</w:t>
      </w:r>
      <w:r>
        <w:rPr>
          <w:spacing w:val="-1"/>
        </w:rPr>
        <w:t>月至</w:t>
      </w:r>
      <w:r>
        <w:rPr>
          <w:rFonts w:ascii="宋体" w:hAnsi="宋体" w:cs="宋体" w:eastAsia="宋体" w:hint="default"/>
          <w:spacing w:val="-1"/>
        </w:rPr>
        <w:t>2008</w:t>
      </w:r>
      <w:r>
        <w:rPr>
          <w:spacing w:val="-1"/>
        </w:rPr>
        <w:t>年</w:t>
      </w:r>
      <w:r>
        <w:rPr>
          <w:rFonts w:ascii="宋体" w:hAnsi="宋体" w:cs="宋体" w:eastAsia="宋体" w:hint="default"/>
          <w:spacing w:val="-1"/>
        </w:rPr>
        <w:t>2</w:t>
      </w:r>
      <w:r>
        <w:rPr>
          <w:spacing w:val="-1"/>
        </w:rPr>
        <w:t>月，担任北京</w:t>
      </w:r>
      <w:r>
        <w:rPr>
          <w:spacing w:val="-77"/>
        </w:rPr>
        <w:t> </w:t>
      </w:r>
      <w:r>
        <w:rPr>
          <w:spacing w:val="-77"/>
        </w:rPr>
      </w:r>
      <w:r>
        <w:rPr/>
        <w:t>天桥北大青鸟科技股份有限公司（现已更名为信达地产股份有限公司）海外事业部总经理；</w:t>
      </w:r>
      <w:r>
        <w:rPr>
          <w:rFonts w:ascii="宋体" w:hAnsi="宋体" w:cs="宋体" w:eastAsia="宋体" w:hint="default"/>
        </w:rPr>
        <w:t>1994</w:t>
      </w:r>
      <w:r>
        <w:rPr/>
        <w:t>年</w:t>
      </w:r>
      <w:r>
        <w:rPr>
          <w:rFonts w:ascii="宋体" w:hAnsi="宋体" w:cs="宋体" w:eastAsia="宋体" w:hint="default"/>
        </w:rPr>
        <w:t>7</w:t>
      </w:r>
      <w:r>
        <w:rPr/>
        <w:t>月至</w:t>
      </w:r>
      <w:r>
        <w:rPr>
          <w:spacing w:val="-24"/>
        </w:rPr>
        <w:t> </w:t>
      </w:r>
      <w:r>
        <w:rPr>
          <w:rFonts w:ascii="宋体" w:hAnsi="宋体" w:cs="宋体" w:eastAsia="宋体" w:hint="default"/>
        </w:rPr>
        <w:t>2006</w:t>
      </w:r>
      <w:r>
        <w:rPr/>
        <w:t>年</w:t>
      </w:r>
      <w:r>
        <w:rPr>
          <w:rFonts w:ascii="宋体" w:hAnsi="宋体" w:cs="宋体" w:eastAsia="宋体" w:hint="default"/>
        </w:rPr>
        <w:t>6</w:t>
      </w:r>
      <w:r>
        <w:rPr/>
        <w:t>月，历任恩益禧（</w:t>
      </w:r>
      <w:r>
        <w:rPr>
          <w:rFonts w:ascii="宋体" w:hAnsi="宋体" w:cs="宋体" w:eastAsia="宋体" w:hint="default"/>
        </w:rPr>
        <w:t>NEC</w:t>
      </w:r>
      <w:r>
        <w:rPr/>
        <w:t>）</w:t>
      </w:r>
      <w:r>
        <w:rPr>
          <w:rFonts w:ascii="宋体" w:hAnsi="宋体" w:cs="宋体" w:eastAsia="宋体" w:hint="default"/>
        </w:rPr>
        <w:t>-</w:t>
      </w:r>
      <w:r>
        <w:rPr/>
        <w:t>中科院软件研究所有限公司（现已更名为：日电卓越软件科技（北京）</w:t>
      </w:r>
      <w:r>
        <w:rPr>
          <w:spacing w:val="-34"/>
        </w:rPr>
        <w:t> </w:t>
      </w:r>
      <w:r>
        <w:rPr>
          <w:spacing w:val="-34"/>
        </w:rPr>
      </w:r>
      <w:r>
        <w:rPr>
          <w:spacing w:val="-1"/>
        </w:rPr>
        <w:t>有限公司）工程师、项目经理、部门经理；</w:t>
      </w:r>
      <w:r>
        <w:rPr>
          <w:rFonts w:ascii="宋体" w:hAnsi="宋体" w:cs="宋体" w:eastAsia="宋体" w:hint="default"/>
          <w:spacing w:val="-1"/>
        </w:rPr>
        <w:t>1992</w:t>
      </w:r>
      <w:r>
        <w:rPr>
          <w:spacing w:val="-1"/>
        </w:rPr>
        <w:t>年</w:t>
      </w:r>
      <w:r>
        <w:rPr>
          <w:rFonts w:ascii="宋体" w:hAnsi="宋体" w:cs="宋体" w:eastAsia="宋体" w:hint="default"/>
          <w:spacing w:val="-1"/>
        </w:rPr>
        <w:t>7</w:t>
      </w:r>
      <w:r>
        <w:rPr>
          <w:spacing w:val="-1"/>
        </w:rPr>
        <w:t>月至</w:t>
      </w:r>
      <w:r>
        <w:rPr>
          <w:rFonts w:ascii="宋体" w:hAnsi="宋体" w:cs="宋体" w:eastAsia="宋体" w:hint="default"/>
          <w:spacing w:val="-1"/>
        </w:rPr>
        <w:t>1994</w:t>
      </w:r>
      <w:r>
        <w:rPr>
          <w:spacing w:val="-1"/>
        </w:rPr>
        <w:t>年</w:t>
      </w:r>
      <w:r>
        <w:rPr>
          <w:rFonts w:ascii="宋体" w:hAnsi="宋体" w:cs="宋体" w:eastAsia="宋体" w:hint="default"/>
          <w:spacing w:val="-1"/>
        </w:rPr>
        <w:t>6</w:t>
      </w:r>
      <w:r>
        <w:rPr>
          <w:spacing w:val="-1"/>
        </w:rPr>
        <w:t>月，历任中国科学院软件研究所助理工程</w:t>
      </w:r>
      <w:r>
        <w:rPr>
          <w:spacing w:val="-80"/>
        </w:rPr>
        <w:t> </w:t>
      </w:r>
      <w:r>
        <w:rPr>
          <w:spacing w:val="-80"/>
        </w:rPr>
      </w:r>
      <w:r>
        <w:rPr/>
        <w:t>师、工程师。</w:t>
      </w:r>
    </w:p>
    <w:p>
      <w:pPr>
        <w:pStyle w:val="BodyText"/>
        <w:spacing w:line="273" w:lineRule="auto" w:before="127"/>
        <w:ind w:right="1133" w:firstLine="360"/>
        <w:jc w:val="both"/>
      </w:pPr>
      <w:r>
        <w:rPr/>
        <w:t>耿增强先生，</w:t>
      </w:r>
      <w:r>
        <w:rPr>
          <w:rFonts w:ascii="宋体" w:hAnsi="宋体" w:cs="宋体" w:eastAsia="宋体" w:hint="default"/>
        </w:rPr>
        <w:t>1974</w:t>
      </w:r>
      <w:r>
        <w:rPr/>
        <w:t>年出生，中国国籍，无境外永久居留权，毕业于中国科学院软件研究所，获得计算 机软件硕士学位</w:t>
      </w:r>
    </w:p>
    <w:p>
      <w:pPr>
        <w:spacing w:after="0" w:line="273"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73" w:lineRule="auto" w:before="35"/>
        <w:ind w:right="1132" w:firstLine="360"/>
        <w:jc w:val="both"/>
      </w:pPr>
      <w:r>
        <w:rPr>
          <w:spacing w:val="-2"/>
        </w:rPr>
        <w:t>自</w:t>
      </w: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月至今担任公司董事；自</w:t>
      </w:r>
      <w:r>
        <w:rPr>
          <w:rFonts w:ascii="宋体" w:hAnsi="宋体" w:cs="宋体" w:eastAsia="宋体" w:hint="default"/>
          <w:spacing w:val="-2"/>
        </w:rPr>
        <w:t>2012</w:t>
      </w:r>
      <w:r>
        <w:rPr>
          <w:spacing w:val="-2"/>
        </w:rPr>
        <w:t>年</w:t>
      </w:r>
      <w:r>
        <w:rPr>
          <w:rFonts w:ascii="宋体" w:hAnsi="宋体" w:cs="宋体" w:eastAsia="宋体" w:hint="default"/>
          <w:spacing w:val="-2"/>
        </w:rPr>
        <w:t>9</w:t>
      </w:r>
      <w:r>
        <w:rPr>
          <w:spacing w:val="-2"/>
        </w:rPr>
        <w:t>月至今担任公司总经理；自</w:t>
      </w:r>
      <w:r>
        <w:rPr>
          <w:rFonts w:ascii="宋体" w:hAnsi="宋体" w:cs="宋体" w:eastAsia="宋体" w:hint="default"/>
          <w:spacing w:val="-2"/>
        </w:rPr>
        <w:t>2009</w:t>
      </w:r>
      <w:r>
        <w:rPr>
          <w:spacing w:val="-2"/>
        </w:rPr>
        <w:t>年</w:t>
      </w:r>
      <w:r>
        <w:rPr>
          <w:rFonts w:ascii="宋体" w:hAnsi="宋体" w:cs="宋体" w:eastAsia="宋体" w:hint="default"/>
          <w:spacing w:val="-2"/>
        </w:rPr>
        <w:t>10</w:t>
      </w:r>
      <w:r>
        <w:rPr>
          <w:spacing w:val="-2"/>
        </w:rPr>
        <w:t>月至</w:t>
      </w:r>
      <w:r>
        <w:rPr>
          <w:rFonts w:ascii="宋体" w:hAnsi="宋体" w:cs="宋体" w:eastAsia="宋体" w:hint="default"/>
          <w:spacing w:val="-2"/>
        </w:rPr>
        <w:t>2010</w:t>
      </w:r>
      <w:r>
        <w:rPr>
          <w:spacing w:val="-2"/>
        </w:rPr>
        <w:t>年</w:t>
      </w:r>
      <w:r>
        <w:rPr>
          <w:rFonts w:ascii="宋体" w:hAnsi="宋体" w:cs="宋体" w:eastAsia="宋体" w:hint="default"/>
          <w:spacing w:val="-2"/>
        </w:rPr>
        <w:t>9</w:t>
      </w:r>
      <w:r>
        <w:rPr>
          <w:spacing w:val="-2"/>
        </w:rPr>
        <w:t>月任公司</w:t>
      </w:r>
      <w:r>
        <w:rPr/>
        <w:t> 副总裁；自</w:t>
      </w:r>
      <w:r>
        <w:rPr>
          <w:rFonts w:ascii="宋体" w:hAnsi="宋体" w:cs="宋体" w:eastAsia="宋体" w:hint="default"/>
        </w:rPr>
        <w:t>2010</w:t>
      </w:r>
      <w:r>
        <w:rPr/>
        <w:t>年</w:t>
      </w:r>
      <w:r>
        <w:rPr>
          <w:rFonts w:ascii="宋体" w:hAnsi="宋体" w:cs="宋体" w:eastAsia="宋体" w:hint="default"/>
        </w:rPr>
        <w:t>10</w:t>
      </w:r>
      <w:r>
        <w:rPr/>
        <w:t>月至</w:t>
      </w:r>
      <w:r>
        <w:rPr>
          <w:rFonts w:ascii="宋体" w:hAnsi="宋体" w:cs="宋体" w:eastAsia="宋体" w:hint="default"/>
        </w:rPr>
        <w:t>2012</w:t>
      </w:r>
      <w:r>
        <w:rPr/>
        <w:t>年</w:t>
      </w:r>
      <w:r>
        <w:rPr>
          <w:rFonts w:ascii="宋体" w:hAnsi="宋体" w:cs="宋体" w:eastAsia="宋体" w:hint="default"/>
        </w:rPr>
        <w:t>9</w:t>
      </w:r>
      <w:r>
        <w:rPr/>
        <w:t>月担任公司高级副总裁。自</w:t>
      </w:r>
      <w:r>
        <w:rPr>
          <w:rFonts w:ascii="宋体" w:hAnsi="宋体" w:cs="宋体" w:eastAsia="宋体" w:hint="default"/>
        </w:rPr>
        <w:t>2000</w:t>
      </w:r>
      <w:r>
        <w:rPr/>
        <w:t>年</w:t>
      </w:r>
      <w:r>
        <w:rPr>
          <w:rFonts w:ascii="宋体" w:hAnsi="宋体" w:cs="宋体" w:eastAsia="宋体" w:hint="default"/>
        </w:rPr>
        <w:t>7</w:t>
      </w:r>
      <w:r>
        <w:rPr/>
        <w:t>月至</w:t>
      </w:r>
      <w:r>
        <w:rPr>
          <w:rFonts w:ascii="宋体" w:hAnsi="宋体" w:cs="宋体" w:eastAsia="宋体" w:hint="default"/>
        </w:rPr>
        <w:t>2001</w:t>
      </w:r>
      <w:r>
        <w:rPr/>
        <w:t>年</w:t>
      </w:r>
      <w:r>
        <w:rPr>
          <w:rFonts w:ascii="宋体" w:hAnsi="宋体" w:cs="宋体" w:eastAsia="宋体" w:hint="default"/>
        </w:rPr>
        <w:t>7</w:t>
      </w:r>
      <w:r>
        <w:rPr/>
        <w:t>月，</w:t>
      </w:r>
      <w:r>
        <w:rPr>
          <w:rFonts w:ascii="宋体" w:hAnsi="宋体" w:cs="宋体" w:eastAsia="宋体" w:hint="default"/>
        </w:rPr>
        <w:t>2002</w:t>
      </w:r>
      <w:r>
        <w:rPr/>
        <w:t>年</w:t>
      </w:r>
      <w:r>
        <w:rPr>
          <w:rFonts w:ascii="宋体" w:hAnsi="宋体" w:cs="宋体" w:eastAsia="宋体" w:hint="default"/>
        </w:rPr>
        <w:t>10</w:t>
      </w:r>
      <w:r>
        <w:rPr/>
        <w:t>月至</w:t>
      </w:r>
      <w:r>
        <w:rPr>
          <w:rFonts w:ascii="宋体" w:hAnsi="宋体" w:cs="宋体" w:eastAsia="宋体" w:hint="default"/>
        </w:rPr>
        <w:t>2009</w:t>
      </w:r>
      <w:r>
        <w:rPr>
          <w:rFonts w:ascii="宋体" w:hAnsi="宋体" w:cs="宋体" w:eastAsia="宋体" w:hint="default"/>
          <w:spacing w:val="-36"/>
        </w:rPr>
        <w:t> </w:t>
      </w:r>
      <w:r>
        <w:rPr/>
        <w:t>年</w:t>
      </w:r>
      <w:r>
        <w:rPr>
          <w:rFonts w:ascii="宋体" w:hAnsi="宋体" w:cs="宋体" w:eastAsia="宋体" w:hint="default"/>
        </w:rPr>
        <w:t>4</w:t>
      </w:r>
      <w:r>
        <w:rPr/>
        <w:t>月历任北京中科红旗软件技术有限公司高级研发经理、高级产品经理、产品市场总监，无锡亚联开源</w:t>
      </w:r>
      <w:r>
        <w:rPr>
          <w:spacing w:val="-35"/>
        </w:rPr>
        <w:t> </w:t>
      </w:r>
      <w:r>
        <w:rPr>
          <w:spacing w:val="-35"/>
        </w:rPr>
      </w:r>
      <w:r>
        <w:rPr>
          <w:spacing w:val="3"/>
        </w:rPr>
        <w:t>软件技术有限公司总裁；自</w:t>
      </w:r>
      <w:r>
        <w:rPr>
          <w:rFonts w:ascii="宋体" w:hAnsi="宋体" w:cs="宋体" w:eastAsia="宋体" w:hint="default"/>
          <w:spacing w:val="3"/>
        </w:rPr>
        <w:t>1996</w:t>
      </w:r>
      <w:r>
        <w:rPr>
          <w:spacing w:val="3"/>
        </w:rPr>
        <w:t>年</w:t>
      </w:r>
      <w:r>
        <w:rPr>
          <w:rFonts w:ascii="宋体" w:hAnsi="宋体" w:cs="宋体" w:eastAsia="宋体" w:hint="default"/>
          <w:spacing w:val="3"/>
        </w:rPr>
        <w:t>8</w:t>
      </w:r>
      <w:r>
        <w:rPr>
          <w:spacing w:val="3"/>
        </w:rPr>
        <w:t>月至</w:t>
      </w:r>
      <w:r>
        <w:rPr>
          <w:rFonts w:ascii="宋体" w:hAnsi="宋体" w:cs="宋体" w:eastAsia="宋体" w:hint="default"/>
          <w:spacing w:val="3"/>
        </w:rPr>
        <w:t>1997</w:t>
      </w:r>
      <w:r>
        <w:rPr>
          <w:spacing w:val="3"/>
        </w:rPr>
        <w:t>年</w:t>
      </w:r>
      <w:r>
        <w:rPr>
          <w:rFonts w:ascii="宋体" w:hAnsi="宋体" w:cs="宋体" w:eastAsia="宋体" w:hint="default"/>
          <w:spacing w:val="3"/>
        </w:rPr>
        <w:t>8</w:t>
      </w:r>
      <w:r>
        <w:rPr>
          <w:spacing w:val="3"/>
        </w:rPr>
        <w:t>月担任中国工商银行宁夏分行银南中心支行科技科工程</w:t>
      </w:r>
      <w:r>
        <w:rPr>
          <w:spacing w:val="-94"/>
        </w:rPr>
        <w:t> </w:t>
      </w:r>
      <w:r>
        <w:rPr>
          <w:spacing w:val="-94"/>
        </w:rPr>
      </w:r>
      <w:r>
        <w:rPr/>
        <w:t>师。</w:t>
      </w:r>
    </w:p>
    <w:p>
      <w:pPr>
        <w:pStyle w:val="BodyText"/>
        <w:spacing w:line="273" w:lineRule="auto" w:before="127"/>
        <w:ind w:left="1134" w:right="1118" w:firstLine="360"/>
        <w:jc w:val="left"/>
      </w:pPr>
      <w:r>
        <w:rPr/>
        <w:t>武楠先生，</w:t>
      </w:r>
      <w:r>
        <w:rPr>
          <w:rFonts w:ascii="宋体" w:hAnsi="宋体" w:cs="宋体" w:eastAsia="宋体" w:hint="default"/>
        </w:rPr>
        <w:t>1981</w:t>
      </w:r>
      <w:r>
        <w:rPr/>
        <w:t>年出生，中国国籍，无境外永久居留权，毕业于南开大学经济学专业，经济学学士学 位。</w:t>
      </w:r>
    </w:p>
    <w:p>
      <w:pPr>
        <w:pStyle w:val="BodyText"/>
        <w:spacing w:line="273" w:lineRule="auto" w:before="127"/>
        <w:ind w:right="0" w:firstLine="360"/>
        <w:jc w:val="left"/>
      </w:pPr>
      <w:r>
        <w:rPr>
          <w:spacing w:val="-4"/>
        </w:rPr>
        <w:t>英国特许公认会计师（</w:t>
      </w:r>
      <w:r>
        <w:rPr>
          <w:rFonts w:ascii="宋体" w:hAnsi="宋体" w:cs="宋体" w:eastAsia="宋体" w:hint="default"/>
          <w:spacing w:val="-4"/>
        </w:rPr>
        <w:t>ACCA</w:t>
      </w:r>
      <w:r>
        <w:rPr>
          <w:spacing w:val="-4"/>
        </w:rPr>
        <w:t>）、中国注册会计师。自</w:t>
      </w:r>
      <w:r>
        <w:rPr>
          <w:rFonts w:ascii="宋体" w:hAnsi="宋体" w:cs="宋体" w:eastAsia="宋体" w:hint="default"/>
          <w:spacing w:val="-4"/>
        </w:rPr>
        <w:t>2012</w:t>
      </w:r>
      <w:r>
        <w:rPr>
          <w:spacing w:val="-4"/>
        </w:rPr>
        <w:t>年</w:t>
      </w:r>
      <w:r>
        <w:rPr>
          <w:rFonts w:ascii="宋体" w:hAnsi="宋体" w:cs="宋体" w:eastAsia="宋体" w:hint="default"/>
          <w:spacing w:val="-4"/>
        </w:rPr>
        <w:t>9</w:t>
      </w:r>
      <w:r>
        <w:rPr>
          <w:spacing w:val="-4"/>
        </w:rPr>
        <w:t>月至今担任本公司财务总监、董事会秘书，</w:t>
      </w:r>
      <w:r>
        <w:rPr/>
        <w:t> 自</w:t>
      </w:r>
      <w:r>
        <w:rPr>
          <w:rFonts w:ascii="宋体" w:hAnsi="宋体" w:cs="宋体" w:eastAsia="宋体" w:hint="default"/>
        </w:rPr>
        <w:t>2015</w:t>
      </w:r>
      <w:r>
        <w:rPr/>
        <w:t>年</w:t>
      </w:r>
      <w:r>
        <w:rPr>
          <w:rFonts w:ascii="宋体" w:hAnsi="宋体" w:cs="宋体" w:eastAsia="宋体" w:hint="default"/>
        </w:rPr>
        <w:t>7</w:t>
      </w:r>
      <w:r>
        <w:rPr/>
        <w:t>月至今担任本公司董事。自</w:t>
      </w:r>
      <w:r>
        <w:rPr>
          <w:rFonts w:ascii="宋体" w:hAnsi="宋体" w:cs="宋体" w:eastAsia="宋体" w:hint="default"/>
        </w:rPr>
        <w:t>2010</w:t>
      </w:r>
      <w:r>
        <w:rPr/>
        <w:t>年</w:t>
      </w:r>
      <w:r>
        <w:rPr>
          <w:rFonts w:ascii="宋体" w:hAnsi="宋体" w:cs="宋体" w:eastAsia="宋体" w:hint="default"/>
        </w:rPr>
        <w:t>7</w:t>
      </w:r>
      <w:r>
        <w:rPr/>
        <w:t>月至</w:t>
      </w:r>
      <w:r>
        <w:rPr>
          <w:rFonts w:ascii="宋体" w:hAnsi="宋体" w:cs="宋体" w:eastAsia="宋体" w:hint="default"/>
        </w:rPr>
        <w:t>2012</w:t>
      </w:r>
      <w:r>
        <w:rPr/>
        <w:t>年</w:t>
      </w:r>
      <w:r>
        <w:rPr>
          <w:rFonts w:ascii="宋体" w:hAnsi="宋体" w:cs="宋体" w:eastAsia="宋体" w:hint="default"/>
        </w:rPr>
        <w:t>7</w:t>
      </w:r>
      <w:r>
        <w:rPr/>
        <w:t>月，历任平安证券有限责任公司投资银行事业</w:t>
      </w:r>
      <w:r>
        <w:rPr>
          <w:spacing w:val="-35"/>
        </w:rPr>
        <w:t> </w:t>
      </w:r>
      <w:r>
        <w:rPr>
          <w:spacing w:val="-35"/>
        </w:rPr>
      </w:r>
      <w:r>
        <w:rPr/>
        <w:t>部高级经理、高级业务总监；</w:t>
      </w:r>
      <w:r>
        <w:rPr>
          <w:rFonts w:ascii="宋体" w:hAnsi="宋体" w:cs="宋体" w:eastAsia="宋体" w:hint="default"/>
        </w:rPr>
        <w:t>2004</w:t>
      </w:r>
      <w:r>
        <w:rPr/>
        <w:t>年</w:t>
      </w:r>
      <w:r>
        <w:rPr>
          <w:rFonts w:ascii="宋体" w:hAnsi="宋体" w:cs="宋体" w:eastAsia="宋体" w:hint="default"/>
        </w:rPr>
        <w:t>8</w:t>
      </w:r>
      <w:r>
        <w:rPr/>
        <w:t>月至</w:t>
      </w:r>
      <w:r>
        <w:rPr>
          <w:rFonts w:ascii="宋体" w:hAnsi="宋体" w:cs="宋体" w:eastAsia="宋体" w:hint="default"/>
        </w:rPr>
        <w:t>2010</w:t>
      </w:r>
      <w:r>
        <w:rPr/>
        <w:t>年</w:t>
      </w:r>
      <w:r>
        <w:rPr>
          <w:rFonts w:ascii="宋体" w:hAnsi="宋体" w:cs="宋体" w:eastAsia="宋体" w:hint="default"/>
        </w:rPr>
        <w:t>6</w:t>
      </w:r>
      <w:r>
        <w:rPr/>
        <w:t>月，历任京都天华会计师事务所有限公司审计五部审计 员、项目经理和经理职务。</w:t>
      </w:r>
    </w:p>
    <w:p>
      <w:pPr>
        <w:pStyle w:val="BodyText"/>
        <w:spacing w:line="273" w:lineRule="auto" w:before="127"/>
        <w:ind w:right="1118" w:firstLine="360"/>
        <w:jc w:val="left"/>
      </w:pPr>
      <w:r>
        <w:rPr/>
        <w:t>陈晓华先生，</w:t>
      </w:r>
      <w:r>
        <w:rPr>
          <w:rFonts w:ascii="宋体" w:hAnsi="宋体" w:cs="宋体" w:eastAsia="宋体" w:hint="default"/>
        </w:rPr>
        <w:t>1974</w:t>
      </w:r>
      <w:r>
        <w:rPr/>
        <w:t>年出生，中国国籍，无境外永久居留权，毕业于清华大学应用电子技术专业，学士 学位。</w:t>
      </w:r>
    </w:p>
    <w:p>
      <w:pPr>
        <w:pStyle w:val="BodyText"/>
        <w:spacing w:line="273" w:lineRule="auto" w:before="127"/>
        <w:ind w:right="1129" w:firstLine="360"/>
        <w:jc w:val="both"/>
      </w:pPr>
      <w:r>
        <w:rPr/>
        <w:t>自</w:t>
      </w:r>
      <w:r>
        <w:rPr>
          <w:rFonts w:ascii="宋体" w:hAnsi="宋体" w:cs="宋体" w:eastAsia="宋体" w:hint="default"/>
        </w:rPr>
        <w:t>2009</w:t>
      </w:r>
      <w:r>
        <w:rPr/>
        <w:t>年</w:t>
      </w:r>
      <w:r>
        <w:rPr>
          <w:rFonts w:ascii="宋体" w:hAnsi="宋体" w:cs="宋体" w:eastAsia="宋体" w:hint="default"/>
        </w:rPr>
        <w:t>10</w:t>
      </w:r>
      <w:r>
        <w:rPr/>
        <w:t>月至今担任本公司董事，现任北京凯普林光电科技股份有限公司、北京凯普林激光科技有 限公司董事长兼总经理、芯荣半导体有限公司董事。陈先生自</w:t>
      </w:r>
      <w:r>
        <w:rPr>
          <w:rFonts w:ascii="宋体" w:hAnsi="宋体" w:cs="宋体" w:eastAsia="宋体" w:hint="default"/>
        </w:rPr>
        <w:t>2003</w:t>
      </w:r>
      <w:r>
        <w:rPr/>
        <w:t>年</w:t>
      </w:r>
      <w:r>
        <w:rPr>
          <w:rFonts w:ascii="宋体" w:hAnsi="宋体" w:cs="宋体" w:eastAsia="宋体" w:hint="default"/>
        </w:rPr>
        <w:t>3</w:t>
      </w:r>
      <w:r>
        <w:rPr/>
        <w:t>月至今担任北京凯普林光电科技股</w:t>
      </w:r>
      <w:r>
        <w:rPr>
          <w:spacing w:val="-29"/>
        </w:rPr>
        <w:t> </w:t>
      </w:r>
      <w:r>
        <w:rPr>
          <w:spacing w:val="-29"/>
        </w:rPr>
      </w:r>
      <w:r>
        <w:rPr>
          <w:spacing w:val="-1"/>
        </w:rPr>
        <w:t>份有限公司总经理，自</w:t>
      </w:r>
      <w:r>
        <w:rPr>
          <w:rFonts w:ascii="宋体" w:hAnsi="宋体" w:cs="宋体" w:eastAsia="宋体" w:hint="default"/>
          <w:spacing w:val="-1"/>
        </w:rPr>
        <w:t>2001</w:t>
      </w:r>
      <w:r>
        <w:rPr>
          <w:spacing w:val="-1"/>
        </w:rPr>
        <w:t>年</w:t>
      </w:r>
      <w:r>
        <w:rPr>
          <w:rFonts w:ascii="宋体" w:hAnsi="宋体" w:cs="宋体" w:eastAsia="宋体" w:hint="default"/>
          <w:spacing w:val="-1"/>
        </w:rPr>
        <w:t>1</w:t>
      </w:r>
      <w:r>
        <w:rPr>
          <w:spacing w:val="-1"/>
        </w:rPr>
        <w:t>月至</w:t>
      </w:r>
      <w:r>
        <w:rPr>
          <w:rFonts w:ascii="宋体" w:hAnsi="宋体" w:cs="宋体" w:eastAsia="宋体" w:hint="default"/>
          <w:spacing w:val="-1"/>
        </w:rPr>
        <w:t>2003</w:t>
      </w:r>
      <w:r>
        <w:rPr>
          <w:spacing w:val="-1"/>
        </w:rPr>
        <w:t>年</w:t>
      </w:r>
      <w:r>
        <w:rPr>
          <w:rFonts w:ascii="宋体" w:hAnsi="宋体" w:cs="宋体" w:eastAsia="宋体" w:hint="default"/>
          <w:spacing w:val="-1"/>
        </w:rPr>
        <w:t>3</w:t>
      </w:r>
      <w:r>
        <w:rPr>
          <w:spacing w:val="-1"/>
        </w:rPr>
        <w:t>月担任北京巨创光电科技有限公司副总经理；自</w:t>
      </w:r>
      <w:r>
        <w:rPr>
          <w:rFonts w:ascii="宋体" w:hAnsi="宋体" w:cs="宋体" w:eastAsia="宋体" w:hint="default"/>
          <w:spacing w:val="-1"/>
        </w:rPr>
        <w:t>1998</w:t>
      </w:r>
      <w:r>
        <w:rPr>
          <w:spacing w:val="-1"/>
        </w:rPr>
        <w:t>年</w:t>
      </w:r>
      <w:r>
        <w:rPr>
          <w:rFonts w:ascii="宋体" w:hAnsi="宋体" w:cs="宋体" w:eastAsia="宋体" w:hint="default"/>
          <w:spacing w:val="-1"/>
        </w:rPr>
        <w:t>12</w:t>
      </w:r>
      <w:r>
        <w:rPr>
          <w:spacing w:val="-1"/>
        </w:rPr>
        <w:t>月至</w:t>
      </w:r>
      <w:r>
        <w:rPr>
          <w:spacing w:val="-76"/>
        </w:rPr>
        <w:t> </w:t>
      </w:r>
      <w:r>
        <w:rPr>
          <w:rFonts w:ascii="宋体" w:hAnsi="宋体" w:cs="宋体" w:eastAsia="宋体" w:hint="default"/>
        </w:rPr>
        <w:t>2001</w:t>
      </w:r>
      <w:r>
        <w:rPr/>
        <w:t>年</w:t>
      </w:r>
      <w:r>
        <w:rPr>
          <w:rFonts w:ascii="宋体" w:hAnsi="宋体" w:cs="宋体" w:eastAsia="宋体" w:hint="default"/>
        </w:rPr>
        <w:t>1</w:t>
      </w:r>
      <w:r>
        <w:rPr/>
        <w:t>月担任北京超讯通科技发展有限公司总经理。</w:t>
      </w:r>
    </w:p>
    <w:p>
      <w:pPr>
        <w:pStyle w:val="BodyText"/>
        <w:spacing w:line="432" w:lineRule="exact" w:before="27"/>
        <w:ind w:left="1494" w:right="0"/>
        <w:jc w:val="left"/>
      </w:pPr>
      <w:r>
        <w:rPr/>
        <w:t>杨瑞荣先生，</w:t>
      </w:r>
      <w:r>
        <w:rPr>
          <w:rFonts w:ascii="宋体" w:hAnsi="宋体" w:cs="宋体" w:eastAsia="宋体" w:hint="default"/>
        </w:rPr>
        <w:t>1974</w:t>
      </w:r>
      <w:r>
        <w:rPr/>
        <w:t>年出生，中国国籍，无境外永久居留权，毕业于哈佛商学院，工商管理硕士学位 自</w:t>
      </w:r>
      <w:r>
        <w:rPr>
          <w:rFonts w:ascii="宋体" w:hAnsi="宋体" w:cs="宋体" w:eastAsia="宋体" w:hint="default"/>
        </w:rPr>
        <w:t>2012</w:t>
      </w:r>
      <w:r>
        <w:rPr/>
        <w:t>年</w:t>
      </w:r>
      <w:r>
        <w:rPr>
          <w:rFonts w:ascii="宋体" w:hAnsi="宋体" w:cs="宋体" w:eastAsia="宋体" w:hint="default"/>
        </w:rPr>
        <w:t>2</w:t>
      </w:r>
      <w:r>
        <w:rPr/>
        <w:t>月至今担任本公司董事，现任远毅资本合伙人。杨先生自</w:t>
      </w:r>
      <w:r>
        <w:rPr>
          <w:rFonts w:ascii="宋体" w:hAnsi="宋体" w:cs="宋体" w:eastAsia="宋体" w:hint="default"/>
        </w:rPr>
        <w:t>2010</w:t>
      </w:r>
      <w:r>
        <w:rPr/>
        <w:t>年</w:t>
      </w:r>
      <w:r>
        <w:rPr>
          <w:rFonts w:ascii="宋体" w:hAnsi="宋体" w:cs="宋体" w:eastAsia="宋体" w:hint="default"/>
        </w:rPr>
        <w:t>6</w:t>
      </w:r>
      <w:r>
        <w:rPr/>
        <w:t>月</w:t>
      </w:r>
      <w:r>
        <w:rPr>
          <w:rFonts w:ascii="宋体" w:hAnsi="宋体" w:cs="宋体" w:eastAsia="宋体" w:hint="default"/>
        </w:rPr>
        <w:t>2015</w:t>
      </w:r>
      <w:r>
        <w:rPr/>
        <w:t>年</w:t>
      </w:r>
      <w:r>
        <w:rPr>
          <w:rFonts w:ascii="宋体" w:hAnsi="宋体" w:cs="宋体" w:eastAsia="宋体" w:hint="default"/>
        </w:rPr>
        <w:t>10</w:t>
      </w:r>
      <w:r>
        <w:rPr/>
        <w:t>月担任北极光</w:t>
      </w:r>
    </w:p>
    <w:p>
      <w:pPr>
        <w:pStyle w:val="BodyText"/>
        <w:spacing w:line="255" w:lineRule="exact"/>
        <w:ind w:left="1134" w:right="0"/>
        <w:jc w:val="left"/>
        <w:rPr>
          <w:rFonts w:ascii="宋体" w:hAnsi="宋体" w:cs="宋体" w:eastAsia="宋体" w:hint="default"/>
        </w:rPr>
      </w:pPr>
      <w:r>
        <w:rPr>
          <w:spacing w:val="-2"/>
        </w:rPr>
        <w:t>投资顾问（北京）有限公司董事总经理；自</w:t>
      </w:r>
      <w:r>
        <w:rPr>
          <w:rFonts w:ascii="宋体" w:hAnsi="宋体" w:cs="宋体" w:eastAsia="宋体" w:hint="default"/>
          <w:spacing w:val="-2"/>
        </w:rPr>
        <w:t>2004</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2010</w:t>
      </w:r>
      <w:r>
        <w:rPr>
          <w:spacing w:val="-2"/>
        </w:rPr>
        <w:t>年</w:t>
      </w:r>
      <w:r>
        <w:rPr>
          <w:rFonts w:ascii="宋体" w:hAnsi="宋体" w:cs="宋体" w:eastAsia="宋体" w:hint="default"/>
          <w:spacing w:val="-2"/>
        </w:rPr>
        <w:t>1</w:t>
      </w:r>
      <w:r>
        <w:rPr>
          <w:spacing w:val="-2"/>
        </w:rPr>
        <w:t>月，担任兰馨亚洲投资集团（</w:t>
      </w:r>
      <w:r>
        <w:rPr>
          <w:rFonts w:ascii="宋体" w:hAnsi="宋体" w:cs="宋体" w:eastAsia="宋体" w:hint="default"/>
          <w:spacing w:val="-2"/>
        </w:rPr>
        <w:t>Orchid</w:t>
      </w:r>
      <w:r>
        <w:rPr>
          <w:rFonts w:ascii="宋体" w:hAnsi="宋体" w:cs="宋体" w:eastAsia="宋体" w:hint="default"/>
          <w:spacing w:val="-24"/>
        </w:rPr>
        <w:t> </w:t>
      </w:r>
      <w:r>
        <w:rPr>
          <w:rFonts w:ascii="宋体" w:hAnsi="宋体" w:cs="宋体" w:eastAsia="宋体" w:hint="default"/>
          <w:spacing w:val="-1"/>
        </w:rPr>
        <w:t>Asia</w:t>
      </w:r>
    </w:p>
    <w:p>
      <w:pPr>
        <w:pStyle w:val="BodyText"/>
        <w:spacing w:line="273" w:lineRule="auto" w:before="37"/>
        <w:ind w:right="1025"/>
        <w:jc w:val="left"/>
      </w:pPr>
      <w:r>
        <w:rPr>
          <w:rFonts w:ascii="宋体" w:hAnsi="宋体" w:cs="宋体" w:eastAsia="宋体" w:hint="default"/>
        </w:rPr>
        <w:t>Group</w:t>
      </w:r>
      <w:r>
        <w:rPr>
          <w:rFonts w:ascii="宋体" w:hAnsi="宋体" w:cs="宋体" w:eastAsia="宋体" w:hint="default"/>
          <w:spacing w:val="-39"/>
        </w:rPr>
        <w:t> </w:t>
      </w:r>
      <w:r>
        <w:rPr>
          <w:rFonts w:ascii="宋体" w:hAnsi="宋体" w:cs="宋体" w:eastAsia="宋体" w:hint="default"/>
          <w:spacing w:val="-9"/>
        </w:rPr>
        <w:t>Management</w:t>
      </w:r>
      <w:r>
        <w:rPr>
          <w:spacing w:val="-9"/>
        </w:rPr>
        <w:t>）投资总监；自</w:t>
      </w:r>
      <w:r>
        <w:rPr>
          <w:rFonts w:ascii="宋体" w:hAnsi="宋体" w:cs="宋体" w:eastAsia="宋体" w:hint="default"/>
          <w:spacing w:val="-9"/>
        </w:rPr>
        <w:t>2003</w:t>
      </w:r>
      <w:r>
        <w:rPr>
          <w:spacing w:val="-9"/>
        </w:rPr>
        <w:t>年</w:t>
      </w:r>
      <w:r>
        <w:rPr>
          <w:rFonts w:ascii="宋体" w:hAnsi="宋体" w:cs="宋体" w:eastAsia="宋体" w:hint="default"/>
          <w:spacing w:val="-9"/>
        </w:rPr>
        <w:t>10</w:t>
      </w:r>
      <w:r>
        <w:rPr>
          <w:spacing w:val="-9"/>
        </w:rPr>
        <w:t>月至</w:t>
      </w:r>
      <w:r>
        <w:rPr>
          <w:rFonts w:ascii="宋体" w:hAnsi="宋体" w:cs="宋体" w:eastAsia="宋体" w:hint="default"/>
          <w:spacing w:val="-9"/>
        </w:rPr>
        <w:t>2004</w:t>
      </w:r>
      <w:r>
        <w:rPr>
          <w:spacing w:val="-9"/>
        </w:rPr>
        <w:t>年</w:t>
      </w:r>
      <w:r>
        <w:rPr>
          <w:rFonts w:ascii="宋体" w:hAnsi="宋体" w:cs="宋体" w:eastAsia="宋体" w:hint="default"/>
          <w:spacing w:val="-9"/>
        </w:rPr>
        <w:t>6</w:t>
      </w:r>
      <w:r>
        <w:rPr>
          <w:spacing w:val="-9"/>
        </w:rPr>
        <w:t>月，担任路易达孚公司（</w:t>
      </w:r>
      <w:r>
        <w:rPr>
          <w:rFonts w:ascii="宋体" w:hAnsi="宋体" w:cs="宋体" w:eastAsia="宋体" w:hint="default"/>
          <w:spacing w:val="-9"/>
        </w:rPr>
        <w:t>Louis</w:t>
      </w:r>
      <w:r>
        <w:rPr>
          <w:rFonts w:ascii="宋体" w:hAnsi="宋体" w:cs="宋体" w:eastAsia="宋体" w:hint="default"/>
          <w:spacing w:val="-39"/>
        </w:rPr>
        <w:t> </w:t>
      </w:r>
      <w:r>
        <w:rPr>
          <w:rFonts w:ascii="宋体" w:hAnsi="宋体" w:cs="宋体" w:eastAsia="宋体" w:hint="default"/>
        </w:rPr>
        <w:t>Dreyfus</w:t>
      </w:r>
      <w:r>
        <w:rPr>
          <w:rFonts w:ascii="宋体" w:hAnsi="宋体" w:cs="宋体" w:eastAsia="宋体" w:hint="default"/>
          <w:spacing w:val="-40"/>
        </w:rPr>
        <w:t> </w:t>
      </w:r>
      <w:r>
        <w:rPr>
          <w:rFonts w:ascii="宋体" w:hAnsi="宋体" w:cs="宋体" w:eastAsia="宋体" w:hint="default"/>
          <w:spacing w:val="-1"/>
        </w:rPr>
        <w:t>Corporation</w:t>
      </w:r>
      <w:r>
        <w:rPr>
          <w:spacing w:val="-1"/>
        </w:rPr>
        <w:t>）</w:t>
      </w:r>
      <w:r>
        <w:rPr>
          <w:spacing w:val="-101"/>
        </w:rPr>
        <w:t> </w:t>
      </w:r>
      <w:r>
        <w:rPr/>
        <w:t>贸易主管；自</w:t>
      </w:r>
      <w:r>
        <w:rPr>
          <w:rFonts w:ascii="宋体" w:hAnsi="宋体" w:cs="宋体" w:eastAsia="宋体" w:hint="default"/>
        </w:rPr>
        <w:t>1998</w:t>
      </w:r>
      <w:r>
        <w:rPr/>
        <w:t>年</w:t>
      </w:r>
      <w:r>
        <w:rPr>
          <w:rFonts w:ascii="宋体" w:hAnsi="宋体" w:cs="宋体" w:eastAsia="宋体" w:hint="default"/>
        </w:rPr>
        <w:t>5</w:t>
      </w:r>
      <w:r>
        <w:rPr/>
        <w:t>月至</w:t>
      </w:r>
      <w:r>
        <w:rPr>
          <w:rFonts w:ascii="宋体" w:hAnsi="宋体" w:cs="宋体" w:eastAsia="宋体" w:hint="default"/>
        </w:rPr>
        <w:t>2001</w:t>
      </w:r>
      <w:r>
        <w:rPr/>
        <w:t>年</w:t>
      </w:r>
      <w:r>
        <w:rPr>
          <w:rFonts w:ascii="宋体" w:hAnsi="宋体" w:cs="宋体" w:eastAsia="宋体" w:hint="default"/>
        </w:rPr>
        <w:t>5</w:t>
      </w:r>
      <w:r>
        <w:rPr/>
        <w:t>月，担任中国驻休斯敦总领事馆经济商务副领事；自</w:t>
      </w:r>
      <w:r>
        <w:rPr>
          <w:rFonts w:ascii="宋体" w:hAnsi="宋体" w:cs="宋体" w:eastAsia="宋体" w:hint="default"/>
        </w:rPr>
        <w:t>1994</w:t>
      </w:r>
      <w:r>
        <w:rPr/>
        <w:t>年</w:t>
      </w:r>
      <w:r>
        <w:rPr>
          <w:rFonts w:ascii="宋体" w:hAnsi="宋体" w:cs="宋体" w:eastAsia="宋体" w:hint="default"/>
        </w:rPr>
        <w:t>8</w:t>
      </w:r>
      <w:r>
        <w:rPr/>
        <w:t>月至</w:t>
      </w:r>
      <w:r>
        <w:rPr>
          <w:rFonts w:ascii="宋体" w:hAnsi="宋体" w:cs="宋体" w:eastAsia="宋体" w:hint="default"/>
        </w:rPr>
        <w:t>1998</w:t>
      </w:r>
      <w:r>
        <w:rPr>
          <w:rFonts w:ascii="宋体" w:hAnsi="宋体" w:cs="宋体" w:eastAsia="宋体" w:hint="default"/>
          <w:spacing w:val="-28"/>
        </w:rPr>
        <w:t> </w:t>
      </w:r>
      <w:r>
        <w:rPr/>
        <w:t>年</w:t>
      </w:r>
      <w:r>
        <w:rPr>
          <w:rFonts w:ascii="宋体" w:hAnsi="宋体" w:cs="宋体" w:eastAsia="宋体" w:hint="default"/>
        </w:rPr>
        <w:t>5</w:t>
      </w:r>
      <w:r>
        <w:rPr/>
        <w:t>月，就职于中国对外贸易与经济合作部（现商务部），负责中国驻外国经济商务机构的管理工作</w:t>
      </w:r>
    </w:p>
    <w:p>
      <w:pPr>
        <w:pStyle w:val="BodyText"/>
        <w:spacing w:line="432" w:lineRule="exact" w:before="27"/>
        <w:ind w:left="1494" w:right="1118"/>
        <w:jc w:val="left"/>
      </w:pPr>
      <w:r>
        <w:rPr/>
        <w:t>独立董事： 王涌先生，</w:t>
      </w:r>
      <w:r>
        <w:rPr>
          <w:rFonts w:ascii="宋体" w:hAnsi="宋体" w:cs="宋体" w:eastAsia="宋体" w:hint="default"/>
        </w:rPr>
        <w:t>1968</w:t>
      </w:r>
      <w:r>
        <w:rPr/>
        <w:t>年出生，中国国籍，无境外永久居留权，中国政法大学民法学专业，博士学位 </w:t>
      </w:r>
      <w:r>
        <w:rPr>
          <w:spacing w:val="-2"/>
        </w:rPr>
        <w:t>自</w:t>
      </w:r>
      <w:r>
        <w:rPr>
          <w:rFonts w:ascii="宋体" w:hAnsi="宋体" w:cs="宋体" w:eastAsia="宋体" w:hint="default"/>
          <w:spacing w:val="-2"/>
        </w:rPr>
        <w:t>2012</w:t>
      </w:r>
      <w:r>
        <w:rPr>
          <w:spacing w:val="-2"/>
        </w:rPr>
        <w:t>年</w:t>
      </w:r>
      <w:r>
        <w:rPr>
          <w:rFonts w:ascii="宋体" w:hAnsi="宋体" w:cs="宋体" w:eastAsia="宋体" w:hint="default"/>
          <w:spacing w:val="-2"/>
        </w:rPr>
        <w:t>9</w:t>
      </w:r>
      <w:r>
        <w:rPr>
          <w:spacing w:val="-2"/>
        </w:rPr>
        <w:t>月至今担任本公司独立董事，现任中国政法大学民商经济法学院教授及商法研究所所长。自</w:t>
      </w:r>
    </w:p>
    <w:p>
      <w:pPr>
        <w:pStyle w:val="BodyText"/>
        <w:spacing w:line="255" w:lineRule="exact"/>
        <w:ind w:left="1134" w:right="0"/>
        <w:jc w:val="left"/>
      </w:pPr>
      <w:r>
        <w:rPr>
          <w:rFonts w:ascii="宋体" w:hAnsi="宋体" w:cs="宋体" w:eastAsia="宋体" w:hint="default"/>
        </w:rPr>
        <w:t>1999</w:t>
      </w:r>
      <w:r>
        <w:rPr/>
        <w:t>年</w:t>
      </w:r>
      <w:r>
        <w:rPr>
          <w:rFonts w:ascii="宋体" w:hAnsi="宋体" w:cs="宋体" w:eastAsia="宋体" w:hint="default"/>
        </w:rPr>
        <w:t>8</w:t>
      </w:r>
      <w:r>
        <w:rPr/>
        <w:t>月至今在中国政法大学任教，担任民商经济法学院教授、商法研究所所长；自</w:t>
      </w:r>
      <w:r>
        <w:rPr>
          <w:rFonts w:ascii="宋体" w:hAnsi="宋体" w:cs="宋体" w:eastAsia="宋体" w:hint="default"/>
        </w:rPr>
        <w:t>1990</w:t>
      </w:r>
      <w:r>
        <w:rPr/>
        <w:t>年</w:t>
      </w:r>
      <w:r>
        <w:rPr>
          <w:rFonts w:ascii="宋体" w:hAnsi="宋体" w:cs="宋体" w:eastAsia="宋体" w:hint="default"/>
        </w:rPr>
        <w:t>7</w:t>
      </w:r>
      <w:r>
        <w:rPr/>
        <w:t>月至</w:t>
      </w:r>
      <w:r>
        <w:rPr>
          <w:rFonts w:ascii="宋体" w:hAnsi="宋体" w:cs="宋体" w:eastAsia="宋体" w:hint="default"/>
        </w:rPr>
        <w:t>1993</w:t>
      </w:r>
      <w:r>
        <w:rPr/>
        <w:t>年</w:t>
      </w:r>
    </w:p>
    <w:p>
      <w:pPr>
        <w:pStyle w:val="BodyText"/>
        <w:spacing w:line="240" w:lineRule="auto" w:before="37"/>
        <w:ind w:right="3499"/>
        <w:jc w:val="left"/>
      </w:pPr>
      <w:r>
        <w:rPr>
          <w:rFonts w:ascii="宋体" w:hAnsi="宋体" w:cs="宋体" w:eastAsia="宋体" w:hint="default"/>
        </w:rPr>
        <w:t>7</w:t>
      </w:r>
      <w:r>
        <w:rPr/>
        <w:t>月就职于江苏省盐城市团委人事局。</w:t>
      </w:r>
    </w:p>
    <w:p>
      <w:pPr>
        <w:pStyle w:val="BodyText"/>
        <w:spacing w:line="430" w:lineRule="atLeast" w:before="2"/>
        <w:ind w:left="1493" w:right="1048"/>
        <w:jc w:val="left"/>
      </w:pPr>
      <w:r>
        <w:rPr/>
        <w:t>唐林林女士，</w:t>
      </w:r>
      <w:r>
        <w:rPr>
          <w:rFonts w:ascii="宋体" w:hAnsi="宋体" w:cs="宋体" w:eastAsia="宋体" w:hint="default"/>
        </w:rPr>
        <w:t>1970</w:t>
      </w:r>
      <w:r>
        <w:rPr/>
        <w:t>年出生，中国国籍，无境外永久居留权毕业于中国人民大学会计专业，硕士学位 自</w:t>
      </w:r>
      <w:r>
        <w:rPr>
          <w:rFonts w:ascii="宋体" w:hAnsi="宋体" w:cs="宋体" w:eastAsia="宋体" w:hint="default"/>
        </w:rPr>
        <w:t>2012</w:t>
      </w:r>
      <w:r>
        <w:rPr/>
        <w:t>年</w:t>
      </w:r>
      <w:r>
        <w:rPr>
          <w:rFonts w:ascii="宋体" w:hAnsi="宋体" w:cs="宋体" w:eastAsia="宋体" w:hint="default"/>
        </w:rPr>
        <w:t>9</w:t>
      </w:r>
      <w:r>
        <w:rPr/>
        <w:t>月至今担任本公司独立董事，现任中泓晟泰企业重整顾问（北京）有限公司董事兼总经理，</w:t>
      </w:r>
    </w:p>
    <w:p>
      <w:pPr>
        <w:pStyle w:val="BodyText"/>
        <w:spacing w:line="273" w:lineRule="auto" w:before="37"/>
        <w:ind w:right="1093"/>
        <w:jc w:val="left"/>
      </w:pPr>
      <w:r>
        <w:rPr/>
        <w:t>民生人寿保险股份有限公司独立董事。自</w:t>
      </w:r>
      <w:r>
        <w:rPr>
          <w:rFonts w:ascii="宋体" w:hAnsi="宋体" w:cs="宋体" w:eastAsia="宋体" w:hint="default"/>
        </w:rPr>
        <w:t>1996</w:t>
      </w:r>
      <w:r>
        <w:rPr/>
        <w:t>年</w:t>
      </w:r>
      <w:r>
        <w:rPr>
          <w:rFonts w:ascii="宋体" w:hAnsi="宋体" w:cs="宋体" w:eastAsia="宋体" w:hint="default"/>
        </w:rPr>
        <w:t>9</w:t>
      </w:r>
      <w:r>
        <w:rPr/>
        <w:t>月至</w:t>
      </w:r>
      <w:r>
        <w:rPr>
          <w:rFonts w:ascii="宋体" w:hAnsi="宋体" w:cs="宋体" w:eastAsia="宋体" w:hint="default"/>
        </w:rPr>
        <w:t>2001</w:t>
      </w:r>
      <w:r>
        <w:rPr/>
        <w:t>年</w:t>
      </w:r>
      <w:r>
        <w:rPr>
          <w:rFonts w:ascii="宋体" w:hAnsi="宋体" w:cs="宋体" w:eastAsia="宋体" w:hint="default"/>
        </w:rPr>
        <w:t>7</w:t>
      </w:r>
      <w:r>
        <w:rPr/>
        <w:t>月担任中评资产评估有限责任公司合伙人； 自</w:t>
      </w:r>
      <w:r>
        <w:rPr>
          <w:rFonts w:ascii="宋体" w:hAnsi="宋体" w:cs="宋体" w:eastAsia="宋体" w:hint="default"/>
        </w:rPr>
        <w:t>1991</w:t>
      </w:r>
      <w:r>
        <w:rPr/>
        <w:t>年</w:t>
      </w:r>
      <w:r>
        <w:rPr>
          <w:rFonts w:ascii="宋体" w:hAnsi="宋体" w:cs="宋体" w:eastAsia="宋体" w:hint="default"/>
        </w:rPr>
        <w:t>8</w:t>
      </w:r>
      <w:r>
        <w:rPr/>
        <w:t>月至</w:t>
      </w:r>
      <w:r>
        <w:rPr>
          <w:rFonts w:ascii="宋体" w:hAnsi="宋体" w:cs="宋体" w:eastAsia="宋体" w:hint="default"/>
        </w:rPr>
        <w:t>1996</w:t>
      </w:r>
      <w:r>
        <w:rPr/>
        <w:t>年</w:t>
      </w:r>
      <w:r>
        <w:rPr>
          <w:rFonts w:ascii="宋体" w:hAnsi="宋体" w:cs="宋体" w:eastAsia="宋体" w:hint="default"/>
        </w:rPr>
        <w:t>8</w:t>
      </w:r>
      <w:r>
        <w:rPr/>
        <w:t>月担任沈阳商业银行科长。</w:t>
      </w:r>
    </w:p>
    <w:p>
      <w:pPr>
        <w:pStyle w:val="BodyText"/>
        <w:spacing w:line="240" w:lineRule="auto" w:before="127"/>
        <w:ind w:left="0" w:right="1132"/>
        <w:jc w:val="right"/>
      </w:pPr>
      <w:r>
        <w:rPr>
          <w:spacing w:val="-1"/>
        </w:rPr>
        <w:t>许亮先生，</w:t>
      </w:r>
      <w:r>
        <w:rPr>
          <w:rFonts w:ascii="宋体" w:hAnsi="宋体" w:cs="宋体" w:eastAsia="宋体" w:hint="default"/>
          <w:spacing w:val="-1"/>
        </w:rPr>
        <w:t>1975</w:t>
      </w:r>
      <w:r>
        <w:rPr>
          <w:spacing w:val="-1"/>
        </w:rPr>
        <w:t>年出生，中国国籍，无境外永久居留权，毕业于哈佛商学院，获得工商管理硕士学位</w:t>
      </w:r>
    </w:p>
    <w:p>
      <w:pPr>
        <w:pStyle w:val="BodyText"/>
        <w:spacing w:line="273" w:lineRule="auto" w:before="157"/>
        <w:ind w:right="1020" w:firstLine="360"/>
        <w:jc w:val="left"/>
      </w:pPr>
      <w:r>
        <w:rPr/>
        <w:t>自</w:t>
      </w:r>
      <w:r>
        <w:rPr>
          <w:rFonts w:ascii="宋体" w:hAnsi="宋体" w:cs="宋体" w:eastAsia="宋体" w:hint="default"/>
        </w:rPr>
        <w:t>2015</w:t>
      </w:r>
      <w:r>
        <w:rPr/>
        <w:t>年</w:t>
      </w:r>
      <w:r>
        <w:rPr>
          <w:rFonts w:ascii="宋体" w:hAnsi="宋体" w:cs="宋体" w:eastAsia="宋体" w:hint="default"/>
        </w:rPr>
        <w:t>3</w:t>
      </w:r>
      <w:r>
        <w:rPr/>
        <w:t>月至今担任本公司独立董事，现任光影工场文化传播有限公司董事长兼总经理、北京合一科 文投资管理有限公司总经理。自</w:t>
      </w:r>
      <w:r>
        <w:rPr>
          <w:rFonts w:ascii="宋体" w:hAnsi="宋体" w:cs="宋体" w:eastAsia="宋体" w:hint="default"/>
        </w:rPr>
        <w:t>2010</w:t>
      </w:r>
      <w:r>
        <w:rPr/>
        <w:t>年</w:t>
      </w:r>
      <w:r>
        <w:rPr>
          <w:rFonts w:ascii="宋体" w:hAnsi="宋体" w:cs="宋体" w:eastAsia="宋体" w:hint="default"/>
        </w:rPr>
        <w:t>6</w:t>
      </w:r>
      <w:r>
        <w:rPr/>
        <w:t>月至</w:t>
      </w:r>
      <w:r>
        <w:rPr>
          <w:rFonts w:ascii="宋体" w:hAnsi="宋体" w:cs="宋体" w:eastAsia="宋体" w:hint="default"/>
        </w:rPr>
        <w:t>2012</w:t>
      </w:r>
      <w:r>
        <w:rPr/>
        <w:t>年</w:t>
      </w:r>
      <w:r>
        <w:rPr>
          <w:rFonts w:ascii="宋体" w:hAnsi="宋体" w:cs="宋体" w:eastAsia="宋体" w:hint="default"/>
        </w:rPr>
        <w:t>6</w:t>
      </w:r>
      <w:r>
        <w:rPr/>
        <w:t>月，担任</w:t>
      </w:r>
      <w:r>
        <w:rPr>
          <w:rFonts w:ascii="宋体" w:hAnsi="宋体" w:cs="宋体" w:eastAsia="宋体" w:hint="default"/>
        </w:rPr>
        <w:t>Bona</w:t>
      </w:r>
      <w:r>
        <w:rPr>
          <w:rFonts w:ascii="宋体" w:hAnsi="宋体" w:cs="宋体" w:eastAsia="宋体" w:hint="default"/>
          <w:spacing w:val="18"/>
        </w:rPr>
        <w:t> </w:t>
      </w:r>
      <w:r>
        <w:rPr>
          <w:rFonts w:ascii="宋体" w:hAnsi="宋体" w:cs="宋体" w:eastAsia="宋体" w:hint="default"/>
        </w:rPr>
        <w:t>Film</w:t>
      </w:r>
      <w:r>
        <w:rPr>
          <w:rFonts w:ascii="宋体" w:hAnsi="宋体" w:cs="宋体" w:eastAsia="宋体" w:hint="default"/>
          <w:spacing w:val="17"/>
        </w:rPr>
        <w:t> </w:t>
      </w:r>
      <w:r>
        <w:rPr>
          <w:rFonts w:ascii="宋体" w:hAnsi="宋体" w:cs="宋体" w:eastAsia="宋体" w:hint="default"/>
        </w:rPr>
        <w:t>Group</w:t>
      </w:r>
      <w:r>
        <w:rPr>
          <w:rFonts w:ascii="宋体" w:hAnsi="宋体" w:cs="宋体" w:eastAsia="宋体" w:hint="default"/>
          <w:spacing w:val="18"/>
        </w:rPr>
        <w:t> </w:t>
      </w:r>
      <w:r>
        <w:rPr>
          <w:rFonts w:ascii="宋体" w:hAnsi="宋体" w:cs="宋体" w:eastAsia="宋体" w:hint="default"/>
        </w:rPr>
        <w:t>Ltd</w:t>
      </w:r>
      <w:r>
        <w:rPr/>
        <w:t>（博纳影业集团）副</w:t>
      </w:r>
      <w:r>
        <w:rPr>
          <w:spacing w:val="-86"/>
        </w:rPr>
        <w:t> </w:t>
      </w:r>
      <w:r>
        <w:rPr>
          <w:spacing w:val="-86"/>
        </w:rPr>
      </w:r>
      <w:r>
        <w:rPr/>
        <w:t>总裁、首席财务官；自</w:t>
      </w:r>
      <w:r>
        <w:rPr>
          <w:rFonts w:ascii="宋体" w:hAnsi="宋体" w:cs="宋体" w:eastAsia="宋体" w:hint="default"/>
        </w:rPr>
        <w:t>2006</w:t>
      </w:r>
      <w:r>
        <w:rPr/>
        <w:t>年</w:t>
      </w:r>
      <w:r>
        <w:rPr>
          <w:rFonts w:ascii="宋体" w:hAnsi="宋体" w:cs="宋体" w:eastAsia="宋体" w:hint="default"/>
        </w:rPr>
        <w:t>11</w:t>
      </w:r>
      <w:r>
        <w:rPr/>
        <w:t>月至</w:t>
      </w:r>
      <w:r>
        <w:rPr>
          <w:rFonts w:ascii="宋体" w:hAnsi="宋体" w:cs="宋体" w:eastAsia="宋体" w:hint="default"/>
        </w:rPr>
        <w:t>2010</w:t>
      </w:r>
      <w:r>
        <w:rPr/>
        <w:t>年</w:t>
      </w:r>
      <w:r>
        <w:rPr>
          <w:rFonts w:ascii="宋体" w:hAnsi="宋体" w:cs="宋体" w:eastAsia="宋体" w:hint="default"/>
        </w:rPr>
        <w:t>6</w:t>
      </w:r>
      <w:r>
        <w:rPr/>
        <w:t>月，担任北京永新视博数字电视技术有限公司执行副总裁、</w:t>
      </w:r>
      <w:r>
        <w:rPr>
          <w:spacing w:val="-32"/>
        </w:rPr>
        <w:t> </w:t>
      </w:r>
      <w:r>
        <w:rPr>
          <w:spacing w:val="-32"/>
        </w:rPr>
      </w:r>
      <w:r>
        <w:rPr>
          <w:spacing w:val="-4"/>
        </w:rPr>
        <w:t>首席财务官；自</w:t>
      </w:r>
      <w:r>
        <w:rPr>
          <w:rFonts w:ascii="宋体" w:hAnsi="宋体" w:cs="宋体" w:eastAsia="宋体" w:hint="default"/>
          <w:spacing w:val="-4"/>
        </w:rPr>
        <w:t>2005</w:t>
      </w:r>
      <w:r>
        <w:rPr>
          <w:spacing w:val="-4"/>
        </w:rPr>
        <w:t>年</w:t>
      </w:r>
      <w:r>
        <w:rPr>
          <w:rFonts w:ascii="宋体" w:hAnsi="宋体" w:cs="宋体" w:eastAsia="宋体" w:hint="default"/>
          <w:spacing w:val="-4"/>
        </w:rPr>
        <w:t>10</w:t>
      </w:r>
      <w:r>
        <w:rPr>
          <w:spacing w:val="-4"/>
        </w:rPr>
        <w:t>月至</w:t>
      </w:r>
      <w:r>
        <w:rPr>
          <w:rFonts w:ascii="宋体" w:hAnsi="宋体" w:cs="宋体" w:eastAsia="宋体" w:hint="default"/>
          <w:spacing w:val="-4"/>
        </w:rPr>
        <w:t>2006</w:t>
      </w:r>
      <w:r>
        <w:rPr>
          <w:spacing w:val="-4"/>
        </w:rPr>
        <w:t>年</w:t>
      </w:r>
      <w:r>
        <w:rPr>
          <w:rFonts w:ascii="宋体" w:hAnsi="宋体" w:cs="宋体" w:eastAsia="宋体" w:hint="default"/>
          <w:spacing w:val="-4"/>
        </w:rPr>
        <w:t>10</w:t>
      </w:r>
      <w:r>
        <w:rPr>
          <w:spacing w:val="-4"/>
        </w:rPr>
        <w:t>月，担任鼎晖中国风险投资基金（</w:t>
      </w:r>
      <w:r>
        <w:rPr>
          <w:rFonts w:ascii="宋体" w:hAnsi="宋体" w:cs="宋体" w:eastAsia="宋体" w:hint="default"/>
          <w:spacing w:val="-4"/>
        </w:rPr>
        <w:t>CDH</w:t>
      </w:r>
      <w:r>
        <w:rPr>
          <w:rFonts w:ascii="宋体" w:hAnsi="宋体" w:cs="宋体" w:eastAsia="宋体" w:hint="default"/>
          <w:spacing w:val="-45"/>
        </w:rPr>
        <w:t> </w:t>
      </w:r>
      <w:r>
        <w:rPr>
          <w:rFonts w:ascii="宋体" w:hAnsi="宋体" w:cs="宋体" w:eastAsia="宋体" w:hint="default"/>
        </w:rPr>
        <w:t>China</w:t>
      </w:r>
      <w:r>
        <w:rPr>
          <w:rFonts w:ascii="宋体" w:hAnsi="宋体" w:cs="宋体" w:eastAsia="宋体" w:hint="default"/>
          <w:spacing w:val="-46"/>
        </w:rPr>
        <w:t> </w:t>
      </w:r>
      <w:r>
        <w:rPr>
          <w:rFonts w:ascii="宋体" w:hAnsi="宋体" w:cs="宋体" w:eastAsia="宋体" w:hint="default"/>
        </w:rPr>
        <w:t>Venture</w:t>
      </w:r>
      <w:r>
        <w:rPr>
          <w:rFonts w:ascii="宋体" w:hAnsi="宋体" w:cs="宋体" w:eastAsia="宋体" w:hint="default"/>
          <w:spacing w:val="-45"/>
        </w:rPr>
        <w:t> </w:t>
      </w:r>
      <w:r>
        <w:rPr>
          <w:rFonts w:ascii="宋体" w:hAnsi="宋体" w:cs="宋体" w:eastAsia="宋体" w:hint="default"/>
        </w:rPr>
        <w:t>Capital</w:t>
      </w:r>
      <w:r>
        <w:rPr>
          <w:rFonts w:ascii="宋体" w:hAnsi="宋体" w:cs="宋体" w:eastAsia="宋体" w:hint="default"/>
          <w:spacing w:val="-47"/>
        </w:rPr>
        <w:t> </w:t>
      </w:r>
      <w:r>
        <w:rPr>
          <w:rFonts w:ascii="宋体" w:hAnsi="宋体" w:cs="宋体" w:eastAsia="宋体" w:hint="default"/>
        </w:rPr>
        <w:t>Fund</w:t>
      </w:r>
      <w:r>
        <w:rPr/>
        <w:t>）</w:t>
      </w:r>
      <w:r>
        <w:rPr>
          <w:spacing w:val="-103"/>
        </w:rPr>
        <w:t> </w:t>
      </w:r>
      <w:r>
        <w:rPr/>
        <w:t>助理副总裁；自</w:t>
      </w:r>
      <w:r>
        <w:rPr>
          <w:rFonts w:ascii="宋体" w:hAnsi="宋体" w:cs="宋体" w:eastAsia="宋体" w:hint="default"/>
        </w:rPr>
        <w:t>2003</w:t>
      </w:r>
      <w:r>
        <w:rPr/>
        <w:t>年</w:t>
      </w:r>
      <w:r>
        <w:rPr>
          <w:rFonts w:ascii="宋体" w:hAnsi="宋体" w:cs="宋体" w:eastAsia="宋体" w:hint="default"/>
        </w:rPr>
        <w:t>10</w:t>
      </w:r>
      <w:r>
        <w:rPr/>
        <w:t>月至</w:t>
      </w:r>
      <w:r>
        <w:rPr>
          <w:rFonts w:ascii="宋体" w:hAnsi="宋体" w:cs="宋体" w:eastAsia="宋体" w:hint="default"/>
        </w:rPr>
        <w:t>2005</w:t>
      </w:r>
      <w:r>
        <w:rPr/>
        <w:t>年</w:t>
      </w:r>
      <w:r>
        <w:rPr>
          <w:rFonts w:ascii="宋体" w:hAnsi="宋体" w:cs="宋体" w:eastAsia="宋体" w:hint="default"/>
        </w:rPr>
        <w:t>9</w:t>
      </w:r>
      <w:r>
        <w:rPr/>
        <w:t>月，历任英特尔中国有限公司（</w:t>
      </w:r>
      <w:r>
        <w:rPr>
          <w:rFonts w:ascii="宋体" w:hAnsi="宋体" w:cs="宋体" w:eastAsia="宋体" w:hint="default"/>
        </w:rPr>
        <w:t>Intel China Ltd.</w:t>
      </w:r>
      <w:r>
        <w:rPr/>
        <w:t>）高级财务分析</w:t>
      </w:r>
      <w:r>
        <w:rPr>
          <w:spacing w:val="-30"/>
        </w:rPr>
        <w:t> </w:t>
      </w:r>
      <w:r>
        <w:rPr>
          <w:spacing w:val="-30"/>
        </w:rPr>
      </w:r>
      <w:r>
        <w:rPr/>
        <w:t>师、战略项目经理；</w:t>
      </w:r>
    </w:p>
    <w:p>
      <w:pPr>
        <w:spacing w:after="0" w:line="273"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40" w:lineRule="auto" w:before="35"/>
        <w:ind w:left="1493" w:right="3499"/>
        <w:jc w:val="left"/>
      </w:pPr>
      <w:r>
        <w:rPr/>
        <w:t>监事：</w:t>
      </w:r>
    </w:p>
    <w:p>
      <w:pPr>
        <w:pStyle w:val="BodyText"/>
        <w:spacing w:line="273" w:lineRule="auto" w:before="157"/>
        <w:ind w:right="1118" w:firstLine="360"/>
        <w:jc w:val="left"/>
      </w:pPr>
      <w:r>
        <w:rPr/>
        <w:t>王琰先生，</w:t>
      </w:r>
      <w:r>
        <w:rPr>
          <w:rFonts w:ascii="宋体" w:hAnsi="宋体" w:cs="宋体" w:eastAsia="宋体" w:hint="default"/>
        </w:rPr>
        <w:t>1972</w:t>
      </w:r>
      <w:r>
        <w:rPr/>
        <w:t>年出生，中国国籍，无境外永久居留权，毕业于北京大学光华管理学院，工商管理硕 士学位</w:t>
      </w:r>
    </w:p>
    <w:p>
      <w:pPr>
        <w:pStyle w:val="BodyText"/>
        <w:spacing w:line="273" w:lineRule="auto" w:before="128"/>
        <w:ind w:right="1130" w:firstLine="360"/>
        <w:jc w:val="both"/>
      </w:pPr>
      <w:r>
        <w:rPr>
          <w:spacing w:val="2"/>
        </w:rPr>
        <w:t>自</w:t>
      </w:r>
      <w:r>
        <w:rPr>
          <w:rFonts w:ascii="宋体" w:hAnsi="宋体" w:cs="宋体" w:eastAsia="宋体" w:hint="default"/>
          <w:spacing w:val="2"/>
        </w:rPr>
        <w:t>2012</w:t>
      </w:r>
      <w:r>
        <w:rPr>
          <w:spacing w:val="2"/>
        </w:rPr>
        <w:t>年</w:t>
      </w:r>
      <w:r>
        <w:rPr>
          <w:rFonts w:ascii="宋体" w:hAnsi="宋体" w:cs="宋体" w:eastAsia="宋体" w:hint="default"/>
          <w:spacing w:val="2"/>
        </w:rPr>
        <w:t>9</w:t>
      </w:r>
      <w:r>
        <w:rPr>
          <w:spacing w:val="2"/>
        </w:rPr>
        <w:t>月至今担任本公司监事会主席，现任国科瑞祺物联网创业投资有限公司董事。自</w:t>
      </w:r>
      <w:r>
        <w:rPr>
          <w:rFonts w:ascii="宋体" w:hAnsi="宋体" w:cs="宋体" w:eastAsia="宋体" w:hint="default"/>
          <w:spacing w:val="2"/>
        </w:rPr>
        <w:t>2007</w:t>
      </w:r>
      <w:r>
        <w:rPr>
          <w:spacing w:val="2"/>
        </w:rPr>
        <w:t>年</w:t>
      </w:r>
      <w:r>
        <w:rPr>
          <w:rFonts w:ascii="宋体" w:hAnsi="宋体" w:cs="宋体" w:eastAsia="宋体" w:hint="default"/>
          <w:spacing w:val="2"/>
        </w:rPr>
        <w:t>12</w:t>
      </w:r>
      <w:r>
        <w:rPr>
          <w:rFonts w:ascii="宋体" w:hAnsi="宋体" w:cs="宋体" w:eastAsia="宋体" w:hint="default"/>
        </w:rPr>
        <w:t> </w:t>
      </w:r>
      <w:r>
        <w:rPr>
          <w:spacing w:val="-1"/>
        </w:rPr>
        <w:t>月至</w:t>
      </w:r>
      <w:r>
        <w:rPr>
          <w:rFonts w:ascii="宋体" w:hAnsi="宋体" w:cs="宋体" w:eastAsia="宋体" w:hint="default"/>
          <w:spacing w:val="-1"/>
        </w:rPr>
        <w:t>2009</w:t>
      </w:r>
      <w:r>
        <w:rPr>
          <w:spacing w:val="-1"/>
        </w:rPr>
        <w:t>年</w:t>
      </w:r>
      <w:r>
        <w:rPr>
          <w:rFonts w:ascii="宋体" w:hAnsi="宋体" w:cs="宋体" w:eastAsia="宋体" w:hint="default"/>
          <w:spacing w:val="-1"/>
        </w:rPr>
        <w:t>1</w:t>
      </w:r>
      <w:r>
        <w:rPr>
          <w:spacing w:val="-1"/>
        </w:rPr>
        <w:t>月担任汇发基金（中国）管理公司副总裁；自</w:t>
      </w:r>
      <w:r>
        <w:rPr>
          <w:rFonts w:ascii="宋体" w:hAnsi="宋体" w:cs="宋体" w:eastAsia="宋体" w:hint="default"/>
          <w:spacing w:val="-1"/>
        </w:rPr>
        <w:t>2005</w:t>
      </w:r>
      <w:r>
        <w:rPr>
          <w:spacing w:val="-1"/>
        </w:rPr>
        <w:t>年</w:t>
      </w:r>
      <w:r>
        <w:rPr>
          <w:rFonts w:ascii="宋体" w:hAnsi="宋体" w:cs="宋体" w:eastAsia="宋体" w:hint="default"/>
          <w:spacing w:val="-1"/>
        </w:rPr>
        <w:t>7</w:t>
      </w:r>
      <w:r>
        <w:rPr>
          <w:spacing w:val="-1"/>
        </w:rPr>
        <w:t>月至</w:t>
      </w:r>
      <w:r>
        <w:rPr>
          <w:rFonts w:ascii="宋体" w:hAnsi="宋体" w:cs="宋体" w:eastAsia="宋体" w:hint="default"/>
          <w:spacing w:val="-1"/>
        </w:rPr>
        <w:t>2007</w:t>
      </w:r>
      <w:r>
        <w:rPr>
          <w:spacing w:val="-1"/>
        </w:rPr>
        <w:t>年</w:t>
      </w:r>
      <w:r>
        <w:rPr>
          <w:rFonts w:ascii="宋体" w:hAnsi="宋体" w:cs="宋体" w:eastAsia="宋体" w:hint="default"/>
          <w:spacing w:val="-1"/>
        </w:rPr>
        <w:t>10</w:t>
      </w:r>
      <w:r>
        <w:rPr>
          <w:spacing w:val="-1"/>
        </w:rPr>
        <w:t>月担任大连凯飞精细化工</w:t>
      </w:r>
      <w:r>
        <w:rPr>
          <w:spacing w:val="-80"/>
        </w:rPr>
        <w:t> </w:t>
      </w:r>
      <w:r>
        <w:rPr>
          <w:spacing w:val="-80"/>
        </w:rPr>
      </w:r>
      <w:r>
        <w:rPr>
          <w:spacing w:val="-1"/>
        </w:rPr>
        <w:t>有限公司总经理助理；自</w:t>
      </w:r>
      <w:r>
        <w:rPr>
          <w:rFonts w:ascii="宋体" w:hAnsi="宋体" w:cs="宋体" w:eastAsia="宋体" w:hint="default"/>
          <w:spacing w:val="-1"/>
        </w:rPr>
        <w:t>1996</w:t>
      </w:r>
      <w:r>
        <w:rPr>
          <w:spacing w:val="-1"/>
        </w:rPr>
        <w:t>年</w:t>
      </w:r>
      <w:r>
        <w:rPr>
          <w:rFonts w:ascii="宋体" w:hAnsi="宋体" w:cs="宋体" w:eastAsia="宋体" w:hint="default"/>
          <w:spacing w:val="-1"/>
        </w:rPr>
        <w:t>8</w:t>
      </w:r>
      <w:r>
        <w:rPr>
          <w:spacing w:val="-1"/>
        </w:rPr>
        <w:t>月至</w:t>
      </w:r>
      <w:r>
        <w:rPr>
          <w:rFonts w:ascii="宋体" w:hAnsi="宋体" w:cs="宋体" w:eastAsia="宋体" w:hint="default"/>
          <w:spacing w:val="-1"/>
        </w:rPr>
        <w:t>2003</w:t>
      </w:r>
      <w:r>
        <w:rPr>
          <w:spacing w:val="-1"/>
        </w:rPr>
        <w:t>年</w:t>
      </w:r>
      <w:r>
        <w:rPr>
          <w:rFonts w:ascii="宋体" w:hAnsi="宋体" w:cs="宋体" w:eastAsia="宋体" w:hint="default"/>
          <w:spacing w:val="-1"/>
        </w:rPr>
        <w:t>5</w:t>
      </w:r>
      <w:r>
        <w:rPr>
          <w:spacing w:val="-1"/>
        </w:rPr>
        <w:t>月于中国建设银行大连市分行人民路支行工作，历任青泥支</w:t>
      </w:r>
      <w:r>
        <w:rPr>
          <w:spacing w:val="-82"/>
        </w:rPr>
        <w:t> </w:t>
      </w:r>
      <w:r>
        <w:rPr>
          <w:spacing w:val="-82"/>
        </w:rPr>
      </w:r>
      <w:r>
        <w:rPr>
          <w:spacing w:val="-1"/>
        </w:rPr>
        <w:t>行计算机科硬件工程师、国际业务部结算经理、市场营销中心客户经理、营业部综合科科长及人民路支行</w:t>
      </w:r>
      <w:r>
        <w:rPr>
          <w:spacing w:val="-83"/>
        </w:rPr>
        <w:t> </w:t>
      </w:r>
      <w:r>
        <w:rPr>
          <w:spacing w:val="-83"/>
        </w:rPr>
      </w:r>
      <w:r>
        <w:rPr/>
        <w:t>副行长等职务。</w:t>
      </w:r>
    </w:p>
    <w:p>
      <w:pPr>
        <w:pStyle w:val="BodyText"/>
        <w:spacing w:line="240" w:lineRule="auto" w:before="127"/>
        <w:ind w:left="0" w:right="1130"/>
        <w:jc w:val="right"/>
      </w:pPr>
      <w:r>
        <w:rPr>
          <w:spacing w:val="-1"/>
        </w:rPr>
        <w:t>刘学徽先生，</w:t>
      </w:r>
      <w:r>
        <w:rPr>
          <w:rFonts w:ascii="宋体" w:hAnsi="宋体" w:cs="宋体" w:eastAsia="宋体" w:hint="default"/>
          <w:spacing w:val="-1"/>
        </w:rPr>
        <w:t>1967</w:t>
      </w:r>
      <w:r>
        <w:rPr>
          <w:spacing w:val="-1"/>
        </w:rPr>
        <w:t>年出生，中国国籍，无境外永久居留权，毕业于北京大学光华管理学院，</w:t>
      </w:r>
      <w:r>
        <w:rPr>
          <w:rFonts w:ascii="宋体" w:hAnsi="宋体" w:cs="宋体" w:eastAsia="宋体" w:hint="default"/>
          <w:spacing w:val="-1"/>
        </w:rPr>
        <w:t>EMBA</w:t>
      </w:r>
      <w:r>
        <w:rPr>
          <w:spacing w:val="-1"/>
        </w:rPr>
        <w:t>学位</w:t>
      </w:r>
    </w:p>
    <w:p>
      <w:pPr>
        <w:pStyle w:val="BodyText"/>
        <w:spacing w:line="273" w:lineRule="auto" w:before="157"/>
        <w:ind w:right="1026" w:firstLine="360"/>
        <w:jc w:val="both"/>
      </w:pPr>
      <w:r>
        <w:rPr/>
        <w:t>自</w:t>
      </w:r>
      <w:r>
        <w:rPr>
          <w:rFonts w:ascii="宋体" w:hAnsi="宋体" w:cs="宋体" w:eastAsia="宋体" w:hint="default"/>
        </w:rPr>
        <w:t>2013</w:t>
      </w:r>
      <w:r>
        <w:rPr/>
        <w:t>年</w:t>
      </w:r>
      <w:r>
        <w:rPr>
          <w:rFonts w:ascii="宋体" w:hAnsi="宋体" w:cs="宋体" w:eastAsia="宋体" w:hint="default"/>
        </w:rPr>
        <w:t>2</w:t>
      </w:r>
      <w:r>
        <w:rPr/>
        <w:t>月至今担任本公司监事，</w:t>
      </w:r>
      <w:r>
        <w:rPr>
          <w:rFonts w:ascii="宋体" w:hAnsi="宋体" w:cs="宋体" w:eastAsia="宋体" w:hint="default"/>
        </w:rPr>
        <w:t>2002</w:t>
      </w:r>
      <w:r>
        <w:rPr/>
        <w:t>年</w:t>
      </w:r>
      <w:r>
        <w:rPr>
          <w:rFonts w:ascii="宋体" w:hAnsi="宋体" w:cs="宋体" w:eastAsia="宋体" w:hint="default"/>
        </w:rPr>
        <w:t>9</w:t>
      </w:r>
      <w:r>
        <w:rPr/>
        <w:t>月至今担任高通无线半导体技术有限公司资深市场经理； </w:t>
      </w:r>
      <w:r>
        <w:rPr>
          <w:rFonts w:ascii="宋体" w:hAnsi="宋体" w:cs="宋体" w:eastAsia="宋体" w:hint="default"/>
        </w:rPr>
        <w:t>2000</w:t>
      </w:r>
      <w:r>
        <w:rPr/>
        <w:t>年</w:t>
      </w:r>
      <w:r>
        <w:rPr>
          <w:rFonts w:ascii="宋体" w:hAnsi="宋体" w:cs="宋体" w:eastAsia="宋体" w:hint="default"/>
        </w:rPr>
        <w:t>2</w:t>
      </w:r>
      <w:r>
        <w:rPr/>
        <w:t>月至</w:t>
      </w:r>
      <w:r>
        <w:rPr>
          <w:rFonts w:ascii="宋体" w:hAnsi="宋体" w:cs="宋体" w:eastAsia="宋体" w:hint="default"/>
        </w:rPr>
        <w:t>2002</w:t>
      </w:r>
      <w:r>
        <w:rPr/>
        <w:t>年</w:t>
      </w:r>
      <w:r>
        <w:rPr>
          <w:rFonts w:ascii="宋体" w:hAnsi="宋体" w:cs="宋体" w:eastAsia="宋体" w:hint="default"/>
        </w:rPr>
        <w:t>8</w:t>
      </w:r>
      <w:r>
        <w:rPr/>
        <w:t>月担任太阳计算机系统（中国）有限公司高级销售经理；</w:t>
      </w:r>
      <w:r>
        <w:rPr>
          <w:rFonts w:ascii="宋体" w:hAnsi="宋体" w:cs="宋体" w:eastAsia="宋体" w:hint="default"/>
        </w:rPr>
        <w:t>1996</w:t>
      </w:r>
      <w:r>
        <w:rPr/>
        <w:t>年</w:t>
      </w:r>
      <w:r>
        <w:rPr>
          <w:rFonts w:ascii="宋体" w:hAnsi="宋体" w:cs="宋体" w:eastAsia="宋体" w:hint="default"/>
        </w:rPr>
        <w:t>4</w:t>
      </w:r>
      <w:r>
        <w:rPr/>
        <w:t>月至</w:t>
      </w:r>
      <w:r>
        <w:rPr>
          <w:rFonts w:ascii="宋体" w:hAnsi="宋体" w:cs="宋体" w:eastAsia="宋体" w:hint="default"/>
        </w:rPr>
        <w:t>2000</w:t>
      </w:r>
      <w:r>
        <w:rPr/>
        <w:t>年</w:t>
      </w:r>
      <w:r>
        <w:rPr>
          <w:rFonts w:ascii="宋体" w:hAnsi="宋体" w:cs="宋体" w:eastAsia="宋体" w:hint="default"/>
        </w:rPr>
        <w:t>1</w:t>
      </w:r>
      <w:r>
        <w:rPr/>
        <w:t>月担任 </w:t>
      </w:r>
      <w:r>
        <w:rPr>
          <w:spacing w:val="-3"/>
        </w:rPr>
        <w:t>德州仪器（中国）有限公司销售经理；</w:t>
      </w:r>
      <w:r>
        <w:rPr>
          <w:rFonts w:ascii="宋体" w:hAnsi="宋体" w:cs="宋体" w:eastAsia="宋体" w:hint="default"/>
          <w:spacing w:val="-3"/>
        </w:rPr>
        <w:t>1993</w:t>
      </w:r>
      <w:r>
        <w:rPr>
          <w:spacing w:val="-3"/>
        </w:rPr>
        <w:t>年</w:t>
      </w:r>
      <w:r>
        <w:rPr>
          <w:rFonts w:ascii="宋体" w:hAnsi="宋体" w:cs="宋体" w:eastAsia="宋体" w:hint="default"/>
          <w:spacing w:val="-3"/>
        </w:rPr>
        <w:t>9</w:t>
      </w:r>
      <w:r>
        <w:rPr>
          <w:spacing w:val="-3"/>
        </w:rPr>
        <w:t>月至</w:t>
      </w:r>
      <w:r>
        <w:rPr>
          <w:rFonts w:ascii="宋体" w:hAnsi="宋体" w:cs="宋体" w:eastAsia="宋体" w:hint="default"/>
          <w:spacing w:val="-3"/>
        </w:rPr>
        <w:t>1996</w:t>
      </w:r>
      <w:r>
        <w:rPr>
          <w:spacing w:val="-3"/>
        </w:rPr>
        <w:t>年</w:t>
      </w:r>
      <w:r>
        <w:rPr>
          <w:rFonts w:ascii="宋体" w:hAnsi="宋体" w:cs="宋体" w:eastAsia="宋体" w:hint="default"/>
          <w:spacing w:val="-3"/>
        </w:rPr>
        <w:t>3</w:t>
      </w:r>
      <w:r>
        <w:rPr>
          <w:spacing w:val="-3"/>
        </w:rPr>
        <w:t>月担任铁道科学研究院通信信号研究所工程师。</w:t>
      </w:r>
    </w:p>
    <w:p>
      <w:pPr>
        <w:pStyle w:val="BodyText"/>
        <w:spacing w:line="432" w:lineRule="exact" w:before="27"/>
        <w:ind w:left="1494" w:right="0"/>
        <w:jc w:val="left"/>
      </w:pPr>
      <w:r>
        <w:rPr/>
        <w:t>王晶女士，</w:t>
      </w:r>
      <w:r>
        <w:rPr>
          <w:rFonts w:ascii="宋体" w:hAnsi="宋体" w:cs="宋体" w:eastAsia="宋体" w:hint="default"/>
        </w:rPr>
        <w:t>1983</w:t>
      </w:r>
      <w:r>
        <w:rPr/>
        <w:t>年出生，中国国籍，无境外永久居留权，毕业于福州大学法律硕士专业，硕士学位 自</w:t>
      </w:r>
      <w:r>
        <w:rPr>
          <w:rFonts w:ascii="宋体" w:hAnsi="宋体" w:cs="宋体" w:eastAsia="宋体" w:hint="default"/>
        </w:rPr>
        <w:t>2012</w:t>
      </w:r>
      <w:r>
        <w:rPr/>
        <w:t>年</w:t>
      </w:r>
      <w:r>
        <w:rPr>
          <w:rFonts w:ascii="宋体" w:hAnsi="宋体" w:cs="宋体" w:eastAsia="宋体" w:hint="default"/>
        </w:rPr>
        <w:t>9</w:t>
      </w:r>
      <w:r>
        <w:rPr/>
        <w:t>月至今担任本公司职工监事、法务主管，</w:t>
      </w:r>
      <w:r>
        <w:rPr>
          <w:rFonts w:ascii="宋体" w:hAnsi="宋体" w:cs="宋体" w:eastAsia="宋体" w:hint="default"/>
        </w:rPr>
        <w:t>2010</w:t>
      </w:r>
      <w:r>
        <w:rPr/>
        <w:t>年</w:t>
      </w:r>
      <w:r>
        <w:rPr>
          <w:rFonts w:ascii="宋体" w:hAnsi="宋体" w:cs="宋体" w:eastAsia="宋体" w:hint="default"/>
        </w:rPr>
        <w:t>9</w:t>
      </w:r>
      <w:r>
        <w:rPr/>
        <w:t>月至今历任本公司法务专员、法务主管；</w:t>
      </w:r>
    </w:p>
    <w:p>
      <w:pPr>
        <w:pStyle w:val="BodyText"/>
        <w:spacing w:line="255" w:lineRule="exact"/>
        <w:ind w:right="3499"/>
        <w:jc w:val="left"/>
      </w:pPr>
      <w:r>
        <w:rPr/>
        <w:t>自</w:t>
      </w:r>
      <w:r>
        <w:rPr>
          <w:rFonts w:ascii="宋体" w:hAnsi="宋体" w:cs="宋体" w:eastAsia="宋体" w:hint="default"/>
        </w:rPr>
        <w:t>2009</w:t>
      </w:r>
      <w:r>
        <w:rPr/>
        <w:t>年</w:t>
      </w:r>
      <w:r>
        <w:rPr>
          <w:rFonts w:ascii="宋体" w:hAnsi="宋体" w:cs="宋体" w:eastAsia="宋体" w:hint="default"/>
        </w:rPr>
        <w:t>8</w:t>
      </w:r>
      <w:r>
        <w:rPr/>
        <w:t>月至</w:t>
      </w:r>
      <w:r>
        <w:rPr>
          <w:rFonts w:ascii="宋体" w:hAnsi="宋体" w:cs="宋体" w:eastAsia="宋体" w:hint="default"/>
        </w:rPr>
        <w:t>2010</w:t>
      </w:r>
      <w:r>
        <w:rPr/>
        <w:t>年</w:t>
      </w:r>
      <w:r>
        <w:rPr>
          <w:rFonts w:ascii="宋体" w:hAnsi="宋体" w:cs="宋体" w:eastAsia="宋体" w:hint="default"/>
        </w:rPr>
        <w:t>9</w:t>
      </w:r>
      <w:r>
        <w:rPr/>
        <w:t>月担任北京超星数图信息技术有限公司法务专员。</w:t>
      </w:r>
    </w:p>
    <w:p>
      <w:pPr>
        <w:pStyle w:val="BodyText"/>
        <w:spacing w:line="240" w:lineRule="auto" w:before="37"/>
        <w:ind w:left="1553" w:right="3499"/>
        <w:jc w:val="left"/>
      </w:pPr>
      <w:r>
        <w:rPr/>
        <w:t>高级管理人员</w:t>
      </w:r>
    </w:p>
    <w:p>
      <w:pPr>
        <w:pStyle w:val="BodyText"/>
        <w:spacing w:line="273" w:lineRule="auto" w:before="157"/>
        <w:ind w:left="1554" w:right="0" w:hanging="60"/>
        <w:jc w:val="left"/>
      </w:pPr>
      <w:r>
        <w:rPr>
          <w:spacing w:val="-2"/>
        </w:rPr>
        <w:t>邹鹏程先生，</w:t>
      </w:r>
      <w:r>
        <w:rPr>
          <w:rFonts w:ascii="宋体" w:hAnsi="宋体" w:cs="宋体" w:eastAsia="宋体" w:hint="default"/>
          <w:spacing w:val="-2"/>
        </w:rPr>
        <w:t>1973</w:t>
      </w:r>
      <w:r>
        <w:rPr>
          <w:spacing w:val="-2"/>
        </w:rPr>
        <w:t>年出生，中国国籍，无境外永久居留权，毕业于清华大学自动化系，获得工学学士。</w:t>
      </w:r>
      <w:r>
        <w:rPr>
          <w:spacing w:val="-81"/>
        </w:rPr>
        <w:t> </w:t>
      </w:r>
      <w:r>
        <w:rPr>
          <w:spacing w:val="-81"/>
        </w:rPr>
      </w:r>
      <w:r>
        <w:rPr/>
        <w:t>自</w:t>
      </w:r>
      <w:r>
        <w:rPr>
          <w:rFonts w:ascii="宋体" w:hAnsi="宋体" w:cs="宋体" w:eastAsia="宋体" w:hint="default"/>
        </w:rPr>
        <w:t>2012</w:t>
      </w:r>
      <w:r>
        <w:rPr/>
        <w:t>年</w:t>
      </w:r>
      <w:r>
        <w:rPr>
          <w:rFonts w:ascii="宋体" w:hAnsi="宋体" w:cs="宋体" w:eastAsia="宋体" w:hint="default"/>
        </w:rPr>
        <w:t>9</w:t>
      </w:r>
      <w:r>
        <w:rPr/>
        <w:t>月至今任公司副总经理，</w:t>
      </w:r>
      <w:r>
        <w:rPr>
          <w:rFonts w:ascii="宋体" w:hAnsi="宋体" w:cs="宋体" w:eastAsia="宋体" w:hint="default"/>
        </w:rPr>
        <w:t>2008</w:t>
      </w:r>
      <w:r>
        <w:rPr/>
        <w:t>年</w:t>
      </w:r>
      <w:r>
        <w:rPr>
          <w:rFonts w:ascii="宋体" w:hAnsi="宋体" w:cs="宋体" w:eastAsia="宋体" w:hint="default"/>
        </w:rPr>
        <w:t>12</w:t>
      </w:r>
      <w:r>
        <w:rPr/>
        <w:t>月至</w:t>
      </w:r>
      <w:r>
        <w:rPr>
          <w:rFonts w:ascii="宋体" w:hAnsi="宋体" w:cs="宋体" w:eastAsia="宋体" w:hint="default"/>
        </w:rPr>
        <w:t>2011</w:t>
      </w:r>
      <w:r>
        <w:rPr/>
        <w:t>年</w:t>
      </w:r>
      <w:r>
        <w:rPr>
          <w:rFonts w:ascii="宋体" w:hAnsi="宋体" w:cs="宋体" w:eastAsia="宋体" w:hint="default"/>
        </w:rPr>
        <w:t>9</w:t>
      </w:r>
      <w:r>
        <w:rPr/>
        <w:t>月历任本公司产品市场部总监、战略产品部</w:t>
      </w:r>
    </w:p>
    <w:p>
      <w:pPr>
        <w:pStyle w:val="BodyText"/>
        <w:spacing w:line="273" w:lineRule="auto" w:before="7"/>
        <w:ind w:right="1027"/>
        <w:jc w:val="left"/>
      </w:pPr>
      <w:r>
        <w:rPr/>
        <w:t>总监，自</w:t>
      </w:r>
      <w:r>
        <w:rPr>
          <w:rFonts w:ascii="宋体" w:hAnsi="宋体" w:cs="宋体" w:eastAsia="宋体" w:hint="default"/>
        </w:rPr>
        <w:t>2011</w:t>
      </w:r>
      <w:r>
        <w:rPr/>
        <w:t>年</w:t>
      </w:r>
      <w:r>
        <w:rPr>
          <w:rFonts w:ascii="宋体" w:hAnsi="宋体" w:cs="宋体" w:eastAsia="宋体" w:hint="default"/>
        </w:rPr>
        <w:t>9</w:t>
      </w:r>
      <w:r>
        <w:rPr/>
        <w:t>月至</w:t>
      </w:r>
      <w:r>
        <w:rPr>
          <w:rFonts w:ascii="宋体" w:hAnsi="宋体" w:cs="宋体" w:eastAsia="宋体" w:hint="default"/>
        </w:rPr>
        <w:t>2012</w:t>
      </w:r>
      <w:r>
        <w:rPr/>
        <w:t>年</w:t>
      </w:r>
      <w:r>
        <w:rPr>
          <w:rFonts w:ascii="宋体" w:hAnsi="宋体" w:cs="宋体" w:eastAsia="宋体" w:hint="default"/>
        </w:rPr>
        <w:t>9</w:t>
      </w:r>
      <w:r>
        <w:rPr/>
        <w:t>月任公司高级副总裁；自</w:t>
      </w:r>
      <w:r>
        <w:rPr>
          <w:rFonts w:ascii="宋体" w:hAnsi="宋体" w:cs="宋体" w:eastAsia="宋体" w:hint="default"/>
        </w:rPr>
        <w:t>2008</w:t>
      </w:r>
      <w:r>
        <w:rPr/>
        <w:t>年</w:t>
      </w:r>
      <w:r>
        <w:rPr>
          <w:rFonts w:ascii="宋体" w:hAnsi="宋体" w:cs="宋体" w:eastAsia="宋体" w:hint="default"/>
        </w:rPr>
        <w:t>4</w:t>
      </w:r>
      <w:r>
        <w:rPr/>
        <w:t>月至</w:t>
      </w:r>
      <w:r>
        <w:rPr>
          <w:rFonts w:ascii="宋体" w:hAnsi="宋体" w:cs="宋体" w:eastAsia="宋体" w:hint="default"/>
        </w:rPr>
        <w:t>2008</w:t>
      </w:r>
      <w:r>
        <w:rPr/>
        <w:t>年</w:t>
      </w:r>
      <w:r>
        <w:rPr>
          <w:rFonts w:ascii="宋体" w:hAnsi="宋体" w:cs="宋体" w:eastAsia="宋体" w:hint="default"/>
        </w:rPr>
        <w:t>11</w:t>
      </w:r>
      <w:r>
        <w:rPr/>
        <w:t>月担任广州西格美信电子科 技有限公司副总裁；</w:t>
      </w:r>
      <w:r>
        <w:rPr>
          <w:rFonts w:ascii="宋体" w:hAnsi="宋体" w:cs="宋体" w:eastAsia="宋体" w:hint="default"/>
        </w:rPr>
        <w:t>2002</w:t>
      </w:r>
      <w:r>
        <w:rPr/>
        <w:t>年</w:t>
      </w:r>
      <w:r>
        <w:rPr>
          <w:rFonts w:ascii="宋体" w:hAnsi="宋体" w:cs="宋体" w:eastAsia="宋体" w:hint="default"/>
        </w:rPr>
        <w:t>7</w:t>
      </w:r>
      <w:r>
        <w:rPr/>
        <w:t>月至</w:t>
      </w:r>
      <w:r>
        <w:rPr>
          <w:rFonts w:ascii="宋体" w:hAnsi="宋体" w:cs="宋体" w:eastAsia="宋体" w:hint="default"/>
        </w:rPr>
        <w:t>2008</w:t>
      </w:r>
      <w:r>
        <w:rPr/>
        <w:t>年</w:t>
      </w:r>
      <w:r>
        <w:rPr>
          <w:rFonts w:ascii="宋体" w:hAnsi="宋体" w:cs="宋体" w:eastAsia="宋体" w:hint="default"/>
        </w:rPr>
        <w:t>3</w:t>
      </w:r>
      <w:r>
        <w:rPr/>
        <w:t>月担任中科红旗软件科技有限公司服务器研发部门经理；</w:t>
      </w:r>
      <w:r>
        <w:rPr>
          <w:rFonts w:ascii="宋体" w:hAnsi="宋体" w:cs="宋体" w:eastAsia="宋体" w:hint="default"/>
        </w:rPr>
        <w:t>2000</w:t>
      </w:r>
      <w:r>
        <w:rPr/>
        <w:t>年 </w:t>
      </w:r>
      <w:r>
        <w:rPr>
          <w:rFonts w:ascii="宋体" w:hAnsi="宋体" w:cs="宋体" w:eastAsia="宋体" w:hint="default"/>
          <w:spacing w:val="-3"/>
        </w:rPr>
        <w:t>6</w:t>
      </w:r>
      <w:r>
        <w:rPr>
          <w:spacing w:val="-3"/>
        </w:rPr>
        <w:t>月至</w:t>
      </w:r>
      <w:r>
        <w:rPr>
          <w:rFonts w:ascii="宋体" w:hAnsi="宋体" w:cs="宋体" w:eastAsia="宋体" w:hint="default"/>
          <w:spacing w:val="-3"/>
        </w:rPr>
        <w:t>2002</w:t>
      </w:r>
      <w:r>
        <w:rPr>
          <w:spacing w:val="-3"/>
        </w:rPr>
        <w:t>年</w:t>
      </w:r>
      <w:r>
        <w:rPr>
          <w:rFonts w:ascii="宋体" w:hAnsi="宋体" w:cs="宋体" w:eastAsia="宋体" w:hint="default"/>
          <w:spacing w:val="-3"/>
        </w:rPr>
        <w:t>6</w:t>
      </w:r>
      <w:r>
        <w:rPr>
          <w:spacing w:val="-3"/>
        </w:rPr>
        <w:t>月担任恩益禧（</w:t>
      </w:r>
      <w:r>
        <w:rPr>
          <w:rFonts w:ascii="宋体" w:hAnsi="宋体" w:cs="宋体" w:eastAsia="宋体" w:hint="default"/>
          <w:spacing w:val="-3"/>
        </w:rPr>
        <w:t>NEC</w:t>
      </w:r>
      <w:r>
        <w:rPr>
          <w:spacing w:val="-3"/>
        </w:rPr>
        <w:t>）</w:t>
      </w:r>
      <w:r>
        <w:rPr>
          <w:rFonts w:ascii="宋体" w:hAnsi="宋体" w:cs="宋体" w:eastAsia="宋体" w:hint="default"/>
          <w:spacing w:val="-3"/>
        </w:rPr>
        <w:t>-</w:t>
      </w:r>
      <w:r>
        <w:rPr>
          <w:spacing w:val="-3"/>
        </w:rPr>
        <w:t>中科院软件研究所有限公司（现已更名为：日电卓越软件科技（北京）</w:t>
      </w:r>
      <w:r>
        <w:rPr>
          <w:spacing w:val="-85"/>
        </w:rPr>
        <w:t> </w:t>
      </w:r>
      <w:r>
        <w:rPr>
          <w:spacing w:val="-85"/>
        </w:rPr>
      </w:r>
      <w:r>
        <w:rPr/>
        <w:t>有限公司）项目负责经理；</w:t>
      </w:r>
      <w:r>
        <w:rPr>
          <w:rFonts w:ascii="宋体" w:hAnsi="宋体" w:cs="宋体" w:eastAsia="宋体" w:hint="default"/>
        </w:rPr>
        <w:t>1999</w:t>
      </w:r>
      <w:r>
        <w:rPr/>
        <w:t>年</w:t>
      </w:r>
      <w:r>
        <w:rPr>
          <w:rFonts w:ascii="宋体" w:hAnsi="宋体" w:cs="宋体" w:eastAsia="宋体" w:hint="default"/>
        </w:rPr>
        <w:t>7</w:t>
      </w:r>
      <w:r>
        <w:rPr/>
        <w:t>月至</w:t>
      </w:r>
      <w:r>
        <w:rPr>
          <w:rFonts w:ascii="宋体" w:hAnsi="宋体" w:cs="宋体" w:eastAsia="宋体" w:hint="default"/>
        </w:rPr>
        <w:t>2000</w:t>
      </w:r>
      <w:r>
        <w:rPr/>
        <w:t>年</w:t>
      </w:r>
      <w:r>
        <w:rPr>
          <w:rFonts w:ascii="宋体" w:hAnsi="宋体" w:cs="宋体" w:eastAsia="宋体" w:hint="default"/>
        </w:rPr>
        <w:t>4</w:t>
      </w:r>
      <w:r>
        <w:rPr/>
        <w:t>月，担任美国</w:t>
      </w:r>
      <w:r>
        <w:rPr>
          <w:rFonts w:ascii="宋体" w:hAnsi="宋体" w:cs="宋体" w:eastAsia="宋体" w:hint="default"/>
        </w:rPr>
        <w:t>EPIC</w:t>
      </w:r>
      <w:r>
        <w:rPr/>
        <w:t>公司（</w:t>
      </w:r>
      <w:r>
        <w:rPr>
          <w:rFonts w:ascii="宋体" w:hAnsi="宋体" w:cs="宋体" w:eastAsia="宋体" w:hint="default"/>
        </w:rPr>
        <w:t>Epic Systems</w:t>
      </w:r>
      <w:r>
        <w:rPr>
          <w:rFonts w:ascii="宋体" w:hAnsi="宋体" w:cs="宋体" w:eastAsia="宋体" w:hint="default"/>
          <w:spacing w:val="-25"/>
        </w:rPr>
        <w:t> </w:t>
      </w:r>
      <w:r>
        <w:rPr>
          <w:rFonts w:ascii="宋体" w:hAnsi="宋体" w:cs="宋体" w:eastAsia="宋体" w:hint="default"/>
        </w:rPr>
        <w:t>Corporation</w:t>
      </w:r>
      <w:r>
        <w:rPr/>
        <w:t>）软</w:t>
      </w:r>
      <w:r>
        <w:rPr>
          <w:spacing w:val="1"/>
        </w:rPr>
        <w:t> </w:t>
      </w:r>
      <w:r>
        <w:rPr/>
        <w:t>件工程师。</w:t>
      </w:r>
    </w:p>
    <w:p>
      <w:pPr>
        <w:spacing w:line="240" w:lineRule="auto" w:before="7"/>
        <w:rPr>
          <w:rFonts w:ascii="宋体" w:hAnsi="宋体" w:cs="宋体" w:eastAsia="宋体" w:hint="default"/>
          <w:sz w:val="29"/>
          <w:szCs w:val="29"/>
        </w:rPr>
      </w:pPr>
    </w:p>
    <w:p>
      <w:pPr>
        <w:spacing w:before="0"/>
        <w:ind w:left="1133" w:right="3499"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王琰</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国科瑞祺物联网创业投资有限公司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陈晓华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北京凯普林光电科技股份有限公司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陈晓华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北京凯普林激光科技有限公司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0"/>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陈晓华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芯荣半导体有限公司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杨瑞荣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远毅资本</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杨瑞荣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Season Lead</w:t>
            </w:r>
            <w:r>
              <w:rPr>
                <w:rFonts w:ascii="Times New Roman"/>
                <w:spacing w:val="-3"/>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杨瑞荣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Innoking</w:t>
            </w:r>
            <w:r>
              <w:rPr>
                <w:rFonts w:ascii="Times New Roman"/>
                <w:spacing w:val="-1"/>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杨瑞荣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SAPPHO INTERNATIONAL</w:t>
            </w:r>
            <w:r>
              <w:rPr>
                <w:rFonts w:ascii="Times New Roman"/>
                <w:spacing w:val="-32"/>
                <w:sz w:val="18"/>
              </w:rPr>
              <w:t> </w:t>
            </w:r>
            <w:r>
              <w:rPr>
                <w:rFonts w:ascii="Times New Roman"/>
                <w:sz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杨瑞荣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上海奕瑞光电子科技有限公司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杨瑞荣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Business Connect China,</w:t>
            </w:r>
            <w:r>
              <w:rPr>
                <w:rFonts w:ascii="Times New Roman"/>
                <w:spacing w:val="-4"/>
                <w:sz w:val="18"/>
              </w:rPr>
              <w:t> </w:t>
            </w:r>
            <w:r>
              <w:rPr>
                <w:rFonts w:ascii="Times New Roman"/>
                <w:sz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杨瑞荣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Sinolending</w:t>
            </w:r>
            <w:r>
              <w:rPr>
                <w:rFonts w:ascii="Times New Roman"/>
                <w:spacing w:val="-2"/>
                <w:sz w:val="18"/>
              </w:rPr>
              <w:t> </w:t>
            </w:r>
            <w:r>
              <w:rPr>
                <w:rFonts w:ascii="Times New Roman"/>
                <w:sz w:val="18"/>
              </w:rPr>
              <w:t>Ltd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杨瑞荣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上海魅丽纬叶医疗科技有限公司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杨瑞荣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安诺优达基因科技（北京）有限公司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杨瑞荣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芯联达信息科技（北京）股份有限公司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杨瑞荣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GEvent Financial Service </w:t>
            </w:r>
            <w:r>
              <w:rPr>
                <w:rFonts w:ascii="Times New Roman"/>
                <w:spacing w:val="-3"/>
                <w:sz w:val="18"/>
              </w:rPr>
              <w:t>(CAYMAN)</w:t>
            </w:r>
            <w:r>
              <w:rPr>
                <w:rFonts w:ascii="Times New Roman"/>
                <w:spacing w:val="-1"/>
                <w:sz w:val="18"/>
              </w:rPr>
              <w:t> </w:t>
            </w:r>
            <w:r>
              <w:rPr>
                <w:rFonts w:ascii="Times New Roman"/>
                <w:sz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杨瑞荣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中天智慧科技有限公司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北京信威通信技术股份有限公司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浙江星星瑞金科技股份有限公司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圣邦微电子（北京）股份有限公司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第一拖拉机股份有限公司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威海光威复合材料股份有限公司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唐林林</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民生人寿保险股份有限公司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唐林林</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中泓晟泰企业重整顾问（北京）有限公司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光影工场文化传播有限公司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北京合一科文投资管理有限公司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国科瑞祺物联网创业投资有限公司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无锡海古德新技术有限公司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浙江信汇合成新材料有限公司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中国科技产业投资管理有限公司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苏州远创达科技有限公司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193.759995pt;margin-top:434.019989pt;width:67.9pt;height:27.95pt;mso-position-horizontal-relative:page;mso-position-vertical-relative:page;z-index:-925576" coordorigin="3875,8680" coordsize="1358,559">
            <v:group style="position:absolute;left:3875;top:8680;width:1358;height:156" coordorigin="3875,8680" coordsize="1358,156">
              <v:shape style="position:absolute;left:3875;top:8680;width:1358;height:156" coordorigin="3875,8680" coordsize="1358,156" path="m3875,8836l5233,8836,5233,8680,3875,8680,3875,8836xe" filled="true" fillcolor="#ffffff" stroked="false">
                <v:path arrowok="t"/>
                <v:fill type="solid"/>
              </v:shape>
            </v:group>
            <v:group style="position:absolute;left:3887;top:8836;width:2;height:392" coordorigin="3887,8836" coordsize="2,392">
              <v:shape style="position:absolute;left:3887;top:8836;width:2;height:392" coordorigin="3887,8836" coordsize="0,392" path="m3887,8836l3887,9228e" filled="false" stroked="true" strokeweight="1.140pt" strokecolor="#ffffff">
                <v:path arrowok="t"/>
              </v:shape>
            </v:group>
            <v:group style="position:absolute;left:3898;top:8836;width:1312;height:392" coordorigin="3898,8836" coordsize="1312,392">
              <v:shape style="position:absolute;left:3898;top:8836;width:1312;height:392" coordorigin="3898,8836" coordsize="1312,392" path="m3898,9228l5210,9228,5210,8836,3898,8836,3898,922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1236"/>
        <w:gridCol w:w="3276"/>
        <w:gridCol w:w="1092"/>
        <w:gridCol w:w="1230"/>
        <w:gridCol w:w="1360"/>
        <w:gridCol w:w="1376"/>
      </w:tblGrid>
      <w:tr>
        <w:trPr>
          <w:trHeight w:val="714"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刘学徽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高通无线半导体技术有限公司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资深市场经 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3499"/>
        <w:jc w:val="left"/>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273" w:lineRule="auto" w:before="89"/>
        <w:ind w:right="1018" w:firstLine="420"/>
        <w:jc w:val="left"/>
      </w:pPr>
      <w:r>
        <w:rPr>
          <w:spacing w:val="-3"/>
        </w:rPr>
        <w:t>在公司担任行政职务的董事、监事，高级管理人员的报酬由公司支付。不在公司担任行政职务的董事、</w:t>
      </w:r>
      <w:r>
        <w:rPr/>
        <w:t> 监事，公司不支付报酬。董事报酬根据薪酬与考核委员会的提议，拟定报酬计划，由董事会制订预案报股 东大会批准。高级管理人员报酬根据薪酬与考核委员会的提议，拟定报酬计划，由董事会批准。在公司担 任行政职务的董事、监事，高级管理人员的报酬，及独立董事津贴已由公司支付完毕。全体董事、监事、 高级管理人员实际获得的报酬合计为</w:t>
      </w:r>
      <w:r>
        <w:rPr>
          <w:rFonts w:ascii="Times New Roman" w:hAnsi="Times New Roman" w:cs="Times New Roman" w:eastAsia="Times New Roman" w:hint="default"/>
        </w:rPr>
        <w:t>345.94</w:t>
      </w:r>
      <w:r>
        <w:rPr/>
        <w:t>万元人民币。</w:t>
      </w:r>
    </w:p>
    <w:p>
      <w:pPr>
        <w:spacing w:before="55"/>
        <w:ind w:left="1133" w:right="3499"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赵鸿飞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耿增强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吴安华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副董事长、副总 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董事、财务总监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邹鹏程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唐林林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段志强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胡事民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579"/>
              <w:jc w:val="left"/>
              <w:rPr>
                <w:rFonts w:ascii="Times New Roman" w:hAnsi="Times New Roman" w:cs="Times New Roman" w:eastAsia="Times New Roman" w:hint="default"/>
                <w:sz w:val="18"/>
                <w:szCs w:val="18"/>
              </w:rPr>
            </w:pPr>
            <w:r>
              <w:rPr>
                <w:rFonts w:ascii="Times New Roman"/>
                <w:sz w:val="18"/>
              </w:rPr>
              <w:t>John</w:t>
            </w:r>
            <w:r>
              <w:rPr>
                <w:rFonts w:ascii="Times New Roman"/>
                <w:spacing w:val="-1"/>
                <w:sz w:val="18"/>
              </w:rPr>
              <w:t> </w:t>
            </w:r>
            <w:r>
              <w:rPr>
                <w:rFonts w:ascii="Times New Roman"/>
                <w:sz w:val="18"/>
              </w:rPr>
              <w:t>Peter</w:t>
            </w:r>
            <w:r>
              <w:rPr>
                <w:rFonts w:ascii="Times New Roman"/>
                <w:w w:val="99"/>
                <w:sz w:val="18"/>
              </w:rPr>
              <w:t> </w:t>
            </w:r>
            <w:r>
              <w:rPr>
                <w:rFonts w:ascii="Times New Roman"/>
                <w:sz w:val="18"/>
              </w:rPr>
              <w:t>Cipolla</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345.94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2"/>
        <w:ind w:left="1134" w:right="3499"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6"/>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3499"/>
        <w:jc w:val="left"/>
        <w:rPr>
          <w:b w:val="0"/>
          <w:bCs w:val="0"/>
        </w:rPr>
      </w:pPr>
      <w:bookmarkStart w:name="五、公司员工情况" w:id="123"/>
      <w:bookmarkEnd w:id="123"/>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499"/>
        <w:jc w:val="left"/>
        <w:rPr>
          <w:b w:val="0"/>
          <w:bCs w:val="0"/>
        </w:rPr>
      </w:pPr>
      <w:bookmarkStart w:name="1、员工数量、专业构成及教育程度" w:id="124"/>
      <w:bookmarkEnd w:id="124"/>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2,159</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2,124</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大专及其他</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2,124</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3499"/>
        <w:jc w:val="left"/>
        <w:rPr>
          <w:b w:val="0"/>
          <w:bCs w:val="0"/>
        </w:rPr>
      </w:pPr>
      <w:bookmarkStart w:name="2、薪酬政策" w:id="125"/>
      <w:bookmarkEnd w:id="125"/>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4"/>
          <w:szCs w:val="24"/>
        </w:rPr>
      </w:pPr>
    </w:p>
    <w:p>
      <w:pPr>
        <w:pStyle w:val="BodyText"/>
        <w:spacing w:line="271" w:lineRule="auto"/>
        <w:ind w:left="1134" w:right="1023" w:firstLine="420"/>
        <w:jc w:val="left"/>
      </w:pPr>
      <w:r>
        <w:rPr/>
        <w:t>公司薪酬政策的宗旨在于将员工利益与公司业务发展与股东利益有效结合，吸引、保留和激励关键人 才。责任、能力和贡献是公司的价值分配依据，将总薪酬水平和对组织的价值及绩效有效链接。薪酬与福 利是公司价值分配及员工综合获得的重要组成部分。公司建立了成长性的工资体系，将结合公司经营状况 与市场薪酬状况进行调节和改善，同时倡导向</w:t>
      </w:r>
      <w:r>
        <w:rPr>
          <w:rFonts w:ascii="Times New Roman" w:hAnsi="Times New Roman" w:cs="Times New Roman" w:eastAsia="Times New Roman" w:hint="default"/>
        </w:rPr>
        <w:t>“</w:t>
      </w:r>
      <w:r>
        <w:rPr/>
        <w:t>团结奋斗者</w:t>
      </w:r>
      <w:r>
        <w:rPr>
          <w:rFonts w:ascii="Times New Roman" w:hAnsi="Times New Roman" w:cs="Times New Roman" w:eastAsia="Times New Roman" w:hint="default"/>
        </w:rPr>
        <w:t>”</w:t>
      </w:r>
      <w:r>
        <w:rPr/>
        <w:t>倾斜的薪酬理念，依据对组织的价值，并结合 市场调查数据设计和调整工资架构体系。公司的福利体系以国家基本社会保障制度为基础，同时实施企业 </w:t>
      </w:r>
      <w:r>
        <w:rPr>
          <w:spacing w:val="-3"/>
        </w:rPr>
        <w:t>年金计划，提供补充商业保险、补充医疗保险补贴、礼金、抚慰金、午餐、误餐补及交通补贴等补充福利，</w:t>
      </w:r>
      <w:r>
        <w:rPr>
          <w:spacing w:val="-94"/>
        </w:rPr>
        <w:t> </w:t>
      </w:r>
      <w:r>
        <w:rPr>
          <w:spacing w:val="-94"/>
        </w:rPr>
      </w:r>
      <w:r>
        <w:rPr/>
        <w:t>为员工提供丰富、完备的福利保障。公司通过实施购房无息贷款制度，留驻核心员工，为构建全面薪酬体</w:t>
      </w:r>
      <w:r>
        <w:rPr/>
        <w:t> 系，持续加强人力资源管理能力，同时为公司业务的稳健发展提供了持续、稳定的人才保证。</w:t>
      </w:r>
    </w:p>
    <w:p>
      <w:pPr>
        <w:spacing w:line="240" w:lineRule="auto" w:before="11"/>
        <w:rPr>
          <w:rFonts w:ascii="宋体" w:hAnsi="宋体" w:cs="宋体" w:eastAsia="宋体" w:hint="default"/>
          <w:sz w:val="23"/>
          <w:szCs w:val="23"/>
        </w:rPr>
      </w:pPr>
    </w:p>
    <w:p>
      <w:pPr>
        <w:pStyle w:val="Heading3"/>
        <w:spacing w:line="240" w:lineRule="auto"/>
        <w:ind w:left="1134" w:right="3499"/>
        <w:jc w:val="left"/>
        <w:rPr>
          <w:b w:val="0"/>
          <w:bCs w:val="0"/>
        </w:rPr>
      </w:pPr>
      <w:bookmarkStart w:name="3、培训计划" w:id="126"/>
      <w:bookmarkEnd w:id="126"/>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1134" w:right="1092" w:firstLine="420"/>
        <w:jc w:val="left"/>
      </w:pPr>
      <w:r>
        <w:rPr/>
        <w:t>公司注重员工的发展和成长，推广</w:t>
      </w:r>
      <w:r>
        <w:rPr>
          <w:rFonts w:ascii="Times New Roman" w:hAnsi="Times New Roman" w:cs="Times New Roman" w:eastAsia="Times New Roman" w:hint="default"/>
        </w:rPr>
        <w:t>“</w:t>
      </w:r>
      <w:r>
        <w:rPr/>
        <w:t>导师制</w:t>
      </w:r>
      <w:r>
        <w:rPr>
          <w:rFonts w:ascii="Times New Roman" w:hAnsi="Times New Roman" w:cs="Times New Roman" w:eastAsia="Times New Roman" w:hint="default"/>
        </w:rPr>
        <w:t>”</w:t>
      </w:r>
      <w:r>
        <w:rPr/>
        <w:t>、职位体系评估为员工融入与发展提供了基础员工可依据 自身特长、职业兴趣以及公司需求，选择适合的职业发展方向和机会。为促进员工职业能力的持续提升，</w:t>
      </w:r>
    </w:p>
    <w:p>
      <w:pPr>
        <w:spacing w:after="0" w:line="256"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61" w:lineRule="auto" w:before="35"/>
        <w:ind w:right="1028"/>
        <w:jc w:val="left"/>
      </w:pPr>
      <w:r>
        <w:rPr/>
        <w:t>公司建立并不断建设</w:t>
      </w:r>
      <w:r>
        <w:rPr>
          <w:rFonts w:ascii="Times New Roman" w:hAnsi="Times New Roman" w:cs="Times New Roman" w:eastAsia="Times New Roman" w:hint="default"/>
        </w:rPr>
        <w:t>“</w:t>
      </w:r>
      <w:r>
        <w:rPr/>
        <w:t>领导力</w:t>
      </w:r>
      <w:r>
        <w:rPr>
          <w:rFonts w:ascii="Times New Roman" w:hAnsi="Times New Roman" w:cs="Times New Roman" w:eastAsia="Times New Roman" w:hint="default"/>
        </w:rPr>
        <w:t>”“</w:t>
      </w:r>
      <w:r>
        <w:rPr/>
        <w:t>一线经理</w:t>
      </w:r>
      <w:r>
        <w:rPr>
          <w:rFonts w:ascii="Times New Roman" w:hAnsi="Times New Roman" w:cs="Times New Roman" w:eastAsia="Times New Roman" w:hint="default"/>
        </w:rPr>
        <w:t>”</w:t>
      </w:r>
      <w:r>
        <w:rPr/>
        <w:t>的培养体系，为员工制定系统的人力资源管理策略，提供多元化 的能力培训和进修机会，包括课堂学习、</w:t>
      </w:r>
      <w:r>
        <w:rPr>
          <w:rFonts w:ascii="Times New Roman" w:hAnsi="Times New Roman" w:cs="Times New Roman" w:eastAsia="Times New Roman" w:hint="default"/>
        </w:rPr>
        <w:t>E-Learning</w:t>
      </w:r>
      <w:r>
        <w:rPr/>
        <w:t>、在岗培训、外派培训、项目实践和导师辅导等多种 </w:t>
      </w:r>
      <w:r>
        <w:rPr>
          <w:spacing w:val="-3"/>
        </w:rPr>
        <w:t>学习形式。同时，针对全体员工设定了基于能力、技术发展阶梯的分享课程，为员工提供全面的成长支持、</w:t>
      </w:r>
      <w:r>
        <w:rPr>
          <w:spacing w:val="-96"/>
        </w:rPr>
        <w:t> </w:t>
      </w:r>
      <w:r>
        <w:rPr>
          <w:spacing w:val="-96"/>
        </w:rPr>
      </w:r>
      <w:r>
        <w:rPr/>
        <w:t>公平的职位晋升和发展空间。</w:t>
      </w:r>
    </w:p>
    <w:p>
      <w:pPr>
        <w:spacing w:line="240" w:lineRule="auto" w:before="6"/>
        <w:rPr>
          <w:rFonts w:ascii="宋体" w:hAnsi="宋体" w:cs="宋体" w:eastAsia="宋体" w:hint="default"/>
          <w:sz w:val="24"/>
          <w:szCs w:val="24"/>
        </w:rPr>
      </w:pPr>
    </w:p>
    <w:p>
      <w:pPr>
        <w:pStyle w:val="Heading3"/>
        <w:spacing w:line="240" w:lineRule="auto"/>
        <w:ind w:left="1134" w:right="3499"/>
        <w:jc w:val="left"/>
        <w:rPr>
          <w:b w:val="0"/>
          <w:bCs w:val="0"/>
        </w:rPr>
      </w:pPr>
      <w:bookmarkStart w:name="4、劳务外包情况" w:id="127"/>
      <w:bookmarkEnd w:id="127"/>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_TOC_250002" w:id="128"/>
      <w:bookmarkStart w:name="第九节 公司治理" w:id="129"/>
      <w:r>
        <w:rPr>
          <w:b w:val="0"/>
          <w:bCs w:val="0"/>
        </w:rPr>
      </w:r>
      <w:r>
        <w:rPr/>
        <w:t>第九节</w:t>
      </w:r>
      <w:r>
        <w:rPr>
          <w:spacing w:val="-5"/>
        </w:rPr>
        <w:t> </w:t>
      </w:r>
      <w:r>
        <w:rPr/>
        <w:t>公司治理</w:t>
      </w:r>
      <w:bookmarkEnd w:id="12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0"/>
      <w:bookmarkEnd w:id="130"/>
      <w:r>
        <w:rPr>
          <w:b w:val="0"/>
          <w:bCs w:val="0"/>
        </w:rPr>
      </w:r>
      <w:r>
        <w:rPr/>
        <w:t>一、公司治理的基本状况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1" w:firstLine="420"/>
        <w:jc w:val="both"/>
      </w:pPr>
      <w:r>
        <w:rPr>
          <w:spacing w:val="-1"/>
        </w:rPr>
        <w:t>报告期内，公司严格按照《公司法》、《证券法》、《上市公司治理准则》、《深圳证券交易所创业</w:t>
      </w:r>
      <w:r>
        <w:rPr/>
        <w:t> </w:t>
      </w:r>
      <w:r>
        <w:rPr>
          <w:spacing w:val="-1"/>
        </w:rPr>
        <w:t>板股票上市规则》、《深圳证券交易所创业板上市公司规范运作指引》等法律、法规和中国证监会有关法</w:t>
      </w:r>
      <w:r>
        <w:rPr>
          <w:spacing w:val="-82"/>
        </w:rPr>
        <w:t> </w:t>
      </w:r>
      <w:r>
        <w:rPr>
          <w:spacing w:val="-82"/>
        </w:rPr>
      </w:r>
      <w:r>
        <w:rPr>
          <w:spacing w:val="-1"/>
        </w:rPr>
        <w:t>律法规等要求，结合本公司的具体情况，不断完善公司的法人治理结构，建立健全公司内部管理和控制制</w:t>
      </w:r>
      <w:r>
        <w:rPr>
          <w:spacing w:val="-83"/>
        </w:rPr>
        <w:t> </w:t>
      </w:r>
      <w:r>
        <w:rPr>
          <w:spacing w:val="-83"/>
        </w:rPr>
      </w:r>
      <w:r>
        <w:rPr/>
        <w:t>度，持续深入开展公司治理活动，促进公司规范运作。</w:t>
      </w:r>
    </w:p>
    <w:p>
      <w:pPr>
        <w:pStyle w:val="BodyText"/>
        <w:spacing w:line="240" w:lineRule="auto" w:before="7"/>
        <w:ind w:left="1553" w:right="0"/>
        <w:jc w:val="left"/>
      </w:pPr>
      <w:r>
        <w:rPr/>
        <w:t>公司按</w:t>
      </w:r>
      <w:r>
        <w:rPr>
          <w:spacing w:val="-68"/>
        </w:rPr>
        <w:t>照</w:t>
      </w:r>
      <w:r>
        <w:rPr/>
        <w:t>《深圳证券交易所创业板股票上市规则</w:t>
      </w:r>
      <w:r>
        <w:rPr>
          <w:spacing w:val="-68"/>
        </w:rPr>
        <w:t>》</w:t>
      </w:r>
      <w:r>
        <w:rPr>
          <w:spacing w:val="-135"/>
        </w:rPr>
        <w:t>、</w:t>
      </w:r>
      <w:r>
        <w:rPr/>
        <w:t>《深圳证券交易所创业板上市公司规范运作指引</w:t>
      </w:r>
      <w:r>
        <w:rPr>
          <w:spacing w:val="-68"/>
        </w:rPr>
        <w:t>》</w:t>
      </w:r>
      <w:r>
        <w:rPr/>
        <w:t>、</w:t>
      </w:r>
    </w:p>
    <w:p>
      <w:pPr>
        <w:pStyle w:val="BodyText"/>
        <w:spacing w:line="273" w:lineRule="auto" w:before="37"/>
        <w:ind w:right="1110"/>
        <w:jc w:val="both"/>
      </w:pPr>
      <w:r>
        <w:rPr>
          <w:spacing w:val="-1"/>
        </w:rPr>
        <w:t>《上市公司信息披露管理办法》、《公司内幕信息知情人登记制度》、《深圳证券交易所上市公司募集资</w:t>
      </w:r>
      <w:r>
        <w:rPr>
          <w:spacing w:val="-83"/>
        </w:rPr>
        <w:t> </w:t>
      </w:r>
      <w:r>
        <w:rPr>
          <w:spacing w:val="-83"/>
        </w:rPr>
      </w:r>
      <w:r>
        <w:rPr>
          <w:spacing w:val="-1"/>
        </w:rPr>
        <w:t>金管理办法》等规定修订了《公司章程》，制订、完善了《董监高持股管理制度》、《独立董事年报工作</w:t>
      </w:r>
      <w:r>
        <w:rPr>
          <w:spacing w:val="-85"/>
        </w:rPr>
        <w:t> </w:t>
      </w:r>
      <w:r>
        <w:rPr>
          <w:spacing w:val="-85"/>
        </w:rPr>
      </w:r>
      <w:r>
        <w:rPr>
          <w:spacing w:val="-1"/>
        </w:rPr>
        <w:t>制度》、《对外信息报送管理制度》、《募集资金管理制度》、《内幕知情人登记管理制度》、《年报重</w:t>
      </w:r>
      <w:r>
        <w:rPr>
          <w:spacing w:val="-86"/>
        </w:rPr>
        <w:t> </w:t>
      </w:r>
      <w:r>
        <w:rPr>
          <w:spacing w:val="-86"/>
        </w:rPr>
      </w:r>
      <w:r>
        <w:rPr/>
        <w:t>大差错追责制度》、《审计委员会年报工作规程》、《投资者关系管理制度》、《信息披露管理制度》、</w:t>
      </w:r>
    </w:p>
    <w:p>
      <w:pPr>
        <w:pStyle w:val="BodyText"/>
        <w:spacing w:line="273" w:lineRule="auto" w:before="7"/>
        <w:ind w:left="1553" w:right="1093" w:hanging="420"/>
        <w:jc w:val="left"/>
      </w:pPr>
      <w:r>
        <w:rPr/>
        <w:t>《重大信息内部报告制度》等规章制度，并严格遵照执行，保障公司决策和管理的科学性和合理合规性。 </w:t>
      </w:r>
      <w:r>
        <w:rPr>
          <w:rFonts w:ascii="宋体" w:hAnsi="宋体" w:cs="宋体" w:eastAsia="宋体" w:hint="default"/>
        </w:rPr>
        <w:t>1</w:t>
      </w:r>
      <w:r>
        <w:rPr/>
        <w:t>、关于股东与股东大会 </w:t>
      </w:r>
      <w:r>
        <w:rPr>
          <w:spacing w:val="-1"/>
        </w:rPr>
        <w:t>公司严格按照《公司法》、《公司章程》、《上市公司股东大会规则》等相关法律、法规和规范性文</w:t>
      </w:r>
    </w:p>
    <w:p>
      <w:pPr>
        <w:pStyle w:val="BodyText"/>
        <w:spacing w:line="273" w:lineRule="auto" w:before="7"/>
        <w:ind w:left="1134" w:right="1133"/>
        <w:jc w:val="both"/>
      </w:pPr>
      <w:r>
        <w:rPr>
          <w:spacing w:val="-1"/>
        </w:rPr>
        <w:t>件的要求召开股东大会，规范股东大会的召集、召开及表决程序。平等对待所有股东，确保股东充分行使</w:t>
      </w:r>
      <w:r>
        <w:rPr>
          <w:spacing w:val="-86"/>
        </w:rPr>
        <w:t> </w:t>
      </w:r>
      <w:r>
        <w:rPr>
          <w:spacing w:val="-86"/>
        </w:rPr>
      </w:r>
      <w:r>
        <w:rPr/>
        <w:t>自己的权利。</w:t>
      </w:r>
    </w:p>
    <w:p>
      <w:pPr>
        <w:pStyle w:val="BodyText"/>
        <w:spacing w:line="273" w:lineRule="auto" w:before="7"/>
        <w:ind w:left="1554" w:right="0"/>
        <w:jc w:val="left"/>
      </w:pPr>
      <w:r>
        <w:rPr>
          <w:rFonts w:ascii="宋体" w:hAnsi="宋体" w:cs="宋体" w:eastAsia="宋体" w:hint="default"/>
        </w:rPr>
        <w:t>2</w:t>
      </w:r>
      <w:r>
        <w:rPr/>
        <w:t>、关于董事与董事会 公司董事会由</w:t>
      </w:r>
      <w:r>
        <w:rPr>
          <w:rFonts w:ascii="宋体" w:hAnsi="宋体" w:cs="宋体" w:eastAsia="宋体" w:hint="default"/>
        </w:rPr>
        <w:t>9</w:t>
      </w:r>
      <w:r>
        <w:rPr/>
        <w:t>名董事组成，董事会人数及人员构成均符合法律、法规和《公司章程》的规定。公司</w:t>
      </w:r>
    </w:p>
    <w:p>
      <w:pPr>
        <w:pStyle w:val="BodyText"/>
        <w:spacing w:line="273" w:lineRule="auto" w:before="8"/>
        <w:ind w:right="1131"/>
        <w:jc w:val="both"/>
      </w:pPr>
      <w:r>
        <w:rPr/>
        <w:t>依法选聘</w:t>
      </w:r>
      <w:r>
        <w:rPr>
          <w:rFonts w:ascii="宋体" w:hAnsi="宋体" w:cs="宋体" w:eastAsia="宋体" w:hint="default"/>
        </w:rPr>
        <w:t>3</w:t>
      </w:r>
      <w:r>
        <w:rPr/>
        <w:t>名独立董事，其中</w:t>
      </w:r>
      <w:r>
        <w:rPr>
          <w:rFonts w:ascii="宋体" w:hAnsi="宋体" w:cs="宋体" w:eastAsia="宋体" w:hint="default"/>
        </w:rPr>
        <w:t>1</w:t>
      </w:r>
      <w:r>
        <w:rPr/>
        <w:t>名为会计专业人士，</w:t>
      </w:r>
      <w:r>
        <w:rPr>
          <w:rFonts w:ascii="宋体" w:hAnsi="宋体" w:cs="宋体" w:eastAsia="宋体" w:hint="default"/>
        </w:rPr>
        <w:t>1</w:t>
      </w:r>
      <w:r>
        <w:rPr/>
        <w:t>名为法律专业人士，符合中国证监会《关于在上市公</w:t>
      </w:r>
      <w:r>
        <w:rPr>
          <w:spacing w:val="-34"/>
        </w:rPr>
        <w:t> </w:t>
      </w:r>
      <w:r>
        <w:rPr>
          <w:spacing w:val="-34"/>
        </w:rPr>
      </w:r>
      <w:r>
        <w:rPr>
          <w:spacing w:val="-1"/>
        </w:rPr>
        <w:t>司建立独立董事制度的指导意见》的要求。董事会设立战略、审计、薪酬与考核、提名四个委员会，制订</w:t>
      </w:r>
      <w:r>
        <w:rPr>
          <w:spacing w:val="-83"/>
        </w:rPr>
        <w:t> </w:t>
      </w:r>
      <w:r>
        <w:rPr>
          <w:spacing w:val="-83"/>
        </w:rPr>
      </w:r>
      <w:r>
        <w:rPr>
          <w:spacing w:val="-1"/>
        </w:rPr>
        <w:t>了相应的议事规则。公司董事严格按照《董事会议事规则》、《独立董事工作制度》及各委员会工作规则</w:t>
      </w:r>
      <w:r>
        <w:rPr>
          <w:spacing w:val="-83"/>
        </w:rPr>
        <w:t> </w:t>
      </w:r>
      <w:r>
        <w:rPr>
          <w:spacing w:val="-83"/>
        </w:rPr>
      </w:r>
      <w:r>
        <w:rPr/>
        <w:t>等规章制度开展工作，勤勉尽责，确保董事会的有效运作和科学决策。</w:t>
      </w:r>
    </w:p>
    <w:p>
      <w:pPr>
        <w:pStyle w:val="BodyText"/>
        <w:spacing w:line="273" w:lineRule="auto" w:before="7"/>
        <w:ind w:left="1554" w:right="0"/>
        <w:jc w:val="left"/>
      </w:pPr>
      <w:r>
        <w:rPr>
          <w:rFonts w:ascii="宋体" w:hAnsi="宋体" w:cs="宋体" w:eastAsia="宋体" w:hint="default"/>
        </w:rPr>
        <w:t>3</w:t>
      </w:r>
      <w:r>
        <w:rPr/>
        <w:t>、关于监事与监事会 </w:t>
      </w:r>
      <w:r>
        <w:rPr>
          <w:spacing w:val="-1"/>
        </w:rPr>
        <w:t>公司监事会设监事</w:t>
      </w:r>
      <w:r>
        <w:rPr>
          <w:rFonts w:ascii="宋体" w:hAnsi="宋体" w:cs="宋体" w:eastAsia="宋体" w:hint="default"/>
          <w:spacing w:val="-1"/>
        </w:rPr>
        <w:t>3</w:t>
      </w:r>
      <w:r>
        <w:rPr>
          <w:spacing w:val="-1"/>
        </w:rPr>
        <w:t>名，其中职工监事</w:t>
      </w:r>
      <w:r>
        <w:rPr>
          <w:rFonts w:ascii="宋体" w:hAnsi="宋体" w:cs="宋体" w:eastAsia="宋体" w:hint="default"/>
          <w:spacing w:val="-1"/>
        </w:rPr>
        <w:t>1</w:t>
      </w:r>
      <w:r>
        <w:rPr>
          <w:spacing w:val="-1"/>
        </w:rPr>
        <w:t>名，监事会的人数和构成符合法律、法规的要求。各位监事严</w:t>
      </w:r>
    </w:p>
    <w:p>
      <w:pPr>
        <w:pStyle w:val="BodyText"/>
        <w:spacing w:line="273" w:lineRule="auto" w:before="7"/>
        <w:ind w:right="1133"/>
        <w:jc w:val="both"/>
      </w:pPr>
      <w:r>
        <w:rPr>
          <w:spacing w:val="-1"/>
        </w:rPr>
        <w:t>格按照《公司法》、《公司章程》及本议事规则的规定履行职责，对全体股东负责，对公司财务以及公司</w:t>
      </w:r>
      <w:r>
        <w:rPr>
          <w:spacing w:val="-85"/>
        </w:rPr>
        <w:t> </w:t>
      </w:r>
      <w:r>
        <w:rPr>
          <w:spacing w:val="-85"/>
        </w:rPr>
      </w:r>
      <w:r>
        <w:rPr/>
        <w:t>董事、总经理及其他高级管理人员履行职责的合法合规性进行监督，维护公司及股东的合法权益。</w:t>
      </w:r>
    </w:p>
    <w:p>
      <w:pPr>
        <w:pStyle w:val="BodyText"/>
        <w:spacing w:line="273" w:lineRule="auto" w:before="7"/>
        <w:ind w:left="1554" w:right="0"/>
        <w:jc w:val="left"/>
      </w:pPr>
      <w:r>
        <w:rPr>
          <w:rFonts w:ascii="宋体" w:hAnsi="宋体" w:cs="宋体" w:eastAsia="宋体" w:hint="default"/>
        </w:rPr>
        <w:t>4</w:t>
      </w:r>
      <w:r>
        <w:rPr/>
        <w:t>、关于信息披露与透明度 </w:t>
      </w:r>
      <w:r>
        <w:rPr>
          <w:spacing w:val="-1"/>
        </w:rPr>
        <w:t>公司根据《深圳证券交易所股票上市规则》、《公司章程》、《信息披露管理制度》等规定，认真履</w:t>
      </w:r>
    </w:p>
    <w:p>
      <w:pPr>
        <w:pStyle w:val="BodyText"/>
        <w:spacing w:line="273" w:lineRule="auto" w:before="7"/>
        <w:ind w:right="1131"/>
        <w:jc w:val="both"/>
      </w:pPr>
      <w:r>
        <w:rPr>
          <w:spacing w:val="-1"/>
        </w:rPr>
        <w:t>行信息披露义务，真实、准确、及时、完整地披露信息，确保公司所有股东公平的获得公司相关信息。公</w:t>
      </w:r>
      <w:r>
        <w:rPr>
          <w:spacing w:val="-83"/>
        </w:rPr>
        <w:t> </w:t>
      </w:r>
      <w:r>
        <w:rPr>
          <w:spacing w:val="-83"/>
        </w:rPr>
      </w:r>
      <w:r>
        <w:rPr>
          <w:spacing w:val="-14"/>
        </w:rPr>
        <w:t>司指定《证券时报》、《证券日报》、《上海证券报》、《中国证券报》和巨潮资讯网</w:t>
      </w:r>
      <w:hyperlink r:id="rId13">
        <w:r>
          <w:rPr>
            <w:rFonts w:ascii="宋体" w:hAnsi="宋体" w:cs="宋体" w:eastAsia="宋体" w:hint="default"/>
            <w:spacing w:val="-14"/>
          </w:rPr>
          <w:t>http://www.cninfo.com.cn</w:t>
        </w:r>
      </w:hyperlink>
      <w:r>
        <w:rPr>
          <w:rFonts w:ascii="宋体" w:hAnsi="宋体" w:cs="宋体" w:eastAsia="宋体" w:hint="default"/>
        </w:rPr>
        <w:t> </w:t>
      </w:r>
      <w:r>
        <w:rPr>
          <w:spacing w:val="-1"/>
        </w:rPr>
        <w:t>为公司信息披露的报纸和网站，同时还通过投资者来访接待、公司网站信息发布、电话专线、回答投资者</w:t>
      </w:r>
      <w:r>
        <w:rPr>
          <w:spacing w:val="-86"/>
        </w:rPr>
        <w:t> </w:t>
      </w:r>
      <w:r>
        <w:rPr>
          <w:spacing w:val="-86"/>
        </w:rPr>
      </w:r>
      <w:r>
        <w:rPr/>
        <w:t>提问等方式保持与投资者的良好沟通和信息透明度。</w:t>
      </w:r>
    </w:p>
    <w:p>
      <w:pPr>
        <w:pStyle w:val="BodyText"/>
        <w:spacing w:line="273" w:lineRule="auto" w:before="7"/>
        <w:ind w:left="1554" w:right="1092"/>
        <w:jc w:val="left"/>
      </w:pPr>
      <w:r>
        <w:rPr>
          <w:rFonts w:ascii="宋体" w:hAnsi="宋体" w:cs="宋体" w:eastAsia="宋体" w:hint="default"/>
        </w:rPr>
        <w:t>5</w:t>
      </w:r>
      <w:r>
        <w:rPr/>
        <w:t>、关于相关利益者 公司能够充分尊重和维护利益相关者的合法权益，实现股东、职工和社会等各方面利益的协调平衡，</w:t>
      </w:r>
    </w:p>
    <w:p>
      <w:pPr>
        <w:pStyle w:val="BodyText"/>
        <w:spacing w:line="307" w:lineRule="auto" w:before="7"/>
        <w:ind w:left="1553" w:right="1933" w:hanging="420"/>
        <w:jc w:val="left"/>
      </w:pPr>
      <w:r>
        <w:rPr/>
        <w:t>重视公司的社会责任，与利益相关者积极合作，共同推动公司持续、健康地发展。 公司治理的实际状况与中国证监会发布的有关上市公司治理的规范性文件是否存在重大差异</w:t>
      </w:r>
    </w:p>
    <w:p>
      <w:pPr>
        <w:pStyle w:val="BodyText"/>
        <w:spacing w:line="240" w:lineRule="auto" w:before="19"/>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BodyText"/>
        <w:spacing w:line="240" w:lineRule="auto" w:before="61"/>
        <w:ind w:left="1554" w:right="0"/>
        <w:jc w:val="left"/>
      </w:pPr>
      <w:r>
        <w:rPr/>
        <w:t>公司治理的实际状况与中国证监会发布的有关上市公司治理的规范性文件不存在重大差异。</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spacing w:line="501" w:lineRule="auto" w:before="26"/>
        <w:ind w:left="1133" w:right="2653" w:firstLine="0"/>
        <w:jc w:val="left"/>
        <w:rPr>
          <w:rFonts w:ascii="宋体" w:hAnsi="宋体" w:cs="宋体" w:eastAsia="宋体" w:hint="default"/>
          <w:sz w:val="24"/>
          <w:szCs w:val="24"/>
        </w:rPr>
      </w:pPr>
      <w:bookmarkStart w:name="二、公司相对于控股股东在业务、人员、资产、机构、财务等方面的独立情况" w:id="131"/>
      <w:bookmarkEnd w:id="131"/>
      <w:r>
        <w:rPr/>
      </w:r>
      <w:r>
        <w:rPr>
          <w:rFonts w:ascii="宋体" w:hAnsi="宋体" w:cs="宋体" w:eastAsia="宋体" w:hint="default"/>
          <w:b/>
          <w:bCs/>
          <w:w w:val="95"/>
          <w:sz w:val="24"/>
          <w:szCs w:val="24"/>
        </w:rPr>
        <w:t>二、公司相对于控股股东在业务、人员、资产、机构、财务等方面的独立情况</w:t>
      </w:r>
      <w:r>
        <w:rPr>
          <w:rFonts w:ascii="宋体" w:hAnsi="宋体" w:cs="宋体" w:eastAsia="宋体" w:hint="default"/>
          <w:b/>
          <w:bCs/>
          <w:spacing w:val="33"/>
          <w:w w:val="95"/>
          <w:sz w:val="24"/>
          <w:szCs w:val="24"/>
        </w:rPr>
        <w:t> </w:t>
      </w:r>
      <w:r>
        <w:rPr>
          <w:rFonts w:ascii="宋体" w:hAnsi="宋体" w:cs="宋体" w:eastAsia="宋体" w:hint="default"/>
          <w:sz w:val="21"/>
          <w:szCs w:val="21"/>
        </w:rPr>
        <w:t>公司相对于控股股东在业务、人员、资产、机构、财务等方面能够保证独立性。 </w:t>
      </w:r>
      <w:bookmarkStart w:name="三、同业竞争情况" w:id="132"/>
      <w:bookmarkEnd w:id="132"/>
      <w:r>
        <w:rPr>
          <w:rFonts w:ascii="宋体" w:hAnsi="宋体" w:cs="宋体" w:eastAsia="宋体" w:hint="default"/>
          <w:sz w:val="21"/>
          <w:szCs w:val="21"/>
        </w:rPr>
      </w:r>
      <w:r>
        <w:rPr>
          <w:rFonts w:ascii="宋体" w:hAnsi="宋体" w:cs="宋体" w:eastAsia="宋体" w:hint="default"/>
          <w:b/>
          <w:bCs/>
          <w:sz w:val="24"/>
          <w:szCs w:val="24"/>
        </w:rPr>
        <w:t>三、同业竞争情况</w:t>
      </w:r>
      <w:r>
        <w:rPr>
          <w:rFonts w:ascii="宋体" w:hAnsi="宋体" w:cs="宋体" w:eastAsia="宋体" w:hint="default"/>
          <w:sz w:val="24"/>
          <w:szCs w:val="24"/>
        </w:rPr>
      </w:r>
    </w:p>
    <w:p>
      <w:pPr>
        <w:spacing w:before="86"/>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3499"/>
        <w:jc w:val="left"/>
        <w:rPr>
          <w:b w:val="0"/>
          <w:bCs w:val="0"/>
        </w:rPr>
      </w:pPr>
      <w:bookmarkStart w:name="四、报告期内召开的年度股东大会和临时股东大会的有关情况" w:id="133"/>
      <w:bookmarkEnd w:id="133"/>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499"/>
        <w:jc w:val="left"/>
        <w:rPr>
          <w:b w:val="0"/>
          <w:bCs w:val="0"/>
        </w:rPr>
      </w:pPr>
      <w:bookmarkStart w:name="1、本报告期股东大会情况" w:id="134"/>
      <w:bookmarkEnd w:id="134"/>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3499"/>
        <w:jc w:val="left"/>
        <w:rPr>
          <w:b w:val="0"/>
          <w:bCs w:val="0"/>
        </w:rPr>
      </w:pPr>
      <w:bookmarkStart w:name="2、表决权恢复的优先股股东请求召开临时股东大会" w:id="135"/>
      <w:bookmarkEnd w:id="135"/>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3499"/>
        <w:jc w:val="left"/>
        <w:rPr>
          <w:b w:val="0"/>
          <w:bCs w:val="0"/>
        </w:rPr>
      </w:pPr>
      <w:bookmarkStart w:name="五、报告期内独立董事履行职责的情况" w:id="136"/>
      <w:bookmarkEnd w:id="136"/>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499"/>
        <w:jc w:val="left"/>
        <w:rPr>
          <w:b w:val="0"/>
          <w:bCs w:val="0"/>
        </w:rPr>
      </w:pPr>
      <w:bookmarkStart w:name="1、独立董事出席董事会及股东大会的情况" w:id="137"/>
      <w:bookmarkEnd w:id="137"/>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王涌</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唐林林</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胡事民</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3499"/>
        <w:jc w:val="left"/>
        <w:rPr>
          <w:b w:val="0"/>
          <w:bCs w:val="0"/>
        </w:rPr>
      </w:pPr>
      <w:bookmarkStart w:name="2、独立董事对公司有关事项提出异议的情况" w:id="138"/>
      <w:bookmarkEnd w:id="138"/>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spacing w:before="0"/>
        <w:ind w:left="1134" w:right="3499"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13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3499"/>
        <w:jc w:val="left"/>
        <w:rPr>
          <w:b w:val="0"/>
          <w:bCs w:val="0"/>
        </w:rPr>
      </w:pPr>
      <w:bookmarkStart w:name="3、独立董事履行职责的其他说明" w:id="139"/>
      <w:bookmarkEnd w:id="139"/>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3499"/>
        <w:jc w:val="left"/>
      </w:pPr>
      <w:r>
        <w:rPr/>
        <w:t>独立董事对公司有关建议是否被采纳</w:t>
      </w:r>
    </w:p>
    <w:p>
      <w:pPr>
        <w:pStyle w:val="BodyText"/>
        <w:spacing w:line="292" w:lineRule="auto" w:before="76"/>
        <w:ind w:left="1134" w:right="61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独立董事对公司有关建议被采纳或未被采纳的说明</w:t>
      </w:r>
    </w:p>
    <w:p>
      <w:pPr>
        <w:pStyle w:val="BodyText"/>
        <w:spacing w:line="273" w:lineRule="auto" w:before="29"/>
        <w:ind w:left="1134" w:right="1023" w:firstLine="420"/>
        <w:jc w:val="left"/>
      </w:pPr>
      <w:r>
        <w:rPr/>
        <w:t>报告期内，独立董事严格按照《公司章程》、《独立董事制度》等的相关规定勤勉履行职责，忠实履 行职务，积极参加历次董事会，审议各项议案。通过出席董事会、股东大会、现场办公等方式，深入了解 公司生产经营状况和内部控制的建设及董事会各项决议执行情况，并利用自已的专业优势为公司经营和发 </w:t>
      </w:r>
      <w:r>
        <w:rPr>
          <w:spacing w:val="-3"/>
        </w:rPr>
        <w:t>展提出了合理化的意见和建议，对公司利润分配、续聘审计机构等相关事项发表了客观、公正的独立意见，</w:t>
      </w:r>
      <w:r>
        <w:rPr>
          <w:spacing w:val="-90"/>
        </w:rPr>
        <w:t> </w:t>
      </w:r>
      <w:r>
        <w:rPr>
          <w:spacing w:val="-90"/>
        </w:rPr>
      </w:r>
      <w:r>
        <w:rPr/>
        <w:t>对董事会决策的公正、公平及保护中小投资者利益起到了积极作用。</w:t>
      </w:r>
    </w:p>
    <w:p>
      <w:pPr>
        <w:pStyle w:val="BodyText"/>
        <w:spacing w:line="240" w:lineRule="auto" w:before="7"/>
        <w:ind w:left="1469" w:right="0"/>
        <w:jc w:val="left"/>
      </w:pPr>
      <w:r>
        <w:rPr/>
        <w:t>报告期内，公司各位独立董事对董事会各项议案及公司其他事项没有提出异议。</w:t>
      </w:r>
    </w:p>
    <w:p>
      <w:pPr>
        <w:spacing w:line="240" w:lineRule="auto" w:before="1"/>
        <w:rPr>
          <w:rFonts w:ascii="宋体" w:hAnsi="宋体" w:cs="宋体" w:eastAsia="宋体" w:hint="default"/>
          <w:sz w:val="24"/>
          <w:szCs w:val="24"/>
        </w:rPr>
      </w:pPr>
    </w:p>
    <w:p>
      <w:pPr>
        <w:pStyle w:val="Heading2"/>
        <w:spacing w:line="240" w:lineRule="auto"/>
        <w:ind w:right="3499"/>
        <w:jc w:val="left"/>
        <w:rPr>
          <w:b w:val="0"/>
          <w:bCs w:val="0"/>
        </w:rPr>
      </w:pPr>
      <w:bookmarkStart w:name="六、董事会下设专门委员会在报告期内履行职责情况" w:id="140"/>
      <w:bookmarkEnd w:id="140"/>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1" w:firstLine="420"/>
        <w:jc w:val="both"/>
      </w:pPr>
      <w:r>
        <w:rPr>
          <w:spacing w:val="-1"/>
        </w:rPr>
        <w:t>为进一步完善公司法人治理结构，促进公司董事会科学、高效决策以及建立对公司管理层绩效评价机</w:t>
      </w:r>
      <w:r>
        <w:rPr/>
        <w:t> </w:t>
      </w:r>
      <w:r>
        <w:rPr>
          <w:spacing w:val="-1"/>
        </w:rPr>
        <w:t>制和激励机制，参照《上市公司治理准则》及公司章程等有关规定，公司董事会设立战略委员会、审计委</w:t>
      </w:r>
      <w:r>
        <w:rPr>
          <w:spacing w:val="-83"/>
        </w:rPr>
        <w:t> </w:t>
      </w:r>
      <w:r>
        <w:rPr>
          <w:spacing w:val="-83"/>
        </w:rPr>
      </w:r>
      <w:r>
        <w:rPr/>
        <w:t>员会、提名委员会、薪酬与考核委员会四个董事会下设委员会，报告期内，各委员会履职情况如下：</w:t>
      </w:r>
    </w:p>
    <w:p>
      <w:pPr>
        <w:pStyle w:val="BodyText"/>
        <w:spacing w:line="273" w:lineRule="auto" w:before="7"/>
        <w:ind w:left="1554" w:right="0"/>
        <w:jc w:val="left"/>
      </w:pPr>
      <w:r>
        <w:rPr>
          <w:rFonts w:ascii="宋体" w:hAnsi="宋体" w:cs="宋体" w:eastAsia="宋体" w:hint="default"/>
        </w:rPr>
        <w:t>1</w:t>
      </w:r>
      <w:r>
        <w:rPr/>
        <w:t>、审计委员会履职情况 </w:t>
      </w:r>
      <w:r>
        <w:rPr>
          <w:spacing w:val="-1"/>
        </w:rPr>
        <w:t>报告期内，审计委员会根据《公司章程》、《董事会审计委员会工作制度》等相关要求，积极履行职</w:t>
      </w:r>
    </w:p>
    <w:p>
      <w:pPr>
        <w:pStyle w:val="BodyText"/>
        <w:spacing w:line="264" w:lineRule="auto" w:before="7"/>
        <w:ind w:left="1134" w:right="0"/>
        <w:jc w:val="left"/>
      </w:pPr>
      <w:r>
        <w:rPr/>
        <w:t>责，审计委员会共召开</w:t>
      </w:r>
      <w:r>
        <w:rPr>
          <w:rFonts w:ascii="Times New Roman" w:hAnsi="Times New Roman" w:cs="Times New Roman" w:eastAsia="Times New Roman" w:hint="default"/>
        </w:rPr>
        <w:t>3</w:t>
      </w:r>
      <w:r>
        <w:rPr/>
        <w:t>次会议。对公司财务报告和内控情况进行了监控，制定年度审计计划并对年度审 </w:t>
      </w:r>
      <w:r>
        <w:rPr>
          <w:spacing w:val="-1"/>
        </w:rPr>
        <w:t>计工作进行安排，在审计过程中与相关人员进行有效沟通，同时，审议公司内审部提交的年度审计计划及</w:t>
      </w:r>
      <w:r>
        <w:rPr>
          <w:spacing w:val="-83"/>
        </w:rPr>
        <w:t> </w:t>
      </w:r>
      <w:r>
        <w:rPr>
          <w:spacing w:val="-83"/>
        </w:rPr>
      </w:r>
      <w:r>
        <w:rPr/>
        <w:t>总结，切实履行了审计委员会的工作职责。</w:t>
      </w:r>
    </w:p>
    <w:p>
      <w:pPr>
        <w:pStyle w:val="BodyText"/>
        <w:spacing w:line="273" w:lineRule="auto" w:before="16"/>
        <w:ind w:left="1554" w:right="1197"/>
        <w:jc w:val="left"/>
      </w:pPr>
      <w:r>
        <w:rPr>
          <w:rFonts w:ascii="宋体" w:hAnsi="宋体" w:cs="宋体" w:eastAsia="宋体" w:hint="default"/>
        </w:rPr>
        <w:t>2</w:t>
      </w:r>
      <w:r>
        <w:rPr/>
        <w:t>、战略委员会履职情况 报告期内，战略委员会按照《公司章程》、《董事会战略委员会工作制度》等相关要求，共召开</w:t>
      </w:r>
      <w:r>
        <w:rPr>
          <w:rFonts w:ascii="Times New Roman" w:hAnsi="Times New Roman" w:cs="Times New Roman" w:eastAsia="Times New Roman" w:hint="default"/>
        </w:rPr>
        <w:t>2</w:t>
      </w:r>
      <w:r>
        <w:rPr/>
        <w:t>次</w:t>
      </w:r>
    </w:p>
    <w:p>
      <w:pPr>
        <w:pStyle w:val="BodyText"/>
        <w:spacing w:line="273" w:lineRule="auto"/>
        <w:ind w:right="0"/>
        <w:jc w:val="left"/>
      </w:pPr>
      <w:r>
        <w:rPr>
          <w:spacing w:val="-1"/>
        </w:rPr>
        <w:t>会议，对公司经营目标以及公司对外投资情况进行审议，对其他影响公司发展的重大事项进行研究并提出</w:t>
      </w:r>
      <w:r>
        <w:rPr>
          <w:spacing w:val="-81"/>
        </w:rPr>
        <w:t> </w:t>
      </w:r>
      <w:r>
        <w:rPr>
          <w:spacing w:val="-81"/>
        </w:rPr>
      </w:r>
      <w:r>
        <w:rPr/>
        <w:t>相关建议，进一步提高公司战略决策的合理性和科学性。</w:t>
      </w:r>
    </w:p>
    <w:p>
      <w:pPr>
        <w:pStyle w:val="BodyText"/>
        <w:spacing w:line="273" w:lineRule="auto" w:before="7"/>
        <w:ind w:left="1554" w:right="1017"/>
        <w:jc w:val="left"/>
      </w:pPr>
      <w:r>
        <w:rPr>
          <w:rFonts w:ascii="宋体" w:hAnsi="宋体" w:cs="宋体" w:eastAsia="宋体" w:hint="default"/>
        </w:rPr>
        <w:t>3</w:t>
      </w:r>
      <w:r>
        <w:rPr/>
        <w:t>、薪酬与考核委员会履职情况 </w:t>
      </w:r>
      <w:r>
        <w:rPr>
          <w:spacing w:val="-3"/>
        </w:rPr>
        <w:t>报告期内，薪酬与考核委员会按照《公司章程》、《董事会薪酬与考核委员会工作制度》等相关要求，</w:t>
      </w:r>
    </w:p>
    <w:p>
      <w:pPr>
        <w:pStyle w:val="BodyText"/>
        <w:spacing w:line="256" w:lineRule="auto" w:before="7"/>
        <w:ind w:left="1134" w:right="1197"/>
        <w:jc w:val="left"/>
      </w:pPr>
      <w:r>
        <w:rPr/>
        <w:t>共召开</w:t>
      </w:r>
      <w:r>
        <w:rPr>
          <w:rFonts w:ascii="Times New Roman" w:hAnsi="Times New Roman" w:cs="Times New Roman" w:eastAsia="Times New Roman" w:hint="default"/>
        </w:rPr>
        <w:t>2</w:t>
      </w:r>
      <w:r>
        <w:rPr/>
        <w:t>次会议，对公司薪酬及绩效考核情况进行监督，审查董事、监事及高级管理人员的薪酬情况，对 考核和评价标准提出建议，促进公司在规范运作的基础上，进一步提高在薪酬考核方面的科学性。</w:t>
      </w:r>
    </w:p>
    <w:p>
      <w:pPr>
        <w:pStyle w:val="BodyText"/>
        <w:spacing w:line="273" w:lineRule="auto" w:before="22"/>
        <w:ind w:left="1554" w:right="1197"/>
        <w:jc w:val="left"/>
      </w:pPr>
      <w:r>
        <w:rPr>
          <w:rFonts w:ascii="宋体" w:hAnsi="宋体" w:cs="宋体" w:eastAsia="宋体" w:hint="default"/>
        </w:rPr>
        <w:t>4</w:t>
      </w:r>
      <w:r>
        <w:rPr/>
        <w:t>、提名委员会履职情况 报告期内，提名委员会按照《公司章程》、《董事会提名委员会工作制度》等相关要求，共召开</w:t>
      </w:r>
      <w:r>
        <w:rPr>
          <w:rFonts w:ascii="Times New Roman" w:hAnsi="Times New Roman" w:cs="Times New Roman" w:eastAsia="Times New Roman" w:hint="default"/>
        </w:rPr>
        <w:t>2</w:t>
      </w:r>
      <w:r>
        <w:rPr/>
        <w:t>次</w:t>
      </w:r>
    </w:p>
    <w:p>
      <w:pPr>
        <w:pStyle w:val="BodyText"/>
        <w:spacing w:line="273" w:lineRule="auto"/>
        <w:ind w:right="0"/>
        <w:jc w:val="left"/>
      </w:pPr>
      <w:r>
        <w:rPr>
          <w:spacing w:val="-1"/>
        </w:rPr>
        <w:t>会议，对公司新任独立董事人员资格进行了认真的审查并。对公司新一届董事、高级管理人员任职资格进</w:t>
      </w:r>
      <w:r>
        <w:rPr>
          <w:spacing w:val="-83"/>
        </w:rPr>
        <w:t> </w:t>
      </w:r>
      <w:r>
        <w:rPr>
          <w:spacing w:val="-83"/>
        </w:rPr>
      </w:r>
      <w:r>
        <w:rPr/>
        <w:t>行审查，未发现《公司法》及相关法律法规规定禁止担任上市公司董事、高级管理人员的情形。</w:t>
      </w:r>
    </w:p>
    <w:p>
      <w:pPr>
        <w:spacing w:line="240" w:lineRule="auto" w:before="11"/>
        <w:rPr>
          <w:rFonts w:ascii="宋体" w:hAnsi="宋体" w:cs="宋体" w:eastAsia="宋体" w:hint="default"/>
          <w:sz w:val="21"/>
          <w:szCs w:val="21"/>
        </w:rPr>
      </w:pPr>
    </w:p>
    <w:p>
      <w:pPr>
        <w:pStyle w:val="Heading2"/>
        <w:spacing w:line="240" w:lineRule="auto"/>
        <w:ind w:right="3499"/>
        <w:jc w:val="left"/>
        <w:rPr>
          <w:b w:val="0"/>
          <w:bCs w:val="0"/>
        </w:rPr>
      </w:pPr>
      <w:bookmarkStart w:name="七、监事会工作情况" w:id="141"/>
      <w:bookmarkEnd w:id="141"/>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line="340" w:lineRule="auto" w:before="116"/>
        <w:ind w:left="113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3499"/>
        <w:jc w:val="left"/>
        <w:rPr>
          <w:b w:val="0"/>
          <w:bCs w:val="0"/>
        </w:rPr>
      </w:pPr>
      <w:bookmarkStart w:name="八、高级管理人员的考评及激励情况" w:id="142"/>
      <w:bookmarkEnd w:id="142"/>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公司采用高级管理人员的薪酬与公司业绩挂钩的绩效考核与激励约束机制</w:t>
      </w:r>
      <w:r>
        <w:rPr>
          <w:rFonts w:ascii="宋体" w:hAnsi="宋体" w:cs="宋体" w:eastAsia="宋体" w:hint="default"/>
          <w:spacing w:val="-82"/>
          <w:sz w:val="18"/>
          <w:szCs w:val="18"/>
        </w:rPr>
        <w:t>，</w:t>
      </w:r>
      <w:r>
        <w:rPr>
          <w:rFonts w:ascii="宋体" w:hAnsi="宋体" w:cs="宋体" w:eastAsia="宋体" w:hint="default"/>
          <w:sz w:val="18"/>
          <w:szCs w:val="18"/>
        </w:rPr>
        <w:t>公司高级管理人员实行基本年薪和年终绩效考核</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2"/>
        <w:rPr>
          <w:rFonts w:ascii="宋体" w:hAnsi="宋体" w:cs="宋体" w:eastAsia="宋体" w:hint="default"/>
          <w:sz w:val="25"/>
          <w:szCs w:val="25"/>
        </w:rPr>
      </w:pPr>
      <w:r>
        <w:rPr/>
        <w:pict>
          <v:group style="position:absolute;margin-left:383.980011pt;margin-top:504.339996pt;width:149.8pt;height:15.6pt;mso-position-horizontal-relative:page;mso-position-vertical-relative:page;z-index:-925552" coordorigin="7680,10087" coordsize="2996,312">
            <v:shape style="position:absolute;left:7680;top:10087;width:2996;height:312" coordorigin="7680,10087" coordsize="2996,312" path="m7680,10399l10675,10399,10675,10087,7680,10087,7680,10399xe" filled="true" fillcolor="#ffffff" stroked="false">
              <v:path arrowok="t"/>
              <v:fill type="solid"/>
            </v:shape>
            <w10:wrap type="none"/>
          </v:group>
        </w:pict>
      </w:r>
      <w:r>
        <w:rPr/>
        <w:pict>
          <v:group style="position:absolute;margin-left:383.980011pt;margin-top:597.940002pt;width:149.8pt;height:17.6pt;mso-position-horizontal-relative:page;mso-position-vertical-relative:page;z-index:-925528" coordorigin="7680,11959" coordsize="2996,352">
            <v:shape style="position:absolute;left:7680;top:11959;width:2996;height:352" coordorigin="7680,11959" coordsize="2996,352" path="m7680,12310l10675,12310,10675,11959,7680,11959,7680,12310xe" filled="true" fillcolor="#ffffff" stroked="false">
              <v:path arrowok="t"/>
              <v:fill type="solid"/>
            </v:shape>
            <w10:wrap type="none"/>
          </v:group>
        </w:pict>
      </w:r>
    </w:p>
    <w:p>
      <w:pPr>
        <w:spacing w:line="316" w:lineRule="auto" w:before="44"/>
        <w:ind w:left="1133" w:right="0" w:firstLine="0"/>
        <w:jc w:val="left"/>
        <w:rPr>
          <w:rFonts w:ascii="宋体" w:hAnsi="宋体" w:cs="宋体" w:eastAsia="宋体" w:hint="default"/>
          <w:sz w:val="18"/>
          <w:szCs w:val="18"/>
        </w:rPr>
      </w:pPr>
      <w:r>
        <w:rPr>
          <w:rFonts w:ascii="宋体" w:hAnsi="宋体" w:cs="宋体" w:eastAsia="宋体" w:hint="default"/>
          <w:spacing w:val="-2"/>
          <w:sz w:val="18"/>
          <w:szCs w:val="18"/>
        </w:rPr>
        <w:t>相结合的薪酬制度。年末根据公司年度经营目标完成情况以及高级管理人员的工作业绩，由董事会薪酬与考核委员会对高级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管理人员进行年度绩效考核，并监督薪酬制度执行情况。公司则根据绩效考核结果兑现其绩效年薪，并进行奖惩。</w:t>
      </w:r>
    </w:p>
    <w:p>
      <w:pPr>
        <w:spacing w:line="240" w:lineRule="auto" w:before="10"/>
        <w:rPr>
          <w:rFonts w:ascii="宋体" w:hAnsi="宋体" w:cs="宋体" w:eastAsia="宋体" w:hint="default"/>
          <w:sz w:val="20"/>
          <w:szCs w:val="20"/>
        </w:rPr>
      </w:pPr>
    </w:p>
    <w:p>
      <w:pPr>
        <w:pStyle w:val="Heading2"/>
        <w:spacing w:line="240" w:lineRule="auto"/>
        <w:ind w:right="3499"/>
        <w:jc w:val="left"/>
        <w:rPr>
          <w:b w:val="0"/>
          <w:bCs w:val="0"/>
        </w:rPr>
      </w:pPr>
      <w:bookmarkStart w:name="九、内部控制评价报告" w:id="143"/>
      <w:bookmarkEnd w:id="143"/>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499"/>
        <w:jc w:val="left"/>
        <w:rPr>
          <w:b w:val="0"/>
          <w:bCs w:val="0"/>
        </w:rPr>
      </w:pPr>
      <w:bookmarkStart w:name="1、报告期内发现的内部控制重大缺陷的具体情况" w:id="144"/>
      <w:bookmarkEnd w:id="144"/>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right="3499"/>
        <w:jc w:val="left"/>
        <w:rPr>
          <w:b w:val="0"/>
          <w:bCs w:val="0"/>
        </w:rPr>
      </w:pPr>
      <w:bookmarkStart w:name="2、内控自我评价报告" w:id="145"/>
      <w:bookmarkEnd w:id="145"/>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hyperlink r:id="rId13">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《内部控制自我评价报告》</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814"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9" w:space="0" w:color="FFFFFF"/>
            </w:tcBorders>
          </w:tcPr>
          <w:p>
            <w:pPr>
              <w:pStyle w:val="TableParagraph"/>
              <w:spacing w:line="314" w:lineRule="auto" w:before="52"/>
              <w:ind w:left="22" w:right="-3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）一项内部控制缺陷单独或连同其他缺陷</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具备合理可能性导致不能及时防止、发现 并纠正财务报表中的重大错报。如：公司 董事、监事和高级管理人员的舞弊行为； 注册会计师发现的却未被公司内部控制识 别的当期财务报告中的重大错报；审计委 员会和审计部门对公司的对外财务报告和 </w:t>
            </w:r>
            <w:r>
              <w:rPr>
                <w:rFonts w:ascii="宋体" w:hAnsi="宋体" w:cs="宋体" w:eastAsia="宋体" w:hint="default"/>
                <w:spacing w:val="-10"/>
                <w:sz w:val="18"/>
                <w:szCs w:val="18"/>
              </w:rPr>
              <w:t>财务报告内部控制监督无效。</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）重要缺陷：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内部控制缺陷单独或连同其他缺陷具备合</w:t>
            </w:r>
            <w:r>
              <w:rPr>
                <w:rFonts w:ascii="宋体" w:hAnsi="宋体" w:cs="宋体" w:eastAsia="宋体" w:hint="default"/>
                <w:sz w:val="18"/>
                <w:szCs w:val="18"/>
              </w:rPr>
              <w:t> 理可能性导致不能及时防止或发现并纠正 财务报告中虽然未达到和超过重要性水 平，但仍应引起董事会和管理层重视的错 报。如：未依照公认会计准则选择和应用 </w:t>
            </w:r>
            <w:r>
              <w:rPr>
                <w:rFonts w:ascii="宋体" w:hAnsi="宋体" w:cs="宋体" w:eastAsia="宋体" w:hint="default"/>
                <w:spacing w:val="-6"/>
                <w:sz w:val="18"/>
                <w:szCs w:val="18"/>
              </w:rPr>
              <w:t>会计政策；未建立反舞弊程序和控制措施；</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重要信息泄露并对公司业务运作带来重大</w:t>
            </w:r>
            <w:r>
              <w:rPr>
                <w:rFonts w:ascii="宋体" w:hAnsi="宋体" w:cs="宋体" w:eastAsia="宋体" w:hint="default"/>
                <w:sz w:val="18"/>
                <w:szCs w:val="18"/>
              </w:rPr>
              <w:t> 损失；对于期末财务报告过程的控制不能 合理保证编制的财务报表达到真实、准确 </w:t>
            </w:r>
            <w:r>
              <w:rPr>
                <w:rFonts w:ascii="宋体" w:hAnsi="宋体" w:cs="宋体" w:eastAsia="宋体" w:hint="default"/>
                <w:spacing w:val="-4"/>
                <w:sz w:val="18"/>
                <w:szCs w:val="18"/>
              </w:rPr>
              <w:t>的目标。</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）一般缺陷：不构成重大缺陷和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重要的财务报告内部控制缺陷。</w:t>
            </w:r>
          </w:p>
        </w:tc>
        <w:tc>
          <w:tcPr>
            <w:tcW w:w="3051"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14" w:lineRule="auto"/>
              <w:ind w:left="16"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）重大缺陷：违反国家法律法规或规 </w:t>
            </w:r>
            <w:r>
              <w:rPr>
                <w:rFonts w:ascii="宋体" w:hAnsi="宋体" w:cs="宋体" w:eastAsia="宋体" w:hint="default"/>
                <w:spacing w:val="-4"/>
                <w:sz w:val="18"/>
                <w:szCs w:val="18"/>
              </w:rPr>
              <w:t>范性文件；重要业务缺乏制度控制或系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统性失效，且缺乏有效的补偿性控制； 内部控制评价的结果特别是重大缺陷 </w:t>
            </w:r>
            <w:r>
              <w:rPr>
                <w:rFonts w:ascii="宋体" w:hAnsi="宋体" w:cs="宋体" w:eastAsia="宋体" w:hint="default"/>
                <w:spacing w:val="-4"/>
                <w:sz w:val="18"/>
                <w:szCs w:val="18"/>
              </w:rPr>
              <w:t>未得到有效整改；其他对公司产生重大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负面影响的情形。</w:t>
            </w:r>
            <w:r>
              <w:rPr>
                <w:rFonts w:ascii="宋体" w:hAnsi="宋体" w:cs="宋体" w:eastAsia="宋体" w:hint="default"/>
                <w:spacing w:val="-22"/>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）重要缺陷：重要</w:t>
            </w:r>
            <w:r>
              <w:rPr>
                <w:rFonts w:ascii="宋体" w:hAnsi="宋体" w:cs="宋体" w:eastAsia="宋体" w:hint="default"/>
                <w:sz w:val="18"/>
                <w:szCs w:val="18"/>
              </w:rPr>
              <w:t> </w:t>
            </w:r>
            <w:r>
              <w:rPr>
                <w:rFonts w:ascii="宋体" w:hAnsi="宋体" w:cs="宋体" w:eastAsia="宋体" w:hint="default"/>
                <w:spacing w:val="-4"/>
                <w:sz w:val="18"/>
                <w:szCs w:val="18"/>
              </w:rPr>
              <w:t>业务制度或系统存在缺陷；内部控制评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价的结果特别是重要缺陷未得到整改； 其他对公司产生较大负面影响的情形。</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9" w:space="0" w:color="FFFFFF"/>
            </w:tcBorders>
          </w:tcPr>
          <w:p>
            <w:pPr/>
          </w:p>
        </w:tc>
        <w:tc>
          <w:tcPr>
            <w:tcW w:w="3051" w:type="dxa"/>
            <w:vMerge/>
            <w:tcBorders>
              <w:left w:val="single" w:sz="9" w:space="0" w:color="FFFFFF"/>
              <w:right w:val="single" w:sz="4" w:space="0" w:color="000000"/>
            </w:tcBorders>
          </w:tcPr>
          <w:p>
            <w:pPr/>
          </w:p>
        </w:tc>
      </w:tr>
      <w:tr>
        <w:trPr>
          <w:trHeight w:val="2813"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single" w:sz="4" w:space="0" w:color="000000"/>
            </w:tcBorders>
          </w:tcPr>
          <w:p>
            <w:pPr/>
          </w:p>
        </w:tc>
      </w:tr>
      <w:tr>
        <w:trPr>
          <w:trHeight w:val="473"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00" w:lineRule="auto" w:before="72"/>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）重大缺陷：潜在错报金额大于最近一个</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会计年度公司合并报表净利润的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）重要缺陷：潜在错报金额 介于最近一个会计年度公司合并报表净利</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）重大缺陷：直接损失</w:t>
            </w:r>
            <w:r>
              <w:rPr>
                <w:rFonts w:ascii="Times New Roman" w:hAnsi="Times New Roman" w:cs="Times New Roman" w:eastAsia="Times New Roman" w:hint="default"/>
                <w:sz w:val="18"/>
                <w:szCs w:val="18"/>
              </w:rPr>
              <w:t>≥</w:t>
            </w:r>
            <w:r>
              <w:rPr>
                <w:rFonts w:ascii="宋体" w:hAnsi="宋体" w:cs="宋体" w:eastAsia="宋体" w:hint="default"/>
                <w:sz w:val="18"/>
                <w:szCs w:val="18"/>
              </w:rPr>
              <w:t>资产净额的</w:t>
            </w:r>
          </w:p>
          <w:p>
            <w:pPr>
              <w:pStyle w:val="TableParagraph"/>
              <w:spacing w:line="300" w:lineRule="auto" w:before="63"/>
              <w:ind w:left="22" w:right="2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）重要缺陷：资产净额的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直接损失＜资产净额的</w:t>
            </w:r>
            <w:r>
              <w:rPr>
                <w:rFonts w:ascii="宋体" w:hAnsi="宋体" w:cs="宋体" w:eastAsia="宋体" w:hint="default"/>
                <w:spacing w:val="-46"/>
                <w:sz w:val="18"/>
                <w:szCs w:val="18"/>
              </w:rPr>
              <w:t> </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）一般缺</w:t>
            </w:r>
            <w:r>
              <w:rPr>
                <w:rFonts w:ascii="宋体" w:hAnsi="宋体" w:cs="宋体" w:eastAsia="宋体" w:hint="default"/>
                <w:sz w:val="18"/>
                <w:szCs w:val="18"/>
              </w:rPr>
              <w:t> 陷：直接损失＜资产净额的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473"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194"/>
        <w:gridCol w:w="3324"/>
        <w:gridCol w:w="3051"/>
      </w:tblGrid>
      <w:tr>
        <w:trPr>
          <w:trHeight w:val="12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3" w:right="38"/>
              <w:jc w:val="left"/>
              <w:rPr>
                <w:rFonts w:ascii="宋体" w:hAnsi="宋体" w:cs="宋体" w:eastAsia="宋体" w:hint="default"/>
                <w:sz w:val="18"/>
                <w:szCs w:val="18"/>
              </w:rPr>
            </w:pPr>
            <w:r>
              <w:rPr>
                <w:rFonts w:ascii="宋体" w:hAnsi="宋体" w:cs="宋体" w:eastAsia="宋体" w:hint="default"/>
                <w:sz w:val="18"/>
                <w:szCs w:val="18"/>
              </w:rPr>
              <w:t>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-1000 </w:t>
            </w:r>
            <w:r>
              <w:rPr>
                <w:rFonts w:ascii="宋体" w:hAnsi="宋体" w:cs="宋体" w:eastAsia="宋体" w:hint="default"/>
                <w:spacing w:val="-9"/>
                <w:sz w:val="18"/>
                <w:szCs w:val="18"/>
              </w:rPr>
              <w:t>万元。</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）一</w:t>
            </w:r>
            <w:r>
              <w:rPr>
                <w:rFonts w:ascii="宋体" w:hAnsi="宋体" w:cs="宋体" w:eastAsia="宋体" w:hint="default"/>
                <w:spacing w:val="-17"/>
                <w:sz w:val="18"/>
                <w:szCs w:val="18"/>
              </w:rPr>
              <w:t> </w:t>
            </w:r>
            <w:r>
              <w:rPr>
                <w:rFonts w:ascii="宋体" w:hAnsi="宋体" w:cs="宋体" w:eastAsia="宋体" w:hint="default"/>
                <w:sz w:val="18"/>
                <w:szCs w:val="18"/>
              </w:rPr>
              <w:t>般缺陷：潜在错报金额小于最近一个会计</w:t>
            </w:r>
            <w:r>
              <w:rPr>
                <w:rFonts w:ascii="宋体" w:hAnsi="宋体" w:cs="宋体" w:eastAsia="宋体" w:hint="default"/>
                <w:sz w:val="18"/>
                <w:szCs w:val="18"/>
              </w:rPr>
              <w:t> 年度公司合并报表净利润的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30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3499"/>
        <w:jc w:val="left"/>
        <w:rPr>
          <w:b w:val="0"/>
          <w:bCs w:val="0"/>
        </w:rPr>
      </w:pPr>
      <w:bookmarkStart w:name="十、内部控制审计报告或鉴证报告" w:id="146"/>
      <w:bookmarkEnd w:id="146"/>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宋体" w:hAnsi="宋体" w:cs="宋体" w:eastAsia="宋体" w:hint="default"/>
          <w:sz w:val="18"/>
          <w:szCs w:val="18"/>
        </w:rPr>
        <w:t>内部控制审计报告</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5"/>
              <w:jc w:val="left"/>
              <w:rPr>
                <w:rFonts w:ascii="宋体" w:hAnsi="宋体" w:cs="宋体" w:eastAsia="宋体" w:hint="default"/>
                <w:sz w:val="18"/>
                <w:szCs w:val="18"/>
              </w:rPr>
            </w:pPr>
            <w:r>
              <w:rPr>
                <w:rFonts w:ascii="宋体" w:hAnsi="宋体" w:cs="宋体" w:eastAsia="宋体" w:hint="default"/>
                <w:sz w:val="18"/>
                <w:szCs w:val="18"/>
              </w:rPr>
              <w:t>我们认为，中科创达公司于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日在所有重大方面有效地保持了按照《企业内部控制基本规范》建立的与财 务报表相关的内部控制。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hyperlink r:id="rId13">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《内部控制鉴证报告》</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40" w:lineRule="auto" w:before="116"/>
        <w:ind w:left="1133" w:right="4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before="40"/>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_TOC_250001" w:id="147"/>
      <w:bookmarkStart w:name="第十节 财务报告" w:id="148"/>
      <w:r>
        <w:rPr>
          <w:b w:val="0"/>
          <w:bCs w:val="0"/>
        </w:rPr>
      </w:r>
      <w:r>
        <w:rPr/>
        <w:t>第十节</w:t>
      </w:r>
      <w:r>
        <w:rPr>
          <w:spacing w:val="-5"/>
        </w:rPr>
        <w:t> </w:t>
      </w:r>
      <w:r>
        <w:rPr/>
        <w:t>财务报告</w:t>
      </w:r>
      <w:bookmarkEnd w:id="147"/>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3499"/>
        <w:jc w:val="left"/>
        <w:rPr>
          <w:b w:val="0"/>
          <w:bCs w:val="0"/>
        </w:rPr>
      </w:pPr>
      <w:bookmarkStart w:name="一、审计报告" w:id="149"/>
      <w:bookmarkEnd w:id="14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110ZA1463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曹阳、王娟</w:t>
            </w:r>
          </w:p>
        </w:tc>
      </w:tr>
    </w:tbl>
    <w:p>
      <w:pPr>
        <w:pStyle w:val="BodyText"/>
        <w:spacing w:line="240" w:lineRule="auto" w:before="26"/>
        <w:ind w:left="3764" w:right="3763"/>
        <w:jc w:val="center"/>
      </w:pPr>
      <w:r>
        <w:rPr/>
        <w:t>审计报告正文</w:t>
      </w:r>
    </w:p>
    <w:p>
      <w:pPr>
        <w:pStyle w:val="BodyText"/>
        <w:spacing w:line="240" w:lineRule="auto" w:before="75"/>
        <w:ind w:left="7659" w:right="0"/>
        <w:jc w:val="left"/>
      </w:pPr>
      <w:r>
        <w:rPr/>
        <w:t>致同审字（</w:t>
      </w:r>
      <w:r>
        <w:rPr>
          <w:rFonts w:ascii="Times New Roman" w:hAnsi="Times New Roman" w:cs="Times New Roman" w:eastAsia="Times New Roman" w:hint="default"/>
        </w:rPr>
        <w:t>2016</w:t>
      </w:r>
      <w:r>
        <w:rPr/>
        <w:t>）第</w:t>
      </w:r>
      <w:r>
        <w:rPr>
          <w:rFonts w:ascii="Times New Roman" w:hAnsi="Times New Roman" w:cs="Times New Roman" w:eastAsia="Times New Roman" w:hint="default"/>
        </w:rPr>
        <w:t>110ZA1463</w:t>
      </w:r>
      <w:r>
        <w:rPr/>
        <w:t>号</w:t>
      </w:r>
    </w:p>
    <w:p>
      <w:pPr>
        <w:spacing w:line="240" w:lineRule="auto" w:before="0"/>
        <w:rPr>
          <w:rFonts w:ascii="宋体" w:hAnsi="宋体" w:cs="宋体" w:eastAsia="宋体" w:hint="default"/>
          <w:sz w:val="20"/>
          <w:szCs w:val="20"/>
        </w:rPr>
      </w:pPr>
    </w:p>
    <w:p>
      <w:pPr>
        <w:spacing w:line="440" w:lineRule="atLeast" w:before="26"/>
        <w:ind w:left="1554" w:right="0" w:hanging="420"/>
        <w:jc w:val="left"/>
        <w:rPr>
          <w:rFonts w:ascii="宋体" w:hAnsi="宋体" w:cs="宋体" w:eastAsia="宋体" w:hint="default"/>
          <w:sz w:val="21"/>
          <w:szCs w:val="21"/>
        </w:rPr>
      </w:pPr>
      <w:r>
        <w:rPr>
          <w:rFonts w:ascii="宋体" w:hAnsi="宋体" w:cs="宋体" w:eastAsia="宋体" w:hint="default"/>
          <w:b/>
          <w:bCs/>
          <w:sz w:val="21"/>
          <w:szCs w:val="21"/>
        </w:rPr>
        <w:t>中科创达软件股份有限公司全体股东：</w:t>
      </w:r>
      <w:r>
        <w:rPr>
          <w:rFonts w:ascii="宋体" w:hAnsi="宋体" w:cs="宋体" w:eastAsia="宋体" w:hint="default"/>
          <w:b/>
          <w:bCs/>
          <w:w w:val="99"/>
          <w:sz w:val="21"/>
          <w:szCs w:val="21"/>
        </w:rPr>
        <w:t> </w:t>
      </w:r>
      <w:r>
        <w:rPr>
          <w:rFonts w:ascii="宋体" w:hAnsi="宋体" w:cs="宋体" w:eastAsia="宋体" w:hint="default"/>
          <w:spacing w:val="-1"/>
          <w:sz w:val="21"/>
          <w:szCs w:val="21"/>
        </w:rPr>
        <w:t>我们审计了后附的中科创达软件股份有限公司（以下简称中科创达公司）财务报表，包括</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p>
    <w:p>
      <w:pPr>
        <w:pStyle w:val="BodyText"/>
        <w:spacing w:line="256" w:lineRule="auto" w:before="21"/>
        <w:ind w:left="1134" w:right="0"/>
        <w:jc w:val="left"/>
      </w:pPr>
      <w:r>
        <w:rPr>
          <w:rFonts w:ascii="Times New Roman" w:hAnsi="Times New Roman" w:cs="Times New Roman" w:eastAsia="Times New Roman" w:hint="default"/>
          <w:spacing w:val="-1"/>
        </w:rPr>
        <w:t>31</w:t>
      </w:r>
      <w:r>
        <w:rPr>
          <w:spacing w:val="-1"/>
        </w:rPr>
        <w:t>日的合并及公司资产负债表，</w:t>
      </w:r>
      <w:r>
        <w:rPr>
          <w:rFonts w:ascii="Times New Roman" w:hAnsi="Times New Roman" w:cs="Times New Roman" w:eastAsia="Times New Roman" w:hint="default"/>
          <w:spacing w:val="-1"/>
        </w:rPr>
        <w:t>2015</w:t>
      </w:r>
      <w:r>
        <w:rPr>
          <w:spacing w:val="-1"/>
        </w:rPr>
        <w:t>年度的合并及公司利润表、合并及公司现金流量表、合并及公司股东</w:t>
      </w:r>
      <w:r>
        <w:rPr>
          <w:spacing w:val="-83"/>
        </w:rPr>
        <w:t> </w:t>
      </w:r>
      <w:r>
        <w:rPr>
          <w:spacing w:val="-83"/>
        </w:rPr>
      </w:r>
      <w:r>
        <w:rPr/>
        <w:t>权益变动表以及财务报表附注。</w:t>
      </w:r>
    </w:p>
    <w:p>
      <w:pPr>
        <w:spacing w:line="432" w:lineRule="exact" w:before="42"/>
        <w:ind w:left="1554" w:right="0"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z w:val="21"/>
          <w:szCs w:val="21"/>
        </w:rPr>
        <w:t>编制和公允列报财务报表是中科创达公司管理层的责任，这种责任包括：（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）按照企业会计准则的</w:t>
      </w:r>
    </w:p>
    <w:p>
      <w:pPr>
        <w:pStyle w:val="BodyText"/>
        <w:spacing w:line="271" w:lineRule="exact"/>
        <w:ind w:left="1134" w:right="0"/>
        <w:jc w:val="left"/>
      </w:pPr>
      <w:r>
        <w:rPr/>
        <w:t>规定编制财务报表，并使其实现公允反映；（</w:t>
      </w:r>
      <w:r>
        <w:rPr>
          <w:rFonts w:ascii="Times New Roman" w:hAnsi="Times New Roman" w:cs="Times New Roman" w:eastAsia="Times New Roman" w:hint="default"/>
        </w:rPr>
        <w:t>2</w:t>
      </w:r>
      <w:r>
        <w:rPr/>
        <w:t>）设计、执行和维护必要的内部控制，以使财务报表不存</w:t>
      </w:r>
    </w:p>
    <w:p>
      <w:pPr>
        <w:spacing w:line="376" w:lineRule="auto" w:before="21"/>
        <w:ind w:left="1556" w:right="7393" w:hanging="423"/>
        <w:jc w:val="left"/>
        <w:rPr>
          <w:rFonts w:ascii="宋体" w:hAnsi="宋体" w:cs="宋体" w:eastAsia="宋体" w:hint="default"/>
          <w:sz w:val="21"/>
          <w:szCs w:val="21"/>
        </w:rPr>
      </w:pPr>
      <w:r>
        <w:rPr>
          <w:rFonts w:ascii="宋体" w:hAnsi="宋体" w:cs="宋体" w:eastAsia="宋体" w:hint="default"/>
          <w:sz w:val="21"/>
          <w:szCs w:val="21"/>
        </w:rPr>
        <w:t>在由于舞弊或错误导致的重大错报。 </w:t>
      </w:r>
      <w:r>
        <w:rPr>
          <w:rFonts w:ascii="宋体" w:hAnsi="宋体" w:cs="宋体" w:eastAsia="宋体" w:hint="default"/>
          <w:b/>
          <w:bCs/>
          <w:sz w:val="21"/>
          <w:szCs w:val="21"/>
        </w:rPr>
        <w:t>二、注册会计师的责任</w:t>
      </w:r>
      <w:r>
        <w:rPr>
          <w:rFonts w:ascii="宋体" w:hAnsi="宋体" w:cs="宋体" w:eastAsia="宋体" w:hint="default"/>
          <w:sz w:val="21"/>
          <w:szCs w:val="21"/>
        </w:rPr>
      </w:r>
    </w:p>
    <w:p>
      <w:pPr>
        <w:pStyle w:val="BodyText"/>
        <w:spacing w:line="273" w:lineRule="auto" w:before="37"/>
        <w:ind w:left="1134" w:right="1131" w:firstLine="420"/>
        <w:jc w:val="both"/>
      </w:pPr>
      <w:r>
        <w:rPr>
          <w:spacing w:val="-1"/>
        </w:rPr>
        <w:t>我们的责任是在执行审计工作的基础上对财务报表发表审计意见。我们按照中国注册会计师审计准则</w:t>
      </w:r>
      <w:r>
        <w:rPr/>
        <w:t> </w:t>
      </w: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pStyle w:val="BodyText"/>
        <w:spacing w:line="268" w:lineRule="auto" w:before="127"/>
        <w:ind w:left="1134" w:right="1129" w:firstLine="420"/>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t>会计师考虑与财务报表编制和公允列报相关的内部控制，以设计恰当的审计程序</w:t>
      </w:r>
      <w:r>
        <w:rPr>
          <w:rFonts w:ascii="Times New Roman" w:hAnsi="Times New Roman" w:cs="Times New Roman" w:eastAsia="Times New Roman" w:hint="default"/>
        </w:rPr>
        <w:t>, </w:t>
      </w:r>
      <w:r>
        <w:rPr/>
        <w:t>但目的并非对内部控制</w:t>
      </w:r>
      <w:r>
        <w:rPr>
          <w:spacing w:val="-83"/>
        </w:rPr>
        <w:t> </w:t>
      </w:r>
      <w:r>
        <w:rPr>
          <w:spacing w:val="-83"/>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pStyle w:val="BodyText"/>
        <w:spacing w:line="432" w:lineRule="exact" w:before="31"/>
        <w:ind w:left="1556" w:right="2983" w:hanging="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255" w:lineRule="exact"/>
        <w:ind w:left="1134" w:right="0" w:firstLine="420"/>
        <w:jc w:val="both"/>
      </w:pPr>
      <w:r>
        <w:rPr/>
        <w:t>我们认为，中科创达公司财务报表在所有重大方面按照企业会计准则的规定编制，公允反映了中科创</w:t>
      </w:r>
    </w:p>
    <w:p>
      <w:pPr>
        <w:pStyle w:val="BodyText"/>
        <w:spacing w:line="256" w:lineRule="auto" w:before="37"/>
        <w:ind w:left="1134" w:right="1118"/>
        <w:jc w:val="left"/>
      </w:pPr>
      <w:r>
        <w:rPr>
          <w:spacing w:val="3"/>
        </w:rPr>
        <w:t>达公司</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日的合并及公司财务状况以及</w:t>
      </w:r>
      <w:r>
        <w:rPr>
          <w:rFonts w:ascii="Times New Roman" w:hAnsi="Times New Roman" w:cs="Times New Roman" w:eastAsia="Times New Roman" w:hint="default"/>
          <w:spacing w:val="3"/>
        </w:rPr>
        <w:t>2015</w:t>
      </w:r>
      <w:r>
        <w:rPr>
          <w:spacing w:val="3"/>
        </w:rPr>
        <w:t>年度的合并及公司经营成果和合并及公司现金流</w:t>
      </w:r>
      <w:r>
        <w:rPr>
          <w:spacing w:val="-96"/>
        </w:rPr>
        <w:t> </w:t>
      </w:r>
      <w:r>
        <w:rPr>
          <w:spacing w:val="-96"/>
        </w:rPr>
      </w:r>
      <w:r>
        <w:rPr/>
        <w:t>量。</w:t>
      </w:r>
    </w:p>
    <w:p>
      <w:pPr>
        <w:spacing w:after="0" w:line="256"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3499"/>
        <w:jc w:val="left"/>
        <w:rPr>
          <w:b w:val="0"/>
          <w:bCs w:val="0"/>
        </w:rPr>
      </w:pPr>
      <w:bookmarkStart w:name="二、财务报表" w:id="150"/>
      <w:bookmarkEnd w:id="150"/>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3499"/>
        <w:jc w:val="left"/>
        <w:rPr>
          <w:b w:val="0"/>
          <w:bCs w:val="0"/>
        </w:rPr>
      </w:pPr>
      <w:bookmarkStart w:name="1、合并资产负债表" w:id="151"/>
      <w:bookmarkEnd w:id="15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before="44"/>
        <w:ind w:left="1133" w:right="-19" w:firstLine="0"/>
        <w:jc w:val="left"/>
        <w:rPr>
          <w:rFonts w:ascii="宋体" w:hAnsi="宋体" w:cs="宋体" w:eastAsia="宋体" w:hint="default"/>
          <w:sz w:val="18"/>
          <w:szCs w:val="18"/>
        </w:rPr>
      </w:pPr>
      <w:r>
        <w:rPr>
          <w:rFonts w:ascii="宋体" w:hAnsi="宋体" w:cs="宋体" w:eastAsia="宋体" w:hint="default"/>
          <w:sz w:val="18"/>
          <w:szCs w:val="18"/>
        </w:rPr>
        <w:t>编制单位：中科创达软件股份有限公司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977"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3" w:equalWidth="0">
            <w:col w:w="4195" w:space="40"/>
            <w:col w:w="2462"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738,944,799.36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200,696,196.61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237,984,200.04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118,132,528.88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6,596,403.79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5,388,580.63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4,624,048.36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3,551,102.17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5,947,759.84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4,768,009.52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712,799.88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2,127,242.58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13,163,841.87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996,937,253.85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345,700,259.68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25,343,868.82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8,306,997.76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5,507,100.00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82,252,948.37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8,632,633.63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41,908,988.48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36,465,081.95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3,194,252.44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1,607,084.47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5,529,528.66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2,171,418.00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3,456,236.28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1,555,102.09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29,339,647.95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14,206,846.00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199,332,468.76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75,145,266.14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1,196,269,722.61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420,845,525.82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110,650,512.00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26,923,600.00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11,883,063.59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1,690,573.52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3,367,020.23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4,607,476.62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38,676,762.93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39,990,434.06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19,860,046.59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5,531,691.62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9,216,834.52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2,028,954.36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1,088,284.45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194,742,524.31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80,772,730.18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12,259,243.89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27,259,243.89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222,001,768.20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80,772,730.18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596,020,547.05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71,459,248.24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-2,483,184.23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-3,562,645.21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33,862,369.77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22,572,694.33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242,423,206.15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174,603,498.28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969,822,938.74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340,072,795.64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4,445,015.67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974,267,954.41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340,072,795.64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1,196,269,722.61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420,845,525.82</w:t>
            </w:r>
          </w:p>
        </w:tc>
      </w:tr>
    </w:tbl>
    <w:p>
      <w:pPr>
        <w:spacing w:line="240" w:lineRule="auto" w:before="3"/>
        <w:rPr>
          <w:rFonts w:ascii="Times New Roman" w:hAnsi="Times New Roman" w:cs="Times New Roman" w:eastAsia="Times New Roman" w:hint="default"/>
          <w:sz w:val="23"/>
          <w:szCs w:val="23"/>
        </w:rPr>
      </w:pPr>
    </w:p>
    <w:p>
      <w:pPr>
        <w:tabs>
          <w:tab w:pos="351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法定代表人：赵鸿飞</w:t>
        <w:tab/>
        <w:t>主管会计工作负责人：武楠</w:t>
        <w:tab/>
        <w:t>会计机构负责人：钟凌云</w:t>
      </w:r>
    </w:p>
    <w:p>
      <w:pPr>
        <w:spacing w:line="240" w:lineRule="auto" w:before="11"/>
        <w:rPr>
          <w:rFonts w:ascii="宋体" w:hAnsi="宋体" w:cs="宋体" w:eastAsia="宋体" w:hint="default"/>
          <w:sz w:val="26"/>
          <w:szCs w:val="26"/>
        </w:rPr>
      </w:pPr>
    </w:p>
    <w:p>
      <w:pPr>
        <w:pStyle w:val="Heading3"/>
        <w:spacing w:line="240" w:lineRule="auto"/>
        <w:ind w:right="3499"/>
        <w:jc w:val="left"/>
        <w:rPr>
          <w:b w:val="0"/>
          <w:bCs w:val="0"/>
        </w:rPr>
      </w:pPr>
      <w:bookmarkStart w:name="2、母公司资产负债表" w:id="152"/>
      <w:bookmarkEnd w:id="15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657,419,703.33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118,561,705.54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261,645,088.27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113,860,180.39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6,574,283.94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9,587,552.33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1,065,109.92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1,249,452.06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993,566.96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336,599.96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12,416,093.95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928,034,352.38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255,674,984.27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1,207,800.06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132,496,996.20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104,430,694.05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8,711,821.51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6,206,229.37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2,740,470.24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1,317,501.39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931,584.08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102,191.27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2,846,010.07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1,547,394.18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932,801.95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149,867,484.11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113,604,010.26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1,077,901,836.49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369,278,994.53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54,939,772.86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11,111,958.27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1,625,355.36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1,922,524.97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11,955,707.38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16,282,808.32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14,390,641.60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2,403,831.52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12,575,998.31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6,621,679.93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125,487,475.51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38,342,803.01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140,487,475.51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38,342,803.01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577,540,663.34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71,459,248.24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33,862,369.77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22,572,694.33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226,011,327.87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161,904,248.95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937,414,360.98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330,936,191.52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1,077,901,836.49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369,278,994.53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3499"/>
        <w:jc w:val="left"/>
        <w:rPr>
          <w:b w:val="0"/>
          <w:bCs w:val="0"/>
        </w:rPr>
      </w:pPr>
      <w:bookmarkStart w:name="3、合并利润表" w:id="153"/>
      <w:bookmarkEnd w:id="15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615,463,339.97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452,209,594.09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615,463,339.97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452,209,594.09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507,767,648.22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353,251,384.31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298,113,976.63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207,404,111.13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00.699982pt;width:157.7pt;height:19.650pt;mso-position-horizontal-relative:page;mso-position-vertical-relative:page;z-index:-925504" coordorigin="4242,8014" coordsize="3154,393">
            <v:shape style="position:absolute;left:4242;top:8014;width:3154;height:393" coordorigin="4242,8014" coordsize="3154,393" path="m4242,8406l7396,8406,7396,8014,4242,8014,4242,8406xe" filled="true" fillcolor="#ffffff" stroked="false">
              <v:path arrowok="t"/>
              <v:fill type="solid"/>
            </v:shape>
            <w10:wrap type="none"/>
          </v:group>
        </w:pict>
      </w:r>
      <w:r>
        <w:rPr/>
        <w:pict>
          <v:group style="position:absolute;margin-left:212.119995pt;margin-top:521.320007pt;width:157.7pt;height:19.650pt;mso-position-horizontal-relative:page;mso-position-vertical-relative:page;z-index:-925480" coordorigin="4242,10426" coordsize="3154,393">
            <v:shape style="position:absolute;left:4242;top:10426;width:3154;height:393" coordorigin="4242,10426" coordsize="3154,393" path="m4242,10819l7396,10819,7396,10426,4242,10426,4242,1081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2,547,794.42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2,061,822.37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20,762,723.19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13,094,029.68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187,858,757.76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126,529,463.82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-3,849,669.39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3,429,208.60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2,334,065.61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732,748.71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-1,470,291.44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85,753.52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-1,470,291.44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85,753.52</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106,225,400.31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99,043,963.30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22,964,979.86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21,566,300.53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1,058,852.33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10,826.32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128,131,527.84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120,599,437.51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11,748,744.62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8,287,658.51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8" w:right="0"/>
              <w:jc w:val="left"/>
              <w:rPr>
                <w:rFonts w:ascii="Times New Roman" w:hAnsi="Times New Roman" w:cs="Times New Roman" w:eastAsia="Times New Roman" w:hint="default"/>
                <w:sz w:val="18"/>
                <w:szCs w:val="18"/>
              </w:rPr>
            </w:pPr>
            <w:r>
              <w:rPr>
                <w:rFonts w:ascii="Times New Roman"/>
                <w:sz w:val="18"/>
              </w:rPr>
              <w:t>116,382,783.22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112,311,779.00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8" w:right="0"/>
              <w:jc w:val="left"/>
              <w:rPr>
                <w:rFonts w:ascii="Times New Roman" w:hAnsi="Times New Roman" w:cs="Times New Roman" w:eastAsia="Times New Roman" w:hint="default"/>
                <w:sz w:val="18"/>
                <w:szCs w:val="18"/>
              </w:rPr>
            </w:pPr>
            <w:r>
              <w:rPr>
                <w:rFonts w:ascii="Times New Roman"/>
                <w:sz w:val="18"/>
              </w:rPr>
              <w:t>116,609,383.31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112,311,779.00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-226,600.09</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1,079,460.98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-549,940.24</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1,079,460.98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-549,940.24</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67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154"/>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1,079,460.98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-549,940.24</w:t>
            </w:r>
            <w:r>
              <w:rPr>
                <w:rFonts w:ascii="Times New Roman"/>
                <w:sz w:val="18"/>
              </w:rPr>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1,058,045.83</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21,415.15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-549,940.24</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117,462,244.20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111,761,838.76</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117,688,844.29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111,761,838.76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-226,600.09</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1.5548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1.4975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1.5548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1.4975</w:t>
            </w:r>
          </w:p>
        </w:tc>
      </w:tr>
    </w:tbl>
    <w:p>
      <w:pPr>
        <w:spacing w:line="240" w:lineRule="auto" w:before="3"/>
        <w:rPr>
          <w:rFonts w:ascii="Times New Roman" w:hAnsi="Times New Roman" w:cs="Times New Roman" w:eastAsia="Times New Roman" w:hint="default"/>
          <w:sz w:val="23"/>
          <w:szCs w:val="23"/>
        </w:rPr>
      </w:pPr>
    </w:p>
    <w:p>
      <w:pPr>
        <w:tabs>
          <w:tab w:pos="351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法定代表人：赵鸿飞</w:t>
        <w:tab/>
        <w:t>主管会计工作负责人：武楠</w:t>
        <w:tab/>
        <w:t>会计机构负责人：钟凌云</w:t>
      </w:r>
    </w:p>
    <w:p>
      <w:pPr>
        <w:spacing w:line="240" w:lineRule="auto" w:before="10"/>
        <w:rPr>
          <w:rFonts w:ascii="宋体" w:hAnsi="宋体" w:cs="宋体" w:eastAsia="宋体" w:hint="default"/>
          <w:sz w:val="26"/>
          <w:szCs w:val="26"/>
        </w:rPr>
      </w:pPr>
    </w:p>
    <w:p>
      <w:pPr>
        <w:pStyle w:val="Heading3"/>
        <w:spacing w:line="240" w:lineRule="auto"/>
        <w:ind w:right="3499"/>
        <w:jc w:val="left"/>
        <w:rPr>
          <w:b w:val="0"/>
          <w:bCs w:val="0"/>
        </w:rPr>
      </w:pPr>
      <w:bookmarkStart w:name="4、母公司利润表" w:id="154"/>
      <w:bookmarkEnd w:id="154"/>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531,418,066.08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381,797,411.15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304,698,213.05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213,025,994.80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2,284,075.91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1,800,571.53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7,486,258.58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6,500,177.65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114,951,984.43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81,222,160.31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-7,571,911.71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3,758,291.37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1,539,105.50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394,288.30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-236,397.85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-3,875.00</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-236,397.85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-3,875.00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107,793,942.47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75,092,052.19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17,339,696.23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18,876,071.81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1,034,644.66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124,098,994.04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93,957,724.00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11,202,239.68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7,707,819.61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112,896,754.36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86,249,904.39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112,896,754.36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86,249,904.39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3499"/>
        <w:jc w:val="left"/>
        <w:rPr>
          <w:b w:val="0"/>
          <w:bCs w:val="0"/>
        </w:rPr>
      </w:pPr>
      <w:bookmarkStart w:name="5、合并现金流量表" w:id="155"/>
      <w:bookmarkEnd w:id="15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506,806,262.99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426,083,452.64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15,640,656.23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9,546,709.52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16,319,862.47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14,775,389.48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538,766,781.69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450,405,551.64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58,028,431.58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67,258,807.31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366,839,647.90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250,933,399.64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25,719,872.49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28,409,934.15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56,549,831.01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33,399,292.17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507,137,782.98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380,001,433.27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31,628,998.71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70,404,118.37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34,508,131.21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25,846,544.09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63,226,373.13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9,572,719.00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28,987,200.51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126,721,704.85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35,419,263.09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-111,721,704.85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-35,419,263.09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564,412,344.00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102,403,150.00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27,039,320.00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666,815,494.00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27,039,320.00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9,416,131.66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39,727,847.83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26,267,752.23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56,181,691.68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22,195,561.00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105,325,671.17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48,463,313.23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561,489,822.83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-21,423,993.23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6,262,915.38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-292,725.26</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487,660,032.07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13,268,136.79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179,775,296.61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166,507,159.82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667,435,328.68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179,775,296.61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3499"/>
        <w:jc w:val="left"/>
        <w:rPr>
          <w:b w:val="0"/>
          <w:bCs w:val="0"/>
        </w:rPr>
      </w:pPr>
      <w:bookmarkStart w:name="6、母公司现金流量表" w:id="156"/>
      <w:bookmarkEnd w:id="15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410,147,479.14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354,490,212.91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15,070,656.23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9,546,709.52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10,603,911.23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16,739,515.84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435,822,046.60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380,776,438.27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192,125,556.90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171,312,741.16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134,456,602.72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104,240,604.28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20,161,273.18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25,072,707.15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55,107,787.93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37,972,142.47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401,851,220.73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338,598,195.06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33,970,825.87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42,178,243.21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9,945,925.32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5,019,883.36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28,302,700.00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20,691,380.00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1,560,000.02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39,808,625.34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25,711,263.36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-24,808,625.34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-25,711,263.36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540,440,000.00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570,440,000.00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38,293,820.89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26,249,999.99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45,900,321.00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22,195,561.00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84,194,141.89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48,445,560.99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486,245,858.11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-48,445,560.99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3,142,739.15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-134,587.50</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498,550,797.79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-32,113,168.64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97,640,805.54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129,753,974.18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596,191,603.33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97,640,805.54</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7、合并所有者权益变动表" w:id="157"/>
      <w:bookmarkEnd w:id="15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134" w:right="3499"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71,459,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248.24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-3,562,6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45.21</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22,572,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694.33</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174,603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,498.28</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340,072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,795.64</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71,459,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248.24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-3,562,6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45.21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22,572,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694.33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174,603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,498.28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340,072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,795.64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524,561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,298.81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1,079,4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60.98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11,289,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675.44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67,819,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707.87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4,445,0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15.67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634,195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,158.77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1,079,4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60.98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116,609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,383.31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-226,60</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0.09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117,462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,244.20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524,561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,298.81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4,671,6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15.76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554,232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,914.57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506,081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,415.10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8,160,2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539,241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,665.10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9,057,4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41.09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9,057,4</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41.09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9,422,4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42.62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-3,488,6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34.24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5,933,8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08.38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11,289,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675.44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-48,789,</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675.44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-37,500,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11,289,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675.44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-11,289,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675.44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-37,500,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-37,500,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596,020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,547.05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-2,483,1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84.23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33,862,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369.77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242,423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,206.15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4,445,0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15.67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974,267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,954.41</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71,459,</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248.24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-3,012,7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04.97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13,947,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703.89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97,166,</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709.72</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254,560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,956.88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71,459,</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248.24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-3,012,7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04.97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13,947,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703.89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97,166,</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709.72</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254,560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,956.88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-549,94</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0.24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8,624,9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90.44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77,436,</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788.56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85,511,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838.76</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-549,94</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0.24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112,311,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779.00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left"/>
              <w:rPr>
                <w:rFonts w:ascii="Times New Roman" w:hAnsi="Times New Roman" w:cs="Times New Roman" w:eastAsia="Times New Roman" w:hint="default"/>
                <w:sz w:val="18"/>
                <w:szCs w:val="18"/>
              </w:rPr>
            </w:pPr>
            <w:r>
              <w:rPr>
                <w:rFonts w:ascii="Times New Roman"/>
                <w:spacing w:val="-3"/>
                <w:sz w:val="18"/>
              </w:rPr>
              <w:t>111,761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,838.76</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8,624,9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90.44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-34,874,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990.44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-26,250,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8,624,9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90.44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-8,624,9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90.44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-26,250,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-26,250,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71,459,</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248.24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-3,562,6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45.21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22,572,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694.33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174,603</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,498.28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340,072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,795.64</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8、母公司所有者权益变动表" w:id="158"/>
      <w:bookmarkEnd w:id="15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134" w:right="3499"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71,459,24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8.24</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22,572,69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4.33</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161,904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,248.95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330,936,1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91.52</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71,459,24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8.24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22,572,69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4.33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161,904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,248.95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330,936,1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91.52</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506,081,4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15.10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11,289,67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64,107,</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078.92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606,478,1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69.46</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112,896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,754.36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112,896,7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54.36</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506,081,4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15.10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531,081,4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15.10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506,081,4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15.10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531,090,7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54.71</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11,289,67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5.44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-48,789,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675.44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-37,500,0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11,289,67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5.44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-11,289,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675.44</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-37,500,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-37,500,0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577,540,6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63.34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33,862,36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9.77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226,011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,327.87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937,414,3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60.98</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71,459,24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8.24</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13,947,70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3.89</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64" w:right="0"/>
              <w:jc w:val="left"/>
              <w:rPr>
                <w:rFonts w:ascii="Times New Roman" w:hAnsi="Times New Roman" w:cs="Times New Roman" w:eastAsia="Times New Roman" w:hint="default"/>
                <w:sz w:val="18"/>
                <w:szCs w:val="18"/>
              </w:rPr>
            </w:pPr>
            <w:r>
              <w:rPr>
                <w:rFonts w:ascii="Times New Roman"/>
                <w:sz w:val="18"/>
              </w:rPr>
              <w:t>110,529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,335.00</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270,936,2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87.13</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71,459,24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8.24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13,947,70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3.89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110,529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,335.00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270,936,2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87.13</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8,624,990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51,374,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913.95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59,999,90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4.39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86,249,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904.39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86,249,90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4.39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8,624,990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-34,874,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990.44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-26,250,0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8,624,990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-8,624,9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90.44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-26,250,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-26,250,0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71,459,24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22,572,69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161,904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,248.95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330,936,1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91.52</w:t>
            </w:r>
          </w:p>
        </w:tc>
      </w:tr>
    </w:tbl>
    <w:p>
      <w:pPr>
        <w:spacing w:line="240" w:lineRule="auto" w:before="2"/>
        <w:rPr>
          <w:rFonts w:ascii="宋体" w:hAnsi="宋体" w:cs="宋体" w:eastAsia="宋体" w:hint="default"/>
          <w:sz w:val="18"/>
          <w:szCs w:val="18"/>
        </w:rPr>
      </w:pPr>
    </w:p>
    <w:p>
      <w:pPr>
        <w:pStyle w:val="Heading2"/>
        <w:spacing w:line="240" w:lineRule="auto" w:before="26"/>
        <w:ind w:left="1134" w:right="3499"/>
        <w:jc w:val="left"/>
        <w:rPr>
          <w:b w:val="0"/>
          <w:bCs w:val="0"/>
        </w:rPr>
      </w:pPr>
      <w:bookmarkStart w:name="三、公司基本情况" w:id="159"/>
      <w:bookmarkEnd w:id="159"/>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t>中科创达软件股份有限公司（以下简称本公司）前身为中科创达软件科技（北京）有限公司（以下简称中 科创达有限），</w:t>
      </w: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7</w:t>
      </w:r>
      <w:r>
        <w:rPr/>
        <w:t>日整体变更为股份有限公司。</w:t>
      </w:r>
    </w:p>
    <w:p>
      <w:pPr>
        <w:spacing w:line="240" w:lineRule="auto" w:before="1"/>
        <w:rPr>
          <w:rFonts w:ascii="宋体" w:hAnsi="宋体" w:cs="宋体" w:eastAsia="宋体" w:hint="default"/>
          <w:sz w:val="17"/>
          <w:szCs w:val="17"/>
        </w:rPr>
      </w:pPr>
    </w:p>
    <w:p>
      <w:pPr>
        <w:pStyle w:val="BodyText"/>
        <w:spacing w:line="273" w:lineRule="auto"/>
        <w:ind w:left="1134" w:right="1023"/>
        <w:jc w:val="left"/>
      </w:pPr>
      <w:r>
        <w:rPr>
          <w:spacing w:val="-3"/>
        </w:rPr>
        <w:t>中科创达有限系由北京启元合创科技发展有限公司、中科方德软件有限公司、大洋中科特别目的株式会社、</w:t>
      </w:r>
      <w:r>
        <w:rPr>
          <w:spacing w:val="-92"/>
        </w:rPr>
        <w:t> </w:t>
      </w:r>
      <w:r>
        <w:rPr>
          <w:spacing w:val="-92"/>
        </w:rPr>
      </w:r>
      <w:r>
        <w:rPr/>
        <w:t>株式会社大洋系统、北京中科软科技有限公司共同出资组建的中外合资经营企业（有限责任公司）。经中</w:t>
      </w:r>
      <w:r>
        <w:rPr/>
        <w:t> 关村科技园区海淀园管理委员会以海园发</w:t>
      </w:r>
      <w:r>
        <w:rPr>
          <w:rFonts w:ascii="宋体" w:hAnsi="宋体" w:cs="宋体" w:eastAsia="宋体" w:hint="default"/>
        </w:rPr>
        <w:t>[2008]224</w:t>
      </w:r>
      <w:r>
        <w:rPr/>
        <w:t>号文件批准设立，由北京市人民政府于</w:t>
      </w:r>
      <w:r>
        <w:rPr>
          <w:rFonts w:ascii="宋体" w:hAnsi="宋体" w:cs="宋体" w:eastAsia="宋体" w:hint="default"/>
        </w:rPr>
        <w:t>2008</w:t>
      </w:r>
      <w:r>
        <w:rPr/>
        <w:t>年</w:t>
      </w:r>
      <w:r>
        <w:rPr>
          <w:rFonts w:ascii="宋体" w:hAnsi="宋体" w:cs="宋体" w:eastAsia="宋体" w:hint="default"/>
        </w:rPr>
        <w:t>3</w:t>
      </w:r>
      <w:r>
        <w:rPr/>
        <w:t>月</w:t>
      </w:r>
      <w:r>
        <w:rPr>
          <w:rFonts w:ascii="宋体" w:hAnsi="宋体" w:cs="宋体" w:eastAsia="宋体" w:hint="default"/>
        </w:rPr>
        <w:t>7</w:t>
      </w:r>
      <w:r>
        <w:rPr/>
        <w:t>日</w:t>
      </w:r>
      <w:r>
        <w:rPr>
          <w:spacing w:val="-27"/>
        </w:rPr>
        <w:t> </w:t>
      </w:r>
      <w:r>
        <w:rPr/>
        <w:t>颁发商外资京字</w:t>
      </w:r>
      <w:r>
        <w:rPr>
          <w:rFonts w:ascii="宋体" w:hAnsi="宋体" w:cs="宋体" w:eastAsia="宋体" w:hint="default"/>
        </w:rPr>
        <w:t>[2008]17044</w:t>
      </w:r>
      <w:r>
        <w:rPr/>
        <w:t>号中华人民共和国外商投资企业批准证书，并于</w:t>
      </w:r>
      <w:r>
        <w:rPr>
          <w:rFonts w:ascii="宋体" w:hAnsi="宋体" w:cs="宋体" w:eastAsia="宋体" w:hint="default"/>
        </w:rPr>
        <w:t>2008</w:t>
      </w:r>
      <w:r>
        <w:rPr/>
        <w:t>年</w:t>
      </w:r>
      <w:r>
        <w:rPr>
          <w:rFonts w:ascii="宋体" w:hAnsi="宋体" w:cs="宋体" w:eastAsia="宋体" w:hint="default"/>
        </w:rPr>
        <w:t>3</w:t>
      </w:r>
      <w:r>
        <w:rPr/>
        <w:t>月</w:t>
      </w:r>
      <w:r>
        <w:rPr>
          <w:rFonts w:ascii="宋体" w:hAnsi="宋体" w:cs="宋体" w:eastAsia="宋体" w:hint="default"/>
        </w:rPr>
        <w:t>7</w:t>
      </w:r>
      <w:r>
        <w:rPr/>
        <w:t>日取得北京市工</w:t>
      </w:r>
      <w:r>
        <w:rPr>
          <w:spacing w:val="-26"/>
        </w:rPr>
        <w:t> </w:t>
      </w:r>
      <w:r>
        <w:rPr>
          <w:spacing w:val="-26"/>
        </w:rPr>
      </w:r>
      <w:r>
        <w:rPr/>
        <w:t>商管理局核发的</w:t>
      </w:r>
      <w:r>
        <w:rPr>
          <w:rFonts w:ascii="宋体" w:hAnsi="宋体" w:cs="宋体" w:eastAsia="宋体" w:hint="default"/>
        </w:rPr>
        <w:t>110000450044822</w:t>
      </w:r>
      <w:r>
        <w:rPr/>
        <w:t>号《中华人民共和国企业法人营业执照》。</w:t>
      </w:r>
    </w:p>
    <w:p>
      <w:pPr>
        <w:pStyle w:val="BodyText"/>
        <w:spacing w:line="240" w:lineRule="auto" w:before="127"/>
        <w:ind w:left="1134" w:right="3499"/>
        <w:jc w:val="left"/>
      </w:pPr>
      <w:r>
        <w:rPr/>
        <w:t>中科创达有限初始注册资本为</w:t>
      </w:r>
      <w:r>
        <w:rPr>
          <w:rFonts w:ascii="宋体" w:hAnsi="宋体" w:cs="宋体" w:eastAsia="宋体" w:hint="default"/>
        </w:rPr>
        <w:t>20,000,000.00</w:t>
      </w:r>
      <w:r>
        <w:rPr/>
        <w:t>元，各股东认缴出资额如下：</w:t>
      </w:r>
    </w:p>
    <w:p>
      <w:pPr>
        <w:spacing w:line="240" w:lineRule="auto" w:before="2"/>
        <w:rPr>
          <w:rFonts w:ascii="宋体" w:hAnsi="宋体" w:cs="宋体" w:eastAsia="宋体" w:hint="default"/>
          <w:sz w:val="13"/>
          <w:szCs w:val="13"/>
        </w:rPr>
      </w:pPr>
    </w:p>
    <w:tbl>
      <w:tblPr>
        <w:tblW w:w="0" w:type="auto"/>
        <w:jc w:val="left"/>
        <w:tblInd w:w="1134" w:type="dxa"/>
        <w:tblLayout w:type="fixed"/>
        <w:tblCellMar>
          <w:top w:w="0" w:type="dxa"/>
          <w:left w:w="0" w:type="dxa"/>
          <w:bottom w:w="0" w:type="dxa"/>
          <w:right w:w="0" w:type="dxa"/>
        </w:tblCellMar>
        <w:tblLook w:val="01E0"/>
      </w:tblPr>
      <w:tblGrid>
        <w:gridCol w:w="4319"/>
        <w:gridCol w:w="3106"/>
        <w:gridCol w:w="1857"/>
      </w:tblGrid>
      <w:tr>
        <w:trPr>
          <w:trHeight w:val="349" w:hRule="exact"/>
        </w:trPr>
        <w:tc>
          <w:tcPr>
            <w:tcW w:w="4319"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3106"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476"/>
              <w:jc w:val="right"/>
              <w:rPr>
                <w:rFonts w:ascii="宋体" w:hAnsi="宋体" w:cs="宋体" w:eastAsia="宋体" w:hint="default"/>
                <w:sz w:val="21"/>
                <w:szCs w:val="21"/>
              </w:rPr>
            </w:pPr>
            <w:r>
              <w:rPr>
                <w:rFonts w:ascii="宋体" w:hAnsi="宋体" w:cs="宋体" w:eastAsia="宋体" w:hint="default"/>
                <w:b/>
                <w:bCs/>
                <w:w w:val="95"/>
                <w:sz w:val="21"/>
                <w:szCs w:val="21"/>
              </w:rPr>
              <w:t>认缴出资额</w:t>
            </w:r>
            <w:r>
              <w:rPr>
                <w:rFonts w:ascii="宋体" w:hAnsi="宋体" w:cs="宋体" w:eastAsia="宋体" w:hint="default"/>
                <w:sz w:val="21"/>
                <w:szCs w:val="21"/>
              </w:rPr>
            </w:r>
          </w:p>
        </w:tc>
        <w:tc>
          <w:tcPr>
            <w:tcW w:w="1857"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8"/>
              <w:jc w:val="right"/>
              <w:rPr>
                <w:rFonts w:ascii="宋体" w:hAnsi="宋体" w:cs="宋体" w:eastAsia="宋体" w:hint="default"/>
                <w:sz w:val="21"/>
                <w:szCs w:val="21"/>
              </w:rPr>
            </w:pPr>
            <w:r>
              <w:rPr>
                <w:rFonts w:ascii="宋体" w:hAnsi="宋体" w:cs="宋体" w:eastAsia="宋体" w:hint="default"/>
                <w:b/>
                <w:bCs/>
                <w:w w:val="95"/>
                <w:sz w:val="21"/>
                <w:szCs w:val="21"/>
              </w:rPr>
              <w:t>认缴出资比例</w:t>
            </w:r>
            <w:r>
              <w:rPr>
                <w:rFonts w:ascii="宋体" w:hAnsi="宋体" w:cs="宋体" w:eastAsia="宋体" w:hint="default"/>
                <w:b/>
                <w:bCs/>
                <w:w w:val="95"/>
                <w:sz w:val="21"/>
                <w:szCs w:val="21"/>
              </w:rPr>
              <w:t>%</w:t>
            </w:r>
            <w:r>
              <w:rPr>
                <w:rFonts w:ascii="宋体" w:hAnsi="宋体" w:cs="宋体" w:eastAsia="宋体" w:hint="default"/>
                <w:sz w:val="21"/>
                <w:szCs w:val="21"/>
              </w:rPr>
            </w:r>
          </w:p>
        </w:tc>
      </w:tr>
      <w:tr>
        <w:trPr>
          <w:trHeight w:val="347" w:hRule="exact"/>
        </w:trPr>
        <w:tc>
          <w:tcPr>
            <w:tcW w:w="431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北京启元合创科技发展有限公司</w:t>
            </w:r>
          </w:p>
        </w:tc>
        <w:tc>
          <w:tcPr>
            <w:tcW w:w="3106"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474"/>
              <w:jc w:val="right"/>
              <w:rPr>
                <w:rFonts w:ascii="宋体" w:hAnsi="宋体" w:cs="宋体" w:eastAsia="宋体" w:hint="default"/>
                <w:sz w:val="21"/>
                <w:szCs w:val="21"/>
              </w:rPr>
            </w:pPr>
            <w:r>
              <w:rPr>
                <w:rFonts w:ascii="宋体"/>
                <w:sz w:val="21"/>
              </w:rPr>
              <w:t>8,000,000.00</w:t>
            </w:r>
          </w:p>
        </w:tc>
        <w:tc>
          <w:tcPr>
            <w:tcW w:w="1857"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40.00</w:t>
            </w:r>
          </w:p>
        </w:tc>
      </w:tr>
      <w:tr>
        <w:trPr>
          <w:trHeight w:val="348" w:hRule="exact"/>
        </w:trPr>
        <w:tc>
          <w:tcPr>
            <w:tcW w:w="431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中科方德软件有限公司</w:t>
            </w:r>
          </w:p>
        </w:tc>
        <w:tc>
          <w:tcPr>
            <w:tcW w:w="3106"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474"/>
              <w:jc w:val="right"/>
              <w:rPr>
                <w:rFonts w:ascii="宋体" w:hAnsi="宋体" w:cs="宋体" w:eastAsia="宋体" w:hint="default"/>
                <w:sz w:val="21"/>
                <w:szCs w:val="21"/>
              </w:rPr>
            </w:pPr>
            <w:r>
              <w:rPr>
                <w:rFonts w:ascii="宋体"/>
                <w:sz w:val="21"/>
              </w:rPr>
              <w:t>4,500,000.00</w:t>
            </w:r>
          </w:p>
        </w:tc>
        <w:tc>
          <w:tcPr>
            <w:tcW w:w="1857"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22.50</w:t>
            </w:r>
          </w:p>
        </w:tc>
      </w:tr>
    </w:tbl>
    <w:p>
      <w:pPr>
        <w:spacing w:after="0" w:line="266" w:lineRule="exact"/>
        <w:jc w:val="right"/>
        <w:rPr>
          <w:rFonts w:ascii="宋体" w:hAnsi="宋体" w:cs="宋体" w:eastAsia="宋体" w:hint="default"/>
          <w:sz w:val="21"/>
          <w:szCs w:val="21"/>
        </w:rPr>
        <w:sectPr>
          <w:pgSz w:w="11910" w:h="16840"/>
          <w:pgMar w:header="747" w:footer="979" w:top="1060" w:bottom="1160" w:left="0" w:right="0"/>
        </w:sectPr>
      </w:pPr>
    </w:p>
    <w:p>
      <w:pPr>
        <w:spacing w:line="240" w:lineRule="auto" w:before="12"/>
        <w:rPr>
          <w:rFonts w:ascii="宋体" w:hAnsi="宋体" w:cs="宋体" w:eastAsia="宋体" w:hint="default"/>
          <w:sz w:val="2"/>
          <w:szCs w:val="2"/>
        </w:rPr>
      </w:pPr>
    </w:p>
    <w:tbl>
      <w:tblPr>
        <w:tblW w:w="0" w:type="auto"/>
        <w:jc w:val="left"/>
        <w:tblInd w:w="1134" w:type="dxa"/>
        <w:tblLayout w:type="fixed"/>
        <w:tblCellMar>
          <w:top w:w="0" w:type="dxa"/>
          <w:left w:w="0" w:type="dxa"/>
          <w:bottom w:w="0" w:type="dxa"/>
          <w:right w:w="0" w:type="dxa"/>
        </w:tblCellMar>
        <w:tblLook w:val="01E0"/>
      </w:tblPr>
      <w:tblGrid>
        <w:gridCol w:w="4051"/>
        <w:gridCol w:w="3742"/>
        <w:gridCol w:w="1489"/>
      </w:tblGrid>
      <w:tr>
        <w:trPr>
          <w:trHeight w:val="684" w:hRule="exact"/>
        </w:trPr>
        <w:tc>
          <w:tcPr>
            <w:tcW w:w="4051"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sz w:val="21"/>
                <w:szCs w:val="21"/>
              </w:rPr>
              <w:t>大洋中科特别目的株式会社</w:t>
            </w:r>
          </w:p>
        </w:tc>
        <w:tc>
          <w:tcPr>
            <w:tcW w:w="3742"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842"/>
              <w:jc w:val="right"/>
              <w:rPr>
                <w:rFonts w:ascii="宋体" w:hAnsi="宋体" w:cs="宋体" w:eastAsia="宋体" w:hint="default"/>
                <w:sz w:val="21"/>
                <w:szCs w:val="21"/>
              </w:rPr>
            </w:pPr>
            <w:r>
              <w:rPr>
                <w:rFonts w:ascii="宋体"/>
                <w:sz w:val="21"/>
              </w:rPr>
              <w:t>4,000,000.00</w:t>
            </w:r>
          </w:p>
        </w:tc>
        <w:tc>
          <w:tcPr>
            <w:tcW w:w="1489"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8"/>
              <w:jc w:val="right"/>
              <w:rPr>
                <w:rFonts w:ascii="宋体" w:hAnsi="宋体" w:cs="宋体" w:eastAsia="宋体" w:hint="default"/>
                <w:sz w:val="21"/>
                <w:szCs w:val="21"/>
              </w:rPr>
            </w:pPr>
            <w:r>
              <w:rPr>
                <w:rFonts w:ascii="宋体"/>
                <w:sz w:val="21"/>
              </w:rPr>
              <w:t>20.00</w:t>
            </w:r>
          </w:p>
        </w:tc>
      </w:tr>
      <w:tr>
        <w:trPr>
          <w:trHeight w:val="347" w:hRule="exact"/>
        </w:trPr>
        <w:tc>
          <w:tcPr>
            <w:tcW w:w="4051"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株式会社大洋系统</w:t>
            </w:r>
          </w:p>
        </w:tc>
        <w:tc>
          <w:tcPr>
            <w:tcW w:w="3742"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42"/>
              <w:jc w:val="right"/>
              <w:rPr>
                <w:rFonts w:ascii="宋体" w:hAnsi="宋体" w:cs="宋体" w:eastAsia="宋体" w:hint="default"/>
                <w:sz w:val="21"/>
                <w:szCs w:val="21"/>
              </w:rPr>
            </w:pPr>
            <w:r>
              <w:rPr>
                <w:rFonts w:ascii="宋体"/>
                <w:sz w:val="21"/>
              </w:rPr>
              <w:t>2,000,000.00</w:t>
            </w:r>
          </w:p>
        </w:tc>
        <w:tc>
          <w:tcPr>
            <w:tcW w:w="1489"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10.00</w:t>
            </w:r>
          </w:p>
        </w:tc>
      </w:tr>
      <w:tr>
        <w:trPr>
          <w:trHeight w:val="347" w:hRule="exact"/>
        </w:trPr>
        <w:tc>
          <w:tcPr>
            <w:tcW w:w="4051"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北京中科软科技有限公司</w:t>
            </w:r>
          </w:p>
        </w:tc>
        <w:tc>
          <w:tcPr>
            <w:tcW w:w="3742"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42"/>
              <w:jc w:val="right"/>
              <w:rPr>
                <w:rFonts w:ascii="宋体" w:hAnsi="宋体" w:cs="宋体" w:eastAsia="宋体" w:hint="default"/>
                <w:sz w:val="21"/>
                <w:szCs w:val="21"/>
              </w:rPr>
            </w:pPr>
            <w:r>
              <w:rPr>
                <w:rFonts w:ascii="宋体"/>
                <w:sz w:val="21"/>
              </w:rPr>
              <w:t>1,500,000.00</w:t>
            </w:r>
          </w:p>
        </w:tc>
        <w:tc>
          <w:tcPr>
            <w:tcW w:w="1489"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7.50</w:t>
            </w:r>
          </w:p>
        </w:tc>
      </w:tr>
      <w:tr>
        <w:trPr>
          <w:trHeight w:val="348" w:hRule="exact"/>
        </w:trPr>
        <w:tc>
          <w:tcPr>
            <w:tcW w:w="4051"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742"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45"/>
              <w:jc w:val="right"/>
              <w:rPr>
                <w:rFonts w:ascii="宋体" w:hAnsi="宋体" w:cs="宋体" w:eastAsia="宋体" w:hint="default"/>
                <w:sz w:val="21"/>
                <w:szCs w:val="21"/>
              </w:rPr>
            </w:pPr>
            <w:r>
              <w:rPr>
                <w:rFonts w:ascii="宋体"/>
                <w:b/>
                <w:w w:val="95"/>
                <w:sz w:val="21"/>
              </w:rPr>
              <w:t>20,000,000.00</w:t>
            </w:r>
            <w:r>
              <w:rPr>
                <w:rFonts w:ascii="宋体"/>
                <w:sz w:val="21"/>
              </w:rPr>
            </w:r>
          </w:p>
        </w:tc>
        <w:tc>
          <w:tcPr>
            <w:tcW w:w="1489"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9"/>
              <w:jc w:val="right"/>
              <w:rPr>
                <w:rFonts w:ascii="宋体" w:hAnsi="宋体" w:cs="宋体" w:eastAsia="宋体" w:hint="default"/>
                <w:sz w:val="21"/>
                <w:szCs w:val="21"/>
              </w:rPr>
            </w:pPr>
            <w:r>
              <w:rPr>
                <w:rFonts w:ascii="宋体"/>
                <w:b/>
                <w:w w:val="95"/>
                <w:sz w:val="21"/>
              </w:rPr>
              <w:t>100.00</w:t>
            </w:r>
            <w:r>
              <w:rPr>
                <w:rFonts w:ascii="宋体"/>
                <w:sz w:val="21"/>
              </w:rPr>
            </w:r>
          </w:p>
        </w:tc>
      </w:tr>
    </w:tbl>
    <w:p>
      <w:pPr>
        <w:spacing w:line="240" w:lineRule="auto" w:before="5"/>
        <w:rPr>
          <w:rFonts w:ascii="宋体" w:hAnsi="宋体" w:cs="宋体" w:eastAsia="宋体" w:hint="default"/>
          <w:sz w:val="5"/>
          <w:szCs w:val="5"/>
        </w:rPr>
      </w:pPr>
    </w:p>
    <w:p>
      <w:pPr>
        <w:pStyle w:val="BodyText"/>
        <w:spacing w:line="240" w:lineRule="auto" w:before="35"/>
        <w:ind w:left="1134" w:right="0"/>
        <w:jc w:val="left"/>
      </w:pPr>
      <w:r>
        <w:rPr/>
        <w:pict>
          <v:group style="position:absolute;margin-left:55.200001pt;margin-top:-90.286331pt;width:485pt;height:.1pt;mso-position-horizontal-relative:page;mso-position-vertical-relative:paragraph;z-index:-925456" coordorigin="1104,-1806" coordsize="9700,2">
            <v:shape style="position:absolute;left:1104;top:-1806;width:9700;height:2" coordorigin="1104,-1806" coordsize="9700,0" path="m1104,-1806l10804,-1806e" filled="false" stroked="true" strokeweight=".72pt" strokecolor="#000000">
              <v:path arrowok="t"/>
            </v:shape>
            <w10:wrap type="none"/>
          </v:group>
        </w:pict>
      </w:r>
      <w:r>
        <w:rPr>
          <w:rFonts w:ascii="宋体" w:hAnsi="宋体" w:cs="宋体" w:eastAsia="宋体" w:hint="default"/>
        </w:rPr>
        <w:t>2008</w:t>
      </w:r>
      <w:r>
        <w:rPr/>
        <w:t>年</w:t>
      </w:r>
      <w:r>
        <w:rPr>
          <w:rFonts w:ascii="宋体" w:hAnsi="宋体" w:cs="宋体" w:eastAsia="宋体" w:hint="default"/>
        </w:rPr>
        <w:t>4</w:t>
      </w:r>
      <w:r>
        <w:rPr/>
        <w:t>月，各股东第一次缴纳资本金共计</w:t>
      </w:r>
      <w:r>
        <w:rPr>
          <w:rFonts w:ascii="宋体" w:hAnsi="宋体" w:cs="宋体" w:eastAsia="宋体" w:hint="default"/>
        </w:rPr>
        <w:t>10,020,220.00</w:t>
      </w:r>
      <w:r>
        <w:rPr/>
        <w:t>元。上述出资业经北京恒诚永信会计师事务所于</w:t>
      </w:r>
    </w:p>
    <w:p>
      <w:pPr>
        <w:pStyle w:val="BodyText"/>
        <w:spacing w:line="273" w:lineRule="auto" w:before="37"/>
        <w:ind w:left="1134" w:right="1118"/>
        <w:jc w:val="left"/>
      </w:pPr>
      <w:r>
        <w:rPr>
          <w:rFonts w:ascii="宋体" w:hAnsi="宋体" w:cs="宋体" w:eastAsia="宋体" w:hint="default"/>
        </w:rPr>
        <w:t>2008</w:t>
      </w:r>
      <w:r>
        <w:rPr/>
        <w:t>年</w:t>
      </w:r>
      <w:r>
        <w:rPr>
          <w:rFonts w:ascii="宋体" w:hAnsi="宋体" w:cs="宋体" w:eastAsia="宋体" w:hint="default"/>
        </w:rPr>
        <w:t>5</w:t>
      </w:r>
      <w:r>
        <w:rPr/>
        <w:t>月</w:t>
      </w:r>
      <w:r>
        <w:rPr>
          <w:rFonts w:ascii="宋体" w:hAnsi="宋体" w:cs="宋体" w:eastAsia="宋体" w:hint="default"/>
        </w:rPr>
        <w:t>8</w:t>
      </w:r>
      <w:r>
        <w:rPr/>
        <w:t>日出具恒诚永信验字</w:t>
      </w:r>
      <w:r>
        <w:rPr>
          <w:rFonts w:ascii="宋体" w:hAnsi="宋体" w:cs="宋体" w:eastAsia="宋体" w:hint="default"/>
        </w:rPr>
        <w:t>[2008]</w:t>
      </w:r>
      <w:r>
        <w:rPr/>
        <w:t>第</w:t>
      </w:r>
      <w:r>
        <w:rPr>
          <w:rFonts w:ascii="宋体" w:hAnsi="宋体" w:cs="宋体" w:eastAsia="宋体" w:hint="default"/>
        </w:rPr>
        <w:t>358</w:t>
      </w:r>
      <w:r>
        <w:rPr/>
        <w:t>号验资报告予以验证。第一次出资后，中科创达有限股权结</w:t>
      </w:r>
      <w:r>
        <w:rPr>
          <w:spacing w:val="-34"/>
        </w:rPr>
        <w:t> </w:t>
      </w:r>
      <w:r>
        <w:rPr>
          <w:spacing w:val="-34"/>
        </w:rPr>
      </w:r>
      <w:r>
        <w:rPr/>
        <w:t>构如下：</w:t>
      </w:r>
    </w:p>
    <w:p>
      <w:pPr>
        <w:spacing w:line="240" w:lineRule="auto" w:before="3"/>
        <w:rPr>
          <w:rFonts w:ascii="宋体" w:hAnsi="宋体" w:cs="宋体" w:eastAsia="宋体" w:hint="default"/>
          <w:sz w:val="18"/>
          <w:szCs w:val="18"/>
        </w:rPr>
      </w:pPr>
    </w:p>
    <w:tbl>
      <w:tblPr>
        <w:tblW w:w="0" w:type="auto"/>
        <w:jc w:val="left"/>
        <w:tblInd w:w="1134" w:type="dxa"/>
        <w:tblLayout w:type="fixed"/>
        <w:tblCellMar>
          <w:top w:w="0" w:type="dxa"/>
          <w:left w:w="0" w:type="dxa"/>
          <w:bottom w:w="0" w:type="dxa"/>
          <w:right w:w="0" w:type="dxa"/>
        </w:tblCellMar>
        <w:tblLook w:val="01E0"/>
      </w:tblPr>
      <w:tblGrid>
        <w:gridCol w:w="3640"/>
        <w:gridCol w:w="2243"/>
        <w:gridCol w:w="1786"/>
        <w:gridCol w:w="1613"/>
      </w:tblGrid>
      <w:tr>
        <w:trPr>
          <w:trHeight w:val="349" w:hRule="exact"/>
        </w:trPr>
        <w:tc>
          <w:tcPr>
            <w:tcW w:w="3640"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2243"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176"/>
              <w:jc w:val="right"/>
              <w:rPr>
                <w:rFonts w:ascii="宋体" w:hAnsi="宋体" w:cs="宋体" w:eastAsia="宋体" w:hint="default"/>
                <w:sz w:val="21"/>
                <w:szCs w:val="21"/>
              </w:rPr>
            </w:pPr>
            <w:r>
              <w:rPr>
                <w:rFonts w:ascii="宋体" w:hAnsi="宋体" w:cs="宋体" w:eastAsia="宋体" w:hint="default"/>
                <w:b/>
                <w:bCs/>
                <w:w w:val="95"/>
                <w:sz w:val="21"/>
                <w:szCs w:val="21"/>
              </w:rPr>
              <w:t>认缴出资额</w:t>
            </w:r>
            <w:r>
              <w:rPr>
                <w:rFonts w:ascii="宋体" w:hAnsi="宋体" w:cs="宋体" w:eastAsia="宋体" w:hint="default"/>
                <w:sz w:val="21"/>
                <w:szCs w:val="21"/>
              </w:rPr>
            </w:r>
          </w:p>
        </w:tc>
        <w:tc>
          <w:tcPr>
            <w:tcW w:w="1786"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232"/>
              <w:jc w:val="right"/>
              <w:rPr>
                <w:rFonts w:ascii="宋体" w:hAnsi="宋体" w:cs="宋体" w:eastAsia="宋体" w:hint="default"/>
                <w:sz w:val="21"/>
                <w:szCs w:val="21"/>
              </w:rPr>
            </w:pPr>
            <w:r>
              <w:rPr>
                <w:rFonts w:ascii="宋体" w:hAnsi="宋体" w:cs="宋体" w:eastAsia="宋体" w:hint="default"/>
                <w:b/>
                <w:bCs/>
                <w:w w:val="95"/>
                <w:sz w:val="21"/>
                <w:szCs w:val="21"/>
              </w:rPr>
              <w:t>实缴出资额</w:t>
            </w:r>
            <w:r>
              <w:rPr>
                <w:rFonts w:ascii="宋体" w:hAnsi="宋体" w:cs="宋体" w:eastAsia="宋体" w:hint="default"/>
                <w:sz w:val="21"/>
                <w:szCs w:val="21"/>
              </w:rPr>
            </w:r>
          </w:p>
        </w:tc>
        <w:tc>
          <w:tcPr>
            <w:tcW w:w="1613"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8"/>
              <w:jc w:val="right"/>
              <w:rPr>
                <w:rFonts w:ascii="宋体" w:hAnsi="宋体" w:cs="宋体" w:eastAsia="宋体" w:hint="default"/>
                <w:sz w:val="21"/>
                <w:szCs w:val="21"/>
              </w:rPr>
            </w:pPr>
            <w:r>
              <w:rPr>
                <w:rFonts w:ascii="宋体" w:hAnsi="宋体" w:cs="宋体" w:eastAsia="宋体" w:hint="default"/>
                <w:b/>
                <w:bCs/>
                <w:w w:val="95"/>
                <w:sz w:val="21"/>
                <w:szCs w:val="21"/>
              </w:rPr>
              <w:t>认缴出资比例</w:t>
            </w:r>
            <w:r>
              <w:rPr>
                <w:rFonts w:ascii="宋体" w:hAnsi="宋体" w:cs="宋体" w:eastAsia="宋体" w:hint="default"/>
                <w:b/>
                <w:bCs/>
                <w:w w:val="95"/>
                <w:sz w:val="21"/>
                <w:szCs w:val="21"/>
              </w:rPr>
              <w:t>%</w:t>
            </w:r>
            <w:r>
              <w:rPr>
                <w:rFonts w:ascii="宋体" w:hAnsi="宋体" w:cs="宋体" w:eastAsia="宋体" w:hint="default"/>
                <w:sz w:val="21"/>
                <w:szCs w:val="21"/>
              </w:rPr>
            </w:r>
          </w:p>
        </w:tc>
      </w:tr>
      <w:tr>
        <w:trPr>
          <w:trHeight w:val="348" w:hRule="exact"/>
        </w:trPr>
        <w:tc>
          <w:tcPr>
            <w:tcW w:w="364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北京启元合创科技发展有限公司</w:t>
            </w:r>
          </w:p>
        </w:tc>
        <w:tc>
          <w:tcPr>
            <w:tcW w:w="224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176"/>
              <w:jc w:val="right"/>
              <w:rPr>
                <w:rFonts w:ascii="宋体" w:hAnsi="宋体" w:cs="宋体" w:eastAsia="宋体" w:hint="default"/>
                <w:sz w:val="21"/>
                <w:szCs w:val="21"/>
              </w:rPr>
            </w:pPr>
            <w:r>
              <w:rPr>
                <w:rFonts w:ascii="宋体"/>
                <w:sz w:val="21"/>
              </w:rPr>
              <w:t>8,000,000.00</w:t>
            </w:r>
          </w:p>
        </w:tc>
        <w:tc>
          <w:tcPr>
            <w:tcW w:w="1786"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232"/>
              <w:jc w:val="right"/>
              <w:rPr>
                <w:rFonts w:ascii="宋体" w:hAnsi="宋体" w:cs="宋体" w:eastAsia="宋体" w:hint="default"/>
                <w:sz w:val="21"/>
                <w:szCs w:val="21"/>
              </w:rPr>
            </w:pPr>
            <w:r>
              <w:rPr>
                <w:rFonts w:ascii="宋体"/>
                <w:sz w:val="21"/>
              </w:rPr>
              <w:t>4,000,000.00</w:t>
            </w:r>
          </w:p>
        </w:tc>
        <w:tc>
          <w:tcPr>
            <w:tcW w:w="161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40.00</w:t>
            </w:r>
          </w:p>
        </w:tc>
      </w:tr>
      <w:tr>
        <w:trPr>
          <w:trHeight w:val="347" w:hRule="exact"/>
        </w:trPr>
        <w:tc>
          <w:tcPr>
            <w:tcW w:w="3640"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中科方德软件有限公司</w:t>
            </w:r>
          </w:p>
        </w:tc>
        <w:tc>
          <w:tcPr>
            <w:tcW w:w="2243"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176"/>
              <w:jc w:val="right"/>
              <w:rPr>
                <w:rFonts w:ascii="宋体" w:hAnsi="宋体" w:cs="宋体" w:eastAsia="宋体" w:hint="default"/>
                <w:sz w:val="21"/>
                <w:szCs w:val="21"/>
              </w:rPr>
            </w:pPr>
            <w:r>
              <w:rPr>
                <w:rFonts w:ascii="宋体"/>
                <w:sz w:val="21"/>
              </w:rPr>
              <w:t>4,500,000.00</w:t>
            </w:r>
          </w:p>
        </w:tc>
        <w:tc>
          <w:tcPr>
            <w:tcW w:w="1786"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232"/>
              <w:jc w:val="right"/>
              <w:rPr>
                <w:rFonts w:ascii="宋体" w:hAnsi="宋体" w:cs="宋体" w:eastAsia="宋体" w:hint="default"/>
                <w:sz w:val="21"/>
                <w:szCs w:val="21"/>
              </w:rPr>
            </w:pPr>
            <w:r>
              <w:rPr>
                <w:rFonts w:ascii="宋体"/>
                <w:sz w:val="21"/>
              </w:rPr>
              <w:t>1,500,000.00</w:t>
            </w:r>
          </w:p>
        </w:tc>
        <w:tc>
          <w:tcPr>
            <w:tcW w:w="1613"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8"/>
              <w:jc w:val="right"/>
              <w:rPr>
                <w:rFonts w:ascii="宋体" w:hAnsi="宋体" w:cs="宋体" w:eastAsia="宋体" w:hint="default"/>
                <w:sz w:val="21"/>
                <w:szCs w:val="21"/>
              </w:rPr>
            </w:pPr>
            <w:r>
              <w:rPr>
                <w:rFonts w:ascii="宋体"/>
                <w:sz w:val="21"/>
              </w:rPr>
              <w:t>22.50</w:t>
            </w:r>
          </w:p>
        </w:tc>
      </w:tr>
      <w:tr>
        <w:trPr>
          <w:trHeight w:val="347" w:hRule="exact"/>
        </w:trPr>
        <w:tc>
          <w:tcPr>
            <w:tcW w:w="364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大洋中科特别目的株式会社</w:t>
            </w:r>
          </w:p>
        </w:tc>
        <w:tc>
          <w:tcPr>
            <w:tcW w:w="224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176"/>
              <w:jc w:val="right"/>
              <w:rPr>
                <w:rFonts w:ascii="宋体" w:hAnsi="宋体" w:cs="宋体" w:eastAsia="宋体" w:hint="default"/>
                <w:sz w:val="21"/>
                <w:szCs w:val="21"/>
              </w:rPr>
            </w:pPr>
            <w:r>
              <w:rPr>
                <w:rFonts w:ascii="宋体"/>
                <w:sz w:val="21"/>
              </w:rPr>
              <w:t>4,000,000.00</w:t>
            </w:r>
          </w:p>
        </w:tc>
        <w:tc>
          <w:tcPr>
            <w:tcW w:w="1786"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232"/>
              <w:jc w:val="right"/>
              <w:rPr>
                <w:rFonts w:ascii="宋体" w:hAnsi="宋体" w:cs="宋体" w:eastAsia="宋体" w:hint="default"/>
                <w:sz w:val="21"/>
                <w:szCs w:val="21"/>
              </w:rPr>
            </w:pPr>
            <w:r>
              <w:rPr>
                <w:rFonts w:ascii="宋体"/>
                <w:sz w:val="21"/>
              </w:rPr>
              <w:t>2,013,480.00</w:t>
            </w:r>
          </w:p>
        </w:tc>
        <w:tc>
          <w:tcPr>
            <w:tcW w:w="161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20.00</w:t>
            </w:r>
          </w:p>
        </w:tc>
      </w:tr>
      <w:tr>
        <w:trPr>
          <w:trHeight w:val="347" w:hRule="exact"/>
        </w:trPr>
        <w:tc>
          <w:tcPr>
            <w:tcW w:w="364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株式会社大洋系统</w:t>
            </w:r>
          </w:p>
        </w:tc>
        <w:tc>
          <w:tcPr>
            <w:tcW w:w="224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176"/>
              <w:jc w:val="right"/>
              <w:rPr>
                <w:rFonts w:ascii="宋体" w:hAnsi="宋体" w:cs="宋体" w:eastAsia="宋体" w:hint="default"/>
                <w:sz w:val="21"/>
                <w:szCs w:val="21"/>
              </w:rPr>
            </w:pPr>
            <w:r>
              <w:rPr>
                <w:rFonts w:ascii="宋体"/>
                <w:sz w:val="21"/>
              </w:rPr>
              <w:t>2,000,000.00</w:t>
            </w:r>
          </w:p>
        </w:tc>
        <w:tc>
          <w:tcPr>
            <w:tcW w:w="1786"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232"/>
              <w:jc w:val="right"/>
              <w:rPr>
                <w:rFonts w:ascii="宋体" w:hAnsi="宋体" w:cs="宋体" w:eastAsia="宋体" w:hint="default"/>
                <w:sz w:val="21"/>
                <w:szCs w:val="21"/>
              </w:rPr>
            </w:pPr>
            <w:r>
              <w:rPr>
                <w:rFonts w:ascii="宋体"/>
                <w:sz w:val="21"/>
              </w:rPr>
              <w:t>1,006,740.00</w:t>
            </w:r>
          </w:p>
        </w:tc>
        <w:tc>
          <w:tcPr>
            <w:tcW w:w="161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10.00</w:t>
            </w:r>
          </w:p>
        </w:tc>
      </w:tr>
      <w:tr>
        <w:trPr>
          <w:trHeight w:val="347" w:hRule="exact"/>
        </w:trPr>
        <w:tc>
          <w:tcPr>
            <w:tcW w:w="364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北京中科软科技有限公司</w:t>
            </w:r>
          </w:p>
        </w:tc>
        <w:tc>
          <w:tcPr>
            <w:tcW w:w="224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176"/>
              <w:jc w:val="right"/>
              <w:rPr>
                <w:rFonts w:ascii="宋体" w:hAnsi="宋体" w:cs="宋体" w:eastAsia="宋体" w:hint="default"/>
                <w:sz w:val="21"/>
                <w:szCs w:val="21"/>
              </w:rPr>
            </w:pPr>
            <w:r>
              <w:rPr>
                <w:rFonts w:ascii="宋体"/>
                <w:sz w:val="21"/>
              </w:rPr>
              <w:t>1,500,000.00</w:t>
            </w:r>
          </w:p>
        </w:tc>
        <w:tc>
          <w:tcPr>
            <w:tcW w:w="1786"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232"/>
              <w:jc w:val="right"/>
              <w:rPr>
                <w:rFonts w:ascii="宋体" w:hAnsi="宋体" w:cs="宋体" w:eastAsia="宋体" w:hint="default"/>
                <w:sz w:val="21"/>
                <w:szCs w:val="21"/>
              </w:rPr>
            </w:pPr>
            <w:r>
              <w:rPr>
                <w:rFonts w:ascii="宋体"/>
                <w:sz w:val="21"/>
              </w:rPr>
              <w:t>1,500,000.00</w:t>
            </w:r>
          </w:p>
        </w:tc>
        <w:tc>
          <w:tcPr>
            <w:tcW w:w="161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7.50</w:t>
            </w:r>
          </w:p>
        </w:tc>
      </w:tr>
      <w:tr>
        <w:trPr>
          <w:trHeight w:val="348" w:hRule="exact"/>
        </w:trPr>
        <w:tc>
          <w:tcPr>
            <w:tcW w:w="364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24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179"/>
              <w:jc w:val="right"/>
              <w:rPr>
                <w:rFonts w:ascii="宋体" w:hAnsi="宋体" w:cs="宋体" w:eastAsia="宋体" w:hint="default"/>
                <w:sz w:val="21"/>
                <w:szCs w:val="21"/>
              </w:rPr>
            </w:pPr>
            <w:r>
              <w:rPr>
                <w:rFonts w:ascii="宋体"/>
                <w:b/>
                <w:w w:val="95"/>
                <w:sz w:val="21"/>
              </w:rPr>
              <w:t>20,000,000.00</w:t>
            </w:r>
            <w:r>
              <w:rPr>
                <w:rFonts w:ascii="宋体"/>
                <w:sz w:val="21"/>
              </w:rPr>
            </w:r>
          </w:p>
        </w:tc>
        <w:tc>
          <w:tcPr>
            <w:tcW w:w="1786"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235"/>
              <w:jc w:val="right"/>
              <w:rPr>
                <w:rFonts w:ascii="宋体" w:hAnsi="宋体" w:cs="宋体" w:eastAsia="宋体" w:hint="default"/>
                <w:sz w:val="21"/>
                <w:szCs w:val="21"/>
              </w:rPr>
            </w:pPr>
            <w:r>
              <w:rPr>
                <w:rFonts w:ascii="宋体"/>
                <w:b/>
                <w:w w:val="95"/>
                <w:sz w:val="21"/>
              </w:rPr>
              <w:t>10,020,220.00</w:t>
            </w:r>
            <w:r>
              <w:rPr>
                <w:rFonts w:ascii="宋体"/>
                <w:sz w:val="21"/>
              </w:rPr>
            </w:r>
          </w:p>
        </w:tc>
        <w:tc>
          <w:tcPr>
            <w:tcW w:w="161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9"/>
              <w:jc w:val="right"/>
              <w:rPr>
                <w:rFonts w:ascii="宋体" w:hAnsi="宋体" w:cs="宋体" w:eastAsia="宋体" w:hint="default"/>
                <w:sz w:val="21"/>
                <w:szCs w:val="21"/>
              </w:rPr>
            </w:pPr>
            <w:r>
              <w:rPr>
                <w:rFonts w:ascii="宋体"/>
                <w:b/>
                <w:w w:val="95"/>
                <w:sz w:val="21"/>
              </w:rPr>
              <w:t>100.00</w:t>
            </w:r>
            <w:r>
              <w:rPr>
                <w:rFonts w:ascii="宋体"/>
                <w:sz w:val="21"/>
              </w:rPr>
            </w:r>
          </w:p>
        </w:tc>
      </w:tr>
    </w:tbl>
    <w:p>
      <w:pPr>
        <w:spacing w:line="240" w:lineRule="auto" w:before="5"/>
        <w:rPr>
          <w:rFonts w:ascii="宋体" w:hAnsi="宋体" w:cs="宋体" w:eastAsia="宋体" w:hint="default"/>
          <w:sz w:val="5"/>
          <w:szCs w:val="5"/>
        </w:rPr>
      </w:pPr>
    </w:p>
    <w:p>
      <w:pPr>
        <w:pStyle w:val="BodyText"/>
        <w:spacing w:line="273" w:lineRule="auto" w:before="35"/>
        <w:ind w:right="1132"/>
        <w:jc w:val="both"/>
      </w:pPr>
      <w:r>
        <w:rPr>
          <w:rFonts w:ascii="宋体" w:hAnsi="宋体" w:cs="宋体" w:eastAsia="宋体" w:hint="default"/>
          <w:spacing w:val="-1"/>
        </w:rPr>
        <w:t>2009</w:t>
      </w:r>
      <w:r>
        <w:rPr>
          <w:spacing w:val="-1"/>
        </w:rPr>
        <w:t>年</w:t>
      </w:r>
      <w:r>
        <w:rPr>
          <w:rFonts w:ascii="宋体" w:hAnsi="宋体" w:cs="宋体" w:eastAsia="宋体" w:hint="default"/>
          <w:spacing w:val="-1"/>
        </w:rPr>
        <w:t>6</w:t>
      </w:r>
      <w:r>
        <w:rPr>
          <w:spacing w:val="-1"/>
        </w:rPr>
        <w:t>月，各股东第二次缴纳资本金共计</w:t>
      </w:r>
      <w:r>
        <w:rPr>
          <w:rFonts w:ascii="宋体" w:hAnsi="宋体" w:cs="宋体" w:eastAsia="宋体" w:hint="default"/>
          <w:spacing w:val="-1"/>
        </w:rPr>
        <w:t>5,051,982.50</w:t>
      </w:r>
      <w:r>
        <w:rPr>
          <w:spacing w:val="-1"/>
        </w:rPr>
        <w:t>元。变更后注册资本仍为</w:t>
      </w:r>
      <w:r>
        <w:rPr>
          <w:rFonts w:ascii="宋体" w:hAnsi="宋体" w:cs="宋体" w:eastAsia="宋体" w:hint="default"/>
          <w:spacing w:val="-1"/>
        </w:rPr>
        <w:t>20,000,000.00</w:t>
      </w:r>
      <w:r>
        <w:rPr>
          <w:spacing w:val="-1"/>
        </w:rPr>
        <w:t>元，实收</w:t>
      </w:r>
      <w:r>
        <w:rPr>
          <w:spacing w:val="-70"/>
        </w:rPr>
        <w:t> </w:t>
      </w:r>
      <w:r>
        <w:rPr>
          <w:spacing w:val="-70"/>
        </w:rPr>
      </w:r>
      <w:r>
        <w:rPr>
          <w:spacing w:val="-1"/>
        </w:rPr>
        <w:t>资本为</w:t>
      </w:r>
      <w:r>
        <w:rPr>
          <w:rFonts w:ascii="宋体" w:hAnsi="宋体" w:cs="宋体" w:eastAsia="宋体" w:hint="default"/>
          <w:spacing w:val="-1"/>
        </w:rPr>
        <w:t>15,072,202.50</w:t>
      </w:r>
      <w:r>
        <w:rPr>
          <w:spacing w:val="-1"/>
        </w:rPr>
        <w:t>元。上述出资业经北京恒诚永信会计师事务所于</w:t>
      </w:r>
      <w:r>
        <w:rPr>
          <w:rFonts w:ascii="宋体" w:hAnsi="宋体" w:cs="宋体" w:eastAsia="宋体" w:hint="default"/>
          <w:spacing w:val="-1"/>
        </w:rPr>
        <w:t>2009</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12</w:t>
      </w:r>
      <w:r>
        <w:rPr>
          <w:spacing w:val="-1"/>
        </w:rPr>
        <w:t>日出具的恒诚永信验字</w:t>
      </w:r>
      <w:r>
        <w:rPr>
          <w:spacing w:val="-76"/>
        </w:rPr>
        <w:t> </w:t>
      </w:r>
      <w:r>
        <w:rPr>
          <w:rFonts w:ascii="宋体" w:hAnsi="宋体" w:cs="宋体" w:eastAsia="宋体" w:hint="default"/>
        </w:rPr>
        <w:t>[2009]</w:t>
      </w:r>
      <w:r>
        <w:rPr/>
        <w:t>第</w:t>
      </w:r>
      <w:r>
        <w:rPr>
          <w:rFonts w:ascii="宋体" w:hAnsi="宋体" w:cs="宋体" w:eastAsia="宋体" w:hint="default"/>
        </w:rPr>
        <w:t>168</w:t>
      </w:r>
      <w:r>
        <w:rPr/>
        <w:t>号验资报告予以验证。此次变更后，中科创达有限股权结构如下：</w:t>
      </w:r>
    </w:p>
    <w:p>
      <w:pPr>
        <w:spacing w:line="240" w:lineRule="auto" w:before="3"/>
        <w:rPr>
          <w:rFonts w:ascii="宋体" w:hAnsi="宋体" w:cs="宋体" w:eastAsia="宋体" w:hint="default"/>
          <w:sz w:val="18"/>
          <w:szCs w:val="18"/>
        </w:rPr>
      </w:pPr>
    </w:p>
    <w:tbl>
      <w:tblPr>
        <w:tblW w:w="0" w:type="auto"/>
        <w:jc w:val="left"/>
        <w:tblInd w:w="1134" w:type="dxa"/>
        <w:tblLayout w:type="fixed"/>
        <w:tblCellMar>
          <w:top w:w="0" w:type="dxa"/>
          <w:left w:w="0" w:type="dxa"/>
          <w:bottom w:w="0" w:type="dxa"/>
          <w:right w:w="0" w:type="dxa"/>
        </w:tblCellMar>
        <w:tblLook w:val="01E0"/>
      </w:tblPr>
      <w:tblGrid>
        <w:gridCol w:w="3639"/>
        <w:gridCol w:w="2243"/>
        <w:gridCol w:w="1787"/>
        <w:gridCol w:w="1613"/>
      </w:tblGrid>
      <w:tr>
        <w:trPr>
          <w:trHeight w:val="349" w:hRule="exact"/>
        </w:trPr>
        <w:tc>
          <w:tcPr>
            <w:tcW w:w="3639"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2243"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177"/>
              <w:jc w:val="right"/>
              <w:rPr>
                <w:rFonts w:ascii="宋体" w:hAnsi="宋体" w:cs="宋体" w:eastAsia="宋体" w:hint="default"/>
                <w:sz w:val="21"/>
                <w:szCs w:val="21"/>
              </w:rPr>
            </w:pPr>
            <w:r>
              <w:rPr>
                <w:rFonts w:ascii="宋体" w:hAnsi="宋体" w:cs="宋体" w:eastAsia="宋体" w:hint="default"/>
                <w:b/>
                <w:bCs/>
                <w:w w:val="95"/>
                <w:sz w:val="21"/>
                <w:szCs w:val="21"/>
              </w:rPr>
              <w:t>认缴出资额</w:t>
            </w:r>
            <w:r>
              <w:rPr>
                <w:rFonts w:ascii="宋体" w:hAnsi="宋体" w:cs="宋体" w:eastAsia="宋体" w:hint="default"/>
                <w:sz w:val="21"/>
                <w:szCs w:val="21"/>
              </w:rPr>
            </w:r>
          </w:p>
        </w:tc>
        <w:tc>
          <w:tcPr>
            <w:tcW w:w="1787"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232"/>
              <w:jc w:val="right"/>
              <w:rPr>
                <w:rFonts w:ascii="宋体" w:hAnsi="宋体" w:cs="宋体" w:eastAsia="宋体" w:hint="default"/>
                <w:sz w:val="21"/>
                <w:szCs w:val="21"/>
              </w:rPr>
            </w:pPr>
            <w:r>
              <w:rPr>
                <w:rFonts w:ascii="宋体" w:hAnsi="宋体" w:cs="宋体" w:eastAsia="宋体" w:hint="default"/>
                <w:b/>
                <w:bCs/>
                <w:w w:val="95"/>
                <w:sz w:val="21"/>
                <w:szCs w:val="21"/>
              </w:rPr>
              <w:t>实缴出资额</w:t>
            </w:r>
            <w:r>
              <w:rPr>
                <w:rFonts w:ascii="宋体" w:hAnsi="宋体" w:cs="宋体" w:eastAsia="宋体" w:hint="default"/>
                <w:sz w:val="21"/>
                <w:szCs w:val="21"/>
              </w:rPr>
            </w:r>
          </w:p>
        </w:tc>
        <w:tc>
          <w:tcPr>
            <w:tcW w:w="1613"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8"/>
              <w:jc w:val="right"/>
              <w:rPr>
                <w:rFonts w:ascii="宋体" w:hAnsi="宋体" w:cs="宋体" w:eastAsia="宋体" w:hint="default"/>
                <w:sz w:val="21"/>
                <w:szCs w:val="21"/>
              </w:rPr>
            </w:pPr>
            <w:r>
              <w:rPr>
                <w:rFonts w:ascii="宋体" w:hAnsi="宋体" w:cs="宋体" w:eastAsia="宋体" w:hint="default"/>
                <w:b/>
                <w:bCs/>
                <w:w w:val="95"/>
                <w:sz w:val="21"/>
                <w:szCs w:val="21"/>
              </w:rPr>
              <w:t>认缴出资比例</w:t>
            </w:r>
            <w:r>
              <w:rPr>
                <w:rFonts w:ascii="宋体" w:hAnsi="宋体" w:cs="宋体" w:eastAsia="宋体" w:hint="default"/>
                <w:b/>
                <w:bCs/>
                <w:w w:val="95"/>
                <w:sz w:val="21"/>
                <w:szCs w:val="21"/>
              </w:rPr>
              <w:t>%</w:t>
            </w:r>
            <w:r>
              <w:rPr>
                <w:rFonts w:ascii="宋体" w:hAnsi="宋体" w:cs="宋体" w:eastAsia="宋体" w:hint="default"/>
                <w:sz w:val="21"/>
                <w:szCs w:val="21"/>
              </w:rPr>
            </w:r>
          </w:p>
        </w:tc>
      </w:tr>
      <w:tr>
        <w:trPr>
          <w:trHeight w:val="347" w:hRule="exact"/>
        </w:trPr>
        <w:tc>
          <w:tcPr>
            <w:tcW w:w="363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北京启元合创科技发展有限公司</w:t>
            </w:r>
          </w:p>
        </w:tc>
        <w:tc>
          <w:tcPr>
            <w:tcW w:w="224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175"/>
              <w:jc w:val="right"/>
              <w:rPr>
                <w:rFonts w:ascii="宋体" w:hAnsi="宋体" w:cs="宋体" w:eastAsia="宋体" w:hint="default"/>
                <w:sz w:val="21"/>
                <w:szCs w:val="21"/>
              </w:rPr>
            </w:pPr>
            <w:r>
              <w:rPr>
                <w:rFonts w:ascii="宋体"/>
                <w:sz w:val="21"/>
              </w:rPr>
              <w:t>8,000,000.00</w:t>
            </w:r>
          </w:p>
        </w:tc>
        <w:tc>
          <w:tcPr>
            <w:tcW w:w="1787"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232"/>
              <w:jc w:val="right"/>
              <w:rPr>
                <w:rFonts w:ascii="宋体" w:hAnsi="宋体" w:cs="宋体" w:eastAsia="宋体" w:hint="default"/>
                <w:sz w:val="21"/>
                <w:szCs w:val="21"/>
              </w:rPr>
            </w:pPr>
            <w:r>
              <w:rPr>
                <w:rFonts w:ascii="宋体"/>
                <w:sz w:val="21"/>
              </w:rPr>
              <w:t>6,000,000.00</w:t>
            </w:r>
          </w:p>
        </w:tc>
        <w:tc>
          <w:tcPr>
            <w:tcW w:w="161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40.00</w:t>
            </w:r>
          </w:p>
        </w:tc>
      </w:tr>
      <w:tr>
        <w:trPr>
          <w:trHeight w:val="348" w:hRule="exact"/>
        </w:trPr>
        <w:tc>
          <w:tcPr>
            <w:tcW w:w="363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中科方德软件有限公司</w:t>
            </w:r>
          </w:p>
        </w:tc>
        <w:tc>
          <w:tcPr>
            <w:tcW w:w="224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175"/>
              <w:jc w:val="right"/>
              <w:rPr>
                <w:rFonts w:ascii="宋体" w:hAnsi="宋体" w:cs="宋体" w:eastAsia="宋体" w:hint="default"/>
                <w:sz w:val="21"/>
                <w:szCs w:val="21"/>
              </w:rPr>
            </w:pPr>
            <w:r>
              <w:rPr>
                <w:rFonts w:ascii="宋体"/>
                <w:sz w:val="21"/>
              </w:rPr>
              <w:t>4,500,000.00</w:t>
            </w:r>
          </w:p>
        </w:tc>
        <w:tc>
          <w:tcPr>
            <w:tcW w:w="1787"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232"/>
              <w:jc w:val="right"/>
              <w:rPr>
                <w:rFonts w:ascii="宋体" w:hAnsi="宋体" w:cs="宋体" w:eastAsia="宋体" w:hint="default"/>
                <w:sz w:val="21"/>
                <w:szCs w:val="21"/>
              </w:rPr>
            </w:pPr>
            <w:r>
              <w:rPr>
                <w:rFonts w:ascii="宋体"/>
                <w:sz w:val="21"/>
              </w:rPr>
              <w:t>3,000,000.00</w:t>
            </w:r>
          </w:p>
        </w:tc>
        <w:tc>
          <w:tcPr>
            <w:tcW w:w="161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22.50</w:t>
            </w:r>
          </w:p>
        </w:tc>
      </w:tr>
      <w:tr>
        <w:trPr>
          <w:trHeight w:val="347" w:hRule="exact"/>
        </w:trPr>
        <w:tc>
          <w:tcPr>
            <w:tcW w:w="3639"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大洋中科特别目的株式会社</w:t>
            </w:r>
          </w:p>
        </w:tc>
        <w:tc>
          <w:tcPr>
            <w:tcW w:w="2243"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175"/>
              <w:jc w:val="right"/>
              <w:rPr>
                <w:rFonts w:ascii="宋体" w:hAnsi="宋体" w:cs="宋体" w:eastAsia="宋体" w:hint="default"/>
                <w:sz w:val="21"/>
                <w:szCs w:val="21"/>
              </w:rPr>
            </w:pPr>
            <w:r>
              <w:rPr>
                <w:rFonts w:ascii="宋体"/>
                <w:sz w:val="21"/>
              </w:rPr>
              <w:t>4,000,000.00</w:t>
            </w:r>
          </w:p>
        </w:tc>
        <w:tc>
          <w:tcPr>
            <w:tcW w:w="1787"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232"/>
              <w:jc w:val="right"/>
              <w:rPr>
                <w:rFonts w:ascii="宋体" w:hAnsi="宋体" w:cs="宋体" w:eastAsia="宋体" w:hint="default"/>
                <w:sz w:val="21"/>
                <w:szCs w:val="21"/>
              </w:rPr>
            </w:pPr>
            <w:r>
              <w:rPr>
                <w:rFonts w:ascii="宋体"/>
                <w:sz w:val="21"/>
              </w:rPr>
              <w:t>3,048,135.00</w:t>
            </w:r>
          </w:p>
        </w:tc>
        <w:tc>
          <w:tcPr>
            <w:tcW w:w="1613"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8"/>
              <w:jc w:val="right"/>
              <w:rPr>
                <w:rFonts w:ascii="宋体" w:hAnsi="宋体" w:cs="宋体" w:eastAsia="宋体" w:hint="default"/>
                <w:sz w:val="21"/>
                <w:szCs w:val="21"/>
              </w:rPr>
            </w:pPr>
            <w:r>
              <w:rPr>
                <w:rFonts w:ascii="宋体"/>
                <w:sz w:val="21"/>
              </w:rPr>
              <w:t>20.00</w:t>
            </w:r>
          </w:p>
        </w:tc>
      </w:tr>
      <w:tr>
        <w:trPr>
          <w:trHeight w:val="347" w:hRule="exact"/>
        </w:trPr>
        <w:tc>
          <w:tcPr>
            <w:tcW w:w="363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株式会社大洋系统</w:t>
            </w:r>
          </w:p>
        </w:tc>
        <w:tc>
          <w:tcPr>
            <w:tcW w:w="224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175"/>
              <w:jc w:val="right"/>
              <w:rPr>
                <w:rFonts w:ascii="宋体" w:hAnsi="宋体" w:cs="宋体" w:eastAsia="宋体" w:hint="default"/>
                <w:sz w:val="21"/>
                <w:szCs w:val="21"/>
              </w:rPr>
            </w:pPr>
            <w:r>
              <w:rPr>
                <w:rFonts w:ascii="宋体"/>
                <w:sz w:val="21"/>
              </w:rPr>
              <w:t>2,000,000.00</w:t>
            </w:r>
          </w:p>
        </w:tc>
        <w:tc>
          <w:tcPr>
            <w:tcW w:w="1787"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232"/>
              <w:jc w:val="right"/>
              <w:rPr>
                <w:rFonts w:ascii="宋体" w:hAnsi="宋体" w:cs="宋体" w:eastAsia="宋体" w:hint="default"/>
                <w:sz w:val="21"/>
                <w:szCs w:val="21"/>
              </w:rPr>
            </w:pPr>
            <w:r>
              <w:rPr>
                <w:rFonts w:ascii="宋体"/>
                <w:sz w:val="21"/>
              </w:rPr>
              <w:t>1,524,067.50</w:t>
            </w:r>
          </w:p>
        </w:tc>
        <w:tc>
          <w:tcPr>
            <w:tcW w:w="161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10.00</w:t>
            </w:r>
          </w:p>
        </w:tc>
      </w:tr>
      <w:tr>
        <w:trPr>
          <w:trHeight w:val="347" w:hRule="exact"/>
        </w:trPr>
        <w:tc>
          <w:tcPr>
            <w:tcW w:w="363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北京中科软科技有限公司</w:t>
            </w:r>
          </w:p>
        </w:tc>
        <w:tc>
          <w:tcPr>
            <w:tcW w:w="224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175"/>
              <w:jc w:val="right"/>
              <w:rPr>
                <w:rFonts w:ascii="宋体" w:hAnsi="宋体" w:cs="宋体" w:eastAsia="宋体" w:hint="default"/>
                <w:sz w:val="21"/>
                <w:szCs w:val="21"/>
              </w:rPr>
            </w:pPr>
            <w:r>
              <w:rPr>
                <w:rFonts w:ascii="宋体"/>
                <w:sz w:val="21"/>
              </w:rPr>
              <w:t>1,500,000.00</w:t>
            </w:r>
          </w:p>
        </w:tc>
        <w:tc>
          <w:tcPr>
            <w:tcW w:w="1787"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232"/>
              <w:jc w:val="right"/>
              <w:rPr>
                <w:rFonts w:ascii="宋体" w:hAnsi="宋体" w:cs="宋体" w:eastAsia="宋体" w:hint="default"/>
                <w:sz w:val="21"/>
                <w:szCs w:val="21"/>
              </w:rPr>
            </w:pPr>
            <w:r>
              <w:rPr>
                <w:rFonts w:ascii="宋体"/>
                <w:sz w:val="21"/>
              </w:rPr>
              <w:t>1,500,000.00</w:t>
            </w:r>
          </w:p>
        </w:tc>
        <w:tc>
          <w:tcPr>
            <w:tcW w:w="161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7.50</w:t>
            </w:r>
          </w:p>
        </w:tc>
      </w:tr>
      <w:tr>
        <w:trPr>
          <w:trHeight w:val="348" w:hRule="exact"/>
        </w:trPr>
        <w:tc>
          <w:tcPr>
            <w:tcW w:w="363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24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178"/>
              <w:jc w:val="right"/>
              <w:rPr>
                <w:rFonts w:ascii="宋体" w:hAnsi="宋体" w:cs="宋体" w:eastAsia="宋体" w:hint="default"/>
                <w:sz w:val="21"/>
                <w:szCs w:val="21"/>
              </w:rPr>
            </w:pPr>
            <w:r>
              <w:rPr>
                <w:rFonts w:ascii="宋体"/>
                <w:b/>
                <w:w w:val="95"/>
                <w:sz w:val="21"/>
              </w:rPr>
              <w:t>20,000,000.00</w:t>
            </w:r>
            <w:r>
              <w:rPr>
                <w:rFonts w:ascii="宋体"/>
                <w:sz w:val="21"/>
              </w:rPr>
            </w:r>
          </w:p>
        </w:tc>
        <w:tc>
          <w:tcPr>
            <w:tcW w:w="1787"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235"/>
              <w:jc w:val="right"/>
              <w:rPr>
                <w:rFonts w:ascii="宋体" w:hAnsi="宋体" w:cs="宋体" w:eastAsia="宋体" w:hint="default"/>
                <w:sz w:val="21"/>
                <w:szCs w:val="21"/>
              </w:rPr>
            </w:pPr>
            <w:r>
              <w:rPr>
                <w:rFonts w:ascii="宋体"/>
                <w:b/>
                <w:w w:val="95"/>
                <w:sz w:val="21"/>
              </w:rPr>
              <w:t>15,072,202.50</w:t>
            </w:r>
            <w:r>
              <w:rPr>
                <w:rFonts w:ascii="宋体"/>
                <w:sz w:val="21"/>
              </w:rPr>
            </w:r>
          </w:p>
        </w:tc>
        <w:tc>
          <w:tcPr>
            <w:tcW w:w="161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9"/>
              <w:jc w:val="right"/>
              <w:rPr>
                <w:rFonts w:ascii="宋体" w:hAnsi="宋体" w:cs="宋体" w:eastAsia="宋体" w:hint="default"/>
                <w:sz w:val="21"/>
                <w:szCs w:val="21"/>
              </w:rPr>
            </w:pPr>
            <w:r>
              <w:rPr>
                <w:rFonts w:ascii="宋体"/>
                <w:b/>
                <w:w w:val="95"/>
                <w:sz w:val="21"/>
              </w:rPr>
              <w:t>100.00</w:t>
            </w:r>
            <w:r>
              <w:rPr>
                <w:rFonts w:ascii="宋体"/>
                <w:sz w:val="21"/>
              </w:rPr>
            </w:r>
          </w:p>
        </w:tc>
      </w:tr>
    </w:tbl>
    <w:p>
      <w:pPr>
        <w:spacing w:line="240" w:lineRule="auto" w:before="5"/>
        <w:rPr>
          <w:rFonts w:ascii="宋体" w:hAnsi="宋体" w:cs="宋体" w:eastAsia="宋体" w:hint="default"/>
          <w:sz w:val="5"/>
          <w:szCs w:val="5"/>
        </w:rPr>
      </w:pPr>
    </w:p>
    <w:p>
      <w:pPr>
        <w:pStyle w:val="BodyText"/>
        <w:spacing w:line="273" w:lineRule="auto" w:before="35"/>
        <w:ind w:right="1132"/>
        <w:jc w:val="both"/>
      </w:pPr>
      <w:r>
        <w:rPr/>
        <w:t>根据中科创达有限</w:t>
      </w:r>
      <w:r>
        <w:rPr>
          <w:rFonts w:ascii="宋体" w:hAnsi="宋体" w:cs="宋体" w:eastAsia="宋体" w:hint="default"/>
        </w:rPr>
        <w:t>2009</w:t>
      </w:r>
      <w:r>
        <w:rPr/>
        <w:t>年</w:t>
      </w:r>
      <w:r>
        <w:rPr>
          <w:rFonts w:ascii="宋体" w:hAnsi="宋体" w:cs="宋体" w:eastAsia="宋体" w:hint="default"/>
        </w:rPr>
        <w:t>7</w:t>
      </w:r>
      <w:r>
        <w:rPr/>
        <w:t>月</w:t>
      </w:r>
      <w:r>
        <w:rPr>
          <w:rFonts w:ascii="宋体" w:hAnsi="宋体" w:cs="宋体" w:eastAsia="宋体" w:hint="default"/>
        </w:rPr>
        <w:t>15</w:t>
      </w:r>
      <w:r>
        <w:rPr/>
        <w:t>日第一届董事会决议和修改后的章程规定，并经中关村科技园区海淀园管</w:t>
      </w:r>
      <w:r>
        <w:rPr>
          <w:spacing w:val="-35"/>
        </w:rPr>
        <w:t> </w:t>
      </w:r>
      <w:r>
        <w:rPr>
          <w:spacing w:val="-35"/>
        </w:rPr>
      </w:r>
      <w:r>
        <w:rPr>
          <w:spacing w:val="11"/>
        </w:rPr>
        <w:t>理委员会于</w:t>
      </w:r>
      <w:r>
        <w:rPr>
          <w:rFonts w:ascii="宋体" w:hAnsi="宋体" w:cs="宋体" w:eastAsia="宋体" w:hint="default"/>
          <w:spacing w:val="11"/>
        </w:rPr>
        <w:t>2009</w:t>
      </w:r>
      <w:r>
        <w:rPr>
          <w:spacing w:val="11"/>
        </w:rPr>
        <w:t>年</w:t>
      </w:r>
      <w:r>
        <w:rPr>
          <w:rFonts w:ascii="宋体" w:hAnsi="宋体" w:cs="宋体" w:eastAsia="宋体" w:hint="default"/>
          <w:spacing w:val="11"/>
        </w:rPr>
        <w:t>9</w:t>
      </w:r>
      <w:r>
        <w:rPr>
          <w:spacing w:val="11"/>
        </w:rPr>
        <w:t>月</w:t>
      </w:r>
      <w:r>
        <w:rPr>
          <w:rFonts w:ascii="宋体" w:hAnsi="宋体" w:cs="宋体" w:eastAsia="宋体" w:hint="default"/>
          <w:spacing w:val="11"/>
        </w:rPr>
        <w:t>22</w:t>
      </w:r>
      <w:r>
        <w:rPr>
          <w:spacing w:val="11"/>
        </w:rPr>
        <w:t>日以海园发</w:t>
      </w:r>
      <w:r>
        <w:rPr>
          <w:rFonts w:ascii="宋体" w:hAnsi="宋体" w:cs="宋体" w:eastAsia="宋体" w:hint="default"/>
          <w:spacing w:val="11"/>
        </w:rPr>
        <w:t>[2009]571</w:t>
      </w:r>
      <w:r>
        <w:rPr>
          <w:spacing w:val="11"/>
        </w:rPr>
        <w:t>号文件批准，中科方德软件有限公司将所持全部股权</w:t>
      </w:r>
      <w:r>
        <w:rPr>
          <w:spacing w:val="-80"/>
        </w:rPr>
        <w:t> </w:t>
      </w:r>
      <w:r>
        <w:rPr>
          <w:spacing w:val="-80"/>
        </w:rPr>
      </w:r>
      <w:r>
        <w:rPr>
          <w:rFonts w:ascii="宋体" w:hAnsi="宋体" w:cs="宋体" w:eastAsia="宋体" w:hint="default"/>
          <w:spacing w:val="-1"/>
        </w:rPr>
        <w:t>4,500,000.00</w:t>
      </w:r>
      <w:r>
        <w:rPr>
          <w:spacing w:val="-1"/>
        </w:rPr>
        <w:t>元（其中已认缴</w:t>
      </w:r>
      <w:r>
        <w:rPr>
          <w:rFonts w:ascii="宋体" w:hAnsi="宋体" w:cs="宋体" w:eastAsia="宋体" w:hint="default"/>
          <w:spacing w:val="-1"/>
        </w:rPr>
        <w:t>3,000,000.00</w:t>
      </w:r>
      <w:r>
        <w:rPr>
          <w:spacing w:val="-1"/>
        </w:rPr>
        <w:t>元，未缴</w:t>
      </w:r>
      <w:r>
        <w:rPr>
          <w:rFonts w:ascii="宋体" w:hAnsi="宋体" w:cs="宋体" w:eastAsia="宋体" w:hint="default"/>
          <w:spacing w:val="-1"/>
        </w:rPr>
        <w:t>1,500,000.00</w:t>
      </w:r>
      <w:r>
        <w:rPr>
          <w:spacing w:val="-1"/>
        </w:rPr>
        <w:t>元）转让给自然人赵鸿飞；北京中科软</w:t>
      </w:r>
      <w:r>
        <w:rPr>
          <w:spacing w:val="-68"/>
        </w:rPr>
        <w:t> </w:t>
      </w:r>
      <w:r>
        <w:rPr>
          <w:spacing w:val="-68"/>
        </w:rPr>
      </w:r>
      <w:r>
        <w:rPr>
          <w:spacing w:val="-1"/>
        </w:rPr>
        <w:t>科技有限公司将所持部分股权</w:t>
      </w:r>
      <w:r>
        <w:rPr>
          <w:rFonts w:ascii="宋体" w:hAnsi="宋体" w:cs="宋体" w:eastAsia="宋体" w:hint="default"/>
          <w:spacing w:val="-1"/>
        </w:rPr>
        <w:t>1,000,000.00</w:t>
      </w:r>
      <w:r>
        <w:rPr>
          <w:spacing w:val="-1"/>
        </w:rPr>
        <w:t>元转让给自然人赵鸿飞。此次变更后，中科创达有限股权结构</w:t>
      </w:r>
      <w:r>
        <w:rPr>
          <w:spacing w:val="-77"/>
        </w:rPr>
        <w:t> </w:t>
      </w:r>
      <w:r>
        <w:rPr>
          <w:spacing w:val="-77"/>
        </w:rPr>
      </w:r>
      <w:r>
        <w:rPr/>
        <w:t>如下：</w:t>
      </w:r>
    </w:p>
    <w:p>
      <w:pPr>
        <w:spacing w:line="240" w:lineRule="auto" w:before="3"/>
        <w:rPr>
          <w:rFonts w:ascii="宋体" w:hAnsi="宋体" w:cs="宋体" w:eastAsia="宋体" w:hint="default"/>
          <w:sz w:val="18"/>
          <w:szCs w:val="18"/>
        </w:rPr>
      </w:pPr>
    </w:p>
    <w:tbl>
      <w:tblPr>
        <w:tblW w:w="0" w:type="auto"/>
        <w:jc w:val="left"/>
        <w:tblInd w:w="1134" w:type="dxa"/>
        <w:tblLayout w:type="fixed"/>
        <w:tblCellMar>
          <w:top w:w="0" w:type="dxa"/>
          <w:left w:w="0" w:type="dxa"/>
          <w:bottom w:w="0" w:type="dxa"/>
          <w:right w:w="0" w:type="dxa"/>
        </w:tblCellMar>
        <w:tblLook w:val="01E0"/>
      </w:tblPr>
      <w:tblGrid>
        <w:gridCol w:w="3640"/>
        <w:gridCol w:w="2243"/>
        <w:gridCol w:w="1786"/>
        <w:gridCol w:w="1614"/>
      </w:tblGrid>
      <w:tr>
        <w:trPr>
          <w:trHeight w:val="349" w:hRule="exact"/>
        </w:trPr>
        <w:tc>
          <w:tcPr>
            <w:tcW w:w="3640"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2243"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175"/>
              <w:jc w:val="right"/>
              <w:rPr>
                <w:rFonts w:ascii="宋体" w:hAnsi="宋体" w:cs="宋体" w:eastAsia="宋体" w:hint="default"/>
                <w:sz w:val="21"/>
                <w:szCs w:val="21"/>
              </w:rPr>
            </w:pPr>
            <w:r>
              <w:rPr>
                <w:rFonts w:ascii="宋体" w:hAnsi="宋体" w:cs="宋体" w:eastAsia="宋体" w:hint="default"/>
                <w:b/>
                <w:bCs/>
                <w:w w:val="95"/>
                <w:sz w:val="21"/>
                <w:szCs w:val="21"/>
              </w:rPr>
              <w:t>认缴出资额</w:t>
            </w:r>
            <w:r>
              <w:rPr>
                <w:rFonts w:ascii="宋体" w:hAnsi="宋体" w:cs="宋体" w:eastAsia="宋体" w:hint="default"/>
                <w:sz w:val="21"/>
                <w:szCs w:val="21"/>
              </w:rPr>
            </w:r>
          </w:p>
        </w:tc>
        <w:tc>
          <w:tcPr>
            <w:tcW w:w="1786"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233"/>
              <w:jc w:val="right"/>
              <w:rPr>
                <w:rFonts w:ascii="宋体" w:hAnsi="宋体" w:cs="宋体" w:eastAsia="宋体" w:hint="default"/>
                <w:sz w:val="21"/>
                <w:szCs w:val="21"/>
              </w:rPr>
            </w:pPr>
            <w:r>
              <w:rPr>
                <w:rFonts w:ascii="宋体" w:hAnsi="宋体" w:cs="宋体" w:eastAsia="宋体" w:hint="default"/>
                <w:b/>
                <w:bCs/>
                <w:w w:val="95"/>
                <w:sz w:val="21"/>
                <w:szCs w:val="21"/>
              </w:rPr>
              <w:t>实缴出资额</w:t>
            </w:r>
            <w:r>
              <w:rPr>
                <w:rFonts w:ascii="宋体" w:hAnsi="宋体" w:cs="宋体" w:eastAsia="宋体" w:hint="default"/>
                <w:sz w:val="21"/>
                <w:szCs w:val="21"/>
              </w:rPr>
            </w:r>
          </w:p>
        </w:tc>
        <w:tc>
          <w:tcPr>
            <w:tcW w:w="1614"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8"/>
              <w:jc w:val="right"/>
              <w:rPr>
                <w:rFonts w:ascii="宋体" w:hAnsi="宋体" w:cs="宋体" w:eastAsia="宋体" w:hint="default"/>
                <w:sz w:val="21"/>
                <w:szCs w:val="21"/>
              </w:rPr>
            </w:pPr>
            <w:r>
              <w:rPr>
                <w:rFonts w:ascii="宋体" w:hAnsi="宋体" w:cs="宋体" w:eastAsia="宋体" w:hint="default"/>
                <w:b/>
                <w:bCs/>
                <w:w w:val="95"/>
                <w:sz w:val="21"/>
                <w:szCs w:val="21"/>
              </w:rPr>
              <w:t>认缴出资比例</w:t>
            </w:r>
            <w:r>
              <w:rPr>
                <w:rFonts w:ascii="宋体" w:hAnsi="宋体" w:cs="宋体" w:eastAsia="宋体" w:hint="default"/>
                <w:b/>
                <w:bCs/>
                <w:w w:val="95"/>
                <w:sz w:val="21"/>
                <w:szCs w:val="21"/>
              </w:rPr>
              <w:t>%</w:t>
            </w:r>
            <w:r>
              <w:rPr>
                <w:rFonts w:ascii="宋体" w:hAnsi="宋体" w:cs="宋体" w:eastAsia="宋体" w:hint="default"/>
                <w:sz w:val="21"/>
                <w:szCs w:val="21"/>
              </w:rPr>
            </w:r>
          </w:p>
        </w:tc>
      </w:tr>
      <w:tr>
        <w:trPr>
          <w:trHeight w:val="347" w:hRule="exact"/>
        </w:trPr>
        <w:tc>
          <w:tcPr>
            <w:tcW w:w="364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北京启元合创科技发展有限公司</w:t>
            </w:r>
          </w:p>
        </w:tc>
        <w:tc>
          <w:tcPr>
            <w:tcW w:w="224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173"/>
              <w:jc w:val="right"/>
              <w:rPr>
                <w:rFonts w:ascii="宋体" w:hAnsi="宋体" w:cs="宋体" w:eastAsia="宋体" w:hint="default"/>
                <w:sz w:val="21"/>
                <w:szCs w:val="21"/>
              </w:rPr>
            </w:pPr>
            <w:r>
              <w:rPr>
                <w:rFonts w:ascii="宋体"/>
                <w:sz w:val="21"/>
              </w:rPr>
              <w:t>8,000,000.00</w:t>
            </w:r>
          </w:p>
        </w:tc>
        <w:tc>
          <w:tcPr>
            <w:tcW w:w="1786"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231"/>
              <w:jc w:val="right"/>
              <w:rPr>
                <w:rFonts w:ascii="宋体" w:hAnsi="宋体" w:cs="宋体" w:eastAsia="宋体" w:hint="default"/>
                <w:sz w:val="21"/>
                <w:szCs w:val="21"/>
              </w:rPr>
            </w:pPr>
            <w:r>
              <w:rPr>
                <w:rFonts w:ascii="宋体"/>
                <w:sz w:val="21"/>
              </w:rPr>
              <w:t>6,000,000.00</w:t>
            </w:r>
          </w:p>
        </w:tc>
        <w:tc>
          <w:tcPr>
            <w:tcW w:w="1614"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40.00</w:t>
            </w:r>
          </w:p>
        </w:tc>
      </w:tr>
      <w:tr>
        <w:trPr>
          <w:trHeight w:val="347" w:hRule="exact"/>
        </w:trPr>
        <w:tc>
          <w:tcPr>
            <w:tcW w:w="364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赵鸿飞</w:t>
            </w:r>
          </w:p>
        </w:tc>
        <w:tc>
          <w:tcPr>
            <w:tcW w:w="224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173"/>
              <w:jc w:val="right"/>
              <w:rPr>
                <w:rFonts w:ascii="宋体" w:hAnsi="宋体" w:cs="宋体" w:eastAsia="宋体" w:hint="default"/>
                <w:sz w:val="21"/>
                <w:szCs w:val="21"/>
              </w:rPr>
            </w:pPr>
            <w:r>
              <w:rPr>
                <w:rFonts w:ascii="宋体"/>
                <w:sz w:val="21"/>
              </w:rPr>
              <w:t>5,500,000.00</w:t>
            </w:r>
          </w:p>
        </w:tc>
        <w:tc>
          <w:tcPr>
            <w:tcW w:w="1786"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231"/>
              <w:jc w:val="right"/>
              <w:rPr>
                <w:rFonts w:ascii="宋体" w:hAnsi="宋体" w:cs="宋体" w:eastAsia="宋体" w:hint="default"/>
                <w:sz w:val="21"/>
                <w:szCs w:val="21"/>
              </w:rPr>
            </w:pPr>
            <w:r>
              <w:rPr>
                <w:rFonts w:ascii="宋体"/>
                <w:sz w:val="21"/>
              </w:rPr>
              <w:t>4,000,000.00</w:t>
            </w:r>
          </w:p>
        </w:tc>
        <w:tc>
          <w:tcPr>
            <w:tcW w:w="1614"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27.50</w:t>
            </w:r>
          </w:p>
        </w:tc>
      </w:tr>
      <w:tr>
        <w:trPr>
          <w:trHeight w:val="348" w:hRule="exact"/>
        </w:trPr>
        <w:tc>
          <w:tcPr>
            <w:tcW w:w="364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大洋中科特别目的株式会社</w:t>
            </w:r>
          </w:p>
        </w:tc>
        <w:tc>
          <w:tcPr>
            <w:tcW w:w="224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173"/>
              <w:jc w:val="right"/>
              <w:rPr>
                <w:rFonts w:ascii="宋体" w:hAnsi="宋体" w:cs="宋体" w:eastAsia="宋体" w:hint="default"/>
                <w:sz w:val="21"/>
                <w:szCs w:val="21"/>
              </w:rPr>
            </w:pPr>
            <w:r>
              <w:rPr>
                <w:rFonts w:ascii="宋体"/>
                <w:sz w:val="21"/>
              </w:rPr>
              <w:t>4,000,000.00</w:t>
            </w:r>
          </w:p>
        </w:tc>
        <w:tc>
          <w:tcPr>
            <w:tcW w:w="1786"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231"/>
              <w:jc w:val="right"/>
              <w:rPr>
                <w:rFonts w:ascii="宋体" w:hAnsi="宋体" w:cs="宋体" w:eastAsia="宋体" w:hint="default"/>
                <w:sz w:val="21"/>
                <w:szCs w:val="21"/>
              </w:rPr>
            </w:pPr>
            <w:r>
              <w:rPr>
                <w:rFonts w:ascii="宋体"/>
                <w:sz w:val="21"/>
              </w:rPr>
              <w:t>3,048,135.00</w:t>
            </w:r>
          </w:p>
        </w:tc>
        <w:tc>
          <w:tcPr>
            <w:tcW w:w="1614"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20.00</w:t>
            </w:r>
          </w:p>
        </w:tc>
      </w:tr>
      <w:tr>
        <w:trPr>
          <w:trHeight w:val="347" w:hRule="exact"/>
        </w:trPr>
        <w:tc>
          <w:tcPr>
            <w:tcW w:w="3640"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株式会社大洋系统</w:t>
            </w:r>
          </w:p>
        </w:tc>
        <w:tc>
          <w:tcPr>
            <w:tcW w:w="2243"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173"/>
              <w:jc w:val="right"/>
              <w:rPr>
                <w:rFonts w:ascii="宋体" w:hAnsi="宋体" w:cs="宋体" w:eastAsia="宋体" w:hint="default"/>
                <w:sz w:val="21"/>
                <w:szCs w:val="21"/>
              </w:rPr>
            </w:pPr>
            <w:r>
              <w:rPr>
                <w:rFonts w:ascii="宋体"/>
                <w:sz w:val="21"/>
              </w:rPr>
              <w:t>2,000,000.00</w:t>
            </w:r>
          </w:p>
        </w:tc>
        <w:tc>
          <w:tcPr>
            <w:tcW w:w="1786"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231"/>
              <w:jc w:val="right"/>
              <w:rPr>
                <w:rFonts w:ascii="宋体" w:hAnsi="宋体" w:cs="宋体" w:eastAsia="宋体" w:hint="default"/>
                <w:sz w:val="21"/>
                <w:szCs w:val="21"/>
              </w:rPr>
            </w:pPr>
            <w:r>
              <w:rPr>
                <w:rFonts w:ascii="宋体"/>
                <w:sz w:val="21"/>
              </w:rPr>
              <w:t>1,524,067.50</w:t>
            </w:r>
          </w:p>
        </w:tc>
        <w:tc>
          <w:tcPr>
            <w:tcW w:w="1614"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8"/>
              <w:jc w:val="right"/>
              <w:rPr>
                <w:rFonts w:ascii="宋体" w:hAnsi="宋体" w:cs="宋体" w:eastAsia="宋体" w:hint="default"/>
                <w:sz w:val="21"/>
                <w:szCs w:val="21"/>
              </w:rPr>
            </w:pPr>
            <w:r>
              <w:rPr>
                <w:rFonts w:ascii="宋体"/>
                <w:sz w:val="21"/>
              </w:rPr>
              <w:t>10.00</w:t>
            </w:r>
          </w:p>
        </w:tc>
      </w:tr>
      <w:tr>
        <w:trPr>
          <w:trHeight w:val="347" w:hRule="exact"/>
        </w:trPr>
        <w:tc>
          <w:tcPr>
            <w:tcW w:w="364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北京中科软科技有限公司</w:t>
            </w:r>
          </w:p>
        </w:tc>
        <w:tc>
          <w:tcPr>
            <w:tcW w:w="224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176"/>
              <w:jc w:val="right"/>
              <w:rPr>
                <w:rFonts w:ascii="宋体" w:hAnsi="宋体" w:cs="宋体" w:eastAsia="宋体" w:hint="default"/>
                <w:sz w:val="21"/>
                <w:szCs w:val="21"/>
              </w:rPr>
            </w:pPr>
            <w:r>
              <w:rPr>
                <w:rFonts w:ascii="宋体"/>
                <w:sz w:val="21"/>
              </w:rPr>
              <w:t>500,000.00</w:t>
            </w:r>
          </w:p>
        </w:tc>
        <w:tc>
          <w:tcPr>
            <w:tcW w:w="1786"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232"/>
              <w:jc w:val="right"/>
              <w:rPr>
                <w:rFonts w:ascii="宋体" w:hAnsi="宋体" w:cs="宋体" w:eastAsia="宋体" w:hint="default"/>
                <w:sz w:val="21"/>
                <w:szCs w:val="21"/>
              </w:rPr>
            </w:pPr>
            <w:r>
              <w:rPr>
                <w:rFonts w:ascii="宋体"/>
                <w:sz w:val="21"/>
              </w:rPr>
              <w:t>500,000.00</w:t>
            </w:r>
          </w:p>
        </w:tc>
        <w:tc>
          <w:tcPr>
            <w:tcW w:w="1614"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2.50</w:t>
            </w:r>
          </w:p>
        </w:tc>
      </w:tr>
      <w:tr>
        <w:trPr>
          <w:trHeight w:val="348" w:hRule="exact"/>
        </w:trPr>
        <w:tc>
          <w:tcPr>
            <w:tcW w:w="364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24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176"/>
              <w:jc w:val="right"/>
              <w:rPr>
                <w:rFonts w:ascii="宋体" w:hAnsi="宋体" w:cs="宋体" w:eastAsia="宋体" w:hint="default"/>
                <w:sz w:val="21"/>
                <w:szCs w:val="21"/>
              </w:rPr>
            </w:pPr>
            <w:r>
              <w:rPr>
                <w:rFonts w:ascii="宋体"/>
                <w:b/>
                <w:w w:val="95"/>
                <w:sz w:val="21"/>
              </w:rPr>
              <w:t>20,000,000.00</w:t>
            </w:r>
            <w:r>
              <w:rPr>
                <w:rFonts w:ascii="宋体"/>
                <w:sz w:val="21"/>
              </w:rPr>
            </w:r>
          </w:p>
        </w:tc>
        <w:tc>
          <w:tcPr>
            <w:tcW w:w="1786"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234"/>
              <w:jc w:val="right"/>
              <w:rPr>
                <w:rFonts w:ascii="宋体" w:hAnsi="宋体" w:cs="宋体" w:eastAsia="宋体" w:hint="default"/>
                <w:sz w:val="21"/>
                <w:szCs w:val="21"/>
              </w:rPr>
            </w:pPr>
            <w:r>
              <w:rPr>
                <w:rFonts w:ascii="宋体"/>
                <w:b/>
                <w:w w:val="95"/>
                <w:sz w:val="21"/>
              </w:rPr>
              <w:t>15,072,202.50</w:t>
            </w:r>
            <w:r>
              <w:rPr>
                <w:rFonts w:ascii="宋体"/>
                <w:sz w:val="21"/>
              </w:rPr>
            </w:r>
          </w:p>
        </w:tc>
        <w:tc>
          <w:tcPr>
            <w:tcW w:w="1614"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9"/>
              <w:jc w:val="right"/>
              <w:rPr>
                <w:rFonts w:ascii="宋体" w:hAnsi="宋体" w:cs="宋体" w:eastAsia="宋体" w:hint="default"/>
                <w:sz w:val="21"/>
                <w:szCs w:val="21"/>
              </w:rPr>
            </w:pPr>
            <w:r>
              <w:rPr>
                <w:rFonts w:ascii="宋体"/>
                <w:b/>
                <w:w w:val="95"/>
                <w:sz w:val="21"/>
              </w:rPr>
              <w:t>100.00</w:t>
            </w:r>
            <w:r>
              <w:rPr>
                <w:rFonts w:ascii="宋体"/>
                <w:sz w:val="21"/>
              </w:rPr>
            </w:r>
          </w:p>
        </w:tc>
      </w:tr>
    </w:tbl>
    <w:p>
      <w:pPr>
        <w:spacing w:line="240" w:lineRule="auto" w:before="5"/>
        <w:rPr>
          <w:rFonts w:ascii="宋体" w:hAnsi="宋体" w:cs="宋体" w:eastAsia="宋体" w:hint="default"/>
          <w:sz w:val="5"/>
          <w:szCs w:val="5"/>
        </w:rPr>
      </w:pPr>
    </w:p>
    <w:p>
      <w:pPr>
        <w:pStyle w:val="BodyText"/>
        <w:spacing w:line="273" w:lineRule="auto" w:before="35"/>
        <w:ind w:left="1134" w:right="1118"/>
        <w:jc w:val="left"/>
      </w:pPr>
      <w:r>
        <w:rPr/>
        <w:t>根据中科创达有限</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10</w:t>
      </w:r>
      <w:r>
        <w:rPr/>
        <w:t>日第一届第五次董事会决议和修改后的章程规定，并经中关村科技园区海</w:t>
      </w:r>
      <w:r>
        <w:rPr>
          <w:spacing w:val="-35"/>
        </w:rPr>
        <w:t> </w:t>
      </w:r>
      <w:r>
        <w:rPr>
          <w:spacing w:val="-35"/>
        </w:rPr>
      </w:r>
      <w:r>
        <w:rPr/>
        <w:t>淀</w:t>
      </w:r>
      <w:r>
        <w:rPr>
          <w:spacing w:val="-78"/>
        </w:rPr>
        <w:t> </w:t>
      </w:r>
      <w:r>
        <w:rPr/>
        <w:t>园</w:t>
      </w:r>
      <w:r>
        <w:rPr>
          <w:spacing w:val="-78"/>
        </w:rPr>
        <w:t> </w:t>
      </w:r>
      <w:r>
        <w:rPr/>
        <w:t>管</w:t>
      </w:r>
      <w:r>
        <w:rPr>
          <w:spacing w:val="-78"/>
        </w:rPr>
        <w:t> </w:t>
      </w:r>
      <w:r>
        <w:rPr/>
        <w:t>理</w:t>
      </w:r>
      <w:r>
        <w:rPr>
          <w:spacing w:val="-78"/>
        </w:rPr>
        <w:t> </w:t>
      </w:r>
      <w:r>
        <w:rPr/>
        <w:t>委</w:t>
      </w:r>
      <w:r>
        <w:rPr>
          <w:spacing w:val="-79"/>
        </w:rPr>
        <w:t> </w:t>
      </w:r>
      <w:r>
        <w:rPr/>
        <w:t>员</w:t>
      </w:r>
      <w:r>
        <w:rPr>
          <w:spacing w:val="-78"/>
        </w:rPr>
        <w:t> </w:t>
      </w:r>
      <w:r>
        <w:rPr/>
        <w:t>会</w:t>
      </w:r>
      <w:r>
        <w:rPr>
          <w:spacing w:val="-78"/>
        </w:rPr>
        <w:t> </w:t>
      </w:r>
      <w:r>
        <w:rPr/>
        <w:t>于</w:t>
      </w:r>
      <w:r>
        <w:rPr>
          <w:spacing w:val="-76"/>
        </w:rPr>
        <w:t> </w:t>
      </w:r>
      <w:r>
        <w:rPr>
          <w:rFonts w:ascii="宋体" w:hAnsi="宋体" w:cs="宋体" w:eastAsia="宋体" w:hint="default"/>
        </w:rPr>
        <w:t>2010</w:t>
      </w:r>
      <w:r>
        <w:rPr>
          <w:rFonts w:ascii="宋体" w:hAnsi="宋体" w:cs="宋体" w:eastAsia="宋体" w:hint="default"/>
          <w:spacing w:val="-79"/>
        </w:rPr>
        <w:t> </w:t>
      </w:r>
      <w:r>
        <w:rPr/>
        <w:t>年</w:t>
      </w:r>
      <w:r>
        <w:rPr>
          <w:spacing w:val="-78"/>
        </w:rPr>
        <w:t> </w:t>
      </w:r>
      <w:r>
        <w:rPr>
          <w:rFonts w:ascii="宋体" w:hAnsi="宋体" w:cs="宋体" w:eastAsia="宋体" w:hint="default"/>
        </w:rPr>
        <w:t>4</w:t>
      </w:r>
      <w:r>
        <w:rPr>
          <w:rFonts w:ascii="宋体" w:hAnsi="宋体" w:cs="宋体" w:eastAsia="宋体" w:hint="default"/>
          <w:spacing w:val="-77"/>
        </w:rPr>
        <w:t> </w:t>
      </w:r>
      <w:r>
        <w:rPr/>
        <w:t>月</w:t>
      </w:r>
      <w:r>
        <w:rPr>
          <w:spacing w:val="-79"/>
        </w:rPr>
        <w:t> </w:t>
      </w:r>
      <w:r>
        <w:rPr>
          <w:rFonts w:ascii="宋体" w:hAnsi="宋体" w:cs="宋体" w:eastAsia="宋体" w:hint="default"/>
        </w:rPr>
        <w:t>26</w:t>
      </w:r>
      <w:r>
        <w:rPr>
          <w:rFonts w:ascii="宋体" w:hAnsi="宋体" w:cs="宋体" w:eastAsia="宋体" w:hint="default"/>
          <w:spacing w:val="-78"/>
        </w:rPr>
        <w:t> </w:t>
      </w:r>
      <w:r>
        <w:rPr/>
        <w:t>日</w:t>
      </w:r>
      <w:r>
        <w:rPr>
          <w:spacing w:val="-79"/>
        </w:rPr>
        <w:t> </w:t>
      </w:r>
      <w:r>
        <w:rPr/>
        <w:t>以</w:t>
      </w:r>
      <w:r>
        <w:rPr>
          <w:spacing w:val="-78"/>
        </w:rPr>
        <w:t> </w:t>
      </w:r>
      <w:r>
        <w:rPr/>
        <w:t>海</w:t>
      </w:r>
      <w:r>
        <w:rPr>
          <w:spacing w:val="-77"/>
        </w:rPr>
        <w:t> </w:t>
      </w:r>
      <w:r>
        <w:rPr>
          <w:spacing w:val="14"/>
        </w:rPr>
        <w:t>园发</w:t>
      </w:r>
      <w:r>
        <w:rPr>
          <w:spacing w:val="-78"/>
        </w:rPr>
        <w:t> </w:t>
      </w:r>
      <w:r>
        <w:rPr>
          <w:rFonts w:ascii="宋体" w:hAnsi="宋体" w:cs="宋体" w:eastAsia="宋体" w:hint="default"/>
        </w:rPr>
        <w:t>[2010]263</w:t>
      </w:r>
      <w:r>
        <w:rPr>
          <w:rFonts w:ascii="宋体" w:hAnsi="宋体" w:cs="宋体" w:eastAsia="宋体" w:hint="default"/>
          <w:spacing w:val="-77"/>
        </w:rPr>
        <w:t> </w:t>
      </w:r>
      <w:r>
        <w:rPr/>
        <w:t>号</w:t>
      </w:r>
      <w:r>
        <w:rPr>
          <w:spacing w:val="-79"/>
        </w:rPr>
        <w:t> </w:t>
      </w:r>
      <w:r>
        <w:rPr/>
        <w:t>文</w:t>
      </w:r>
      <w:r>
        <w:rPr>
          <w:spacing w:val="-78"/>
        </w:rPr>
        <w:t> </w:t>
      </w:r>
      <w:r>
        <w:rPr/>
        <w:t>件</w:t>
      </w:r>
      <w:r>
        <w:rPr>
          <w:spacing w:val="-78"/>
        </w:rPr>
        <w:t> </w:t>
      </w:r>
      <w:r>
        <w:rPr/>
        <w:t>批</w:t>
      </w:r>
      <w:r>
        <w:rPr>
          <w:spacing w:val="-78"/>
        </w:rPr>
        <w:t> </w:t>
      </w:r>
      <w:r>
        <w:rPr/>
        <w:t>准</w:t>
      </w:r>
      <w:r>
        <w:rPr>
          <w:spacing w:val="-78"/>
        </w:rPr>
        <w:t> </w:t>
      </w:r>
      <w:r>
        <w:rPr/>
        <w:t>，</w:t>
      </w:r>
      <w:r>
        <w:rPr>
          <w:spacing w:val="-79"/>
        </w:rPr>
        <w:t> </w:t>
      </w:r>
      <w:r>
        <w:rPr/>
        <w:t>中</w:t>
      </w:r>
      <w:r>
        <w:rPr>
          <w:spacing w:val="-78"/>
        </w:rPr>
        <w:t> </w:t>
      </w:r>
      <w:r>
        <w:rPr/>
        <w:t>科</w:t>
      </w:r>
      <w:r>
        <w:rPr>
          <w:spacing w:val="-78"/>
        </w:rPr>
        <w:t> </w:t>
      </w:r>
      <w:r>
        <w:rPr/>
        <w:t>创</w:t>
      </w:r>
      <w:r>
        <w:rPr>
          <w:spacing w:val="-78"/>
        </w:rPr>
        <w:t> </w:t>
      </w:r>
      <w:r>
        <w:rPr/>
        <w:t>达</w:t>
      </w:r>
      <w:r>
        <w:rPr>
          <w:spacing w:val="-78"/>
        </w:rPr>
        <w:t> </w:t>
      </w:r>
      <w:r>
        <w:rPr/>
        <w:t>有</w:t>
      </w:r>
      <w:r>
        <w:rPr>
          <w:spacing w:val="-79"/>
        </w:rPr>
        <w:t> </w:t>
      </w:r>
      <w:r>
        <w:rPr/>
        <w:t>限</w:t>
      </w:r>
      <w:r>
        <w:rPr>
          <w:spacing w:val="-78"/>
        </w:rPr>
        <w:t> </w:t>
      </w:r>
      <w:r>
        <w:rPr/>
        <w:t>减</w:t>
      </w:r>
      <w:r>
        <w:rPr>
          <w:spacing w:val="-78"/>
        </w:rPr>
        <w:t> </w:t>
      </w:r>
      <w:r>
        <w:rPr/>
        <w:t>少</w:t>
      </w:r>
      <w:r>
        <w:rPr>
          <w:spacing w:val="-78"/>
        </w:rPr>
        <w:t> </w:t>
      </w:r>
      <w:r>
        <w:rPr/>
        <w:t>注</w:t>
      </w:r>
      <w:r>
        <w:rPr>
          <w:spacing w:val="-78"/>
        </w:rPr>
        <w:t> </w:t>
      </w:r>
      <w:r>
        <w:rPr/>
        <w:t>册</w:t>
      </w:r>
      <w:r>
        <w:rPr>
          <w:spacing w:val="-79"/>
        </w:rPr>
        <w:t> </w:t>
      </w:r>
      <w:r>
        <w:rPr/>
        <w:t>资</w:t>
      </w:r>
      <w:r>
        <w:rPr>
          <w:spacing w:val="-78"/>
        </w:rPr>
        <w:t> </w:t>
      </w:r>
      <w:r>
        <w:rPr/>
        <w:t>本</w:t>
      </w:r>
    </w:p>
    <w:p>
      <w:pPr>
        <w:spacing w:after="0" w:line="273" w:lineRule="auto"/>
        <w:jc w:val="left"/>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BodyText"/>
        <w:spacing w:line="240" w:lineRule="auto" w:before="35"/>
        <w:ind w:right="0"/>
        <w:jc w:val="left"/>
      </w:pPr>
      <w:r>
        <w:rPr>
          <w:rFonts w:ascii="宋体" w:hAnsi="宋体" w:cs="宋体" w:eastAsia="宋体" w:hint="default"/>
          <w:spacing w:val="2"/>
        </w:rPr>
        <w:t>4,927,798.00</w:t>
      </w:r>
      <w:r>
        <w:rPr>
          <w:spacing w:val="2"/>
        </w:rPr>
        <w:t>元（其中未缴部分减少</w:t>
      </w:r>
      <w:r>
        <w:rPr>
          <w:rFonts w:ascii="宋体" w:hAnsi="宋体" w:cs="宋体" w:eastAsia="宋体" w:hint="default"/>
          <w:spacing w:val="2"/>
        </w:rPr>
        <w:t>4,927,797.50</w:t>
      </w:r>
      <w:r>
        <w:rPr>
          <w:spacing w:val="2"/>
        </w:rPr>
        <w:t>元，已缴部分减少</w:t>
      </w:r>
      <w:r>
        <w:rPr>
          <w:rFonts w:ascii="宋体" w:hAnsi="宋体" w:cs="宋体" w:eastAsia="宋体" w:hint="default"/>
          <w:spacing w:val="2"/>
        </w:rPr>
        <w:t>0.50</w:t>
      </w:r>
      <w:r>
        <w:rPr>
          <w:spacing w:val="2"/>
        </w:rPr>
        <w:t>元），减资后公司注册资本为</w:t>
      </w:r>
    </w:p>
    <w:p>
      <w:pPr>
        <w:pStyle w:val="BodyText"/>
        <w:spacing w:line="273" w:lineRule="auto" w:before="37"/>
        <w:ind w:right="0"/>
        <w:jc w:val="left"/>
      </w:pPr>
      <w:r>
        <w:rPr>
          <w:rFonts w:ascii="宋体" w:hAnsi="宋体" w:cs="宋体" w:eastAsia="宋体" w:hint="default"/>
        </w:rPr>
        <w:t>15,072,202.00</w:t>
      </w:r>
      <w:r>
        <w:rPr/>
        <w:t>元，实收资本为</w:t>
      </w:r>
      <w:r>
        <w:rPr>
          <w:rFonts w:ascii="宋体" w:hAnsi="宋体" w:cs="宋体" w:eastAsia="宋体" w:hint="default"/>
        </w:rPr>
        <w:t>15,072,202.00</w:t>
      </w:r>
      <w:r>
        <w:rPr/>
        <w:t>元。业经北京恒诚永信会计师事务所于</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26</w:t>
      </w:r>
      <w:r>
        <w:rPr/>
        <w:t>日出具</w:t>
      </w:r>
      <w:r>
        <w:rPr>
          <w:spacing w:val="-25"/>
        </w:rPr>
        <w:t> </w:t>
      </w:r>
      <w:r>
        <w:rPr/>
        <w:t>恒诚永信验字</w:t>
      </w:r>
      <w:r>
        <w:rPr>
          <w:rFonts w:ascii="宋体" w:hAnsi="宋体" w:cs="宋体" w:eastAsia="宋体" w:hint="default"/>
        </w:rPr>
        <w:t>[2010]</w:t>
      </w:r>
      <w:r>
        <w:rPr/>
        <w:t>第</w:t>
      </w:r>
      <w:r>
        <w:rPr>
          <w:rFonts w:ascii="宋体" w:hAnsi="宋体" w:cs="宋体" w:eastAsia="宋体" w:hint="default"/>
        </w:rPr>
        <w:t>068</w:t>
      </w:r>
      <w:r>
        <w:rPr/>
        <w:t>号验资报告予以验证。此次变更后，中科创达有限股权结构如下：</w:t>
      </w:r>
    </w:p>
    <w:p>
      <w:pPr>
        <w:spacing w:line="240" w:lineRule="auto" w:before="3"/>
        <w:rPr>
          <w:rFonts w:ascii="宋体" w:hAnsi="宋体" w:cs="宋体" w:eastAsia="宋体" w:hint="default"/>
          <w:sz w:val="18"/>
          <w:szCs w:val="18"/>
        </w:rPr>
      </w:pPr>
    </w:p>
    <w:tbl>
      <w:tblPr>
        <w:tblW w:w="0" w:type="auto"/>
        <w:jc w:val="left"/>
        <w:tblInd w:w="1134" w:type="dxa"/>
        <w:tblLayout w:type="fixed"/>
        <w:tblCellMar>
          <w:top w:w="0" w:type="dxa"/>
          <w:left w:w="0" w:type="dxa"/>
          <w:bottom w:w="0" w:type="dxa"/>
          <w:right w:w="0" w:type="dxa"/>
        </w:tblCellMar>
        <w:tblLook w:val="01E0"/>
      </w:tblPr>
      <w:tblGrid>
        <w:gridCol w:w="4354"/>
        <w:gridCol w:w="3375"/>
        <w:gridCol w:w="1553"/>
      </w:tblGrid>
      <w:tr>
        <w:trPr>
          <w:trHeight w:val="350" w:hRule="exact"/>
        </w:trPr>
        <w:tc>
          <w:tcPr>
            <w:tcW w:w="4354"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3375"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592"/>
              <w:jc w:val="right"/>
              <w:rPr>
                <w:rFonts w:ascii="宋体" w:hAnsi="宋体" w:cs="宋体" w:eastAsia="宋体" w:hint="default"/>
                <w:sz w:val="21"/>
                <w:szCs w:val="21"/>
              </w:rPr>
            </w:pPr>
            <w:r>
              <w:rPr>
                <w:rFonts w:ascii="宋体" w:hAnsi="宋体" w:cs="宋体" w:eastAsia="宋体" w:hint="default"/>
                <w:b/>
                <w:bCs/>
                <w:sz w:val="21"/>
                <w:szCs w:val="21"/>
              </w:rPr>
              <w:t>出资额</w:t>
            </w:r>
            <w:r>
              <w:rPr>
                <w:rFonts w:ascii="宋体" w:hAnsi="宋体" w:cs="宋体" w:eastAsia="宋体" w:hint="default"/>
                <w:sz w:val="21"/>
                <w:szCs w:val="21"/>
              </w:rPr>
            </w:r>
          </w:p>
        </w:tc>
        <w:tc>
          <w:tcPr>
            <w:tcW w:w="1553"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8"/>
              <w:jc w:val="right"/>
              <w:rPr>
                <w:rFonts w:ascii="宋体" w:hAnsi="宋体" w:cs="宋体" w:eastAsia="宋体" w:hint="default"/>
                <w:sz w:val="21"/>
                <w:szCs w:val="21"/>
              </w:rPr>
            </w:pPr>
            <w:r>
              <w:rPr>
                <w:rFonts w:ascii="宋体" w:hAnsi="宋体" w:cs="宋体" w:eastAsia="宋体" w:hint="default"/>
                <w:b/>
                <w:bCs/>
                <w:w w:val="95"/>
                <w:sz w:val="21"/>
                <w:szCs w:val="21"/>
              </w:rPr>
              <w:t>出资比例</w:t>
            </w:r>
            <w:r>
              <w:rPr>
                <w:rFonts w:ascii="宋体" w:hAnsi="宋体" w:cs="宋体" w:eastAsia="宋体" w:hint="default"/>
                <w:b/>
                <w:bCs/>
                <w:w w:val="95"/>
                <w:sz w:val="21"/>
                <w:szCs w:val="21"/>
              </w:rPr>
              <w:t>%</w:t>
            </w:r>
            <w:r>
              <w:rPr>
                <w:rFonts w:ascii="宋体" w:hAnsi="宋体" w:cs="宋体" w:eastAsia="宋体" w:hint="default"/>
                <w:sz w:val="21"/>
                <w:szCs w:val="21"/>
              </w:rPr>
            </w:r>
          </w:p>
        </w:tc>
      </w:tr>
      <w:tr>
        <w:trPr>
          <w:trHeight w:val="347" w:hRule="exact"/>
        </w:trPr>
        <w:tc>
          <w:tcPr>
            <w:tcW w:w="4354"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北京启元合创科技发展有限公司</w:t>
            </w:r>
          </w:p>
        </w:tc>
        <w:tc>
          <w:tcPr>
            <w:tcW w:w="3375"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2"/>
              <w:jc w:val="right"/>
              <w:rPr>
                <w:rFonts w:ascii="宋体" w:hAnsi="宋体" w:cs="宋体" w:eastAsia="宋体" w:hint="default"/>
                <w:sz w:val="21"/>
                <w:szCs w:val="21"/>
              </w:rPr>
            </w:pPr>
            <w:r>
              <w:rPr>
                <w:rFonts w:ascii="宋体"/>
                <w:sz w:val="21"/>
              </w:rPr>
              <w:t>6,000,000.00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39.81</w:t>
            </w:r>
          </w:p>
        </w:tc>
      </w:tr>
      <w:tr>
        <w:trPr>
          <w:trHeight w:val="347" w:hRule="exact"/>
        </w:trPr>
        <w:tc>
          <w:tcPr>
            <w:tcW w:w="4354"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赵鸿飞</w:t>
            </w:r>
          </w:p>
        </w:tc>
        <w:tc>
          <w:tcPr>
            <w:tcW w:w="3375"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2"/>
              <w:jc w:val="right"/>
              <w:rPr>
                <w:rFonts w:ascii="宋体" w:hAnsi="宋体" w:cs="宋体" w:eastAsia="宋体" w:hint="default"/>
                <w:sz w:val="21"/>
                <w:szCs w:val="21"/>
              </w:rPr>
            </w:pPr>
            <w:r>
              <w:rPr>
                <w:rFonts w:ascii="宋体"/>
                <w:sz w:val="21"/>
              </w:rPr>
              <w:t>4,000,000.00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26.54</w:t>
            </w:r>
          </w:p>
        </w:tc>
      </w:tr>
      <w:tr>
        <w:trPr>
          <w:trHeight w:val="348" w:hRule="exact"/>
        </w:trPr>
        <w:tc>
          <w:tcPr>
            <w:tcW w:w="4354"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大洋中科特别目的株式会社</w:t>
            </w:r>
          </w:p>
        </w:tc>
        <w:tc>
          <w:tcPr>
            <w:tcW w:w="3375"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2"/>
              <w:jc w:val="right"/>
              <w:rPr>
                <w:rFonts w:ascii="宋体" w:hAnsi="宋体" w:cs="宋体" w:eastAsia="宋体" w:hint="default"/>
                <w:sz w:val="21"/>
                <w:szCs w:val="21"/>
              </w:rPr>
            </w:pPr>
            <w:r>
              <w:rPr>
                <w:rFonts w:ascii="宋体"/>
                <w:sz w:val="21"/>
              </w:rPr>
              <w:t>3,048,135.00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20.22</w:t>
            </w:r>
          </w:p>
        </w:tc>
      </w:tr>
      <w:tr>
        <w:trPr>
          <w:trHeight w:val="347" w:hRule="exact"/>
        </w:trPr>
        <w:tc>
          <w:tcPr>
            <w:tcW w:w="4354"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株式会社大洋系统</w:t>
            </w:r>
          </w:p>
        </w:tc>
        <w:tc>
          <w:tcPr>
            <w:tcW w:w="3375"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592"/>
              <w:jc w:val="right"/>
              <w:rPr>
                <w:rFonts w:ascii="宋体" w:hAnsi="宋体" w:cs="宋体" w:eastAsia="宋体" w:hint="default"/>
                <w:sz w:val="21"/>
                <w:szCs w:val="21"/>
              </w:rPr>
            </w:pPr>
            <w:r>
              <w:rPr>
                <w:rFonts w:ascii="宋体"/>
                <w:sz w:val="21"/>
              </w:rPr>
              <w:t>1,524,067.00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8"/>
              <w:jc w:val="right"/>
              <w:rPr>
                <w:rFonts w:ascii="宋体" w:hAnsi="宋体" w:cs="宋体" w:eastAsia="宋体" w:hint="default"/>
                <w:sz w:val="21"/>
                <w:szCs w:val="21"/>
              </w:rPr>
            </w:pPr>
            <w:r>
              <w:rPr>
                <w:rFonts w:ascii="宋体"/>
                <w:sz w:val="21"/>
              </w:rPr>
              <w:t>10.11</w:t>
            </w:r>
          </w:p>
        </w:tc>
      </w:tr>
      <w:tr>
        <w:trPr>
          <w:trHeight w:val="347" w:hRule="exact"/>
        </w:trPr>
        <w:tc>
          <w:tcPr>
            <w:tcW w:w="4354"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北京中科软科技有限公司</w:t>
            </w:r>
          </w:p>
        </w:tc>
        <w:tc>
          <w:tcPr>
            <w:tcW w:w="3375"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3"/>
              <w:jc w:val="right"/>
              <w:rPr>
                <w:rFonts w:ascii="宋体" w:hAnsi="宋体" w:cs="宋体" w:eastAsia="宋体" w:hint="default"/>
                <w:sz w:val="21"/>
                <w:szCs w:val="21"/>
              </w:rPr>
            </w:pPr>
            <w:r>
              <w:rPr>
                <w:rFonts w:ascii="宋体"/>
                <w:sz w:val="21"/>
              </w:rPr>
              <w:t>500,000.00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3.32</w:t>
            </w:r>
          </w:p>
        </w:tc>
      </w:tr>
      <w:tr>
        <w:trPr>
          <w:trHeight w:val="348" w:hRule="exact"/>
        </w:trPr>
        <w:tc>
          <w:tcPr>
            <w:tcW w:w="4354"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375"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5"/>
              <w:jc w:val="right"/>
              <w:rPr>
                <w:rFonts w:ascii="宋体" w:hAnsi="宋体" w:cs="宋体" w:eastAsia="宋体" w:hint="default"/>
                <w:sz w:val="21"/>
                <w:szCs w:val="21"/>
              </w:rPr>
            </w:pPr>
            <w:r>
              <w:rPr>
                <w:rFonts w:ascii="宋体"/>
                <w:b/>
                <w:w w:val="95"/>
                <w:sz w:val="21"/>
              </w:rPr>
              <w:t>15,072,202.00</w:t>
            </w:r>
            <w:r>
              <w:rPr>
                <w:rFonts w:ascii="宋体"/>
                <w:sz w:val="21"/>
              </w:rPr>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9"/>
              <w:jc w:val="right"/>
              <w:rPr>
                <w:rFonts w:ascii="宋体" w:hAnsi="宋体" w:cs="宋体" w:eastAsia="宋体" w:hint="default"/>
                <w:sz w:val="21"/>
                <w:szCs w:val="21"/>
              </w:rPr>
            </w:pPr>
            <w:r>
              <w:rPr>
                <w:rFonts w:ascii="宋体"/>
                <w:b/>
                <w:w w:val="95"/>
                <w:sz w:val="21"/>
              </w:rPr>
              <w:t>100.00</w:t>
            </w:r>
            <w:r>
              <w:rPr>
                <w:rFonts w:ascii="宋体"/>
                <w:sz w:val="21"/>
              </w:rPr>
            </w:r>
          </w:p>
        </w:tc>
      </w:tr>
    </w:tbl>
    <w:p>
      <w:pPr>
        <w:spacing w:line="240" w:lineRule="auto" w:before="5"/>
        <w:rPr>
          <w:rFonts w:ascii="宋体" w:hAnsi="宋体" w:cs="宋体" w:eastAsia="宋体" w:hint="default"/>
          <w:sz w:val="5"/>
          <w:szCs w:val="5"/>
        </w:rPr>
      </w:pPr>
    </w:p>
    <w:p>
      <w:pPr>
        <w:pStyle w:val="BodyText"/>
        <w:spacing w:line="273" w:lineRule="auto" w:before="35"/>
        <w:ind w:right="1132"/>
        <w:jc w:val="both"/>
      </w:pPr>
      <w:r>
        <w:rPr/>
        <w:t>根据中科创达有限</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30</w:t>
      </w:r>
      <w:r>
        <w:rPr/>
        <w:t>日董事会决议和修改后的章程规定，并经中关村科技园区海淀园管理委员</w:t>
      </w:r>
      <w:r>
        <w:rPr>
          <w:spacing w:val="-35"/>
        </w:rPr>
        <w:t> </w:t>
      </w:r>
      <w:r>
        <w:rPr>
          <w:spacing w:val="-35"/>
        </w:rPr>
      </w:r>
      <w:r>
        <w:rPr>
          <w:spacing w:val="12"/>
        </w:rPr>
        <w:t>会于</w:t>
      </w:r>
      <w:r>
        <w:rPr>
          <w:spacing w:val="-79"/>
        </w:rPr>
        <w:t> </w:t>
      </w:r>
      <w:r>
        <w:rPr>
          <w:rFonts w:ascii="宋体" w:hAnsi="宋体" w:cs="宋体" w:eastAsia="宋体" w:hint="default"/>
        </w:rPr>
        <w:t>2010</w:t>
      </w:r>
      <w:r>
        <w:rPr>
          <w:rFonts w:ascii="宋体" w:hAnsi="宋体" w:cs="宋体" w:eastAsia="宋体" w:hint="default"/>
          <w:spacing w:val="-79"/>
        </w:rPr>
        <w:t> </w:t>
      </w:r>
      <w:r>
        <w:rPr/>
        <w:t>年</w:t>
      </w:r>
      <w:r>
        <w:rPr>
          <w:spacing w:val="-81"/>
        </w:rPr>
        <w:t> </w:t>
      </w:r>
      <w:r>
        <w:rPr>
          <w:rFonts w:ascii="宋体" w:hAnsi="宋体" w:cs="宋体" w:eastAsia="宋体" w:hint="default"/>
        </w:rPr>
        <w:t>5</w:t>
      </w:r>
      <w:r>
        <w:rPr>
          <w:rFonts w:ascii="宋体" w:hAnsi="宋体" w:cs="宋体" w:eastAsia="宋体" w:hint="default"/>
          <w:spacing w:val="-79"/>
        </w:rPr>
        <w:t> </w:t>
      </w:r>
      <w:r>
        <w:rPr/>
        <w:t>月</w:t>
      </w:r>
      <w:r>
        <w:rPr>
          <w:spacing w:val="-81"/>
        </w:rPr>
        <w:t> </w:t>
      </w:r>
      <w:r>
        <w:rPr>
          <w:rFonts w:ascii="宋体" w:hAnsi="宋体" w:cs="宋体" w:eastAsia="宋体" w:hint="default"/>
        </w:rPr>
        <w:t>4</w:t>
      </w:r>
      <w:r>
        <w:rPr>
          <w:rFonts w:ascii="宋体" w:hAnsi="宋体" w:cs="宋体" w:eastAsia="宋体" w:hint="default"/>
          <w:spacing w:val="-79"/>
        </w:rPr>
        <w:t> </w:t>
      </w:r>
      <w:r>
        <w:rPr>
          <w:spacing w:val="19"/>
        </w:rPr>
        <w:t>日以海园发</w:t>
      </w:r>
      <w:r>
        <w:rPr>
          <w:spacing w:val="-78"/>
        </w:rPr>
        <w:t> </w:t>
      </w:r>
      <w:r>
        <w:rPr>
          <w:rFonts w:ascii="宋体" w:hAnsi="宋体" w:cs="宋体" w:eastAsia="宋体" w:hint="default"/>
        </w:rPr>
        <w:t>[2010]283</w:t>
      </w:r>
      <w:r>
        <w:rPr>
          <w:rFonts w:ascii="宋体" w:hAnsi="宋体" w:cs="宋体" w:eastAsia="宋体" w:hint="default"/>
          <w:spacing w:val="-78"/>
        </w:rPr>
        <w:t> </w:t>
      </w:r>
      <w:r>
        <w:rPr>
          <w:spacing w:val="20"/>
        </w:rPr>
        <w:t>号文件批准，</w:t>
      </w:r>
      <w:r>
        <w:rPr>
          <w:spacing w:val="-79"/>
        </w:rPr>
        <w:t> </w:t>
      </w:r>
      <w:r>
        <w:rPr>
          <w:spacing w:val="23"/>
        </w:rPr>
        <w:t>大洋中科特别目的株式会社将所持部分股权</w:t>
      </w:r>
      <w:r>
        <w:rPr/>
        <w:t> </w:t>
      </w:r>
      <w:r>
        <w:rPr>
          <w:rFonts w:ascii="宋体" w:hAnsi="宋体" w:cs="宋体" w:eastAsia="宋体" w:hint="default"/>
          <w:spacing w:val="-1"/>
        </w:rPr>
        <w:t>1,524,067.00</w:t>
      </w:r>
      <w:r>
        <w:rPr>
          <w:spacing w:val="-1"/>
        </w:rPr>
        <w:t>元转让给自然人赵鸿飞，株式会社大洋系统将所持全部股权</w:t>
      </w:r>
      <w:r>
        <w:rPr>
          <w:rFonts w:ascii="宋体" w:hAnsi="宋体" w:cs="宋体" w:eastAsia="宋体" w:hint="default"/>
          <w:spacing w:val="-1"/>
        </w:rPr>
        <w:t>1,524,067.00</w:t>
      </w:r>
      <w:r>
        <w:rPr>
          <w:spacing w:val="-1"/>
        </w:rPr>
        <w:t>元转让给自然人赵</w:t>
      </w:r>
      <w:r>
        <w:rPr>
          <w:spacing w:val="-72"/>
        </w:rPr>
        <w:t> </w:t>
      </w:r>
      <w:r>
        <w:rPr>
          <w:spacing w:val="-72"/>
        </w:rPr>
      </w:r>
      <w:r>
        <w:rPr>
          <w:spacing w:val="-1"/>
        </w:rPr>
        <w:t>鸿飞，北京中科软科技有限公司将所持全部股权</w:t>
      </w:r>
      <w:r>
        <w:rPr>
          <w:rFonts w:ascii="宋体" w:hAnsi="宋体" w:cs="宋体" w:eastAsia="宋体" w:hint="default"/>
          <w:spacing w:val="-1"/>
        </w:rPr>
        <w:t>500,000.00</w:t>
      </w:r>
      <w:r>
        <w:rPr>
          <w:spacing w:val="-1"/>
        </w:rPr>
        <w:t>元转让给自然人赵鸿飞。此次变更后，中科创</w:t>
      </w:r>
      <w:r>
        <w:rPr>
          <w:spacing w:val="-80"/>
        </w:rPr>
        <w:t> </w:t>
      </w:r>
      <w:r>
        <w:rPr>
          <w:spacing w:val="-80"/>
        </w:rPr>
      </w:r>
      <w:r>
        <w:rPr/>
        <w:t>达有限股权结构如下：</w:t>
      </w:r>
    </w:p>
    <w:p>
      <w:pPr>
        <w:spacing w:line="240" w:lineRule="auto" w:before="3"/>
        <w:rPr>
          <w:rFonts w:ascii="宋体" w:hAnsi="宋体" w:cs="宋体" w:eastAsia="宋体" w:hint="default"/>
          <w:sz w:val="18"/>
          <w:szCs w:val="18"/>
        </w:rPr>
      </w:pPr>
    </w:p>
    <w:tbl>
      <w:tblPr>
        <w:tblW w:w="0" w:type="auto"/>
        <w:jc w:val="left"/>
        <w:tblInd w:w="1134" w:type="dxa"/>
        <w:tblLayout w:type="fixed"/>
        <w:tblCellMar>
          <w:top w:w="0" w:type="dxa"/>
          <w:left w:w="0" w:type="dxa"/>
          <w:bottom w:w="0" w:type="dxa"/>
          <w:right w:w="0" w:type="dxa"/>
        </w:tblCellMar>
        <w:tblLook w:val="01E0"/>
      </w:tblPr>
      <w:tblGrid>
        <w:gridCol w:w="4354"/>
        <w:gridCol w:w="3375"/>
        <w:gridCol w:w="1553"/>
      </w:tblGrid>
      <w:tr>
        <w:trPr>
          <w:trHeight w:val="349" w:hRule="exact"/>
        </w:trPr>
        <w:tc>
          <w:tcPr>
            <w:tcW w:w="4354"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3375"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592"/>
              <w:jc w:val="right"/>
              <w:rPr>
                <w:rFonts w:ascii="宋体" w:hAnsi="宋体" w:cs="宋体" w:eastAsia="宋体" w:hint="default"/>
                <w:sz w:val="21"/>
                <w:szCs w:val="21"/>
              </w:rPr>
            </w:pPr>
            <w:r>
              <w:rPr>
                <w:rFonts w:ascii="宋体" w:hAnsi="宋体" w:cs="宋体" w:eastAsia="宋体" w:hint="default"/>
                <w:b/>
                <w:bCs/>
                <w:sz w:val="21"/>
                <w:szCs w:val="21"/>
              </w:rPr>
              <w:t>出资额</w:t>
            </w:r>
            <w:r>
              <w:rPr>
                <w:rFonts w:ascii="宋体" w:hAnsi="宋体" w:cs="宋体" w:eastAsia="宋体" w:hint="default"/>
                <w:sz w:val="21"/>
                <w:szCs w:val="21"/>
              </w:rPr>
            </w:r>
          </w:p>
        </w:tc>
        <w:tc>
          <w:tcPr>
            <w:tcW w:w="1553"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8"/>
              <w:jc w:val="right"/>
              <w:rPr>
                <w:rFonts w:ascii="宋体" w:hAnsi="宋体" w:cs="宋体" w:eastAsia="宋体" w:hint="default"/>
                <w:sz w:val="21"/>
                <w:szCs w:val="21"/>
              </w:rPr>
            </w:pPr>
            <w:r>
              <w:rPr>
                <w:rFonts w:ascii="宋体" w:hAnsi="宋体" w:cs="宋体" w:eastAsia="宋体" w:hint="default"/>
                <w:b/>
                <w:bCs/>
                <w:w w:val="95"/>
                <w:sz w:val="21"/>
                <w:szCs w:val="21"/>
              </w:rPr>
              <w:t>出资比例</w:t>
            </w:r>
            <w:r>
              <w:rPr>
                <w:rFonts w:ascii="宋体" w:hAnsi="宋体" w:cs="宋体" w:eastAsia="宋体" w:hint="default"/>
                <w:b/>
                <w:bCs/>
                <w:w w:val="95"/>
                <w:sz w:val="21"/>
                <w:szCs w:val="21"/>
              </w:rPr>
              <w:t>%</w:t>
            </w:r>
            <w:r>
              <w:rPr>
                <w:rFonts w:ascii="宋体" w:hAnsi="宋体" w:cs="宋体" w:eastAsia="宋体" w:hint="default"/>
                <w:sz w:val="21"/>
                <w:szCs w:val="21"/>
              </w:rPr>
            </w:r>
          </w:p>
        </w:tc>
      </w:tr>
      <w:tr>
        <w:trPr>
          <w:trHeight w:val="347" w:hRule="exact"/>
        </w:trPr>
        <w:tc>
          <w:tcPr>
            <w:tcW w:w="4354"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赵鸿飞</w:t>
            </w:r>
          </w:p>
        </w:tc>
        <w:tc>
          <w:tcPr>
            <w:tcW w:w="3375"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2"/>
              <w:jc w:val="right"/>
              <w:rPr>
                <w:rFonts w:ascii="宋体" w:hAnsi="宋体" w:cs="宋体" w:eastAsia="宋体" w:hint="default"/>
                <w:sz w:val="21"/>
                <w:szCs w:val="21"/>
              </w:rPr>
            </w:pPr>
            <w:r>
              <w:rPr>
                <w:rFonts w:ascii="宋体"/>
                <w:sz w:val="21"/>
              </w:rPr>
              <w:t>7,548,134.00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50.08</w:t>
            </w:r>
          </w:p>
        </w:tc>
      </w:tr>
      <w:tr>
        <w:trPr>
          <w:trHeight w:val="347" w:hRule="exact"/>
        </w:trPr>
        <w:tc>
          <w:tcPr>
            <w:tcW w:w="4354"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北京启元合创科技发展有限公司</w:t>
            </w:r>
          </w:p>
        </w:tc>
        <w:tc>
          <w:tcPr>
            <w:tcW w:w="3375"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2"/>
              <w:jc w:val="right"/>
              <w:rPr>
                <w:rFonts w:ascii="宋体" w:hAnsi="宋体" w:cs="宋体" w:eastAsia="宋体" w:hint="default"/>
                <w:sz w:val="21"/>
                <w:szCs w:val="21"/>
              </w:rPr>
            </w:pPr>
            <w:r>
              <w:rPr>
                <w:rFonts w:ascii="宋体"/>
                <w:sz w:val="21"/>
              </w:rPr>
              <w:t>6,000,000.00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39.81</w:t>
            </w:r>
          </w:p>
        </w:tc>
      </w:tr>
      <w:tr>
        <w:trPr>
          <w:trHeight w:val="347" w:hRule="exact"/>
        </w:trPr>
        <w:tc>
          <w:tcPr>
            <w:tcW w:w="4354"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大洋中科特别目的株式会社</w:t>
            </w:r>
          </w:p>
        </w:tc>
        <w:tc>
          <w:tcPr>
            <w:tcW w:w="3375"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2"/>
              <w:jc w:val="right"/>
              <w:rPr>
                <w:rFonts w:ascii="宋体" w:hAnsi="宋体" w:cs="宋体" w:eastAsia="宋体" w:hint="default"/>
                <w:sz w:val="21"/>
                <w:szCs w:val="21"/>
              </w:rPr>
            </w:pPr>
            <w:r>
              <w:rPr>
                <w:rFonts w:ascii="宋体"/>
                <w:sz w:val="21"/>
              </w:rPr>
              <w:t>1,524,068.00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10.11</w:t>
            </w:r>
          </w:p>
        </w:tc>
      </w:tr>
      <w:tr>
        <w:trPr>
          <w:trHeight w:val="348" w:hRule="exact"/>
        </w:trPr>
        <w:tc>
          <w:tcPr>
            <w:tcW w:w="4354"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375"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5"/>
              <w:jc w:val="right"/>
              <w:rPr>
                <w:rFonts w:ascii="宋体" w:hAnsi="宋体" w:cs="宋体" w:eastAsia="宋体" w:hint="default"/>
                <w:sz w:val="21"/>
                <w:szCs w:val="21"/>
              </w:rPr>
            </w:pPr>
            <w:r>
              <w:rPr>
                <w:rFonts w:ascii="宋体"/>
                <w:b/>
                <w:w w:val="95"/>
                <w:sz w:val="21"/>
              </w:rPr>
              <w:t>15,072,202.00</w:t>
            </w:r>
            <w:r>
              <w:rPr>
                <w:rFonts w:ascii="宋体"/>
                <w:sz w:val="21"/>
              </w:rPr>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9"/>
              <w:jc w:val="right"/>
              <w:rPr>
                <w:rFonts w:ascii="宋体" w:hAnsi="宋体" w:cs="宋体" w:eastAsia="宋体" w:hint="default"/>
                <w:sz w:val="21"/>
                <w:szCs w:val="21"/>
              </w:rPr>
            </w:pPr>
            <w:r>
              <w:rPr>
                <w:rFonts w:ascii="宋体"/>
                <w:b/>
                <w:w w:val="95"/>
                <w:sz w:val="21"/>
              </w:rPr>
              <w:t>100.00</w:t>
            </w:r>
            <w:r>
              <w:rPr>
                <w:rFonts w:ascii="宋体"/>
                <w:sz w:val="21"/>
              </w:rPr>
            </w:r>
          </w:p>
        </w:tc>
      </w:tr>
    </w:tbl>
    <w:p>
      <w:pPr>
        <w:spacing w:line="240" w:lineRule="auto" w:before="5"/>
        <w:rPr>
          <w:rFonts w:ascii="宋体" w:hAnsi="宋体" w:cs="宋体" w:eastAsia="宋体" w:hint="default"/>
          <w:sz w:val="5"/>
          <w:szCs w:val="5"/>
        </w:rPr>
      </w:pPr>
    </w:p>
    <w:p>
      <w:pPr>
        <w:pStyle w:val="BodyText"/>
        <w:spacing w:line="273" w:lineRule="auto" w:before="35"/>
        <w:ind w:left="1134" w:right="1132"/>
        <w:jc w:val="both"/>
      </w:pPr>
      <w:r>
        <w:rPr/>
        <w:t>根据中科创达有限</w:t>
      </w:r>
      <w:r>
        <w:rPr>
          <w:rFonts w:ascii="宋体" w:hAnsi="宋体" w:cs="宋体" w:eastAsia="宋体" w:hint="default"/>
        </w:rPr>
        <w:t>2010</w:t>
      </w:r>
      <w:r>
        <w:rPr/>
        <w:t>年</w:t>
      </w:r>
      <w:r>
        <w:rPr>
          <w:rFonts w:ascii="宋体" w:hAnsi="宋体" w:cs="宋体" w:eastAsia="宋体" w:hint="default"/>
        </w:rPr>
        <w:t>5</w:t>
      </w:r>
      <w:r>
        <w:rPr/>
        <w:t>月</w:t>
      </w:r>
      <w:r>
        <w:rPr>
          <w:rFonts w:ascii="宋体" w:hAnsi="宋体" w:cs="宋体" w:eastAsia="宋体" w:hint="default"/>
        </w:rPr>
        <w:t>15</w:t>
      </w:r>
      <w:r>
        <w:rPr/>
        <w:t>日第一届第七次董事会决议和修改后的章程规定，并经中关村科技园区海</w:t>
      </w:r>
      <w:r>
        <w:rPr>
          <w:spacing w:val="-33"/>
        </w:rPr>
        <w:t> </w:t>
      </w:r>
      <w:r>
        <w:rPr>
          <w:spacing w:val="-33"/>
        </w:rPr>
      </w:r>
      <w:r>
        <w:rPr>
          <w:spacing w:val="-1"/>
        </w:rPr>
        <w:t>淀园管理委员会于</w:t>
      </w:r>
      <w:r>
        <w:rPr>
          <w:rFonts w:ascii="宋体" w:hAnsi="宋体" w:cs="宋体" w:eastAsia="宋体" w:hint="default"/>
          <w:spacing w:val="-1"/>
        </w:rPr>
        <w:t>2010</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18</w:t>
      </w:r>
      <w:r>
        <w:rPr>
          <w:spacing w:val="-1"/>
        </w:rPr>
        <w:t>日以海园发</w:t>
      </w:r>
      <w:r>
        <w:rPr>
          <w:rFonts w:ascii="宋体" w:hAnsi="宋体" w:cs="宋体" w:eastAsia="宋体" w:hint="default"/>
          <w:spacing w:val="-1"/>
        </w:rPr>
        <w:t>[2010]314</w:t>
      </w:r>
      <w:r>
        <w:rPr>
          <w:spacing w:val="-1"/>
        </w:rPr>
        <w:t>号文件批准，北京启元合创科技发展有限公司将所持</w:t>
      </w:r>
      <w:r>
        <w:rPr>
          <w:spacing w:val="-78"/>
        </w:rPr>
        <w:t> </w:t>
      </w:r>
      <w:r>
        <w:rPr>
          <w:spacing w:val="-78"/>
        </w:rPr>
      </w:r>
      <w:r>
        <w:rPr/>
        <w:t>全部股权</w:t>
      </w:r>
      <w:r>
        <w:rPr>
          <w:rFonts w:ascii="宋体" w:hAnsi="宋体" w:cs="宋体" w:eastAsia="宋体" w:hint="default"/>
        </w:rPr>
        <w:t>6,000,000.00</w:t>
      </w:r>
      <w:r>
        <w:rPr/>
        <w:t>元转让给自然人陈晓华。此次变更后，中科创达有限股权结构如下：</w:t>
      </w:r>
    </w:p>
    <w:p>
      <w:pPr>
        <w:spacing w:line="240" w:lineRule="auto" w:before="3"/>
        <w:rPr>
          <w:rFonts w:ascii="宋体" w:hAnsi="宋体" w:cs="宋体" w:eastAsia="宋体" w:hint="default"/>
          <w:sz w:val="18"/>
          <w:szCs w:val="18"/>
        </w:rPr>
      </w:pPr>
    </w:p>
    <w:tbl>
      <w:tblPr>
        <w:tblW w:w="0" w:type="auto"/>
        <w:jc w:val="left"/>
        <w:tblInd w:w="1134" w:type="dxa"/>
        <w:tblLayout w:type="fixed"/>
        <w:tblCellMar>
          <w:top w:w="0" w:type="dxa"/>
          <w:left w:w="0" w:type="dxa"/>
          <w:bottom w:w="0" w:type="dxa"/>
          <w:right w:w="0" w:type="dxa"/>
        </w:tblCellMar>
        <w:tblLook w:val="01E0"/>
      </w:tblPr>
      <w:tblGrid>
        <w:gridCol w:w="4144"/>
        <w:gridCol w:w="3585"/>
        <w:gridCol w:w="1553"/>
      </w:tblGrid>
      <w:tr>
        <w:trPr>
          <w:trHeight w:val="349" w:hRule="exact"/>
        </w:trPr>
        <w:tc>
          <w:tcPr>
            <w:tcW w:w="4144"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3585"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592"/>
              <w:jc w:val="right"/>
              <w:rPr>
                <w:rFonts w:ascii="宋体" w:hAnsi="宋体" w:cs="宋体" w:eastAsia="宋体" w:hint="default"/>
                <w:sz w:val="21"/>
                <w:szCs w:val="21"/>
              </w:rPr>
            </w:pPr>
            <w:r>
              <w:rPr>
                <w:rFonts w:ascii="宋体" w:hAnsi="宋体" w:cs="宋体" w:eastAsia="宋体" w:hint="default"/>
                <w:b/>
                <w:bCs/>
                <w:sz w:val="21"/>
                <w:szCs w:val="21"/>
              </w:rPr>
              <w:t>出资额</w:t>
            </w:r>
            <w:r>
              <w:rPr>
                <w:rFonts w:ascii="宋体" w:hAnsi="宋体" w:cs="宋体" w:eastAsia="宋体" w:hint="default"/>
                <w:sz w:val="21"/>
                <w:szCs w:val="21"/>
              </w:rPr>
            </w:r>
          </w:p>
        </w:tc>
        <w:tc>
          <w:tcPr>
            <w:tcW w:w="1553"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8"/>
              <w:jc w:val="right"/>
              <w:rPr>
                <w:rFonts w:ascii="宋体" w:hAnsi="宋体" w:cs="宋体" w:eastAsia="宋体" w:hint="default"/>
                <w:sz w:val="21"/>
                <w:szCs w:val="21"/>
              </w:rPr>
            </w:pPr>
            <w:r>
              <w:rPr>
                <w:rFonts w:ascii="宋体" w:hAnsi="宋体" w:cs="宋体" w:eastAsia="宋体" w:hint="default"/>
                <w:b/>
                <w:bCs/>
                <w:w w:val="95"/>
                <w:sz w:val="21"/>
                <w:szCs w:val="21"/>
              </w:rPr>
              <w:t>出资比例</w:t>
            </w:r>
            <w:r>
              <w:rPr>
                <w:rFonts w:ascii="宋体" w:hAnsi="宋体" w:cs="宋体" w:eastAsia="宋体" w:hint="default"/>
                <w:b/>
                <w:bCs/>
                <w:w w:val="95"/>
                <w:sz w:val="21"/>
                <w:szCs w:val="21"/>
              </w:rPr>
              <w:t>%</w:t>
            </w:r>
            <w:r>
              <w:rPr>
                <w:rFonts w:ascii="宋体" w:hAnsi="宋体" w:cs="宋体" w:eastAsia="宋体" w:hint="default"/>
                <w:sz w:val="21"/>
                <w:szCs w:val="21"/>
              </w:rPr>
            </w:r>
          </w:p>
        </w:tc>
      </w:tr>
      <w:tr>
        <w:trPr>
          <w:trHeight w:val="348" w:hRule="exact"/>
        </w:trPr>
        <w:tc>
          <w:tcPr>
            <w:tcW w:w="4144"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赵鸿飞</w:t>
            </w:r>
          </w:p>
        </w:tc>
        <w:tc>
          <w:tcPr>
            <w:tcW w:w="3585"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2"/>
              <w:jc w:val="right"/>
              <w:rPr>
                <w:rFonts w:ascii="宋体" w:hAnsi="宋体" w:cs="宋体" w:eastAsia="宋体" w:hint="default"/>
                <w:sz w:val="21"/>
                <w:szCs w:val="21"/>
              </w:rPr>
            </w:pPr>
            <w:r>
              <w:rPr>
                <w:rFonts w:ascii="宋体"/>
                <w:sz w:val="21"/>
              </w:rPr>
              <w:t>7,548,134.00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50.08</w:t>
            </w:r>
          </w:p>
        </w:tc>
      </w:tr>
      <w:tr>
        <w:trPr>
          <w:trHeight w:val="347" w:hRule="exact"/>
        </w:trPr>
        <w:tc>
          <w:tcPr>
            <w:tcW w:w="4144"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陈晓华</w:t>
            </w:r>
          </w:p>
        </w:tc>
        <w:tc>
          <w:tcPr>
            <w:tcW w:w="3585"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592"/>
              <w:jc w:val="right"/>
              <w:rPr>
                <w:rFonts w:ascii="宋体" w:hAnsi="宋体" w:cs="宋体" w:eastAsia="宋体" w:hint="default"/>
                <w:sz w:val="21"/>
                <w:szCs w:val="21"/>
              </w:rPr>
            </w:pPr>
            <w:r>
              <w:rPr>
                <w:rFonts w:ascii="宋体"/>
                <w:sz w:val="21"/>
              </w:rPr>
              <w:t>6,000,000.00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8"/>
              <w:jc w:val="right"/>
              <w:rPr>
                <w:rFonts w:ascii="宋体" w:hAnsi="宋体" w:cs="宋体" w:eastAsia="宋体" w:hint="default"/>
                <w:sz w:val="21"/>
                <w:szCs w:val="21"/>
              </w:rPr>
            </w:pPr>
            <w:r>
              <w:rPr>
                <w:rFonts w:ascii="宋体"/>
                <w:sz w:val="21"/>
              </w:rPr>
              <w:t>39.81</w:t>
            </w:r>
          </w:p>
        </w:tc>
      </w:tr>
      <w:tr>
        <w:trPr>
          <w:trHeight w:val="347" w:hRule="exact"/>
        </w:trPr>
        <w:tc>
          <w:tcPr>
            <w:tcW w:w="4144"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大洋中科特别目的株式会社</w:t>
            </w:r>
          </w:p>
        </w:tc>
        <w:tc>
          <w:tcPr>
            <w:tcW w:w="3585"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2"/>
              <w:jc w:val="right"/>
              <w:rPr>
                <w:rFonts w:ascii="宋体" w:hAnsi="宋体" w:cs="宋体" w:eastAsia="宋体" w:hint="default"/>
                <w:sz w:val="21"/>
                <w:szCs w:val="21"/>
              </w:rPr>
            </w:pPr>
            <w:r>
              <w:rPr>
                <w:rFonts w:ascii="宋体"/>
                <w:sz w:val="21"/>
              </w:rPr>
              <w:t>1,524,068.00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10.11</w:t>
            </w:r>
          </w:p>
        </w:tc>
      </w:tr>
      <w:tr>
        <w:trPr>
          <w:trHeight w:val="348" w:hRule="exact"/>
        </w:trPr>
        <w:tc>
          <w:tcPr>
            <w:tcW w:w="4144"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585"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5"/>
              <w:jc w:val="right"/>
              <w:rPr>
                <w:rFonts w:ascii="宋体" w:hAnsi="宋体" w:cs="宋体" w:eastAsia="宋体" w:hint="default"/>
                <w:sz w:val="21"/>
                <w:szCs w:val="21"/>
              </w:rPr>
            </w:pPr>
            <w:r>
              <w:rPr>
                <w:rFonts w:ascii="宋体"/>
                <w:b/>
                <w:w w:val="95"/>
                <w:sz w:val="21"/>
              </w:rPr>
              <w:t>15,072,202.00</w:t>
            </w:r>
            <w:r>
              <w:rPr>
                <w:rFonts w:ascii="宋体"/>
                <w:sz w:val="21"/>
              </w:rPr>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9"/>
              <w:jc w:val="right"/>
              <w:rPr>
                <w:rFonts w:ascii="宋体" w:hAnsi="宋体" w:cs="宋体" w:eastAsia="宋体" w:hint="default"/>
                <w:sz w:val="21"/>
                <w:szCs w:val="21"/>
              </w:rPr>
            </w:pPr>
            <w:r>
              <w:rPr>
                <w:rFonts w:ascii="宋体"/>
                <w:b/>
                <w:w w:val="95"/>
                <w:sz w:val="21"/>
              </w:rPr>
              <w:t>100.00</w:t>
            </w:r>
            <w:r>
              <w:rPr>
                <w:rFonts w:ascii="宋体"/>
                <w:sz w:val="21"/>
              </w:rPr>
            </w:r>
          </w:p>
        </w:tc>
      </w:tr>
    </w:tbl>
    <w:p>
      <w:pPr>
        <w:spacing w:line="240" w:lineRule="auto" w:before="5"/>
        <w:rPr>
          <w:rFonts w:ascii="宋体" w:hAnsi="宋体" w:cs="宋体" w:eastAsia="宋体" w:hint="default"/>
          <w:sz w:val="5"/>
          <w:szCs w:val="5"/>
        </w:rPr>
      </w:pPr>
    </w:p>
    <w:p>
      <w:pPr>
        <w:pStyle w:val="BodyText"/>
        <w:spacing w:line="273" w:lineRule="auto" w:before="35"/>
        <w:ind w:right="1132"/>
        <w:jc w:val="both"/>
      </w:pPr>
      <w:r>
        <w:rPr/>
        <w:t>根据中科创达有限</w:t>
      </w:r>
      <w:r>
        <w:rPr>
          <w:rFonts w:ascii="宋体" w:hAnsi="宋体" w:cs="宋体" w:eastAsia="宋体" w:hint="default"/>
        </w:rPr>
        <w:t>2010</w:t>
      </w:r>
      <w:r>
        <w:rPr/>
        <w:t>年</w:t>
      </w:r>
      <w:r>
        <w:rPr>
          <w:rFonts w:ascii="宋体" w:hAnsi="宋体" w:cs="宋体" w:eastAsia="宋体" w:hint="default"/>
        </w:rPr>
        <w:t>9</w:t>
      </w:r>
      <w:r>
        <w:rPr/>
        <w:t>月</w:t>
      </w:r>
      <w:r>
        <w:rPr>
          <w:rFonts w:ascii="宋体" w:hAnsi="宋体" w:cs="宋体" w:eastAsia="宋体" w:hint="default"/>
        </w:rPr>
        <w:t>15</w:t>
      </w:r>
      <w:r>
        <w:rPr/>
        <w:t>日第一届第十一次董事会决议和修改后的章程规定，并经北京市海淀区商</w:t>
      </w:r>
      <w:r>
        <w:rPr>
          <w:spacing w:val="-35"/>
        </w:rPr>
        <w:t> </w:t>
      </w:r>
      <w:r>
        <w:rPr>
          <w:spacing w:val="-35"/>
        </w:rPr>
      </w:r>
      <w:r>
        <w:rPr>
          <w:spacing w:val="-1"/>
        </w:rPr>
        <w:t>务委员会于</w:t>
      </w:r>
      <w:r>
        <w:rPr>
          <w:rFonts w:ascii="宋体" w:hAnsi="宋体" w:cs="宋体" w:eastAsia="宋体" w:hint="default"/>
          <w:spacing w:val="-1"/>
        </w:rPr>
        <w:t>2010</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9</w:t>
      </w:r>
      <w:r>
        <w:rPr>
          <w:spacing w:val="-1"/>
        </w:rPr>
        <w:t>日以海商审字</w:t>
      </w:r>
      <w:r>
        <w:rPr>
          <w:rFonts w:ascii="宋体" w:hAnsi="宋体" w:cs="宋体" w:eastAsia="宋体" w:hint="default"/>
          <w:spacing w:val="-1"/>
        </w:rPr>
        <w:t>[2010]709</w:t>
      </w:r>
      <w:r>
        <w:rPr>
          <w:spacing w:val="-1"/>
        </w:rPr>
        <w:t>号文件批准，陈晓华将所持股权</w:t>
      </w:r>
      <w:r>
        <w:rPr>
          <w:rFonts w:ascii="宋体" w:hAnsi="宋体" w:cs="宋体" w:eastAsia="宋体" w:hint="default"/>
          <w:spacing w:val="-1"/>
        </w:rPr>
        <w:t>4,794,224.00</w:t>
      </w:r>
      <w:r>
        <w:rPr>
          <w:spacing w:val="-1"/>
        </w:rPr>
        <w:t>元转让给自</w:t>
      </w:r>
      <w:r>
        <w:rPr>
          <w:spacing w:val="-71"/>
        </w:rPr>
        <w:t> </w:t>
      </w:r>
      <w:r>
        <w:rPr>
          <w:spacing w:val="-71"/>
        </w:rPr>
      </w:r>
      <w:r>
        <w:rPr/>
        <w:t>然人赵鸿飞。此次变更后，中科创达有限股权结构如下：</w:t>
      </w:r>
    </w:p>
    <w:p>
      <w:pPr>
        <w:spacing w:line="240" w:lineRule="auto" w:before="3"/>
        <w:rPr>
          <w:rFonts w:ascii="宋体" w:hAnsi="宋体" w:cs="宋体" w:eastAsia="宋体" w:hint="default"/>
          <w:sz w:val="18"/>
          <w:szCs w:val="18"/>
        </w:rPr>
      </w:pPr>
    </w:p>
    <w:tbl>
      <w:tblPr>
        <w:tblW w:w="0" w:type="auto"/>
        <w:jc w:val="left"/>
        <w:tblInd w:w="1134" w:type="dxa"/>
        <w:tblLayout w:type="fixed"/>
        <w:tblCellMar>
          <w:top w:w="0" w:type="dxa"/>
          <w:left w:w="0" w:type="dxa"/>
          <w:bottom w:w="0" w:type="dxa"/>
          <w:right w:w="0" w:type="dxa"/>
        </w:tblCellMar>
        <w:tblLook w:val="01E0"/>
      </w:tblPr>
      <w:tblGrid>
        <w:gridCol w:w="4144"/>
        <w:gridCol w:w="3585"/>
        <w:gridCol w:w="1553"/>
      </w:tblGrid>
      <w:tr>
        <w:trPr>
          <w:trHeight w:val="349" w:hRule="exact"/>
        </w:trPr>
        <w:tc>
          <w:tcPr>
            <w:tcW w:w="4144"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3585"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592"/>
              <w:jc w:val="right"/>
              <w:rPr>
                <w:rFonts w:ascii="宋体" w:hAnsi="宋体" w:cs="宋体" w:eastAsia="宋体" w:hint="default"/>
                <w:sz w:val="21"/>
                <w:szCs w:val="21"/>
              </w:rPr>
            </w:pPr>
            <w:r>
              <w:rPr>
                <w:rFonts w:ascii="宋体" w:hAnsi="宋体" w:cs="宋体" w:eastAsia="宋体" w:hint="default"/>
                <w:b/>
                <w:bCs/>
                <w:sz w:val="21"/>
                <w:szCs w:val="21"/>
              </w:rPr>
              <w:t>出资额</w:t>
            </w:r>
            <w:r>
              <w:rPr>
                <w:rFonts w:ascii="宋体" w:hAnsi="宋体" w:cs="宋体" w:eastAsia="宋体" w:hint="default"/>
                <w:sz w:val="21"/>
                <w:szCs w:val="21"/>
              </w:rPr>
            </w:r>
          </w:p>
        </w:tc>
        <w:tc>
          <w:tcPr>
            <w:tcW w:w="1553"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8"/>
              <w:jc w:val="right"/>
              <w:rPr>
                <w:rFonts w:ascii="宋体" w:hAnsi="宋体" w:cs="宋体" w:eastAsia="宋体" w:hint="default"/>
                <w:sz w:val="21"/>
                <w:szCs w:val="21"/>
              </w:rPr>
            </w:pPr>
            <w:r>
              <w:rPr>
                <w:rFonts w:ascii="宋体" w:hAnsi="宋体" w:cs="宋体" w:eastAsia="宋体" w:hint="default"/>
                <w:b/>
                <w:bCs/>
                <w:w w:val="95"/>
                <w:sz w:val="21"/>
                <w:szCs w:val="21"/>
              </w:rPr>
              <w:t>出资比例</w:t>
            </w:r>
            <w:r>
              <w:rPr>
                <w:rFonts w:ascii="宋体" w:hAnsi="宋体" w:cs="宋体" w:eastAsia="宋体" w:hint="default"/>
                <w:b/>
                <w:bCs/>
                <w:w w:val="95"/>
                <w:sz w:val="21"/>
                <w:szCs w:val="21"/>
              </w:rPr>
              <w:t>%</w:t>
            </w:r>
            <w:r>
              <w:rPr>
                <w:rFonts w:ascii="宋体" w:hAnsi="宋体" w:cs="宋体" w:eastAsia="宋体" w:hint="default"/>
                <w:sz w:val="21"/>
                <w:szCs w:val="21"/>
              </w:rPr>
            </w:r>
          </w:p>
        </w:tc>
      </w:tr>
      <w:tr>
        <w:trPr>
          <w:trHeight w:val="347" w:hRule="exact"/>
        </w:trPr>
        <w:tc>
          <w:tcPr>
            <w:tcW w:w="4144"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赵鸿飞</w:t>
            </w:r>
          </w:p>
        </w:tc>
        <w:tc>
          <w:tcPr>
            <w:tcW w:w="3585"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2"/>
              <w:jc w:val="right"/>
              <w:rPr>
                <w:rFonts w:ascii="宋体" w:hAnsi="宋体" w:cs="宋体" w:eastAsia="宋体" w:hint="default"/>
                <w:sz w:val="21"/>
                <w:szCs w:val="21"/>
              </w:rPr>
            </w:pPr>
            <w:r>
              <w:rPr>
                <w:rFonts w:ascii="宋体"/>
                <w:sz w:val="21"/>
              </w:rPr>
              <w:t>12,342,358.00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81.89</w:t>
            </w:r>
          </w:p>
        </w:tc>
      </w:tr>
      <w:tr>
        <w:trPr>
          <w:trHeight w:val="347" w:hRule="exact"/>
        </w:trPr>
        <w:tc>
          <w:tcPr>
            <w:tcW w:w="4144"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大洋中科特别目的株式会社</w:t>
            </w:r>
          </w:p>
        </w:tc>
        <w:tc>
          <w:tcPr>
            <w:tcW w:w="3585"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2"/>
              <w:jc w:val="right"/>
              <w:rPr>
                <w:rFonts w:ascii="宋体" w:hAnsi="宋体" w:cs="宋体" w:eastAsia="宋体" w:hint="default"/>
                <w:sz w:val="21"/>
                <w:szCs w:val="21"/>
              </w:rPr>
            </w:pPr>
            <w:r>
              <w:rPr>
                <w:rFonts w:ascii="宋体"/>
                <w:sz w:val="21"/>
              </w:rPr>
              <w:t>1,524,068.00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10.11</w:t>
            </w:r>
          </w:p>
        </w:tc>
      </w:tr>
      <w:tr>
        <w:trPr>
          <w:trHeight w:val="347" w:hRule="exact"/>
        </w:trPr>
        <w:tc>
          <w:tcPr>
            <w:tcW w:w="4144"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陈晓华</w:t>
            </w:r>
          </w:p>
        </w:tc>
        <w:tc>
          <w:tcPr>
            <w:tcW w:w="3585"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2"/>
              <w:jc w:val="right"/>
              <w:rPr>
                <w:rFonts w:ascii="宋体" w:hAnsi="宋体" w:cs="宋体" w:eastAsia="宋体" w:hint="default"/>
                <w:sz w:val="21"/>
                <w:szCs w:val="21"/>
              </w:rPr>
            </w:pPr>
            <w:r>
              <w:rPr>
                <w:rFonts w:ascii="宋体"/>
                <w:sz w:val="21"/>
              </w:rPr>
              <w:t>1,205,776.00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8.00</w:t>
            </w:r>
          </w:p>
        </w:tc>
      </w:tr>
      <w:tr>
        <w:trPr>
          <w:trHeight w:val="348" w:hRule="exact"/>
        </w:trPr>
        <w:tc>
          <w:tcPr>
            <w:tcW w:w="4144"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585"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5"/>
              <w:jc w:val="right"/>
              <w:rPr>
                <w:rFonts w:ascii="宋体" w:hAnsi="宋体" w:cs="宋体" w:eastAsia="宋体" w:hint="default"/>
                <w:sz w:val="21"/>
                <w:szCs w:val="21"/>
              </w:rPr>
            </w:pPr>
            <w:r>
              <w:rPr>
                <w:rFonts w:ascii="宋体"/>
                <w:b/>
                <w:w w:val="95"/>
                <w:sz w:val="21"/>
              </w:rPr>
              <w:t>15,072,202.00</w:t>
            </w:r>
            <w:r>
              <w:rPr>
                <w:rFonts w:ascii="宋体"/>
                <w:sz w:val="21"/>
              </w:rPr>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9"/>
              <w:jc w:val="right"/>
              <w:rPr>
                <w:rFonts w:ascii="宋体" w:hAnsi="宋体" w:cs="宋体" w:eastAsia="宋体" w:hint="default"/>
                <w:sz w:val="21"/>
                <w:szCs w:val="21"/>
              </w:rPr>
            </w:pPr>
            <w:r>
              <w:rPr>
                <w:rFonts w:ascii="宋体"/>
                <w:b/>
                <w:w w:val="95"/>
                <w:sz w:val="21"/>
              </w:rPr>
              <w:t>100.00</w:t>
            </w:r>
            <w:r>
              <w:rPr>
                <w:rFonts w:ascii="宋体"/>
                <w:sz w:val="21"/>
              </w:rPr>
            </w:r>
          </w:p>
        </w:tc>
      </w:tr>
    </w:tbl>
    <w:p>
      <w:pPr>
        <w:spacing w:line="240" w:lineRule="auto" w:before="5"/>
        <w:rPr>
          <w:rFonts w:ascii="宋体" w:hAnsi="宋体" w:cs="宋体" w:eastAsia="宋体" w:hint="default"/>
          <w:sz w:val="5"/>
          <w:szCs w:val="5"/>
        </w:rPr>
      </w:pPr>
    </w:p>
    <w:p>
      <w:pPr>
        <w:pStyle w:val="BodyText"/>
        <w:spacing w:line="240" w:lineRule="auto" w:before="35"/>
        <w:ind w:left="1134" w:right="0"/>
        <w:jc w:val="left"/>
      </w:pPr>
      <w:r>
        <w:rPr/>
        <w:t>根据中科创达有限</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8</w:t>
      </w:r>
      <w:r>
        <w:rPr/>
        <w:t>日第一届第十二次董事会决议和修改后的章程规定，并经北京市海淀区商</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73" w:lineRule="auto" w:before="35"/>
        <w:ind w:right="1115"/>
        <w:jc w:val="both"/>
      </w:pPr>
      <w:r>
        <w:rPr/>
        <w:t>务委员会于</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20</w:t>
      </w:r>
      <w:r>
        <w:rPr/>
        <w:t>日以海商审字</w:t>
      </w:r>
      <w:r>
        <w:rPr>
          <w:rFonts w:ascii="宋体" w:hAnsi="宋体" w:cs="宋体" w:eastAsia="宋体" w:hint="default"/>
        </w:rPr>
        <w:t>[2010]847</w:t>
      </w:r>
      <w:r>
        <w:rPr/>
        <w:t>号文件批准，赵鸿飞将公司股权的</w:t>
      </w:r>
      <w:r>
        <w:rPr>
          <w:rFonts w:ascii="宋体" w:hAnsi="宋体" w:cs="宋体" w:eastAsia="宋体" w:hint="default"/>
        </w:rPr>
        <w:t>1%</w:t>
      </w:r>
      <w:r>
        <w:rPr/>
        <w:t>转让给越超有限公</w:t>
      </w:r>
      <w:r>
        <w:rPr>
          <w:spacing w:val="-32"/>
        </w:rPr>
        <w:t> </w:t>
      </w:r>
      <w:r>
        <w:rPr>
          <w:spacing w:val="-32"/>
        </w:rPr>
      </w:r>
      <w:r>
        <w:rPr/>
        <w:t>司、</w:t>
      </w:r>
      <w:r>
        <w:rPr>
          <w:rFonts w:ascii="宋体" w:hAnsi="宋体" w:cs="宋体" w:eastAsia="宋体" w:hint="default"/>
        </w:rPr>
        <w:t>1%</w:t>
      </w:r>
      <w:r>
        <w:rPr/>
        <w:t>转让给国科瑞祺物联网创业投资有限公司，同时越超有限公司以等值人民币</w:t>
      </w:r>
      <w:r>
        <w:rPr>
          <w:rFonts w:ascii="宋体" w:hAnsi="宋体" w:cs="宋体" w:eastAsia="宋体" w:hint="default"/>
        </w:rPr>
        <w:t>50,000,000.00</w:t>
      </w:r>
      <w:r>
        <w:rPr/>
        <w:t>元的日</w:t>
      </w:r>
      <w:r>
        <w:rPr>
          <w:spacing w:val="-26"/>
        </w:rPr>
        <w:t> </w:t>
      </w:r>
      <w:r>
        <w:rPr>
          <w:spacing w:val="-26"/>
        </w:rPr>
      </w:r>
      <w:r>
        <w:rPr>
          <w:spacing w:val="8"/>
        </w:rPr>
        <w:t>元认购公司</w:t>
      </w:r>
      <w:r>
        <w:rPr>
          <w:rFonts w:ascii="宋体" w:hAnsi="宋体" w:cs="宋体" w:eastAsia="宋体" w:hint="default"/>
          <w:spacing w:val="8"/>
        </w:rPr>
        <w:t>2,512,034.00</w:t>
      </w:r>
      <w:r>
        <w:rPr>
          <w:spacing w:val="8"/>
        </w:rPr>
        <w:t>元的增资部分，国科瑞祺物联网创业投资有限公司以</w:t>
      </w:r>
      <w:r>
        <w:rPr>
          <w:rFonts w:ascii="宋体" w:hAnsi="宋体" w:cs="宋体" w:eastAsia="宋体" w:hint="default"/>
          <w:spacing w:val="8"/>
        </w:rPr>
        <w:t>15,000,000.00</w:t>
      </w:r>
      <w:r>
        <w:rPr>
          <w:spacing w:val="8"/>
        </w:rPr>
        <w:t>元认购</w:t>
      </w:r>
      <w:r>
        <w:rPr>
          <w:spacing w:val="-53"/>
        </w:rPr>
        <w:t> </w:t>
      </w:r>
      <w:r>
        <w:rPr>
          <w:rFonts w:ascii="宋体" w:hAnsi="宋体" w:cs="宋体" w:eastAsia="宋体" w:hint="default"/>
          <w:spacing w:val="-1"/>
        </w:rPr>
        <w:t>753,610.00</w:t>
      </w:r>
      <w:r>
        <w:rPr>
          <w:spacing w:val="-1"/>
        </w:rPr>
        <w:t>元的增资部分，世悦控股有限公司以等值人民币</w:t>
      </w:r>
      <w:r>
        <w:rPr>
          <w:rFonts w:ascii="宋体" w:hAnsi="宋体" w:cs="宋体" w:eastAsia="宋体" w:hint="default"/>
          <w:spacing w:val="-1"/>
        </w:rPr>
        <w:t>5,000,000.00</w:t>
      </w:r>
      <w:r>
        <w:rPr>
          <w:spacing w:val="-1"/>
        </w:rPr>
        <w:t>元的日元认购</w:t>
      </w:r>
      <w:r>
        <w:rPr>
          <w:rFonts w:ascii="宋体" w:hAnsi="宋体" w:cs="宋体" w:eastAsia="宋体" w:hint="default"/>
          <w:spacing w:val="-1"/>
        </w:rPr>
        <w:t>251,203.00</w:t>
      </w:r>
      <w:r>
        <w:rPr>
          <w:spacing w:val="-1"/>
        </w:rPr>
        <w:t>元的增</w:t>
      </w:r>
      <w:r>
        <w:rPr>
          <w:spacing w:val="-68"/>
        </w:rPr>
        <w:t> </w:t>
      </w:r>
      <w:r>
        <w:rPr>
          <w:spacing w:val="-68"/>
        </w:rPr>
      </w:r>
      <w:r>
        <w:rPr>
          <w:spacing w:val="-1"/>
        </w:rPr>
        <w:t>资部分。变更后注册资本为</w:t>
      </w:r>
      <w:r>
        <w:rPr>
          <w:rFonts w:ascii="宋体" w:hAnsi="宋体" w:cs="宋体" w:eastAsia="宋体" w:hint="default"/>
          <w:spacing w:val="-1"/>
        </w:rPr>
        <w:t>18,589,049.00</w:t>
      </w:r>
      <w:r>
        <w:rPr>
          <w:spacing w:val="-1"/>
        </w:rPr>
        <w:t>元，实收资本为</w:t>
      </w:r>
      <w:r>
        <w:rPr>
          <w:rFonts w:ascii="宋体" w:hAnsi="宋体" w:cs="宋体" w:eastAsia="宋体" w:hint="default"/>
          <w:spacing w:val="-1"/>
        </w:rPr>
        <w:t>18,589,049.00</w:t>
      </w:r>
      <w:r>
        <w:rPr>
          <w:spacing w:val="-1"/>
        </w:rPr>
        <w:t>元。上述出资业经北京浩仁盈和</w:t>
      </w:r>
      <w:r>
        <w:rPr>
          <w:spacing w:val="-73"/>
        </w:rPr>
        <w:t> </w:t>
      </w:r>
      <w:r>
        <w:rPr>
          <w:spacing w:val="-73"/>
        </w:rPr>
      </w:r>
      <w:r>
        <w:rPr>
          <w:spacing w:val="-1"/>
        </w:rPr>
        <w:t>会计师事务所于</w:t>
      </w:r>
      <w:r>
        <w:rPr>
          <w:rFonts w:ascii="宋体" w:hAnsi="宋体" w:cs="宋体" w:eastAsia="宋体" w:hint="default"/>
          <w:spacing w:val="-1"/>
        </w:rPr>
        <w:t>2011</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16</w:t>
      </w:r>
      <w:r>
        <w:rPr>
          <w:spacing w:val="-1"/>
        </w:rPr>
        <w:t>日出具浩仁（</w:t>
      </w:r>
      <w:r>
        <w:rPr>
          <w:rFonts w:ascii="宋体" w:hAnsi="宋体" w:cs="宋体" w:eastAsia="宋体" w:hint="default"/>
          <w:spacing w:val="-1"/>
        </w:rPr>
        <w:t>2011</w:t>
      </w:r>
      <w:r>
        <w:rPr>
          <w:spacing w:val="-1"/>
        </w:rPr>
        <w:t>）验字第</w:t>
      </w:r>
      <w:r>
        <w:rPr>
          <w:rFonts w:ascii="宋体" w:hAnsi="宋体" w:cs="宋体" w:eastAsia="宋体" w:hint="default"/>
          <w:spacing w:val="-1"/>
        </w:rPr>
        <w:t>002</w:t>
      </w:r>
      <w:r>
        <w:rPr>
          <w:spacing w:val="-1"/>
        </w:rPr>
        <w:t>号验资报告予以验证。此次变更后，中科创达</w:t>
      </w:r>
      <w:r>
        <w:rPr>
          <w:spacing w:val="-85"/>
        </w:rPr>
        <w:t> </w:t>
      </w:r>
      <w:r>
        <w:rPr>
          <w:spacing w:val="-85"/>
        </w:rPr>
      </w:r>
      <w:r>
        <w:rPr/>
        <w:t>有限股权结构如下：</w:t>
      </w:r>
    </w:p>
    <w:p>
      <w:pPr>
        <w:spacing w:line="240" w:lineRule="auto" w:before="3"/>
        <w:rPr>
          <w:rFonts w:ascii="宋体" w:hAnsi="宋体" w:cs="宋体" w:eastAsia="宋体" w:hint="default"/>
          <w:sz w:val="18"/>
          <w:szCs w:val="18"/>
        </w:rPr>
      </w:pPr>
    </w:p>
    <w:tbl>
      <w:tblPr>
        <w:tblW w:w="0" w:type="auto"/>
        <w:jc w:val="left"/>
        <w:tblInd w:w="1134" w:type="dxa"/>
        <w:tblLayout w:type="fixed"/>
        <w:tblCellMar>
          <w:top w:w="0" w:type="dxa"/>
          <w:left w:w="0" w:type="dxa"/>
          <w:bottom w:w="0" w:type="dxa"/>
          <w:right w:w="0" w:type="dxa"/>
        </w:tblCellMar>
        <w:tblLook w:val="01E0"/>
      </w:tblPr>
      <w:tblGrid>
        <w:gridCol w:w="4459"/>
        <w:gridCol w:w="3270"/>
        <w:gridCol w:w="1553"/>
      </w:tblGrid>
      <w:tr>
        <w:trPr>
          <w:trHeight w:val="349" w:hRule="exact"/>
        </w:trPr>
        <w:tc>
          <w:tcPr>
            <w:tcW w:w="4459"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3270"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592"/>
              <w:jc w:val="right"/>
              <w:rPr>
                <w:rFonts w:ascii="宋体" w:hAnsi="宋体" w:cs="宋体" w:eastAsia="宋体" w:hint="default"/>
                <w:sz w:val="21"/>
                <w:szCs w:val="21"/>
              </w:rPr>
            </w:pPr>
            <w:r>
              <w:rPr>
                <w:rFonts w:ascii="宋体" w:hAnsi="宋体" w:cs="宋体" w:eastAsia="宋体" w:hint="default"/>
                <w:b/>
                <w:bCs/>
                <w:sz w:val="21"/>
                <w:szCs w:val="21"/>
              </w:rPr>
              <w:t>出资额</w:t>
            </w:r>
            <w:r>
              <w:rPr>
                <w:rFonts w:ascii="宋体" w:hAnsi="宋体" w:cs="宋体" w:eastAsia="宋体" w:hint="default"/>
                <w:sz w:val="21"/>
                <w:szCs w:val="21"/>
              </w:rPr>
            </w:r>
          </w:p>
        </w:tc>
        <w:tc>
          <w:tcPr>
            <w:tcW w:w="1553"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8"/>
              <w:jc w:val="right"/>
              <w:rPr>
                <w:rFonts w:ascii="宋体" w:hAnsi="宋体" w:cs="宋体" w:eastAsia="宋体" w:hint="default"/>
                <w:sz w:val="21"/>
                <w:szCs w:val="21"/>
              </w:rPr>
            </w:pPr>
            <w:r>
              <w:rPr>
                <w:rFonts w:ascii="宋体" w:hAnsi="宋体" w:cs="宋体" w:eastAsia="宋体" w:hint="default"/>
                <w:b/>
                <w:bCs/>
                <w:w w:val="95"/>
                <w:sz w:val="21"/>
                <w:szCs w:val="21"/>
              </w:rPr>
              <w:t>出资比例</w:t>
            </w:r>
            <w:r>
              <w:rPr>
                <w:rFonts w:ascii="宋体" w:hAnsi="宋体" w:cs="宋体" w:eastAsia="宋体" w:hint="default"/>
                <w:b/>
                <w:bCs/>
                <w:w w:val="95"/>
                <w:sz w:val="21"/>
                <w:szCs w:val="21"/>
              </w:rPr>
              <w:t>%</w:t>
            </w:r>
            <w:r>
              <w:rPr>
                <w:rFonts w:ascii="宋体" w:hAnsi="宋体" w:cs="宋体" w:eastAsia="宋体" w:hint="default"/>
                <w:sz w:val="21"/>
                <w:szCs w:val="21"/>
              </w:rPr>
            </w:r>
          </w:p>
        </w:tc>
      </w:tr>
      <w:tr>
        <w:trPr>
          <w:trHeight w:val="347" w:hRule="exact"/>
        </w:trPr>
        <w:tc>
          <w:tcPr>
            <w:tcW w:w="445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赵鸿飞</w:t>
            </w:r>
          </w:p>
        </w:tc>
        <w:tc>
          <w:tcPr>
            <w:tcW w:w="327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2"/>
              <w:jc w:val="right"/>
              <w:rPr>
                <w:rFonts w:ascii="宋体" w:hAnsi="宋体" w:cs="宋体" w:eastAsia="宋体" w:hint="default"/>
                <w:sz w:val="21"/>
                <w:szCs w:val="21"/>
              </w:rPr>
            </w:pPr>
            <w:r>
              <w:rPr>
                <w:rFonts w:ascii="宋体"/>
                <w:sz w:val="21"/>
              </w:rPr>
              <w:t>12,040,914.00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64.7742</w:t>
            </w:r>
          </w:p>
        </w:tc>
      </w:tr>
      <w:tr>
        <w:trPr>
          <w:trHeight w:val="347" w:hRule="exact"/>
        </w:trPr>
        <w:tc>
          <w:tcPr>
            <w:tcW w:w="445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越超有限公司</w:t>
            </w:r>
          </w:p>
        </w:tc>
        <w:tc>
          <w:tcPr>
            <w:tcW w:w="327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2"/>
              <w:jc w:val="right"/>
              <w:rPr>
                <w:rFonts w:ascii="宋体" w:hAnsi="宋体" w:cs="宋体" w:eastAsia="宋体" w:hint="default"/>
                <w:sz w:val="21"/>
                <w:szCs w:val="21"/>
              </w:rPr>
            </w:pPr>
            <w:r>
              <w:rPr>
                <w:rFonts w:ascii="宋体"/>
                <w:sz w:val="21"/>
              </w:rPr>
              <w:t>2,662,756.00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14.3243</w:t>
            </w:r>
          </w:p>
        </w:tc>
      </w:tr>
      <w:tr>
        <w:trPr>
          <w:trHeight w:val="348" w:hRule="exact"/>
        </w:trPr>
        <w:tc>
          <w:tcPr>
            <w:tcW w:w="445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大洋中科特别目的株式会社</w:t>
            </w:r>
          </w:p>
        </w:tc>
        <w:tc>
          <w:tcPr>
            <w:tcW w:w="327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2"/>
              <w:jc w:val="right"/>
              <w:rPr>
                <w:rFonts w:ascii="宋体" w:hAnsi="宋体" w:cs="宋体" w:eastAsia="宋体" w:hint="default"/>
                <w:sz w:val="21"/>
                <w:szCs w:val="21"/>
              </w:rPr>
            </w:pPr>
            <w:r>
              <w:rPr>
                <w:rFonts w:ascii="宋体"/>
                <w:sz w:val="21"/>
              </w:rPr>
              <w:t>1,524,068.00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8.1987</w:t>
            </w:r>
          </w:p>
        </w:tc>
      </w:tr>
      <w:tr>
        <w:trPr>
          <w:trHeight w:val="347" w:hRule="exact"/>
        </w:trPr>
        <w:tc>
          <w:tcPr>
            <w:tcW w:w="4459"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陈晓华</w:t>
            </w:r>
          </w:p>
        </w:tc>
        <w:tc>
          <w:tcPr>
            <w:tcW w:w="3270"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592"/>
              <w:jc w:val="right"/>
              <w:rPr>
                <w:rFonts w:ascii="宋体" w:hAnsi="宋体" w:cs="宋体" w:eastAsia="宋体" w:hint="default"/>
                <w:sz w:val="21"/>
                <w:szCs w:val="21"/>
              </w:rPr>
            </w:pPr>
            <w:r>
              <w:rPr>
                <w:rFonts w:ascii="宋体"/>
                <w:sz w:val="21"/>
              </w:rPr>
              <w:t>1,205,776.00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7"/>
              <w:jc w:val="right"/>
              <w:rPr>
                <w:rFonts w:ascii="宋体" w:hAnsi="宋体" w:cs="宋体" w:eastAsia="宋体" w:hint="default"/>
                <w:sz w:val="21"/>
                <w:szCs w:val="21"/>
              </w:rPr>
            </w:pPr>
            <w:r>
              <w:rPr>
                <w:rFonts w:ascii="宋体"/>
                <w:sz w:val="21"/>
              </w:rPr>
              <w:t>6.4865</w:t>
            </w:r>
          </w:p>
        </w:tc>
      </w:tr>
      <w:tr>
        <w:trPr>
          <w:trHeight w:val="347" w:hRule="exact"/>
        </w:trPr>
        <w:tc>
          <w:tcPr>
            <w:tcW w:w="445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国科瑞祺物联网创业投资有限公司</w:t>
            </w:r>
          </w:p>
        </w:tc>
        <w:tc>
          <w:tcPr>
            <w:tcW w:w="327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3"/>
              <w:jc w:val="right"/>
              <w:rPr>
                <w:rFonts w:ascii="宋体" w:hAnsi="宋体" w:cs="宋体" w:eastAsia="宋体" w:hint="default"/>
                <w:sz w:val="21"/>
                <w:szCs w:val="21"/>
              </w:rPr>
            </w:pPr>
            <w:r>
              <w:rPr>
                <w:rFonts w:ascii="宋体"/>
                <w:sz w:val="21"/>
              </w:rPr>
              <w:t>904,332.00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4.8649</w:t>
            </w:r>
          </w:p>
        </w:tc>
      </w:tr>
      <w:tr>
        <w:trPr>
          <w:trHeight w:val="347" w:hRule="exact"/>
        </w:trPr>
        <w:tc>
          <w:tcPr>
            <w:tcW w:w="445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世悦控股有限公司</w:t>
            </w:r>
          </w:p>
        </w:tc>
        <w:tc>
          <w:tcPr>
            <w:tcW w:w="327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3"/>
              <w:jc w:val="right"/>
              <w:rPr>
                <w:rFonts w:ascii="宋体" w:hAnsi="宋体" w:cs="宋体" w:eastAsia="宋体" w:hint="default"/>
                <w:sz w:val="21"/>
                <w:szCs w:val="21"/>
              </w:rPr>
            </w:pPr>
            <w:r>
              <w:rPr>
                <w:rFonts w:ascii="宋体"/>
                <w:sz w:val="21"/>
              </w:rPr>
              <w:t>251,203.00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1.3514</w:t>
            </w:r>
          </w:p>
        </w:tc>
      </w:tr>
      <w:tr>
        <w:trPr>
          <w:trHeight w:val="348" w:hRule="exact"/>
        </w:trPr>
        <w:tc>
          <w:tcPr>
            <w:tcW w:w="445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27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5"/>
              <w:jc w:val="right"/>
              <w:rPr>
                <w:rFonts w:ascii="宋体" w:hAnsi="宋体" w:cs="宋体" w:eastAsia="宋体" w:hint="default"/>
                <w:sz w:val="21"/>
                <w:szCs w:val="21"/>
              </w:rPr>
            </w:pPr>
            <w:r>
              <w:rPr>
                <w:rFonts w:ascii="宋体"/>
                <w:b/>
                <w:w w:val="95"/>
                <w:sz w:val="21"/>
              </w:rPr>
              <w:t>18,589,049.00</w:t>
            </w:r>
            <w:r>
              <w:rPr>
                <w:rFonts w:ascii="宋体"/>
                <w:sz w:val="21"/>
              </w:rPr>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9"/>
              <w:jc w:val="right"/>
              <w:rPr>
                <w:rFonts w:ascii="宋体" w:hAnsi="宋体" w:cs="宋体" w:eastAsia="宋体" w:hint="default"/>
                <w:sz w:val="21"/>
                <w:szCs w:val="21"/>
              </w:rPr>
            </w:pPr>
            <w:r>
              <w:rPr>
                <w:rFonts w:ascii="宋体"/>
                <w:b/>
                <w:w w:val="95"/>
                <w:sz w:val="21"/>
              </w:rPr>
              <w:t>100.0000</w:t>
            </w:r>
            <w:r>
              <w:rPr>
                <w:rFonts w:ascii="宋体"/>
                <w:sz w:val="21"/>
              </w:rPr>
            </w:r>
          </w:p>
        </w:tc>
      </w:tr>
    </w:tbl>
    <w:p>
      <w:pPr>
        <w:spacing w:line="240" w:lineRule="auto" w:before="5"/>
        <w:rPr>
          <w:rFonts w:ascii="宋体" w:hAnsi="宋体" w:cs="宋体" w:eastAsia="宋体" w:hint="default"/>
          <w:sz w:val="5"/>
          <w:szCs w:val="5"/>
        </w:rPr>
      </w:pPr>
    </w:p>
    <w:p>
      <w:pPr>
        <w:pStyle w:val="BodyText"/>
        <w:spacing w:line="273" w:lineRule="auto" w:before="35"/>
        <w:ind w:right="1130"/>
        <w:jc w:val="both"/>
      </w:pPr>
      <w:r>
        <w:rPr/>
        <w:t>根据中科创达有限</w:t>
      </w: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28</w:t>
      </w:r>
      <w:r>
        <w:rPr/>
        <w:t>日第一届第十三次董事会决议和修改后的章程规定，并经北京市海淀区商</w:t>
      </w:r>
      <w:r>
        <w:rPr>
          <w:spacing w:val="-35"/>
        </w:rPr>
        <w:t> </w:t>
      </w:r>
      <w:r>
        <w:rPr>
          <w:spacing w:val="-35"/>
        </w:rPr>
      </w:r>
      <w:r>
        <w:rPr/>
        <w:t>务委员会于</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31</w:t>
      </w:r>
      <w:r>
        <w:rPr/>
        <w:t>日以海商审字</w:t>
      </w:r>
      <w:r>
        <w:rPr>
          <w:rFonts w:ascii="宋体" w:hAnsi="宋体" w:cs="宋体" w:eastAsia="宋体" w:hint="default"/>
        </w:rPr>
        <w:t>[2011]408</w:t>
      </w:r>
      <w:r>
        <w:rPr/>
        <w:t>号文件批准，</w:t>
      </w:r>
      <w:r>
        <w:rPr>
          <w:rFonts w:ascii="宋体" w:hAnsi="宋体" w:cs="宋体" w:eastAsia="宋体" w:hint="default"/>
        </w:rPr>
        <w:t>ARM</w:t>
      </w:r>
      <w:r>
        <w:rPr>
          <w:rFonts w:ascii="宋体" w:hAnsi="宋体" w:cs="宋体" w:eastAsia="宋体" w:hint="default"/>
          <w:spacing w:val="-27"/>
        </w:rPr>
        <w:t> </w:t>
      </w:r>
      <w:r>
        <w:rPr>
          <w:rFonts w:ascii="宋体" w:hAnsi="宋体" w:cs="宋体" w:eastAsia="宋体" w:hint="default"/>
        </w:rPr>
        <w:t>Limited</w:t>
      </w:r>
      <w:r>
        <w:rPr/>
        <w:t>以等值人民币</w:t>
      </w:r>
      <w:r>
        <w:rPr>
          <w:rFonts w:ascii="宋体" w:hAnsi="宋体" w:cs="宋体" w:eastAsia="宋体" w:hint="default"/>
        </w:rPr>
        <w:t>10,000,000.00</w:t>
      </w:r>
      <w:r>
        <w:rPr/>
        <w:t>元 的日元认购</w:t>
      </w:r>
      <w:r>
        <w:rPr>
          <w:rFonts w:ascii="宋体" w:hAnsi="宋体" w:cs="宋体" w:eastAsia="宋体" w:hint="default"/>
        </w:rPr>
        <w:t>502,407.00</w:t>
      </w:r>
      <w:r>
        <w:rPr/>
        <w:t>元的增资部分，</w:t>
      </w:r>
      <w:r>
        <w:rPr>
          <w:rFonts w:ascii="宋体" w:hAnsi="宋体" w:cs="宋体" w:eastAsia="宋体" w:hint="default"/>
        </w:rPr>
        <w:t>Qualcomm</w:t>
      </w:r>
      <w:r>
        <w:rPr>
          <w:rFonts w:ascii="宋体" w:hAnsi="宋体" w:cs="宋体" w:eastAsia="宋体" w:hint="default"/>
          <w:spacing w:val="-25"/>
        </w:rPr>
        <w:t> </w:t>
      </w:r>
      <w:r>
        <w:rPr>
          <w:rFonts w:ascii="宋体" w:hAnsi="宋体" w:cs="宋体" w:eastAsia="宋体" w:hint="default"/>
        </w:rPr>
        <w:t>International,Inc.</w:t>
      </w:r>
      <w:r>
        <w:rPr/>
        <w:t>以等值人民币</w:t>
      </w:r>
      <w:r>
        <w:rPr>
          <w:rFonts w:ascii="宋体" w:hAnsi="宋体" w:cs="宋体" w:eastAsia="宋体" w:hint="default"/>
        </w:rPr>
        <w:t>10,000,000.00</w:t>
      </w:r>
      <w:r>
        <w:rPr/>
        <w:t>元的日</w:t>
      </w:r>
      <w:r>
        <w:rPr>
          <w:spacing w:val="1"/>
        </w:rPr>
        <w:t> </w:t>
      </w:r>
      <w:r>
        <w:rPr>
          <w:spacing w:val="-1"/>
        </w:rPr>
        <w:t>元认购</w:t>
      </w:r>
      <w:r>
        <w:rPr>
          <w:rFonts w:ascii="宋体" w:hAnsi="宋体" w:cs="宋体" w:eastAsia="宋体" w:hint="default"/>
          <w:spacing w:val="-1"/>
        </w:rPr>
        <w:t>502,407.00</w:t>
      </w:r>
      <w:r>
        <w:rPr>
          <w:spacing w:val="-1"/>
        </w:rPr>
        <w:t>元的增资部分。变更后注册资本为</w:t>
      </w:r>
      <w:r>
        <w:rPr>
          <w:rFonts w:ascii="宋体" w:hAnsi="宋体" w:cs="宋体" w:eastAsia="宋体" w:hint="default"/>
          <w:spacing w:val="-1"/>
        </w:rPr>
        <w:t>19,593,863.00</w:t>
      </w:r>
      <w:r>
        <w:rPr>
          <w:spacing w:val="-1"/>
        </w:rPr>
        <w:t>元，实收资本为</w:t>
      </w:r>
      <w:r>
        <w:rPr>
          <w:rFonts w:ascii="宋体" w:hAnsi="宋体" w:cs="宋体" w:eastAsia="宋体" w:hint="default"/>
          <w:spacing w:val="-1"/>
        </w:rPr>
        <w:t>19,593,863.00</w:t>
      </w:r>
      <w:r>
        <w:rPr>
          <w:spacing w:val="-1"/>
        </w:rPr>
        <w:t>元。上</w:t>
      </w:r>
      <w:r>
        <w:rPr>
          <w:spacing w:val="-68"/>
        </w:rPr>
        <w:t> </w:t>
      </w:r>
      <w:r>
        <w:rPr>
          <w:spacing w:val="-68"/>
        </w:rPr>
      </w:r>
      <w:r>
        <w:rPr>
          <w:spacing w:val="-1"/>
        </w:rPr>
        <w:t>述出资业经北京中税德庆会计师事务所于</w:t>
      </w:r>
      <w:r>
        <w:rPr>
          <w:rFonts w:ascii="宋体" w:hAnsi="宋体" w:cs="宋体" w:eastAsia="宋体" w:hint="default"/>
          <w:spacing w:val="-1"/>
        </w:rPr>
        <w:t>2011</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28</w:t>
      </w:r>
      <w:r>
        <w:rPr>
          <w:spacing w:val="-1"/>
        </w:rPr>
        <w:t>日出具中税德庆验字（</w:t>
      </w:r>
      <w:r>
        <w:rPr>
          <w:rFonts w:ascii="宋体" w:hAnsi="宋体" w:cs="宋体" w:eastAsia="宋体" w:hint="default"/>
          <w:spacing w:val="-1"/>
        </w:rPr>
        <w:t>2011</w:t>
      </w:r>
      <w:r>
        <w:rPr>
          <w:spacing w:val="-1"/>
        </w:rPr>
        <w:t>）第</w:t>
      </w:r>
      <w:r>
        <w:rPr>
          <w:rFonts w:ascii="宋体" w:hAnsi="宋体" w:cs="宋体" w:eastAsia="宋体" w:hint="default"/>
          <w:spacing w:val="-1"/>
        </w:rPr>
        <w:t>133</w:t>
      </w:r>
      <w:r>
        <w:rPr>
          <w:spacing w:val="-1"/>
        </w:rPr>
        <w:t>号验资报告予以</w:t>
      </w:r>
      <w:r>
        <w:rPr>
          <w:spacing w:val="-79"/>
        </w:rPr>
        <w:t> </w:t>
      </w:r>
      <w:r>
        <w:rPr>
          <w:spacing w:val="-79"/>
        </w:rPr>
      </w:r>
      <w:r>
        <w:rPr/>
        <w:t>验证。此次变更后，中科创达有限股权结构如下：</w:t>
      </w:r>
    </w:p>
    <w:p>
      <w:pPr>
        <w:spacing w:line="240" w:lineRule="auto" w:before="3"/>
        <w:rPr>
          <w:rFonts w:ascii="宋体" w:hAnsi="宋体" w:cs="宋体" w:eastAsia="宋体" w:hint="default"/>
          <w:sz w:val="18"/>
          <w:szCs w:val="18"/>
        </w:rPr>
      </w:pPr>
    </w:p>
    <w:tbl>
      <w:tblPr>
        <w:tblW w:w="0" w:type="auto"/>
        <w:jc w:val="left"/>
        <w:tblInd w:w="1134" w:type="dxa"/>
        <w:tblLayout w:type="fixed"/>
        <w:tblCellMar>
          <w:top w:w="0" w:type="dxa"/>
          <w:left w:w="0" w:type="dxa"/>
          <w:bottom w:w="0" w:type="dxa"/>
          <w:right w:w="0" w:type="dxa"/>
        </w:tblCellMar>
        <w:tblLook w:val="01E0"/>
      </w:tblPr>
      <w:tblGrid>
        <w:gridCol w:w="4459"/>
        <w:gridCol w:w="3270"/>
        <w:gridCol w:w="1553"/>
      </w:tblGrid>
      <w:tr>
        <w:trPr>
          <w:trHeight w:val="349" w:hRule="exact"/>
        </w:trPr>
        <w:tc>
          <w:tcPr>
            <w:tcW w:w="4459"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3270"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592"/>
              <w:jc w:val="right"/>
              <w:rPr>
                <w:rFonts w:ascii="宋体" w:hAnsi="宋体" w:cs="宋体" w:eastAsia="宋体" w:hint="default"/>
                <w:sz w:val="21"/>
                <w:szCs w:val="21"/>
              </w:rPr>
            </w:pPr>
            <w:r>
              <w:rPr>
                <w:rFonts w:ascii="宋体" w:hAnsi="宋体" w:cs="宋体" w:eastAsia="宋体" w:hint="default"/>
                <w:b/>
                <w:bCs/>
                <w:sz w:val="21"/>
                <w:szCs w:val="21"/>
              </w:rPr>
              <w:t>出资额</w:t>
            </w:r>
            <w:r>
              <w:rPr>
                <w:rFonts w:ascii="宋体" w:hAnsi="宋体" w:cs="宋体" w:eastAsia="宋体" w:hint="default"/>
                <w:sz w:val="21"/>
                <w:szCs w:val="21"/>
              </w:rPr>
            </w:r>
          </w:p>
        </w:tc>
        <w:tc>
          <w:tcPr>
            <w:tcW w:w="1553"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8"/>
              <w:jc w:val="right"/>
              <w:rPr>
                <w:rFonts w:ascii="宋体" w:hAnsi="宋体" w:cs="宋体" w:eastAsia="宋体" w:hint="default"/>
                <w:sz w:val="21"/>
                <w:szCs w:val="21"/>
              </w:rPr>
            </w:pPr>
            <w:r>
              <w:rPr>
                <w:rFonts w:ascii="宋体" w:hAnsi="宋体" w:cs="宋体" w:eastAsia="宋体" w:hint="default"/>
                <w:b/>
                <w:bCs/>
                <w:w w:val="95"/>
                <w:sz w:val="21"/>
                <w:szCs w:val="21"/>
              </w:rPr>
              <w:t>出资比例</w:t>
            </w:r>
            <w:r>
              <w:rPr>
                <w:rFonts w:ascii="宋体" w:hAnsi="宋体" w:cs="宋体" w:eastAsia="宋体" w:hint="default"/>
                <w:b/>
                <w:bCs/>
                <w:w w:val="95"/>
                <w:sz w:val="21"/>
                <w:szCs w:val="21"/>
              </w:rPr>
              <w:t>%</w:t>
            </w:r>
            <w:r>
              <w:rPr>
                <w:rFonts w:ascii="宋体" w:hAnsi="宋体" w:cs="宋体" w:eastAsia="宋体" w:hint="default"/>
                <w:sz w:val="21"/>
                <w:szCs w:val="21"/>
              </w:rPr>
            </w:r>
          </w:p>
        </w:tc>
      </w:tr>
      <w:tr>
        <w:trPr>
          <w:trHeight w:val="347" w:hRule="exact"/>
        </w:trPr>
        <w:tc>
          <w:tcPr>
            <w:tcW w:w="445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赵鸿飞</w:t>
            </w:r>
          </w:p>
        </w:tc>
        <w:tc>
          <w:tcPr>
            <w:tcW w:w="327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2"/>
              <w:jc w:val="right"/>
              <w:rPr>
                <w:rFonts w:ascii="宋体" w:hAnsi="宋体" w:cs="宋体" w:eastAsia="宋体" w:hint="default"/>
                <w:sz w:val="21"/>
                <w:szCs w:val="21"/>
              </w:rPr>
            </w:pPr>
            <w:r>
              <w:rPr>
                <w:rFonts w:ascii="宋体"/>
                <w:sz w:val="21"/>
              </w:rPr>
              <w:t>12,040,914.00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61.4525</w:t>
            </w:r>
          </w:p>
        </w:tc>
      </w:tr>
      <w:tr>
        <w:trPr>
          <w:trHeight w:val="347" w:hRule="exact"/>
        </w:trPr>
        <w:tc>
          <w:tcPr>
            <w:tcW w:w="445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越超有限公司</w:t>
            </w:r>
          </w:p>
        </w:tc>
        <w:tc>
          <w:tcPr>
            <w:tcW w:w="327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2"/>
              <w:jc w:val="right"/>
              <w:rPr>
                <w:rFonts w:ascii="宋体" w:hAnsi="宋体" w:cs="宋体" w:eastAsia="宋体" w:hint="default"/>
                <w:sz w:val="21"/>
                <w:szCs w:val="21"/>
              </w:rPr>
            </w:pPr>
            <w:r>
              <w:rPr>
                <w:rFonts w:ascii="宋体"/>
                <w:sz w:val="21"/>
              </w:rPr>
              <w:t>2,662,756.00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13.5897</w:t>
            </w:r>
          </w:p>
        </w:tc>
      </w:tr>
      <w:tr>
        <w:trPr>
          <w:trHeight w:val="348" w:hRule="exact"/>
        </w:trPr>
        <w:tc>
          <w:tcPr>
            <w:tcW w:w="445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大洋中科特别目的株式会社</w:t>
            </w:r>
          </w:p>
        </w:tc>
        <w:tc>
          <w:tcPr>
            <w:tcW w:w="327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2"/>
              <w:jc w:val="right"/>
              <w:rPr>
                <w:rFonts w:ascii="宋体" w:hAnsi="宋体" w:cs="宋体" w:eastAsia="宋体" w:hint="default"/>
                <w:sz w:val="21"/>
                <w:szCs w:val="21"/>
              </w:rPr>
            </w:pPr>
            <w:r>
              <w:rPr>
                <w:rFonts w:ascii="宋体"/>
                <w:sz w:val="21"/>
              </w:rPr>
              <w:t>1,524,068.00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7.7783</w:t>
            </w:r>
          </w:p>
        </w:tc>
      </w:tr>
      <w:tr>
        <w:trPr>
          <w:trHeight w:val="347" w:hRule="exact"/>
        </w:trPr>
        <w:tc>
          <w:tcPr>
            <w:tcW w:w="4459"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陈晓华</w:t>
            </w:r>
          </w:p>
        </w:tc>
        <w:tc>
          <w:tcPr>
            <w:tcW w:w="3270"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592"/>
              <w:jc w:val="right"/>
              <w:rPr>
                <w:rFonts w:ascii="宋体" w:hAnsi="宋体" w:cs="宋体" w:eastAsia="宋体" w:hint="default"/>
                <w:sz w:val="21"/>
                <w:szCs w:val="21"/>
              </w:rPr>
            </w:pPr>
            <w:r>
              <w:rPr>
                <w:rFonts w:ascii="宋体"/>
                <w:sz w:val="21"/>
              </w:rPr>
              <w:t>1,205,776.00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7"/>
              <w:jc w:val="right"/>
              <w:rPr>
                <w:rFonts w:ascii="宋体" w:hAnsi="宋体" w:cs="宋体" w:eastAsia="宋体" w:hint="default"/>
                <w:sz w:val="21"/>
                <w:szCs w:val="21"/>
              </w:rPr>
            </w:pPr>
            <w:r>
              <w:rPr>
                <w:rFonts w:ascii="宋体"/>
                <w:sz w:val="21"/>
              </w:rPr>
              <w:t>6.1538</w:t>
            </w:r>
          </w:p>
        </w:tc>
      </w:tr>
      <w:tr>
        <w:trPr>
          <w:trHeight w:val="347" w:hRule="exact"/>
        </w:trPr>
        <w:tc>
          <w:tcPr>
            <w:tcW w:w="445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国科瑞祺物联网创业投资有限公司</w:t>
            </w:r>
          </w:p>
        </w:tc>
        <w:tc>
          <w:tcPr>
            <w:tcW w:w="327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3"/>
              <w:jc w:val="right"/>
              <w:rPr>
                <w:rFonts w:ascii="宋体" w:hAnsi="宋体" w:cs="宋体" w:eastAsia="宋体" w:hint="default"/>
                <w:sz w:val="21"/>
                <w:szCs w:val="21"/>
              </w:rPr>
            </w:pPr>
            <w:r>
              <w:rPr>
                <w:rFonts w:ascii="宋体"/>
                <w:sz w:val="21"/>
              </w:rPr>
              <w:t>904,332.00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4.6154</w:t>
            </w:r>
          </w:p>
        </w:tc>
      </w:tr>
      <w:tr>
        <w:trPr>
          <w:trHeight w:val="347" w:hRule="exact"/>
        </w:trPr>
        <w:tc>
          <w:tcPr>
            <w:tcW w:w="445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sz w:val="21"/>
              </w:rPr>
              <w:t>ARM Limited</w:t>
            </w:r>
          </w:p>
        </w:tc>
        <w:tc>
          <w:tcPr>
            <w:tcW w:w="327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3"/>
              <w:jc w:val="right"/>
              <w:rPr>
                <w:rFonts w:ascii="宋体" w:hAnsi="宋体" w:cs="宋体" w:eastAsia="宋体" w:hint="default"/>
                <w:sz w:val="21"/>
                <w:szCs w:val="21"/>
              </w:rPr>
            </w:pPr>
            <w:r>
              <w:rPr>
                <w:rFonts w:ascii="宋体"/>
                <w:sz w:val="21"/>
              </w:rPr>
              <w:t>502,407.00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2.5641</w:t>
            </w:r>
          </w:p>
        </w:tc>
      </w:tr>
      <w:tr>
        <w:trPr>
          <w:trHeight w:val="347" w:hRule="exact"/>
        </w:trPr>
        <w:tc>
          <w:tcPr>
            <w:tcW w:w="445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sz w:val="21"/>
              </w:rPr>
              <w:t>Qualcomm</w:t>
            </w:r>
            <w:r>
              <w:rPr>
                <w:rFonts w:ascii="宋体"/>
                <w:spacing w:val="-2"/>
                <w:sz w:val="21"/>
              </w:rPr>
              <w:t> </w:t>
            </w:r>
            <w:r>
              <w:rPr>
                <w:rFonts w:ascii="宋体"/>
                <w:sz w:val="21"/>
              </w:rPr>
              <w:t>International,Inc.</w:t>
            </w:r>
          </w:p>
        </w:tc>
        <w:tc>
          <w:tcPr>
            <w:tcW w:w="327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3"/>
              <w:jc w:val="right"/>
              <w:rPr>
                <w:rFonts w:ascii="宋体" w:hAnsi="宋体" w:cs="宋体" w:eastAsia="宋体" w:hint="default"/>
                <w:sz w:val="21"/>
                <w:szCs w:val="21"/>
              </w:rPr>
            </w:pPr>
            <w:r>
              <w:rPr>
                <w:rFonts w:ascii="宋体"/>
                <w:sz w:val="21"/>
              </w:rPr>
              <w:t>502,407.00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2.5641</w:t>
            </w:r>
          </w:p>
        </w:tc>
      </w:tr>
      <w:tr>
        <w:trPr>
          <w:trHeight w:val="347" w:hRule="exact"/>
        </w:trPr>
        <w:tc>
          <w:tcPr>
            <w:tcW w:w="445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世悦控股有限公司</w:t>
            </w:r>
          </w:p>
        </w:tc>
        <w:tc>
          <w:tcPr>
            <w:tcW w:w="327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3"/>
              <w:jc w:val="right"/>
              <w:rPr>
                <w:rFonts w:ascii="宋体" w:hAnsi="宋体" w:cs="宋体" w:eastAsia="宋体" w:hint="default"/>
                <w:sz w:val="21"/>
                <w:szCs w:val="21"/>
              </w:rPr>
            </w:pPr>
            <w:r>
              <w:rPr>
                <w:rFonts w:ascii="宋体"/>
                <w:sz w:val="21"/>
              </w:rPr>
              <w:t>251,203.00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1.2820</w:t>
            </w:r>
          </w:p>
        </w:tc>
      </w:tr>
      <w:tr>
        <w:trPr>
          <w:trHeight w:val="348" w:hRule="exact"/>
        </w:trPr>
        <w:tc>
          <w:tcPr>
            <w:tcW w:w="445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27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5"/>
              <w:jc w:val="right"/>
              <w:rPr>
                <w:rFonts w:ascii="宋体" w:hAnsi="宋体" w:cs="宋体" w:eastAsia="宋体" w:hint="default"/>
                <w:sz w:val="21"/>
                <w:szCs w:val="21"/>
              </w:rPr>
            </w:pPr>
            <w:r>
              <w:rPr>
                <w:rFonts w:ascii="宋体"/>
                <w:b/>
                <w:w w:val="95"/>
                <w:sz w:val="21"/>
              </w:rPr>
              <w:t>19,593,863.00</w:t>
            </w:r>
            <w:r>
              <w:rPr>
                <w:rFonts w:ascii="宋体"/>
                <w:sz w:val="21"/>
              </w:rPr>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9"/>
              <w:jc w:val="right"/>
              <w:rPr>
                <w:rFonts w:ascii="宋体" w:hAnsi="宋体" w:cs="宋体" w:eastAsia="宋体" w:hint="default"/>
                <w:sz w:val="21"/>
                <w:szCs w:val="21"/>
              </w:rPr>
            </w:pPr>
            <w:r>
              <w:rPr>
                <w:rFonts w:ascii="宋体"/>
                <w:b/>
                <w:w w:val="95"/>
                <w:sz w:val="21"/>
              </w:rPr>
              <w:t>100.0000</w:t>
            </w:r>
            <w:r>
              <w:rPr>
                <w:rFonts w:ascii="宋体"/>
                <w:sz w:val="21"/>
              </w:rPr>
            </w:r>
          </w:p>
        </w:tc>
      </w:tr>
    </w:tbl>
    <w:p>
      <w:pPr>
        <w:spacing w:line="240" w:lineRule="auto" w:before="5"/>
        <w:rPr>
          <w:rFonts w:ascii="宋体" w:hAnsi="宋体" w:cs="宋体" w:eastAsia="宋体" w:hint="default"/>
          <w:sz w:val="5"/>
          <w:szCs w:val="5"/>
        </w:rPr>
      </w:pPr>
    </w:p>
    <w:p>
      <w:pPr>
        <w:pStyle w:val="BodyText"/>
        <w:spacing w:line="273" w:lineRule="auto" w:before="35"/>
        <w:ind w:left="1134" w:right="1132"/>
        <w:jc w:val="both"/>
      </w:pPr>
      <w:r>
        <w:rPr/>
        <w:t>根据中科创达有限</w:t>
      </w: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30</w:t>
      </w:r>
      <w:r>
        <w:rPr/>
        <w:t>日第二届第三次董事会决议和修改后的章程规定，并经北京市海淀区商务</w:t>
      </w:r>
      <w:r>
        <w:rPr>
          <w:spacing w:val="-35"/>
        </w:rPr>
        <w:t> </w:t>
      </w:r>
      <w:r>
        <w:rPr>
          <w:spacing w:val="-35"/>
        </w:rPr>
      </w:r>
      <w:r>
        <w:rPr>
          <w:spacing w:val="2"/>
        </w:rPr>
        <w:t>委员会于</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10</w:t>
      </w:r>
      <w:r>
        <w:rPr>
          <w:spacing w:val="2"/>
        </w:rPr>
        <w:t>日以海商审字</w:t>
      </w:r>
      <w:r>
        <w:rPr>
          <w:rFonts w:ascii="宋体" w:hAnsi="宋体" w:cs="宋体" w:eastAsia="宋体" w:hint="default"/>
          <w:spacing w:val="2"/>
        </w:rPr>
        <w:t>[2012]98</w:t>
      </w:r>
      <w:r>
        <w:rPr>
          <w:spacing w:val="2"/>
        </w:rPr>
        <w:t>号文件批准，赵鸿飞将公司股权的</w:t>
      </w:r>
      <w:r>
        <w:rPr>
          <w:rFonts w:ascii="宋体" w:hAnsi="宋体" w:cs="宋体" w:eastAsia="宋体" w:hint="default"/>
          <w:spacing w:val="2"/>
        </w:rPr>
        <w:t>2.5641%</w:t>
      </w:r>
      <w:r>
        <w:rPr>
          <w:spacing w:val="2"/>
        </w:rPr>
        <w:t>转让给</w:t>
      </w:r>
      <w:r>
        <w:rPr>
          <w:rFonts w:ascii="宋体" w:hAnsi="宋体" w:cs="宋体" w:eastAsia="宋体" w:hint="default"/>
          <w:spacing w:val="2"/>
        </w:rPr>
        <w:t>Qualcomm</w:t>
      </w:r>
      <w:r>
        <w:rPr>
          <w:rFonts w:ascii="宋体" w:hAnsi="宋体" w:cs="宋体" w:eastAsia="宋体" w:hint="default"/>
          <w:spacing w:val="-63"/>
        </w:rPr>
        <w:t> </w:t>
      </w:r>
      <w:r>
        <w:rPr>
          <w:rFonts w:ascii="宋体" w:hAnsi="宋体" w:cs="宋体" w:eastAsia="宋体" w:hint="default"/>
          <w:spacing w:val="-63"/>
        </w:rPr>
      </w:r>
      <w:r>
        <w:rPr>
          <w:rFonts w:ascii="宋体" w:hAnsi="宋体" w:cs="宋体" w:eastAsia="宋体" w:hint="default"/>
        </w:rPr>
        <w:t>International,Inc.</w:t>
      </w:r>
      <w:r>
        <w:rPr/>
        <w:t>。此次变更后，中科创达有限股权结构如下：</w:t>
      </w:r>
    </w:p>
    <w:p>
      <w:pPr>
        <w:spacing w:line="240" w:lineRule="auto" w:before="3"/>
        <w:rPr>
          <w:rFonts w:ascii="宋体" w:hAnsi="宋体" w:cs="宋体" w:eastAsia="宋体" w:hint="default"/>
          <w:sz w:val="18"/>
          <w:szCs w:val="18"/>
        </w:rPr>
      </w:pPr>
    </w:p>
    <w:tbl>
      <w:tblPr>
        <w:tblW w:w="0" w:type="auto"/>
        <w:jc w:val="left"/>
        <w:tblInd w:w="1134" w:type="dxa"/>
        <w:tblLayout w:type="fixed"/>
        <w:tblCellMar>
          <w:top w:w="0" w:type="dxa"/>
          <w:left w:w="0" w:type="dxa"/>
          <w:bottom w:w="0" w:type="dxa"/>
          <w:right w:w="0" w:type="dxa"/>
        </w:tblCellMar>
        <w:tblLook w:val="01E0"/>
      </w:tblPr>
      <w:tblGrid>
        <w:gridCol w:w="4149"/>
        <w:gridCol w:w="3632"/>
        <w:gridCol w:w="1500"/>
      </w:tblGrid>
      <w:tr>
        <w:trPr>
          <w:trHeight w:val="349" w:hRule="exact"/>
        </w:trPr>
        <w:tc>
          <w:tcPr>
            <w:tcW w:w="4149"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3632"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646"/>
              <w:jc w:val="right"/>
              <w:rPr>
                <w:rFonts w:ascii="宋体" w:hAnsi="宋体" w:cs="宋体" w:eastAsia="宋体" w:hint="default"/>
                <w:sz w:val="21"/>
                <w:szCs w:val="21"/>
              </w:rPr>
            </w:pPr>
            <w:r>
              <w:rPr>
                <w:rFonts w:ascii="宋体" w:hAnsi="宋体" w:cs="宋体" w:eastAsia="宋体" w:hint="default"/>
                <w:b/>
                <w:bCs/>
                <w:sz w:val="21"/>
                <w:szCs w:val="21"/>
              </w:rPr>
              <w:t>出资额</w:t>
            </w:r>
            <w:r>
              <w:rPr>
                <w:rFonts w:ascii="宋体" w:hAnsi="宋体" w:cs="宋体" w:eastAsia="宋体" w:hint="default"/>
                <w:sz w:val="21"/>
                <w:szCs w:val="21"/>
              </w:rPr>
            </w:r>
          </w:p>
        </w:tc>
        <w:tc>
          <w:tcPr>
            <w:tcW w:w="1500"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6"/>
              <w:jc w:val="right"/>
              <w:rPr>
                <w:rFonts w:ascii="宋体" w:hAnsi="宋体" w:cs="宋体" w:eastAsia="宋体" w:hint="default"/>
                <w:sz w:val="21"/>
                <w:szCs w:val="21"/>
              </w:rPr>
            </w:pPr>
            <w:r>
              <w:rPr>
                <w:rFonts w:ascii="宋体" w:hAnsi="宋体" w:cs="宋体" w:eastAsia="宋体" w:hint="default"/>
                <w:b/>
                <w:bCs/>
                <w:sz w:val="21"/>
                <w:szCs w:val="21"/>
              </w:rPr>
              <w:t>出资比例</w:t>
            </w:r>
            <w:r>
              <w:rPr>
                <w:rFonts w:ascii="宋体" w:hAnsi="宋体" w:cs="宋体" w:eastAsia="宋体" w:hint="default"/>
                <w:sz w:val="21"/>
                <w:szCs w:val="21"/>
              </w:rPr>
            </w:r>
          </w:p>
        </w:tc>
      </w:tr>
      <w:tr>
        <w:trPr>
          <w:trHeight w:val="348" w:hRule="exact"/>
        </w:trPr>
        <w:tc>
          <w:tcPr>
            <w:tcW w:w="414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赵鸿飞</w:t>
            </w:r>
          </w:p>
        </w:tc>
        <w:tc>
          <w:tcPr>
            <w:tcW w:w="3632"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45"/>
              <w:jc w:val="right"/>
              <w:rPr>
                <w:rFonts w:ascii="宋体" w:hAnsi="宋体" w:cs="宋体" w:eastAsia="宋体" w:hint="default"/>
                <w:sz w:val="21"/>
                <w:szCs w:val="21"/>
              </w:rPr>
            </w:pPr>
            <w:r>
              <w:rPr>
                <w:rFonts w:ascii="宋体"/>
                <w:sz w:val="21"/>
              </w:rPr>
              <w:t>11,538,507.00</w:t>
            </w:r>
          </w:p>
        </w:tc>
        <w:tc>
          <w:tcPr>
            <w:tcW w:w="150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58.8885</w:t>
            </w:r>
          </w:p>
        </w:tc>
      </w:tr>
      <w:tr>
        <w:trPr>
          <w:trHeight w:val="347" w:hRule="exact"/>
        </w:trPr>
        <w:tc>
          <w:tcPr>
            <w:tcW w:w="4149"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越超有限公司</w:t>
            </w:r>
          </w:p>
        </w:tc>
        <w:tc>
          <w:tcPr>
            <w:tcW w:w="3632"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646"/>
              <w:jc w:val="right"/>
              <w:rPr>
                <w:rFonts w:ascii="宋体" w:hAnsi="宋体" w:cs="宋体" w:eastAsia="宋体" w:hint="default"/>
                <w:sz w:val="21"/>
                <w:szCs w:val="21"/>
              </w:rPr>
            </w:pPr>
            <w:r>
              <w:rPr>
                <w:rFonts w:ascii="宋体"/>
                <w:sz w:val="21"/>
              </w:rPr>
              <w:t>2,662,756.00</w:t>
            </w:r>
          </w:p>
        </w:tc>
        <w:tc>
          <w:tcPr>
            <w:tcW w:w="1500"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8"/>
              <w:jc w:val="right"/>
              <w:rPr>
                <w:rFonts w:ascii="宋体" w:hAnsi="宋体" w:cs="宋体" w:eastAsia="宋体" w:hint="default"/>
                <w:sz w:val="21"/>
                <w:szCs w:val="21"/>
              </w:rPr>
            </w:pPr>
            <w:r>
              <w:rPr>
                <w:rFonts w:ascii="宋体"/>
                <w:sz w:val="21"/>
              </w:rPr>
              <w:t>13.5897</w:t>
            </w:r>
          </w:p>
        </w:tc>
      </w:tr>
      <w:tr>
        <w:trPr>
          <w:trHeight w:val="347" w:hRule="exact"/>
        </w:trPr>
        <w:tc>
          <w:tcPr>
            <w:tcW w:w="414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大洋中科特别目的株式会社</w:t>
            </w:r>
          </w:p>
        </w:tc>
        <w:tc>
          <w:tcPr>
            <w:tcW w:w="3632"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46"/>
              <w:jc w:val="right"/>
              <w:rPr>
                <w:rFonts w:ascii="宋体" w:hAnsi="宋体" w:cs="宋体" w:eastAsia="宋体" w:hint="default"/>
                <w:sz w:val="21"/>
                <w:szCs w:val="21"/>
              </w:rPr>
            </w:pPr>
            <w:r>
              <w:rPr>
                <w:rFonts w:ascii="宋体"/>
                <w:sz w:val="21"/>
              </w:rPr>
              <w:t>1,524,068.00</w:t>
            </w:r>
          </w:p>
        </w:tc>
        <w:tc>
          <w:tcPr>
            <w:tcW w:w="150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7.7783</w:t>
            </w:r>
          </w:p>
        </w:tc>
      </w:tr>
      <w:tr>
        <w:trPr>
          <w:trHeight w:val="348" w:hRule="exact"/>
        </w:trPr>
        <w:tc>
          <w:tcPr>
            <w:tcW w:w="414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陈晓华</w:t>
            </w:r>
          </w:p>
        </w:tc>
        <w:tc>
          <w:tcPr>
            <w:tcW w:w="3632"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46"/>
              <w:jc w:val="right"/>
              <w:rPr>
                <w:rFonts w:ascii="宋体" w:hAnsi="宋体" w:cs="宋体" w:eastAsia="宋体" w:hint="default"/>
                <w:sz w:val="21"/>
                <w:szCs w:val="21"/>
              </w:rPr>
            </w:pPr>
            <w:r>
              <w:rPr>
                <w:rFonts w:ascii="宋体"/>
                <w:sz w:val="21"/>
              </w:rPr>
              <w:t>1,205,776.00</w:t>
            </w:r>
          </w:p>
        </w:tc>
        <w:tc>
          <w:tcPr>
            <w:tcW w:w="150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6.1538</w:t>
            </w:r>
          </w:p>
        </w:tc>
      </w:tr>
    </w:tbl>
    <w:p>
      <w:pPr>
        <w:spacing w:after="0" w:line="266" w:lineRule="exact"/>
        <w:jc w:val="right"/>
        <w:rPr>
          <w:rFonts w:ascii="宋体" w:hAnsi="宋体" w:cs="宋体" w:eastAsia="宋体" w:hint="default"/>
          <w:sz w:val="21"/>
          <w:szCs w:val="21"/>
        </w:rPr>
        <w:sectPr>
          <w:pgSz w:w="11910" w:h="16840"/>
          <w:pgMar w:header="747" w:footer="979" w:top="1060" w:bottom="1160" w:left="0" w:right="0"/>
        </w:sectPr>
      </w:pPr>
    </w:p>
    <w:p>
      <w:pPr>
        <w:spacing w:line="240" w:lineRule="auto" w:before="12"/>
        <w:rPr>
          <w:rFonts w:ascii="宋体" w:hAnsi="宋体" w:cs="宋体" w:eastAsia="宋体" w:hint="default"/>
          <w:sz w:val="2"/>
          <w:szCs w:val="2"/>
        </w:rPr>
      </w:pPr>
      <w:r>
        <w:rPr/>
        <w:pict>
          <v:group style="position:absolute;margin-left:55.200001pt;margin-top:55.619984pt;width:485pt;height:.1pt;mso-position-horizontal-relative:page;mso-position-vertical-relative:page;z-index:-925408"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34" w:type="dxa"/>
        <w:tblLayout w:type="fixed"/>
        <w:tblCellMar>
          <w:top w:w="0" w:type="dxa"/>
          <w:left w:w="0" w:type="dxa"/>
          <w:bottom w:w="0" w:type="dxa"/>
          <w:right w:w="0" w:type="dxa"/>
        </w:tblCellMar>
        <w:tblLook w:val="01E0"/>
      </w:tblPr>
      <w:tblGrid>
        <w:gridCol w:w="4459"/>
        <w:gridCol w:w="3322"/>
        <w:gridCol w:w="1501"/>
      </w:tblGrid>
      <w:tr>
        <w:trPr>
          <w:trHeight w:val="684" w:hRule="exact"/>
        </w:trPr>
        <w:tc>
          <w:tcPr>
            <w:tcW w:w="4459"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sz w:val="21"/>
              </w:rPr>
              <w:t>Qualcomm</w:t>
            </w:r>
            <w:r>
              <w:rPr>
                <w:rFonts w:ascii="宋体"/>
                <w:spacing w:val="-2"/>
                <w:sz w:val="21"/>
              </w:rPr>
              <w:t> </w:t>
            </w:r>
            <w:r>
              <w:rPr>
                <w:rFonts w:ascii="宋体"/>
                <w:sz w:val="21"/>
              </w:rPr>
              <w:t>International,Inc.</w:t>
            </w:r>
          </w:p>
        </w:tc>
        <w:tc>
          <w:tcPr>
            <w:tcW w:w="3322"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643"/>
              <w:jc w:val="right"/>
              <w:rPr>
                <w:rFonts w:ascii="宋体" w:hAnsi="宋体" w:cs="宋体" w:eastAsia="宋体" w:hint="default"/>
                <w:sz w:val="21"/>
                <w:szCs w:val="21"/>
              </w:rPr>
            </w:pPr>
            <w:r>
              <w:rPr>
                <w:rFonts w:ascii="宋体"/>
                <w:sz w:val="21"/>
              </w:rPr>
              <w:t>1,004,814.00</w:t>
            </w:r>
          </w:p>
        </w:tc>
        <w:tc>
          <w:tcPr>
            <w:tcW w:w="1501"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7"/>
              <w:jc w:val="right"/>
              <w:rPr>
                <w:rFonts w:ascii="宋体" w:hAnsi="宋体" w:cs="宋体" w:eastAsia="宋体" w:hint="default"/>
                <w:sz w:val="21"/>
                <w:szCs w:val="21"/>
              </w:rPr>
            </w:pPr>
            <w:r>
              <w:rPr>
                <w:rFonts w:ascii="宋体"/>
                <w:sz w:val="21"/>
              </w:rPr>
              <w:t>5.1282</w:t>
            </w:r>
          </w:p>
        </w:tc>
      </w:tr>
      <w:tr>
        <w:trPr>
          <w:trHeight w:val="347" w:hRule="exact"/>
        </w:trPr>
        <w:tc>
          <w:tcPr>
            <w:tcW w:w="445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国科瑞祺物联网创业投资有限公司</w:t>
            </w:r>
          </w:p>
        </w:tc>
        <w:tc>
          <w:tcPr>
            <w:tcW w:w="3322"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46"/>
              <w:jc w:val="right"/>
              <w:rPr>
                <w:rFonts w:ascii="宋体" w:hAnsi="宋体" w:cs="宋体" w:eastAsia="宋体" w:hint="default"/>
                <w:sz w:val="21"/>
                <w:szCs w:val="21"/>
              </w:rPr>
            </w:pPr>
            <w:r>
              <w:rPr>
                <w:rFonts w:ascii="宋体"/>
                <w:sz w:val="21"/>
              </w:rPr>
              <w:t>904,332.00</w:t>
            </w:r>
          </w:p>
        </w:tc>
        <w:tc>
          <w:tcPr>
            <w:tcW w:w="1501"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4.6154</w:t>
            </w:r>
          </w:p>
        </w:tc>
      </w:tr>
      <w:tr>
        <w:trPr>
          <w:trHeight w:val="347" w:hRule="exact"/>
        </w:trPr>
        <w:tc>
          <w:tcPr>
            <w:tcW w:w="445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sz w:val="21"/>
              </w:rPr>
              <w:t>ARM Limited</w:t>
            </w:r>
          </w:p>
        </w:tc>
        <w:tc>
          <w:tcPr>
            <w:tcW w:w="3322"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46"/>
              <w:jc w:val="right"/>
              <w:rPr>
                <w:rFonts w:ascii="宋体" w:hAnsi="宋体" w:cs="宋体" w:eastAsia="宋体" w:hint="default"/>
                <w:sz w:val="21"/>
                <w:szCs w:val="21"/>
              </w:rPr>
            </w:pPr>
            <w:r>
              <w:rPr>
                <w:rFonts w:ascii="宋体"/>
                <w:sz w:val="21"/>
              </w:rPr>
              <w:t>502,407.00</w:t>
            </w:r>
          </w:p>
        </w:tc>
        <w:tc>
          <w:tcPr>
            <w:tcW w:w="1501"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2.5641</w:t>
            </w:r>
          </w:p>
        </w:tc>
      </w:tr>
      <w:tr>
        <w:trPr>
          <w:trHeight w:val="348" w:hRule="exact"/>
        </w:trPr>
        <w:tc>
          <w:tcPr>
            <w:tcW w:w="445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世悦控股有限公司</w:t>
            </w:r>
          </w:p>
        </w:tc>
        <w:tc>
          <w:tcPr>
            <w:tcW w:w="3322"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46"/>
              <w:jc w:val="right"/>
              <w:rPr>
                <w:rFonts w:ascii="宋体" w:hAnsi="宋体" w:cs="宋体" w:eastAsia="宋体" w:hint="default"/>
                <w:sz w:val="21"/>
                <w:szCs w:val="21"/>
              </w:rPr>
            </w:pPr>
            <w:r>
              <w:rPr>
                <w:rFonts w:ascii="宋体"/>
                <w:sz w:val="21"/>
              </w:rPr>
              <w:t>251,203.00</w:t>
            </w:r>
          </w:p>
        </w:tc>
        <w:tc>
          <w:tcPr>
            <w:tcW w:w="1501"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1.2820</w:t>
            </w:r>
          </w:p>
        </w:tc>
      </w:tr>
      <w:tr>
        <w:trPr>
          <w:trHeight w:val="347" w:hRule="exact"/>
        </w:trPr>
        <w:tc>
          <w:tcPr>
            <w:tcW w:w="4459"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322"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646"/>
              <w:jc w:val="right"/>
              <w:rPr>
                <w:rFonts w:ascii="宋体" w:hAnsi="宋体" w:cs="宋体" w:eastAsia="宋体" w:hint="default"/>
                <w:sz w:val="21"/>
                <w:szCs w:val="21"/>
              </w:rPr>
            </w:pPr>
            <w:r>
              <w:rPr>
                <w:rFonts w:ascii="宋体"/>
                <w:b/>
                <w:w w:val="95"/>
                <w:sz w:val="21"/>
              </w:rPr>
              <w:t>19,593,863.00</w:t>
            </w:r>
            <w:r>
              <w:rPr>
                <w:rFonts w:ascii="宋体"/>
                <w:sz w:val="21"/>
              </w:rPr>
            </w:r>
          </w:p>
        </w:tc>
        <w:tc>
          <w:tcPr>
            <w:tcW w:w="1501"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9"/>
              <w:jc w:val="right"/>
              <w:rPr>
                <w:rFonts w:ascii="宋体" w:hAnsi="宋体" w:cs="宋体" w:eastAsia="宋体" w:hint="default"/>
                <w:sz w:val="21"/>
                <w:szCs w:val="21"/>
              </w:rPr>
            </w:pPr>
            <w:r>
              <w:rPr>
                <w:rFonts w:ascii="宋体"/>
                <w:b/>
                <w:w w:val="95"/>
                <w:sz w:val="21"/>
              </w:rPr>
              <w:t>100.0000</w:t>
            </w:r>
            <w:r>
              <w:rPr>
                <w:rFonts w:ascii="宋体"/>
                <w:sz w:val="21"/>
              </w:rPr>
            </w:r>
          </w:p>
        </w:tc>
      </w:tr>
    </w:tbl>
    <w:p>
      <w:pPr>
        <w:pStyle w:val="BodyText"/>
        <w:spacing w:line="260" w:lineRule="exact"/>
        <w:ind w:left="1134" w:right="0"/>
        <w:jc w:val="both"/>
      </w:pPr>
      <w:r>
        <w:rPr/>
        <w:t>根据中科创达有限</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13</w:t>
      </w:r>
      <w:r>
        <w:rPr/>
        <w:t>日第二届第七次董事会决议，通过完成公司</w:t>
      </w:r>
      <w:r>
        <w:rPr>
          <w:rFonts w:ascii="宋体" w:hAnsi="宋体" w:cs="宋体" w:eastAsia="宋体" w:hint="default"/>
        </w:rPr>
        <w:t>2010</w:t>
      </w:r>
      <w:r>
        <w:rPr/>
        <w:t>年度股权激励方案工商变</w:t>
      </w:r>
    </w:p>
    <w:p>
      <w:pPr>
        <w:pStyle w:val="BodyText"/>
        <w:spacing w:line="273" w:lineRule="auto" w:before="37"/>
        <w:ind w:right="0"/>
        <w:jc w:val="left"/>
      </w:pPr>
      <w:r>
        <w:rPr/>
        <w:t>更的方案，</w:t>
      </w:r>
      <w:r>
        <w:rPr>
          <w:rFonts w:ascii="宋体" w:hAnsi="宋体" w:cs="宋体" w:eastAsia="宋体" w:hint="default"/>
        </w:rPr>
        <w:t>2010</w:t>
      </w:r>
      <w:r>
        <w:rPr/>
        <w:t>年度股权激励方案内容为：赵鸿飞将其持有公司的</w:t>
      </w:r>
      <w:r>
        <w:rPr>
          <w:rFonts w:ascii="宋体" w:hAnsi="宋体" w:cs="宋体" w:eastAsia="宋体" w:hint="default"/>
        </w:rPr>
        <w:t>2.5518%</w:t>
      </w:r>
      <w:r>
        <w:rPr/>
        <w:t>股权转让给吴安华，转让价格</w:t>
      </w:r>
      <w:r>
        <w:rPr>
          <w:spacing w:val="-31"/>
        </w:rPr>
        <w:t> </w:t>
      </w:r>
      <w:r>
        <w:rPr>
          <w:spacing w:val="-31"/>
        </w:rPr>
      </w:r>
      <w:r>
        <w:rPr>
          <w:spacing w:val="-3"/>
        </w:rPr>
        <w:t>为每元注册资本</w:t>
      </w:r>
      <w:r>
        <w:rPr>
          <w:rFonts w:ascii="宋体" w:hAnsi="宋体" w:cs="宋体" w:eastAsia="宋体" w:hint="default"/>
          <w:spacing w:val="-3"/>
        </w:rPr>
        <w:t>1.1</w:t>
      </w:r>
      <w:r>
        <w:rPr>
          <w:spacing w:val="-3"/>
        </w:rPr>
        <w:t>元，股权转让款共计</w:t>
      </w:r>
      <w:r>
        <w:rPr>
          <w:rFonts w:ascii="宋体" w:hAnsi="宋体" w:cs="宋体" w:eastAsia="宋体" w:hint="default"/>
          <w:spacing w:val="-3"/>
        </w:rPr>
        <w:t>550,000.00</w:t>
      </w:r>
      <w:r>
        <w:rPr>
          <w:spacing w:val="-3"/>
        </w:rPr>
        <w:t>元；赵鸿飞将其持有公司的</w:t>
      </w:r>
      <w:r>
        <w:rPr>
          <w:rFonts w:ascii="宋体" w:hAnsi="宋体" w:cs="宋体" w:eastAsia="宋体" w:hint="default"/>
          <w:spacing w:val="-3"/>
        </w:rPr>
        <w:t>2.5637%</w:t>
      </w:r>
      <w:r>
        <w:rPr>
          <w:spacing w:val="-3"/>
        </w:rPr>
        <w:t>股权转让给段志强，</w:t>
      </w:r>
      <w:r>
        <w:rPr>
          <w:spacing w:val="-64"/>
        </w:rPr>
        <w:t> </w:t>
      </w:r>
      <w:r>
        <w:rPr>
          <w:spacing w:val="-64"/>
        </w:rPr>
      </w:r>
      <w:r>
        <w:rPr/>
        <w:t>转让价格为每元注册资本</w:t>
      </w:r>
      <w:r>
        <w:rPr>
          <w:rFonts w:ascii="宋体" w:hAnsi="宋体" w:cs="宋体" w:eastAsia="宋体" w:hint="default"/>
        </w:rPr>
        <w:t>1.1</w:t>
      </w:r>
      <w:r>
        <w:rPr/>
        <w:t>元，股权转让款共计</w:t>
      </w:r>
      <w:r>
        <w:rPr>
          <w:rFonts w:ascii="宋体" w:hAnsi="宋体" w:cs="宋体" w:eastAsia="宋体" w:hint="default"/>
        </w:rPr>
        <w:t>552,550.00</w:t>
      </w:r>
      <w:r>
        <w:rPr/>
        <w:t>元；赵鸿飞将其持有公司的</w:t>
      </w:r>
      <w:r>
        <w:rPr>
          <w:rFonts w:ascii="宋体" w:hAnsi="宋体" w:cs="宋体" w:eastAsia="宋体" w:hint="default"/>
        </w:rPr>
        <w:t>2.4232%</w:t>
      </w:r>
      <w:r>
        <w:rPr/>
        <w:t>股权转让 </w:t>
      </w:r>
      <w:r>
        <w:rPr>
          <w:spacing w:val="-5"/>
        </w:rPr>
        <w:t>给耿增强，转让价格为每元注册资本</w:t>
      </w:r>
      <w:r>
        <w:rPr>
          <w:rFonts w:ascii="宋体" w:hAnsi="宋体" w:cs="宋体" w:eastAsia="宋体" w:hint="default"/>
          <w:spacing w:val="-5"/>
        </w:rPr>
        <w:t>1.1</w:t>
      </w:r>
      <w:r>
        <w:rPr>
          <w:spacing w:val="-5"/>
        </w:rPr>
        <w:t>元，股权转让款共计</w:t>
      </w:r>
      <w:r>
        <w:rPr>
          <w:rFonts w:ascii="宋体" w:hAnsi="宋体" w:cs="宋体" w:eastAsia="宋体" w:hint="default"/>
          <w:spacing w:val="-5"/>
        </w:rPr>
        <w:t>522,280.00</w:t>
      </w:r>
      <w:r>
        <w:rPr>
          <w:spacing w:val="-5"/>
        </w:rPr>
        <w:t>元；赵鸿飞将其持有公司的</w:t>
      </w:r>
      <w:r>
        <w:rPr>
          <w:rFonts w:ascii="宋体" w:hAnsi="宋体" w:cs="宋体" w:eastAsia="宋体" w:hint="default"/>
          <w:spacing w:val="-5"/>
        </w:rPr>
        <w:t>0.4762%</w:t>
      </w:r>
      <w:r>
        <w:rPr>
          <w:rFonts w:ascii="宋体" w:hAnsi="宋体" w:cs="宋体" w:eastAsia="宋体" w:hint="default"/>
          <w:spacing w:val="-54"/>
        </w:rPr>
        <w:t> </w:t>
      </w:r>
      <w:r>
        <w:rPr/>
        <w:t>股权转让给邹鹏程，转让价格为每元注册资本</w:t>
      </w:r>
      <w:r>
        <w:rPr>
          <w:rFonts w:ascii="宋体" w:hAnsi="宋体" w:cs="宋体" w:eastAsia="宋体" w:hint="default"/>
        </w:rPr>
        <w:t>1.1</w:t>
      </w:r>
      <w:r>
        <w:rPr/>
        <w:t>元，股权转让款共计</w:t>
      </w:r>
      <w:r>
        <w:rPr>
          <w:rFonts w:ascii="宋体" w:hAnsi="宋体" w:cs="宋体" w:eastAsia="宋体" w:hint="default"/>
        </w:rPr>
        <w:t>102,630.00</w:t>
      </w:r>
      <w:r>
        <w:rPr/>
        <w:t>元；赵鸿飞将其持有公</w:t>
      </w:r>
      <w:r>
        <w:rPr>
          <w:spacing w:val="-27"/>
        </w:rPr>
        <w:t> </w:t>
      </w:r>
      <w:r>
        <w:rPr>
          <w:spacing w:val="-27"/>
        </w:rPr>
      </w:r>
      <w:r>
        <w:rPr>
          <w:spacing w:val="7"/>
        </w:rPr>
        <w:t>司的</w:t>
      </w:r>
      <w:r>
        <w:rPr>
          <w:rFonts w:ascii="宋体" w:hAnsi="宋体" w:cs="宋体" w:eastAsia="宋体" w:hint="default"/>
          <w:spacing w:val="7"/>
        </w:rPr>
        <w:t>3.1734%</w:t>
      </w:r>
      <w:r>
        <w:rPr>
          <w:spacing w:val="7"/>
        </w:rPr>
        <w:t>股权转让给北京创达汇咨询有限公司，转让价格为每元注册资本</w:t>
      </w:r>
      <w:r>
        <w:rPr>
          <w:rFonts w:ascii="宋体" w:hAnsi="宋体" w:cs="宋体" w:eastAsia="宋体" w:hint="default"/>
          <w:spacing w:val="7"/>
        </w:rPr>
        <w:t>1.1</w:t>
      </w:r>
      <w:r>
        <w:rPr>
          <w:spacing w:val="7"/>
        </w:rPr>
        <w:t>元，股权转让款共计</w:t>
      </w:r>
      <w:r>
        <w:rPr>
          <w:spacing w:val="-73"/>
        </w:rPr>
        <w:t> </w:t>
      </w:r>
      <w:r>
        <w:rPr>
          <w:spacing w:val="-73"/>
        </w:rPr>
      </w:r>
      <w:r>
        <w:rPr>
          <w:rFonts w:ascii="宋体" w:hAnsi="宋体" w:cs="宋体" w:eastAsia="宋体" w:hint="default"/>
        </w:rPr>
        <w:t>683,980.00</w:t>
      </w:r>
      <w:r>
        <w:rPr/>
        <w:t>元。</w:t>
      </w:r>
    </w:p>
    <w:p>
      <w:pPr>
        <w:spacing w:line="240" w:lineRule="auto" w:before="1"/>
        <w:rPr>
          <w:rFonts w:ascii="宋体" w:hAnsi="宋体" w:cs="宋体" w:eastAsia="宋体" w:hint="default"/>
          <w:sz w:val="17"/>
          <w:szCs w:val="17"/>
        </w:rPr>
      </w:pPr>
    </w:p>
    <w:p>
      <w:pPr>
        <w:pStyle w:val="BodyText"/>
        <w:spacing w:line="273" w:lineRule="auto"/>
        <w:ind w:right="1130"/>
        <w:jc w:val="both"/>
      </w:pPr>
      <w:r>
        <w:rPr/>
        <w:t>根据中科创达有限</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13</w:t>
      </w:r>
      <w:r>
        <w:rPr/>
        <w:t>日第二届第七次董事会决议，同意以增资方式实施</w:t>
      </w:r>
      <w:r>
        <w:rPr>
          <w:rFonts w:ascii="宋体" w:hAnsi="宋体" w:cs="宋体" w:eastAsia="宋体" w:hint="default"/>
        </w:rPr>
        <w:t>2012</w:t>
      </w:r>
      <w:r>
        <w:rPr/>
        <w:t>年度员工股权激励</w:t>
      </w:r>
      <w:r>
        <w:rPr>
          <w:spacing w:val="-30"/>
        </w:rPr>
        <w:t> </w:t>
      </w:r>
      <w:r>
        <w:rPr>
          <w:spacing w:val="-30"/>
        </w:rPr>
      </w:r>
      <w:r>
        <w:rPr>
          <w:spacing w:val="-1"/>
        </w:rPr>
        <w:t>方案，赵鸿飞认缴新增注册资本</w:t>
      </w:r>
      <w:r>
        <w:rPr>
          <w:rFonts w:ascii="宋体" w:hAnsi="宋体" w:cs="宋体" w:eastAsia="宋体" w:hint="default"/>
          <w:spacing w:val="-1"/>
        </w:rPr>
        <w:t>2,159,908.00</w:t>
      </w:r>
      <w:r>
        <w:rPr>
          <w:spacing w:val="-1"/>
        </w:rPr>
        <w:t>元，北京创达信科技有限公司认缴新增注册资本</w:t>
      </w:r>
      <w:r>
        <w:rPr>
          <w:rFonts w:ascii="宋体" w:hAnsi="宋体" w:cs="宋体" w:eastAsia="宋体" w:hint="default"/>
          <w:spacing w:val="-1"/>
        </w:rPr>
        <w:t>597,400.00</w:t>
      </w:r>
      <w:r>
        <w:rPr>
          <w:rFonts w:ascii="宋体" w:hAnsi="宋体" w:cs="宋体" w:eastAsia="宋体" w:hint="default"/>
          <w:spacing w:val="-72"/>
        </w:rPr>
        <w:t> </w:t>
      </w:r>
      <w:r>
        <w:rPr>
          <w:spacing w:val="-1"/>
        </w:rPr>
        <w:t>元，北京创达立咨询有限公司认缴新增注册资本</w:t>
      </w:r>
      <w:r>
        <w:rPr>
          <w:rFonts w:ascii="宋体" w:hAnsi="宋体" w:cs="宋体" w:eastAsia="宋体" w:hint="default"/>
          <w:spacing w:val="-1"/>
        </w:rPr>
        <w:t>610,000.00</w:t>
      </w:r>
      <w:r>
        <w:rPr>
          <w:spacing w:val="-1"/>
        </w:rPr>
        <w:t>元。本次增资的认购价格以本公司截至</w:t>
      </w:r>
      <w:r>
        <w:rPr>
          <w:rFonts w:ascii="宋体" w:hAnsi="宋体" w:cs="宋体" w:eastAsia="宋体" w:hint="default"/>
          <w:spacing w:val="-1"/>
        </w:rPr>
        <w:t>2011</w:t>
      </w:r>
      <w:r>
        <w:rPr>
          <w:spacing w:val="-1"/>
        </w:rPr>
        <w:t>年</w:t>
      </w:r>
      <w:r>
        <w:rPr>
          <w:spacing w:val="-75"/>
        </w:rPr>
        <w:t> </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日的净资产值（扣除</w:t>
      </w:r>
      <w:r>
        <w:rPr>
          <w:rFonts w:ascii="宋体" w:hAnsi="宋体" w:cs="宋体" w:eastAsia="宋体" w:hint="default"/>
          <w:spacing w:val="-1"/>
        </w:rPr>
        <w:t>2011</w:t>
      </w:r>
      <w:r>
        <w:rPr>
          <w:spacing w:val="-1"/>
        </w:rPr>
        <w:t>年度分红）为基础确定，即每一元注册资本为</w:t>
      </w:r>
      <w:r>
        <w:rPr>
          <w:rFonts w:ascii="宋体" w:hAnsi="宋体" w:cs="宋体" w:eastAsia="宋体" w:hint="default"/>
          <w:spacing w:val="-1"/>
        </w:rPr>
        <w:t>5.65</w:t>
      </w:r>
      <w:r>
        <w:rPr>
          <w:spacing w:val="-1"/>
        </w:rPr>
        <w:t>元，全部以现金方式认</w:t>
      </w:r>
      <w:r>
        <w:rPr>
          <w:spacing w:val="-83"/>
        </w:rPr>
        <w:t> </w:t>
      </w:r>
      <w:r>
        <w:rPr>
          <w:spacing w:val="-83"/>
        </w:rPr>
      </w:r>
      <w:r>
        <w:rPr/>
        <w:t>缴，认购价格超出注册资本部分计入资本公积。</w:t>
      </w:r>
    </w:p>
    <w:p>
      <w:pPr>
        <w:spacing w:line="240" w:lineRule="auto" w:before="1"/>
        <w:rPr>
          <w:rFonts w:ascii="宋体" w:hAnsi="宋体" w:cs="宋体" w:eastAsia="宋体" w:hint="default"/>
          <w:sz w:val="17"/>
          <w:szCs w:val="17"/>
        </w:rPr>
      </w:pPr>
    </w:p>
    <w:p>
      <w:pPr>
        <w:pStyle w:val="BodyText"/>
        <w:spacing w:line="273" w:lineRule="auto"/>
        <w:ind w:right="1130"/>
        <w:jc w:val="both"/>
      </w:pPr>
      <w:r>
        <w:rPr>
          <w:spacing w:val="-1"/>
        </w:rPr>
        <w:t>根据中科创达有限</w:t>
      </w:r>
      <w:r>
        <w:rPr>
          <w:rFonts w:ascii="宋体" w:hAnsi="宋体" w:cs="宋体" w:eastAsia="宋体" w:hint="default"/>
          <w:spacing w:val="-1"/>
        </w:rPr>
        <w:t>2012</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13</w:t>
      </w:r>
      <w:r>
        <w:rPr>
          <w:spacing w:val="-1"/>
        </w:rPr>
        <w:t>日第二届第七次董事会决议，同意杨洁认缴新增注册资本</w:t>
      </w:r>
      <w:r>
        <w:rPr>
          <w:rFonts w:ascii="宋体" w:hAnsi="宋体" w:cs="宋体" w:eastAsia="宋体" w:hint="default"/>
          <w:spacing w:val="-1"/>
        </w:rPr>
        <w:t>90,433.00</w:t>
      </w:r>
      <w:r>
        <w:rPr>
          <w:spacing w:val="-1"/>
        </w:rPr>
        <w:t>元；本</w:t>
      </w:r>
      <w:r>
        <w:rPr>
          <w:spacing w:val="-76"/>
        </w:rPr>
        <w:t> </w:t>
      </w:r>
      <w:r>
        <w:rPr>
          <w:spacing w:val="-76"/>
        </w:rPr>
      </w:r>
      <w:r>
        <w:rPr>
          <w:spacing w:val="-1"/>
        </w:rPr>
        <w:t>次增资的认购价格以公司截至</w:t>
      </w:r>
      <w:r>
        <w:rPr>
          <w:rFonts w:ascii="宋体" w:hAnsi="宋体" w:cs="宋体" w:eastAsia="宋体" w:hint="default"/>
          <w:spacing w:val="-1"/>
        </w:rPr>
        <w:t>2011</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日的净资产值（扣除</w:t>
      </w:r>
      <w:r>
        <w:rPr>
          <w:rFonts w:ascii="宋体" w:hAnsi="宋体" w:cs="宋体" w:eastAsia="宋体" w:hint="default"/>
          <w:spacing w:val="-1"/>
        </w:rPr>
        <w:t>2011</w:t>
      </w:r>
      <w:r>
        <w:rPr>
          <w:spacing w:val="-1"/>
        </w:rPr>
        <w:t>年度分红）为基础确定，即每一元注</w:t>
      </w:r>
      <w:r>
        <w:rPr>
          <w:spacing w:val="-80"/>
        </w:rPr>
        <w:t> </w:t>
      </w:r>
      <w:r>
        <w:rPr>
          <w:spacing w:val="-80"/>
        </w:rPr>
      </w:r>
      <w:r>
        <w:rPr/>
        <w:t>册资本为</w:t>
      </w:r>
      <w:r>
        <w:rPr>
          <w:rFonts w:ascii="宋体" w:hAnsi="宋体" w:cs="宋体" w:eastAsia="宋体" w:hint="default"/>
        </w:rPr>
        <w:t>5.65</w:t>
      </w:r>
      <w:r>
        <w:rPr/>
        <w:t>元，全部以现金方式认缴，认购价格超出注册资本部分计入资本公积。</w:t>
      </w:r>
    </w:p>
    <w:p>
      <w:pPr>
        <w:spacing w:line="240" w:lineRule="auto" w:before="1"/>
        <w:rPr>
          <w:rFonts w:ascii="宋体" w:hAnsi="宋体" w:cs="宋体" w:eastAsia="宋体" w:hint="default"/>
          <w:sz w:val="17"/>
          <w:szCs w:val="17"/>
        </w:rPr>
      </w:pPr>
    </w:p>
    <w:p>
      <w:pPr>
        <w:pStyle w:val="BodyText"/>
        <w:spacing w:line="273" w:lineRule="auto"/>
        <w:ind w:right="1132"/>
        <w:jc w:val="both"/>
      </w:pPr>
      <w:r>
        <w:rPr/>
        <w:t>根据中科创达有限</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21</w:t>
      </w:r>
      <w:r>
        <w:rPr/>
        <w:t>日第二届第八次董事会决议，同意展讯通信（天津）有限公司认缴新增注</w:t>
      </w:r>
      <w:r>
        <w:rPr>
          <w:spacing w:val="-35"/>
        </w:rPr>
        <w:t> </w:t>
      </w:r>
      <w:r>
        <w:rPr>
          <w:spacing w:val="-35"/>
        </w:rPr>
      </w:r>
      <w:r>
        <w:rPr>
          <w:spacing w:val="-1"/>
        </w:rPr>
        <w:t>册资本</w:t>
      </w:r>
      <w:r>
        <w:rPr>
          <w:rFonts w:ascii="宋体" w:hAnsi="宋体" w:cs="宋体" w:eastAsia="宋体" w:hint="default"/>
          <w:spacing w:val="-1"/>
        </w:rPr>
        <w:t>706,813.00</w:t>
      </w:r>
      <w:r>
        <w:rPr>
          <w:spacing w:val="-1"/>
        </w:rPr>
        <w:t>元，同意认购价格为每一元注册资本</w:t>
      </w:r>
      <w:r>
        <w:rPr>
          <w:rFonts w:ascii="宋体" w:hAnsi="宋体" w:cs="宋体" w:eastAsia="宋体" w:hint="default"/>
          <w:spacing w:val="-1"/>
        </w:rPr>
        <w:t>21.05</w:t>
      </w:r>
      <w:r>
        <w:rPr>
          <w:spacing w:val="-1"/>
        </w:rPr>
        <w:t>元，共计</w:t>
      </w:r>
      <w:r>
        <w:rPr>
          <w:rFonts w:ascii="宋体" w:hAnsi="宋体" w:cs="宋体" w:eastAsia="宋体" w:hint="default"/>
          <w:spacing w:val="-1"/>
        </w:rPr>
        <w:t>14,878,414.00</w:t>
      </w:r>
      <w:r>
        <w:rPr>
          <w:spacing w:val="-1"/>
        </w:rPr>
        <w:t>元，全部以现金方式</w:t>
      </w:r>
      <w:r>
        <w:rPr>
          <w:spacing w:val="-73"/>
        </w:rPr>
        <w:t> </w:t>
      </w:r>
      <w:r>
        <w:rPr>
          <w:spacing w:val="-73"/>
        </w:rPr>
      </w:r>
      <w:r>
        <w:rPr/>
        <w:t>认缴，认购价格超出注册资本部分计入资本公积。</w:t>
      </w:r>
    </w:p>
    <w:p>
      <w:pPr>
        <w:spacing w:line="240" w:lineRule="auto" w:before="1"/>
        <w:rPr>
          <w:rFonts w:ascii="宋体" w:hAnsi="宋体" w:cs="宋体" w:eastAsia="宋体" w:hint="default"/>
          <w:sz w:val="17"/>
          <w:szCs w:val="17"/>
        </w:rPr>
      </w:pPr>
    </w:p>
    <w:p>
      <w:pPr>
        <w:pStyle w:val="BodyText"/>
        <w:spacing w:line="273" w:lineRule="auto"/>
        <w:ind w:right="1132"/>
        <w:jc w:val="both"/>
      </w:pPr>
      <w:r>
        <w:rPr>
          <w:spacing w:val="-1"/>
        </w:rPr>
        <w:t>中科创达有限第二届第七次董事会决议、第二届第八次董事会决议通过的上述股权变动经北京市海淀区商</w:t>
      </w:r>
      <w:r>
        <w:rPr>
          <w:spacing w:val="-81"/>
        </w:rPr>
        <w:t> </w:t>
      </w:r>
      <w:r>
        <w:rPr>
          <w:spacing w:val="-81"/>
        </w:rPr>
      </w:r>
      <w:r>
        <w:rPr>
          <w:spacing w:val="-3"/>
        </w:rPr>
        <w:t>务委员会于</w:t>
      </w:r>
      <w:r>
        <w:rPr>
          <w:rFonts w:ascii="宋体" w:hAnsi="宋体" w:cs="宋体" w:eastAsia="宋体" w:hint="default"/>
          <w:spacing w:val="-3"/>
        </w:rPr>
        <w:t>2012</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4</w:t>
      </w:r>
      <w:r>
        <w:rPr>
          <w:spacing w:val="-3"/>
        </w:rPr>
        <w:t>日以海商审字［</w:t>
      </w:r>
      <w:r>
        <w:rPr>
          <w:rFonts w:ascii="宋体" w:hAnsi="宋体" w:cs="宋体" w:eastAsia="宋体" w:hint="default"/>
          <w:spacing w:val="-3"/>
        </w:rPr>
        <w:t>2012</w:t>
      </w:r>
      <w:r>
        <w:rPr>
          <w:spacing w:val="-3"/>
        </w:rPr>
        <w:t>］</w:t>
      </w:r>
      <w:r>
        <w:rPr>
          <w:rFonts w:ascii="宋体" w:hAnsi="宋体" w:cs="宋体" w:eastAsia="宋体" w:hint="default"/>
          <w:spacing w:val="-3"/>
        </w:rPr>
        <w:t>379</w:t>
      </w:r>
      <w:r>
        <w:rPr>
          <w:spacing w:val="-3"/>
        </w:rPr>
        <w:t>号文件批准。上述变更业经京都天华会计师事务所于</w:t>
      </w:r>
      <w:r>
        <w:rPr>
          <w:rFonts w:ascii="宋体" w:hAnsi="宋体" w:cs="宋体" w:eastAsia="宋体" w:hint="default"/>
          <w:spacing w:val="-3"/>
        </w:rPr>
        <w:t>2012</w:t>
      </w:r>
      <w:r>
        <w:rPr>
          <w:rFonts w:ascii="宋体" w:hAnsi="宋体" w:cs="宋体" w:eastAsia="宋体" w:hint="default"/>
          <w:spacing w:val="-73"/>
        </w:rPr>
        <w:t> </w:t>
      </w:r>
      <w:r>
        <w:rPr/>
        <w:t>年</w:t>
      </w:r>
      <w:r>
        <w:rPr>
          <w:rFonts w:ascii="宋体" w:hAnsi="宋体" w:cs="宋体" w:eastAsia="宋体" w:hint="default"/>
        </w:rPr>
        <w:t>6</w:t>
      </w:r>
      <w:r>
        <w:rPr/>
        <w:t>月</w:t>
      </w:r>
      <w:r>
        <w:rPr>
          <w:rFonts w:ascii="宋体" w:hAnsi="宋体" w:cs="宋体" w:eastAsia="宋体" w:hint="default"/>
        </w:rPr>
        <w:t>12</w:t>
      </w:r>
      <w:r>
        <w:rPr/>
        <w:t>日出具京都天华验资（</w:t>
      </w:r>
      <w:r>
        <w:rPr>
          <w:rFonts w:ascii="宋体" w:hAnsi="宋体" w:cs="宋体" w:eastAsia="宋体" w:hint="default"/>
        </w:rPr>
        <w:t>2012</w:t>
      </w:r>
      <w:r>
        <w:rPr/>
        <w:t>）第</w:t>
      </w:r>
      <w:r>
        <w:rPr>
          <w:rFonts w:ascii="宋体" w:hAnsi="宋体" w:cs="宋体" w:eastAsia="宋体" w:hint="default"/>
        </w:rPr>
        <w:t>0060</w:t>
      </w:r>
      <w:r>
        <w:rPr/>
        <w:t>号验资报告予以验证。此次变更后，中科创达有限股权结构</w:t>
      </w:r>
      <w:r>
        <w:rPr>
          <w:spacing w:val="-35"/>
        </w:rPr>
        <w:t> </w:t>
      </w:r>
      <w:r>
        <w:rPr>
          <w:spacing w:val="-35"/>
        </w:rPr>
      </w:r>
      <w:r>
        <w:rPr/>
        <w:t>如下：</w:t>
      </w:r>
    </w:p>
    <w:p>
      <w:pPr>
        <w:spacing w:line="240" w:lineRule="auto" w:before="3"/>
        <w:rPr>
          <w:rFonts w:ascii="宋体" w:hAnsi="宋体" w:cs="宋体" w:eastAsia="宋体" w:hint="default"/>
          <w:sz w:val="18"/>
          <w:szCs w:val="18"/>
        </w:rPr>
      </w:pPr>
    </w:p>
    <w:tbl>
      <w:tblPr>
        <w:tblW w:w="0" w:type="auto"/>
        <w:jc w:val="left"/>
        <w:tblInd w:w="1134" w:type="dxa"/>
        <w:tblLayout w:type="fixed"/>
        <w:tblCellMar>
          <w:top w:w="0" w:type="dxa"/>
          <w:left w:w="0" w:type="dxa"/>
          <w:bottom w:w="0" w:type="dxa"/>
          <w:right w:w="0" w:type="dxa"/>
        </w:tblCellMar>
        <w:tblLook w:val="01E0"/>
      </w:tblPr>
      <w:tblGrid>
        <w:gridCol w:w="4470"/>
        <w:gridCol w:w="3265"/>
        <w:gridCol w:w="1548"/>
      </w:tblGrid>
      <w:tr>
        <w:trPr>
          <w:trHeight w:val="350" w:hRule="exact"/>
        </w:trPr>
        <w:tc>
          <w:tcPr>
            <w:tcW w:w="4470"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3265"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586"/>
              <w:jc w:val="right"/>
              <w:rPr>
                <w:rFonts w:ascii="宋体" w:hAnsi="宋体" w:cs="宋体" w:eastAsia="宋体" w:hint="default"/>
                <w:sz w:val="21"/>
                <w:szCs w:val="21"/>
              </w:rPr>
            </w:pPr>
            <w:r>
              <w:rPr>
                <w:rFonts w:ascii="宋体" w:hAnsi="宋体" w:cs="宋体" w:eastAsia="宋体" w:hint="default"/>
                <w:b/>
                <w:bCs/>
                <w:sz w:val="21"/>
                <w:szCs w:val="21"/>
              </w:rPr>
              <w:t>出资额</w:t>
            </w:r>
            <w:r>
              <w:rPr>
                <w:rFonts w:ascii="宋体" w:hAnsi="宋体" w:cs="宋体" w:eastAsia="宋体" w:hint="default"/>
                <w:sz w:val="21"/>
                <w:szCs w:val="21"/>
              </w:rPr>
            </w:r>
          </w:p>
        </w:tc>
        <w:tc>
          <w:tcPr>
            <w:tcW w:w="1548"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8"/>
              <w:jc w:val="right"/>
              <w:rPr>
                <w:rFonts w:ascii="宋体" w:hAnsi="宋体" w:cs="宋体" w:eastAsia="宋体" w:hint="default"/>
                <w:sz w:val="21"/>
                <w:szCs w:val="21"/>
              </w:rPr>
            </w:pPr>
            <w:r>
              <w:rPr>
                <w:rFonts w:ascii="宋体" w:hAnsi="宋体" w:cs="宋体" w:eastAsia="宋体" w:hint="default"/>
                <w:b/>
                <w:bCs/>
                <w:w w:val="95"/>
                <w:sz w:val="21"/>
                <w:szCs w:val="21"/>
              </w:rPr>
              <w:t>出资比例</w:t>
            </w:r>
            <w:r>
              <w:rPr>
                <w:rFonts w:ascii="宋体" w:hAnsi="宋体" w:cs="宋体" w:eastAsia="宋体" w:hint="default"/>
                <w:b/>
                <w:bCs/>
                <w:w w:val="95"/>
                <w:sz w:val="21"/>
                <w:szCs w:val="21"/>
              </w:rPr>
              <w:t>%</w:t>
            </w:r>
            <w:r>
              <w:rPr>
                <w:rFonts w:ascii="宋体" w:hAnsi="宋体" w:cs="宋体" w:eastAsia="宋体" w:hint="default"/>
                <w:sz w:val="21"/>
                <w:szCs w:val="21"/>
              </w:rPr>
            </w:r>
          </w:p>
        </w:tc>
      </w:tr>
      <w:tr>
        <w:trPr>
          <w:trHeight w:val="347" w:hRule="exact"/>
        </w:trPr>
        <w:tc>
          <w:tcPr>
            <w:tcW w:w="4470"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赵鸿飞</w:t>
            </w:r>
          </w:p>
        </w:tc>
        <w:tc>
          <w:tcPr>
            <w:tcW w:w="3265"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587"/>
              <w:jc w:val="right"/>
              <w:rPr>
                <w:rFonts w:ascii="宋体" w:hAnsi="宋体" w:cs="宋体" w:eastAsia="宋体" w:hint="default"/>
                <w:sz w:val="21"/>
                <w:szCs w:val="21"/>
              </w:rPr>
            </w:pPr>
            <w:r>
              <w:rPr>
                <w:rFonts w:ascii="宋体"/>
                <w:sz w:val="21"/>
              </w:rPr>
              <w:t>11,506,196.00</w:t>
            </w:r>
          </w:p>
        </w:tc>
        <w:tc>
          <w:tcPr>
            <w:tcW w:w="1548"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8"/>
              <w:jc w:val="right"/>
              <w:rPr>
                <w:rFonts w:ascii="宋体" w:hAnsi="宋体" w:cs="宋体" w:eastAsia="宋体" w:hint="default"/>
                <w:sz w:val="21"/>
                <w:szCs w:val="21"/>
              </w:rPr>
            </w:pPr>
            <w:r>
              <w:rPr>
                <w:rFonts w:ascii="宋体"/>
                <w:sz w:val="21"/>
              </w:rPr>
              <w:t>48.4300</w:t>
            </w:r>
          </w:p>
        </w:tc>
      </w:tr>
      <w:tr>
        <w:trPr>
          <w:trHeight w:val="347" w:hRule="exact"/>
        </w:trPr>
        <w:tc>
          <w:tcPr>
            <w:tcW w:w="447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越超有限公司</w:t>
            </w:r>
          </w:p>
        </w:tc>
        <w:tc>
          <w:tcPr>
            <w:tcW w:w="3265"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86"/>
              <w:jc w:val="right"/>
              <w:rPr>
                <w:rFonts w:ascii="宋体" w:hAnsi="宋体" w:cs="宋体" w:eastAsia="宋体" w:hint="default"/>
                <w:sz w:val="21"/>
                <w:szCs w:val="21"/>
              </w:rPr>
            </w:pPr>
            <w:r>
              <w:rPr>
                <w:rFonts w:ascii="宋体"/>
                <w:sz w:val="21"/>
              </w:rPr>
              <w:t>2,662,756.00</w:t>
            </w:r>
          </w:p>
        </w:tc>
        <w:tc>
          <w:tcPr>
            <w:tcW w:w="1548"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11.2076</w:t>
            </w:r>
          </w:p>
        </w:tc>
      </w:tr>
      <w:tr>
        <w:trPr>
          <w:trHeight w:val="347" w:hRule="exact"/>
        </w:trPr>
        <w:tc>
          <w:tcPr>
            <w:tcW w:w="447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大洋中科特别目的株式会社</w:t>
            </w:r>
          </w:p>
        </w:tc>
        <w:tc>
          <w:tcPr>
            <w:tcW w:w="3265"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86"/>
              <w:jc w:val="right"/>
              <w:rPr>
                <w:rFonts w:ascii="宋体" w:hAnsi="宋体" w:cs="宋体" w:eastAsia="宋体" w:hint="default"/>
                <w:sz w:val="21"/>
                <w:szCs w:val="21"/>
              </w:rPr>
            </w:pPr>
            <w:r>
              <w:rPr>
                <w:rFonts w:ascii="宋体"/>
                <w:sz w:val="21"/>
              </w:rPr>
              <w:t>1,524,068.00</w:t>
            </w:r>
          </w:p>
        </w:tc>
        <w:tc>
          <w:tcPr>
            <w:tcW w:w="1548"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6.4149</w:t>
            </w:r>
          </w:p>
        </w:tc>
      </w:tr>
      <w:tr>
        <w:trPr>
          <w:trHeight w:val="347" w:hRule="exact"/>
        </w:trPr>
        <w:tc>
          <w:tcPr>
            <w:tcW w:w="447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陈晓华</w:t>
            </w:r>
          </w:p>
        </w:tc>
        <w:tc>
          <w:tcPr>
            <w:tcW w:w="3265"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86"/>
              <w:jc w:val="right"/>
              <w:rPr>
                <w:rFonts w:ascii="宋体" w:hAnsi="宋体" w:cs="宋体" w:eastAsia="宋体" w:hint="default"/>
                <w:sz w:val="21"/>
                <w:szCs w:val="21"/>
              </w:rPr>
            </w:pPr>
            <w:r>
              <w:rPr>
                <w:rFonts w:ascii="宋体"/>
                <w:sz w:val="21"/>
              </w:rPr>
              <w:t>1,205,776.00</w:t>
            </w:r>
          </w:p>
        </w:tc>
        <w:tc>
          <w:tcPr>
            <w:tcW w:w="1548"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5.0752</w:t>
            </w:r>
          </w:p>
        </w:tc>
      </w:tr>
      <w:tr>
        <w:trPr>
          <w:trHeight w:val="347" w:hRule="exact"/>
        </w:trPr>
        <w:tc>
          <w:tcPr>
            <w:tcW w:w="447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sz w:val="21"/>
              </w:rPr>
              <w:t>Qualcomm</w:t>
            </w:r>
            <w:r>
              <w:rPr>
                <w:rFonts w:ascii="宋体"/>
                <w:spacing w:val="-2"/>
                <w:sz w:val="21"/>
              </w:rPr>
              <w:t> </w:t>
            </w:r>
            <w:r>
              <w:rPr>
                <w:rFonts w:ascii="宋体"/>
                <w:sz w:val="21"/>
              </w:rPr>
              <w:t>International,Inc.</w:t>
            </w:r>
          </w:p>
        </w:tc>
        <w:tc>
          <w:tcPr>
            <w:tcW w:w="3265"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86"/>
              <w:jc w:val="right"/>
              <w:rPr>
                <w:rFonts w:ascii="宋体" w:hAnsi="宋体" w:cs="宋体" w:eastAsia="宋体" w:hint="default"/>
                <w:sz w:val="21"/>
                <w:szCs w:val="21"/>
              </w:rPr>
            </w:pPr>
            <w:r>
              <w:rPr>
                <w:rFonts w:ascii="宋体"/>
                <w:sz w:val="21"/>
              </w:rPr>
              <w:t>1,004,814.00</w:t>
            </w:r>
          </w:p>
        </w:tc>
        <w:tc>
          <w:tcPr>
            <w:tcW w:w="1548"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4.2293</w:t>
            </w:r>
          </w:p>
        </w:tc>
      </w:tr>
      <w:tr>
        <w:trPr>
          <w:trHeight w:val="348" w:hRule="exact"/>
        </w:trPr>
        <w:tc>
          <w:tcPr>
            <w:tcW w:w="447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国科瑞祺物联网创业投资有限公司</w:t>
            </w:r>
          </w:p>
        </w:tc>
        <w:tc>
          <w:tcPr>
            <w:tcW w:w="3265"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89"/>
              <w:jc w:val="right"/>
              <w:rPr>
                <w:rFonts w:ascii="宋体" w:hAnsi="宋体" w:cs="宋体" w:eastAsia="宋体" w:hint="default"/>
                <w:sz w:val="21"/>
                <w:szCs w:val="21"/>
              </w:rPr>
            </w:pPr>
            <w:r>
              <w:rPr>
                <w:rFonts w:ascii="宋体"/>
                <w:sz w:val="21"/>
              </w:rPr>
              <w:t>904,332.00</w:t>
            </w:r>
          </w:p>
        </w:tc>
        <w:tc>
          <w:tcPr>
            <w:tcW w:w="1548"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3.8064</w:t>
            </w:r>
          </w:p>
        </w:tc>
      </w:tr>
      <w:tr>
        <w:trPr>
          <w:trHeight w:val="347" w:hRule="exact"/>
        </w:trPr>
        <w:tc>
          <w:tcPr>
            <w:tcW w:w="4470"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展讯通信（天津）有限公司</w:t>
            </w:r>
          </w:p>
        </w:tc>
        <w:tc>
          <w:tcPr>
            <w:tcW w:w="3265"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589"/>
              <w:jc w:val="right"/>
              <w:rPr>
                <w:rFonts w:ascii="宋体" w:hAnsi="宋体" w:cs="宋体" w:eastAsia="宋体" w:hint="default"/>
                <w:sz w:val="21"/>
                <w:szCs w:val="21"/>
              </w:rPr>
            </w:pPr>
            <w:r>
              <w:rPr>
                <w:rFonts w:ascii="宋体"/>
                <w:sz w:val="21"/>
              </w:rPr>
              <w:t>706,813.00</w:t>
            </w:r>
          </w:p>
        </w:tc>
        <w:tc>
          <w:tcPr>
            <w:tcW w:w="1548"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7"/>
              <w:jc w:val="right"/>
              <w:rPr>
                <w:rFonts w:ascii="宋体" w:hAnsi="宋体" w:cs="宋体" w:eastAsia="宋体" w:hint="default"/>
                <w:sz w:val="21"/>
                <w:szCs w:val="21"/>
              </w:rPr>
            </w:pPr>
            <w:r>
              <w:rPr>
                <w:rFonts w:ascii="宋体"/>
                <w:sz w:val="21"/>
              </w:rPr>
              <w:t>2.9750</w:t>
            </w:r>
          </w:p>
        </w:tc>
      </w:tr>
      <w:tr>
        <w:trPr>
          <w:trHeight w:val="347" w:hRule="exact"/>
        </w:trPr>
        <w:tc>
          <w:tcPr>
            <w:tcW w:w="447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北京创达汇咨询有限公司</w:t>
            </w:r>
          </w:p>
        </w:tc>
        <w:tc>
          <w:tcPr>
            <w:tcW w:w="3265"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89"/>
              <w:jc w:val="right"/>
              <w:rPr>
                <w:rFonts w:ascii="宋体" w:hAnsi="宋体" w:cs="宋体" w:eastAsia="宋体" w:hint="default"/>
                <w:sz w:val="21"/>
                <w:szCs w:val="21"/>
              </w:rPr>
            </w:pPr>
            <w:r>
              <w:rPr>
                <w:rFonts w:ascii="宋体"/>
                <w:sz w:val="21"/>
              </w:rPr>
              <w:t>621,800.00</w:t>
            </w:r>
          </w:p>
        </w:tc>
        <w:tc>
          <w:tcPr>
            <w:tcW w:w="1548"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2.6172</w:t>
            </w:r>
          </w:p>
        </w:tc>
      </w:tr>
      <w:tr>
        <w:trPr>
          <w:trHeight w:val="347" w:hRule="exact"/>
        </w:trPr>
        <w:tc>
          <w:tcPr>
            <w:tcW w:w="447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北京创达立咨询有限公司</w:t>
            </w:r>
          </w:p>
        </w:tc>
        <w:tc>
          <w:tcPr>
            <w:tcW w:w="3265"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89"/>
              <w:jc w:val="right"/>
              <w:rPr>
                <w:rFonts w:ascii="宋体" w:hAnsi="宋体" w:cs="宋体" w:eastAsia="宋体" w:hint="default"/>
                <w:sz w:val="21"/>
                <w:szCs w:val="21"/>
              </w:rPr>
            </w:pPr>
            <w:r>
              <w:rPr>
                <w:rFonts w:ascii="宋体"/>
                <w:sz w:val="21"/>
              </w:rPr>
              <w:t>610,000.00</w:t>
            </w:r>
          </w:p>
        </w:tc>
        <w:tc>
          <w:tcPr>
            <w:tcW w:w="1548"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2.5675</w:t>
            </w:r>
          </w:p>
        </w:tc>
      </w:tr>
      <w:tr>
        <w:trPr>
          <w:trHeight w:val="348" w:hRule="exact"/>
        </w:trPr>
        <w:tc>
          <w:tcPr>
            <w:tcW w:w="447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北京创达信科技有限公司</w:t>
            </w:r>
          </w:p>
        </w:tc>
        <w:tc>
          <w:tcPr>
            <w:tcW w:w="3265"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89"/>
              <w:jc w:val="right"/>
              <w:rPr>
                <w:rFonts w:ascii="宋体" w:hAnsi="宋体" w:cs="宋体" w:eastAsia="宋体" w:hint="default"/>
                <w:sz w:val="21"/>
                <w:szCs w:val="21"/>
              </w:rPr>
            </w:pPr>
            <w:r>
              <w:rPr>
                <w:rFonts w:ascii="宋体"/>
                <w:sz w:val="21"/>
              </w:rPr>
              <w:t>597,400.00</w:t>
            </w:r>
          </w:p>
        </w:tc>
        <w:tc>
          <w:tcPr>
            <w:tcW w:w="1548"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2.5145</w:t>
            </w:r>
          </w:p>
        </w:tc>
      </w:tr>
    </w:tbl>
    <w:p>
      <w:pPr>
        <w:spacing w:after="0" w:line="266" w:lineRule="exact"/>
        <w:jc w:val="right"/>
        <w:rPr>
          <w:rFonts w:ascii="宋体" w:hAnsi="宋体" w:cs="宋体" w:eastAsia="宋体" w:hint="default"/>
          <w:sz w:val="21"/>
          <w:szCs w:val="21"/>
        </w:rPr>
        <w:sectPr>
          <w:pgSz w:w="11910" w:h="16840"/>
          <w:pgMar w:header="747" w:footer="979" w:top="1060" w:bottom="1160" w:left="0" w:right="0"/>
        </w:sectPr>
      </w:pPr>
    </w:p>
    <w:p>
      <w:pPr>
        <w:spacing w:line="240" w:lineRule="auto" w:before="12"/>
        <w:rPr>
          <w:rFonts w:ascii="宋体" w:hAnsi="宋体" w:cs="宋体" w:eastAsia="宋体" w:hint="default"/>
          <w:sz w:val="2"/>
          <w:szCs w:val="2"/>
        </w:rPr>
      </w:pPr>
      <w:r>
        <w:rPr/>
        <w:pict>
          <v:group style="position:absolute;margin-left:55.200001pt;margin-top:55.619984pt;width:485pt;height:.1pt;mso-position-horizontal-relative:page;mso-position-vertical-relative:page;z-index:-925384"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34" w:type="dxa"/>
        <w:tblLayout w:type="fixed"/>
        <w:tblCellMar>
          <w:top w:w="0" w:type="dxa"/>
          <w:left w:w="0" w:type="dxa"/>
          <w:bottom w:w="0" w:type="dxa"/>
          <w:right w:w="0" w:type="dxa"/>
        </w:tblCellMar>
        <w:tblLook w:val="01E0"/>
      </w:tblPr>
      <w:tblGrid>
        <w:gridCol w:w="3729"/>
        <w:gridCol w:w="4056"/>
        <w:gridCol w:w="1496"/>
      </w:tblGrid>
      <w:tr>
        <w:trPr>
          <w:trHeight w:val="684" w:hRule="exact"/>
        </w:trPr>
        <w:tc>
          <w:tcPr>
            <w:tcW w:w="3729"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sz w:val="21"/>
              </w:rPr>
              <w:t>ARM Limited</w:t>
            </w:r>
          </w:p>
        </w:tc>
        <w:tc>
          <w:tcPr>
            <w:tcW w:w="4056"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639"/>
              <w:jc w:val="right"/>
              <w:rPr>
                <w:rFonts w:ascii="宋体" w:hAnsi="宋体" w:cs="宋体" w:eastAsia="宋体" w:hint="default"/>
                <w:sz w:val="21"/>
                <w:szCs w:val="21"/>
              </w:rPr>
            </w:pPr>
            <w:r>
              <w:rPr>
                <w:rFonts w:ascii="宋体"/>
                <w:sz w:val="21"/>
              </w:rPr>
              <w:t>502,407.00</w:t>
            </w:r>
          </w:p>
        </w:tc>
        <w:tc>
          <w:tcPr>
            <w:tcW w:w="1496"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7"/>
              <w:jc w:val="right"/>
              <w:rPr>
                <w:rFonts w:ascii="宋体" w:hAnsi="宋体" w:cs="宋体" w:eastAsia="宋体" w:hint="default"/>
                <w:sz w:val="21"/>
                <w:szCs w:val="21"/>
              </w:rPr>
            </w:pPr>
            <w:r>
              <w:rPr>
                <w:rFonts w:ascii="宋体"/>
                <w:sz w:val="21"/>
              </w:rPr>
              <w:t>2.1146</w:t>
            </w:r>
          </w:p>
        </w:tc>
      </w:tr>
      <w:tr>
        <w:trPr>
          <w:trHeight w:val="347" w:hRule="exact"/>
        </w:trPr>
        <w:tc>
          <w:tcPr>
            <w:tcW w:w="372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段志强</w:t>
            </w:r>
          </w:p>
        </w:tc>
        <w:tc>
          <w:tcPr>
            <w:tcW w:w="4056"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39"/>
              <w:jc w:val="right"/>
              <w:rPr>
                <w:rFonts w:ascii="宋体" w:hAnsi="宋体" w:cs="宋体" w:eastAsia="宋体" w:hint="default"/>
                <w:sz w:val="21"/>
                <w:szCs w:val="21"/>
              </w:rPr>
            </w:pPr>
            <w:r>
              <w:rPr>
                <w:rFonts w:ascii="宋体"/>
                <w:sz w:val="21"/>
              </w:rPr>
              <w:t>502,319.00</w:t>
            </w:r>
          </w:p>
        </w:tc>
        <w:tc>
          <w:tcPr>
            <w:tcW w:w="1496"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2.1143</w:t>
            </w:r>
          </w:p>
        </w:tc>
      </w:tr>
      <w:tr>
        <w:trPr>
          <w:trHeight w:val="347" w:hRule="exact"/>
        </w:trPr>
        <w:tc>
          <w:tcPr>
            <w:tcW w:w="372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吴安华</w:t>
            </w:r>
          </w:p>
        </w:tc>
        <w:tc>
          <w:tcPr>
            <w:tcW w:w="4056"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39"/>
              <w:jc w:val="right"/>
              <w:rPr>
                <w:rFonts w:ascii="宋体" w:hAnsi="宋体" w:cs="宋体" w:eastAsia="宋体" w:hint="default"/>
                <w:sz w:val="21"/>
                <w:szCs w:val="21"/>
              </w:rPr>
            </w:pPr>
            <w:r>
              <w:rPr>
                <w:rFonts w:ascii="宋体"/>
                <w:sz w:val="21"/>
              </w:rPr>
              <w:t>500,000.00</w:t>
            </w:r>
          </w:p>
        </w:tc>
        <w:tc>
          <w:tcPr>
            <w:tcW w:w="1496"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2.1045</w:t>
            </w:r>
          </w:p>
        </w:tc>
      </w:tr>
      <w:tr>
        <w:trPr>
          <w:trHeight w:val="348" w:hRule="exact"/>
        </w:trPr>
        <w:tc>
          <w:tcPr>
            <w:tcW w:w="372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耿增强</w:t>
            </w:r>
          </w:p>
        </w:tc>
        <w:tc>
          <w:tcPr>
            <w:tcW w:w="4056"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39"/>
              <w:jc w:val="right"/>
              <w:rPr>
                <w:rFonts w:ascii="宋体" w:hAnsi="宋体" w:cs="宋体" w:eastAsia="宋体" w:hint="default"/>
                <w:sz w:val="21"/>
                <w:szCs w:val="21"/>
              </w:rPr>
            </w:pPr>
            <w:r>
              <w:rPr>
                <w:rFonts w:ascii="宋体"/>
                <w:sz w:val="21"/>
              </w:rPr>
              <w:t>474,800.00</w:t>
            </w:r>
          </w:p>
        </w:tc>
        <w:tc>
          <w:tcPr>
            <w:tcW w:w="1496"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1.9984</w:t>
            </w:r>
          </w:p>
        </w:tc>
      </w:tr>
      <w:tr>
        <w:trPr>
          <w:trHeight w:val="347" w:hRule="exact"/>
        </w:trPr>
        <w:tc>
          <w:tcPr>
            <w:tcW w:w="3729"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世悦控股有限公司</w:t>
            </w:r>
          </w:p>
        </w:tc>
        <w:tc>
          <w:tcPr>
            <w:tcW w:w="4056"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639"/>
              <w:jc w:val="right"/>
              <w:rPr>
                <w:rFonts w:ascii="宋体" w:hAnsi="宋体" w:cs="宋体" w:eastAsia="宋体" w:hint="default"/>
                <w:sz w:val="21"/>
                <w:szCs w:val="21"/>
              </w:rPr>
            </w:pPr>
            <w:r>
              <w:rPr>
                <w:rFonts w:ascii="宋体"/>
                <w:sz w:val="21"/>
              </w:rPr>
              <w:t>251,203.00</w:t>
            </w:r>
          </w:p>
        </w:tc>
        <w:tc>
          <w:tcPr>
            <w:tcW w:w="1496"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7"/>
              <w:jc w:val="right"/>
              <w:rPr>
                <w:rFonts w:ascii="宋体" w:hAnsi="宋体" w:cs="宋体" w:eastAsia="宋体" w:hint="default"/>
                <w:sz w:val="21"/>
                <w:szCs w:val="21"/>
              </w:rPr>
            </w:pPr>
            <w:r>
              <w:rPr>
                <w:rFonts w:ascii="宋体"/>
                <w:sz w:val="21"/>
              </w:rPr>
              <w:t>1.0573</w:t>
            </w:r>
          </w:p>
        </w:tc>
      </w:tr>
      <w:tr>
        <w:trPr>
          <w:trHeight w:val="347" w:hRule="exact"/>
        </w:trPr>
        <w:tc>
          <w:tcPr>
            <w:tcW w:w="372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邹鹏程</w:t>
            </w:r>
          </w:p>
        </w:tc>
        <w:tc>
          <w:tcPr>
            <w:tcW w:w="4056"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38"/>
              <w:jc w:val="right"/>
              <w:rPr>
                <w:rFonts w:ascii="宋体" w:hAnsi="宋体" w:cs="宋体" w:eastAsia="宋体" w:hint="default"/>
                <w:sz w:val="21"/>
                <w:szCs w:val="21"/>
              </w:rPr>
            </w:pPr>
            <w:r>
              <w:rPr>
                <w:rFonts w:ascii="宋体"/>
                <w:sz w:val="21"/>
              </w:rPr>
              <w:t>93,300.00</w:t>
            </w:r>
          </w:p>
        </w:tc>
        <w:tc>
          <w:tcPr>
            <w:tcW w:w="1496"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0.3927</w:t>
            </w:r>
          </w:p>
        </w:tc>
      </w:tr>
      <w:tr>
        <w:trPr>
          <w:trHeight w:val="347" w:hRule="exact"/>
        </w:trPr>
        <w:tc>
          <w:tcPr>
            <w:tcW w:w="372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杨洁</w:t>
            </w:r>
          </w:p>
        </w:tc>
        <w:tc>
          <w:tcPr>
            <w:tcW w:w="4056"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38"/>
              <w:jc w:val="right"/>
              <w:rPr>
                <w:rFonts w:ascii="宋体" w:hAnsi="宋体" w:cs="宋体" w:eastAsia="宋体" w:hint="default"/>
                <w:sz w:val="21"/>
                <w:szCs w:val="21"/>
              </w:rPr>
            </w:pPr>
            <w:r>
              <w:rPr>
                <w:rFonts w:ascii="宋体"/>
                <w:sz w:val="21"/>
              </w:rPr>
              <w:t>90,433.00</w:t>
            </w:r>
          </w:p>
        </w:tc>
        <w:tc>
          <w:tcPr>
            <w:tcW w:w="1496"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0.3806</w:t>
            </w:r>
          </w:p>
        </w:tc>
      </w:tr>
      <w:tr>
        <w:trPr>
          <w:trHeight w:val="348" w:hRule="exact"/>
        </w:trPr>
        <w:tc>
          <w:tcPr>
            <w:tcW w:w="372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4056"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41"/>
              <w:jc w:val="right"/>
              <w:rPr>
                <w:rFonts w:ascii="宋体" w:hAnsi="宋体" w:cs="宋体" w:eastAsia="宋体" w:hint="default"/>
                <w:sz w:val="21"/>
                <w:szCs w:val="21"/>
              </w:rPr>
            </w:pPr>
            <w:r>
              <w:rPr>
                <w:rFonts w:ascii="宋体"/>
                <w:b/>
                <w:w w:val="95"/>
                <w:sz w:val="21"/>
              </w:rPr>
              <w:t>23,758,417.00</w:t>
            </w:r>
            <w:r>
              <w:rPr>
                <w:rFonts w:ascii="宋体"/>
                <w:sz w:val="21"/>
              </w:rPr>
            </w:r>
          </w:p>
        </w:tc>
        <w:tc>
          <w:tcPr>
            <w:tcW w:w="1496"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9"/>
              <w:jc w:val="right"/>
              <w:rPr>
                <w:rFonts w:ascii="宋体" w:hAnsi="宋体" w:cs="宋体" w:eastAsia="宋体" w:hint="default"/>
                <w:sz w:val="21"/>
                <w:szCs w:val="21"/>
              </w:rPr>
            </w:pPr>
            <w:r>
              <w:rPr>
                <w:rFonts w:ascii="宋体"/>
                <w:b/>
                <w:w w:val="95"/>
                <w:sz w:val="21"/>
              </w:rPr>
              <w:t>100.0000</w:t>
            </w:r>
            <w:r>
              <w:rPr>
                <w:rFonts w:ascii="宋体"/>
                <w:sz w:val="21"/>
              </w:rPr>
            </w:r>
          </w:p>
        </w:tc>
      </w:tr>
    </w:tbl>
    <w:p>
      <w:pPr>
        <w:spacing w:line="240" w:lineRule="auto" w:before="5"/>
        <w:rPr>
          <w:rFonts w:ascii="宋体" w:hAnsi="宋体" w:cs="宋体" w:eastAsia="宋体" w:hint="default"/>
          <w:sz w:val="5"/>
          <w:szCs w:val="5"/>
        </w:rPr>
      </w:pPr>
    </w:p>
    <w:p>
      <w:pPr>
        <w:pStyle w:val="BodyText"/>
        <w:spacing w:line="273" w:lineRule="auto" w:before="35"/>
        <w:ind w:right="1130"/>
        <w:jc w:val="both"/>
      </w:pP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23</w:t>
      </w:r>
      <w:r>
        <w:rPr/>
        <w:t>日，中科创达有限董事会会议审议通过了《关于公司整体变更为股份有限公司的议案》，将</w:t>
      </w:r>
      <w:r>
        <w:rPr>
          <w:spacing w:val="-34"/>
        </w:rPr>
        <w:t> </w:t>
      </w:r>
      <w:r>
        <w:rPr>
          <w:spacing w:val="-34"/>
        </w:rPr>
      </w:r>
      <w:r>
        <w:rPr/>
        <w:t>原有限责任公司变更为股份有限公司，全体股东于</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23</w:t>
      </w:r>
      <w:r>
        <w:rPr/>
        <w:t>日共同签署了《发起人协议》。根据《发</w:t>
      </w:r>
      <w:r>
        <w:rPr>
          <w:spacing w:val="-30"/>
        </w:rPr>
        <w:t> </w:t>
      </w:r>
      <w:r>
        <w:rPr>
          <w:spacing w:val="-30"/>
        </w:rPr>
      </w:r>
      <w:r>
        <w:rPr/>
        <w:t>起人协议》和公司章程，以</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30</w:t>
      </w:r>
      <w:r>
        <w:rPr/>
        <w:t>日的净资产以发起设立的方式整体变更为股份有限公司，股份公</w:t>
      </w:r>
      <w:r>
        <w:rPr>
          <w:spacing w:val="-33"/>
        </w:rPr>
        <w:t> </w:t>
      </w:r>
      <w:r>
        <w:rPr>
          <w:spacing w:val="-33"/>
        </w:rPr>
      </w:r>
      <w:r>
        <w:rPr/>
        <w:t>司总股本为</w:t>
      </w:r>
      <w:r>
        <w:rPr>
          <w:rFonts w:ascii="宋体" w:hAnsi="宋体" w:cs="宋体" w:eastAsia="宋体" w:hint="default"/>
        </w:rPr>
        <w:t>7,500</w:t>
      </w:r>
      <w:r>
        <w:rPr/>
        <w:t>万股，均为每股面值</w:t>
      </w:r>
      <w:r>
        <w:rPr>
          <w:rFonts w:ascii="宋体" w:hAnsi="宋体" w:cs="宋体" w:eastAsia="宋体" w:hint="default"/>
        </w:rPr>
        <w:t>1</w:t>
      </w:r>
      <w:r>
        <w:rPr/>
        <w:t>元的人民币普通股。本次变更业经北京市商务委员会于</w:t>
      </w:r>
      <w:r>
        <w:rPr>
          <w:rFonts w:ascii="宋体" w:hAnsi="宋体" w:cs="宋体" w:eastAsia="宋体" w:hint="default"/>
        </w:rPr>
        <w:t>2012</w:t>
      </w:r>
      <w:r>
        <w:rPr/>
        <w:t>年</w:t>
      </w:r>
      <w:r>
        <w:rPr>
          <w:rFonts w:ascii="宋体" w:hAnsi="宋体" w:cs="宋体" w:eastAsia="宋体" w:hint="default"/>
        </w:rPr>
        <w:t>8</w:t>
      </w:r>
      <w:r>
        <w:rPr/>
        <w:t>月</w:t>
      </w:r>
      <w:r>
        <w:rPr>
          <w:spacing w:val="-28"/>
        </w:rPr>
        <w:t> </w:t>
      </w:r>
      <w:r>
        <w:rPr>
          <w:rFonts w:ascii="宋体" w:hAnsi="宋体" w:cs="宋体" w:eastAsia="宋体" w:hint="default"/>
        </w:rPr>
        <w:t>16</w:t>
      </w:r>
      <w:r>
        <w:rPr/>
        <w:t>日以京商务资字</w:t>
      </w:r>
      <w:r>
        <w:rPr>
          <w:rFonts w:ascii="宋体" w:hAnsi="宋体" w:cs="宋体" w:eastAsia="宋体" w:hint="default"/>
        </w:rPr>
        <w:t>[2012]634</w:t>
      </w:r>
      <w:r>
        <w:rPr/>
        <w:t>号文件批准，并经过国家外汇管理局北京外汇管理部对于境外出资人本次出</w:t>
      </w:r>
      <w:r>
        <w:rPr>
          <w:spacing w:val="-36"/>
        </w:rPr>
        <w:t> </w:t>
      </w:r>
      <w:r>
        <w:rPr>
          <w:spacing w:val="-36"/>
        </w:rPr>
      </w:r>
      <w:r>
        <w:rPr>
          <w:spacing w:val="-1"/>
        </w:rPr>
        <w:t>资情况的核准。上述变更业经致同会计师事务所（特殊普通合伙）于</w:t>
      </w:r>
      <w:r>
        <w:rPr>
          <w:rFonts w:ascii="宋体" w:hAnsi="宋体" w:cs="宋体" w:eastAsia="宋体" w:hint="default"/>
          <w:spacing w:val="-1"/>
        </w:rPr>
        <w:t>2012</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23</w:t>
      </w:r>
      <w:r>
        <w:rPr>
          <w:spacing w:val="-1"/>
        </w:rPr>
        <w:t>日出具致同验字</w:t>
      </w:r>
      <w:r>
        <w:rPr>
          <w:rFonts w:ascii="宋体" w:hAnsi="宋体" w:cs="宋体" w:eastAsia="宋体" w:hint="default"/>
          <w:spacing w:val="-1"/>
        </w:rPr>
        <w:t>(2012)</w:t>
      </w:r>
      <w:r>
        <w:rPr>
          <w:rFonts w:ascii="宋体" w:hAnsi="宋体" w:cs="宋体" w:eastAsia="宋体" w:hint="default"/>
          <w:spacing w:val="-78"/>
        </w:rPr>
        <w:t> </w:t>
      </w:r>
      <w:r>
        <w:rPr/>
        <w:t>第</w:t>
      </w:r>
      <w:r>
        <w:rPr>
          <w:rFonts w:ascii="宋体" w:hAnsi="宋体" w:cs="宋体" w:eastAsia="宋体" w:hint="default"/>
        </w:rPr>
        <w:t>110ZC0058</w:t>
      </w:r>
      <w:r>
        <w:rPr/>
        <w:t>号验资报告予以验证，此次变更后，本公司股权结构如下：</w:t>
      </w:r>
    </w:p>
    <w:p>
      <w:pPr>
        <w:spacing w:line="240" w:lineRule="auto" w:before="3"/>
        <w:rPr>
          <w:rFonts w:ascii="宋体" w:hAnsi="宋体" w:cs="宋体" w:eastAsia="宋体" w:hint="default"/>
          <w:sz w:val="18"/>
          <w:szCs w:val="18"/>
        </w:rPr>
      </w:pPr>
    </w:p>
    <w:tbl>
      <w:tblPr>
        <w:tblW w:w="0" w:type="auto"/>
        <w:jc w:val="left"/>
        <w:tblInd w:w="1134" w:type="dxa"/>
        <w:tblLayout w:type="fixed"/>
        <w:tblCellMar>
          <w:top w:w="0" w:type="dxa"/>
          <w:left w:w="0" w:type="dxa"/>
          <w:bottom w:w="0" w:type="dxa"/>
          <w:right w:w="0" w:type="dxa"/>
        </w:tblCellMar>
        <w:tblLook w:val="01E0"/>
      </w:tblPr>
      <w:tblGrid>
        <w:gridCol w:w="4126"/>
        <w:gridCol w:w="3031"/>
        <w:gridCol w:w="1969"/>
      </w:tblGrid>
      <w:tr>
        <w:trPr>
          <w:trHeight w:val="349" w:hRule="exact"/>
        </w:trPr>
        <w:tc>
          <w:tcPr>
            <w:tcW w:w="4126"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3031"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378"/>
              <w:jc w:val="right"/>
              <w:rPr>
                <w:rFonts w:ascii="宋体" w:hAnsi="宋体" w:cs="宋体" w:eastAsia="宋体" w:hint="default"/>
                <w:sz w:val="21"/>
                <w:szCs w:val="21"/>
              </w:rPr>
            </w:pPr>
            <w:r>
              <w:rPr>
                <w:rFonts w:ascii="宋体" w:hAnsi="宋体" w:cs="宋体" w:eastAsia="宋体" w:hint="default"/>
                <w:b/>
                <w:bCs/>
                <w:w w:val="95"/>
                <w:sz w:val="21"/>
                <w:szCs w:val="21"/>
              </w:rPr>
              <w:t>投资折合股本股数</w:t>
            </w:r>
            <w:r>
              <w:rPr>
                <w:rFonts w:ascii="宋体" w:hAnsi="宋体" w:cs="宋体" w:eastAsia="宋体" w:hint="default"/>
                <w:sz w:val="21"/>
                <w:szCs w:val="21"/>
              </w:rPr>
            </w:r>
          </w:p>
        </w:tc>
        <w:tc>
          <w:tcPr>
            <w:tcW w:w="1969"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8"/>
              <w:jc w:val="right"/>
              <w:rPr>
                <w:rFonts w:ascii="宋体" w:hAnsi="宋体" w:cs="宋体" w:eastAsia="宋体" w:hint="default"/>
                <w:sz w:val="21"/>
                <w:szCs w:val="21"/>
              </w:rPr>
            </w:pPr>
            <w:r>
              <w:rPr>
                <w:rFonts w:ascii="宋体" w:hAnsi="宋体" w:cs="宋体" w:eastAsia="宋体" w:hint="default"/>
                <w:b/>
                <w:bCs/>
                <w:w w:val="95"/>
                <w:sz w:val="21"/>
                <w:szCs w:val="21"/>
              </w:rPr>
              <w:t>占注册资本比例</w:t>
            </w:r>
            <w:r>
              <w:rPr>
                <w:rFonts w:ascii="宋体" w:hAnsi="宋体" w:cs="宋体" w:eastAsia="宋体" w:hint="default"/>
                <w:b/>
                <w:bCs/>
                <w:w w:val="95"/>
                <w:sz w:val="21"/>
                <w:szCs w:val="21"/>
              </w:rPr>
              <w:t>%</w:t>
            </w:r>
            <w:r>
              <w:rPr>
                <w:rFonts w:ascii="宋体" w:hAnsi="宋体" w:cs="宋体" w:eastAsia="宋体" w:hint="default"/>
                <w:sz w:val="21"/>
                <w:szCs w:val="21"/>
              </w:rPr>
            </w:r>
          </w:p>
        </w:tc>
      </w:tr>
      <w:tr>
        <w:trPr>
          <w:trHeight w:val="347" w:hRule="exact"/>
        </w:trPr>
        <w:tc>
          <w:tcPr>
            <w:tcW w:w="4126"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赵鸿飞</w:t>
            </w:r>
          </w:p>
        </w:tc>
        <w:tc>
          <w:tcPr>
            <w:tcW w:w="3031"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376"/>
              <w:jc w:val="right"/>
              <w:rPr>
                <w:rFonts w:ascii="宋体" w:hAnsi="宋体" w:cs="宋体" w:eastAsia="宋体" w:hint="default"/>
                <w:sz w:val="21"/>
                <w:szCs w:val="21"/>
              </w:rPr>
            </w:pPr>
            <w:r>
              <w:rPr>
                <w:rFonts w:ascii="宋体"/>
                <w:sz w:val="21"/>
              </w:rPr>
              <w:t>36,322,483.00</w:t>
            </w:r>
          </w:p>
        </w:tc>
        <w:tc>
          <w:tcPr>
            <w:tcW w:w="1969"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48.4300</w:t>
            </w:r>
          </w:p>
        </w:tc>
      </w:tr>
      <w:tr>
        <w:trPr>
          <w:trHeight w:val="347" w:hRule="exact"/>
        </w:trPr>
        <w:tc>
          <w:tcPr>
            <w:tcW w:w="4126"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越超有限公司</w:t>
            </w:r>
          </w:p>
        </w:tc>
        <w:tc>
          <w:tcPr>
            <w:tcW w:w="3031"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376"/>
              <w:jc w:val="right"/>
              <w:rPr>
                <w:rFonts w:ascii="宋体" w:hAnsi="宋体" w:cs="宋体" w:eastAsia="宋体" w:hint="default"/>
                <w:sz w:val="21"/>
                <w:szCs w:val="21"/>
              </w:rPr>
            </w:pPr>
            <w:r>
              <w:rPr>
                <w:rFonts w:ascii="宋体"/>
                <w:sz w:val="21"/>
              </w:rPr>
              <w:t>8,405,724.00</w:t>
            </w:r>
          </w:p>
        </w:tc>
        <w:tc>
          <w:tcPr>
            <w:tcW w:w="1969"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11.2076</w:t>
            </w:r>
          </w:p>
        </w:tc>
      </w:tr>
      <w:tr>
        <w:trPr>
          <w:trHeight w:val="348" w:hRule="exact"/>
        </w:trPr>
        <w:tc>
          <w:tcPr>
            <w:tcW w:w="4126"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大洋中科特别目的株式会社</w:t>
            </w:r>
          </w:p>
        </w:tc>
        <w:tc>
          <w:tcPr>
            <w:tcW w:w="3031"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376"/>
              <w:jc w:val="right"/>
              <w:rPr>
                <w:rFonts w:ascii="宋体" w:hAnsi="宋体" w:cs="宋体" w:eastAsia="宋体" w:hint="default"/>
                <w:sz w:val="21"/>
                <w:szCs w:val="21"/>
              </w:rPr>
            </w:pPr>
            <w:r>
              <w:rPr>
                <w:rFonts w:ascii="宋体"/>
                <w:sz w:val="21"/>
              </w:rPr>
              <w:t>4,811,141.00</w:t>
            </w:r>
          </w:p>
        </w:tc>
        <w:tc>
          <w:tcPr>
            <w:tcW w:w="1969"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6.4149</w:t>
            </w:r>
          </w:p>
        </w:tc>
      </w:tr>
      <w:tr>
        <w:trPr>
          <w:trHeight w:val="347" w:hRule="exact"/>
        </w:trPr>
        <w:tc>
          <w:tcPr>
            <w:tcW w:w="4126"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陈晓华</w:t>
            </w:r>
          </w:p>
        </w:tc>
        <w:tc>
          <w:tcPr>
            <w:tcW w:w="3031"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376"/>
              <w:jc w:val="right"/>
              <w:rPr>
                <w:rFonts w:ascii="宋体" w:hAnsi="宋体" w:cs="宋体" w:eastAsia="宋体" w:hint="default"/>
                <w:sz w:val="21"/>
                <w:szCs w:val="21"/>
              </w:rPr>
            </w:pPr>
            <w:r>
              <w:rPr>
                <w:rFonts w:ascii="宋体"/>
                <w:sz w:val="21"/>
              </w:rPr>
              <w:t>3,806,365.00</w:t>
            </w:r>
          </w:p>
        </w:tc>
        <w:tc>
          <w:tcPr>
            <w:tcW w:w="1969"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7"/>
              <w:jc w:val="right"/>
              <w:rPr>
                <w:rFonts w:ascii="宋体" w:hAnsi="宋体" w:cs="宋体" w:eastAsia="宋体" w:hint="default"/>
                <w:sz w:val="21"/>
                <w:szCs w:val="21"/>
              </w:rPr>
            </w:pPr>
            <w:r>
              <w:rPr>
                <w:rFonts w:ascii="宋体"/>
                <w:sz w:val="21"/>
              </w:rPr>
              <w:t>5.0752</w:t>
            </w:r>
          </w:p>
        </w:tc>
      </w:tr>
      <w:tr>
        <w:trPr>
          <w:trHeight w:val="347" w:hRule="exact"/>
        </w:trPr>
        <w:tc>
          <w:tcPr>
            <w:tcW w:w="4126"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sz w:val="21"/>
              </w:rPr>
              <w:t>Qualcomm</w:t>
            </w:r>
            <w:r>
              <w:rPr>
                <w:rFonts w:ascii="宋体"/>
                <w:spacing w:val="-2"/>
                <w:sz w:val="21"/>
              </w:rPr>
              <w:t> </w:t>
            </w:r>
            <w:r>
              <w:rPr>
                <w:rFonts w:ascii="宋体"/>
                <w:sz w:val="21"/>
              </w:rPr>
              <w:t>International,Inc.</w:t>
            </w:r>
          </w:p>
        </w:tc>
        <w:tc>
          <w:tcPr>
            <w:tcW w:w="3031"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376"/>
              <w:jc w:val="right"/>
              <w:rPr>
                <w:rFonts w:ascii="宋体" w:hAnsi="宋体" w:cs="宋体" w:eastAsia="宋体" w:hint="default"/>
                <w:sz w:val="21"/>
                <w:szCs w:val="21"/>
              </w:rPr>
            </w:pPr>
            <w:r>
              <w:rPr>
                <w:rFonts w:ascii="宋体"/>
                <w:sz w:val="21"/>
              </w:rPr>
              <w:t>3,171,973.00</w:t>
            </w:r>
          </w:p>
        </w:tc>
        <w:tc>
          <w:tcPr>
            <w:tcW w:w="1969"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4.2293</w:t>
            </w:r>
          </w:p>
        </w:tc>
      </w:tr>
      <w:tr>
        <w:trPr>
          <w:trHeight w:val="347" w:hRule="exact"/>
        </w:trPr>
        <w:tc>
          <w:tcPr>
            <w:tcW w:w="4126"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国科瑞祺物联网创业投资有限公司</w:t>
            </w:r>
          </w:p>
        </w:tc>
        <w:tc>
          <w:tcPr>
            <w:tcW w:w="3031"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376"/>
              <w:jc w:val="right"/>
              <w:rPr>
                <w:rFonts w:ascii="宋体" w:hAnsi="宋体" w:cs="宋体" w:eastAsia="宋体" w:hint="default"/>
                <w:sz w:val="21"/>
                <w:szCs w:val="21"/>
              </w:rPr>
            </w:pPr>
            <w:r>
              <w:rPr>
                <w:rFonts w:ascii="宋体"/>
                <w:sz w:val="21"/>
              </w:rPr>
              <w:t>2,854,774.00</w:t>
            </w:r>
          </w:p>
        </w:tc>
        <w:tc>
          <w:tcPr>
            <w:tcW w:w="1969"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3.8064</w:t>
            </w:r>
          </w:p>
        </w:tc>
      </w:tr>
      <w:tr>
        <w:trPr>
          <w:trHeight w:val="347" w:hRule="exact"/>
        </w:trPr>
        <w:tc>
          <w:tcPr>
            <w:tcW w:w="4126"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展讯通信（天津）有限公司</w:t>
            </w:r>
          </w:p>
        </w:tc>
        <w:tc>
          <w:tcPr>
            <w:tcW w:w="3031"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376"/>
              <w:jc w:val="right"/>
              <w:rPr>
                <w:rFonts w:ascii="宋体" w:hAnsi="宋体" w:cs="宋体" w:eastAsia="宋体" w:hint="default"/>
                <w:sz w:val="21"/>
                <w:szCs w:val="21"/>
              </w:rPr>
            </w:pPr>
            <w:r>
              <w:rPr>
                <w:rFonts w:ascii="宋体"/>
                <w:sz w:val="21"/>
              </w:rPr>
              <w:t>2,231,250.00</w:t>
            </w:r>
          </w:p>
        </w:tc>
        <w:tc>
          <w:tcPr>
            <w:tcW w:w="1969"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2.9750</w:t>
            </w:r>
          </w:p>
        </w:tc>
      </w:tr>
      <w:tr>
        <w:trPr>
          <w:trHeight w:val="347" w:hRule="exact"/>
        </w:trPr>
        <w:tc>
          <w:tcPr>
            <w:tcW w:w="4126"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北京创达汇咨询有限公司</w:t>
            </w:r>
          </w:p>
        </w:tc>
        <w:tc>
          <w:tcPr>
            <w:tcW w:w="3031"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376"/>
              <w:jc w:val="right"/>
              <w:rPr>
                <w:rFonts w:ascii="宋体" w:hAnsi="宋体" w:cs="宋体" w:eastAsia="宋体" w:hint="default"/>
                <w:sz w:val="21"/>
                <w:szCs w:val="21"/>
              </w:rPr>
            </w:pPr>
            <w:r>
              <w:rPr>
                <w:rFonts w:ascii="宋体"/>
                <w:sz w:val="21"/>
              </w:rPr>
              <w:t>1,962,883.00</w:t>
            </w:r>
          </w:p>
        </w:tc>
        <w:tc>
          <w:tcPr>
            <w:tcW w:w="1969"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2.6172</w:t>
            </w:r>
          </w:p>
        </w:tc>
      </w:tr>
      <w:tr>
        <w:trPr>
          <w:trHeight w:val="348" w:hRule="exact"/>
        </w:trPr>
        <w:tc>
          <w:tcPr>
            <w:tcW w:w="4126"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北京创达立咨询有限公司</w:t>
            </w:r>
          </w:p>
        </w:tc>
        <w:tc>
          <w:tcPr>
            <w:tcW w:w="3031"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376"/>
              <w:jc w:val="right"/>
              <w:rPr>
                <w:rFonts w:ascii="宋体" w:hAnsi="宋体" w:cs="宋体" w:eastAsia="宋体" w:hint="default"/>
                <w:sz w:val="21"/>
                <w:szCs w:val="21"/>
              </w:rPr>
            </w:pPr>
            <w:r>
              <w:rPr>
                <w:rFonts w:ascii="宋体"/>
                <w:sz w:val="21"/>
              </w:rPr>
              <w:t>1,925,633.00</w:t>
            </w:r>
          </w:p>
        </w:tc>
        <w:tc>
          <w:tcPr>
            <w:tcW w:w="1969"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2.5675</w:t>
            </w:r>
          </w:p>
        </w:tc>
      </w:tr>
      <w:tr>
        <w:trPr>
          <w:trHeight w:val="347" w:hRule="exact"/>
        </w:trPr>
        <w:tc>
          <w:tcPr>
            <w:tcW w:w="4126"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北京创达信科技有限公司</w:t>
            </w:r>
          </w:p>
        </w:tc>
        <w:tc>
          <w:tcPr>
            <w:tcW w:w="3031"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376"/>
              <w:jc w:val="right"/>
              <w:rPr>
                <w:rFonts w:ascii="宋体" w:hAnsi="宋体" w:cs="宋体" w:eastAsia="宋体" w:hint="default"/>
                <w:sz w:val="21"/>
                <w:szCs w:val="21"/>
              </w:rPr>
            </w:pPr>
            <w:r>
              <w:rPr>
                <w:rFonts w:ascii="宋体"/>
                <w:sz w:val="21"/>
              </w:rPr>
              <w:t>1,885,858.00</w:t>
            </w:r>
          </w:p>
        </w:tc>
        <w:tc>
          <w:tcPr>
            <w:tcW w:w="1969"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7"/>
              <w:jc w:val="right"/>
              <w:rPr>
                <w:rFonts w:ascii="宋体" w:hAnsi="宋体" w:cs="宋体" w:eastAsia="宋体" w:hint="default"/>
                <w:sz w:val="21"/>
                <w:szCs w:val="21"/>
              </w:rPr>
            </w:pPr>
            <w:r>
              <w:rPr>
                <w:rFonts w:ascii="宋体"/>
                <w:sz w:val="21"/>
              </w:rPr>
              <w:t>2.5145</w:t>
            </w:r>
          </w:p>
        </w:tc>
      </w:tr>
      <w:tr>
        <w:trPr>
          <w:trHeight w:val="347" w:hRule="exact"/>
        </w:trPr>
        <w:tc>
          <w:tcPr>
            <w:tcW w:w="4126"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sz w:val="21"/>
              </w:rPr>
              <w:t>ARM Limited</w:t>
            </w:r>
          </w:p>
        </w:tc>
        <w:tc>
          <w:tcPr>
            <w:tcW w:w="3031"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376"/>
              <w:jc w:val="right"/>
              <w:rPr>
                <w:rFonts w:ascii="宋体" w:hAnsi="宋体" w:cs="宋体" w:eastAsia="宋体" w:hint="default"/>
                <w:sz w:val="21"/>
                <w:szCs w:val="21"/>
              </w:rPr>
            </w:pPr>
            <w:r>
              <w:rPr>
                <w:rFonts w:ascii="宋体"/>
                <w:sz w:val="21"/>
              </w:rPr>
              <w:t>1,585,986.00</w:t>
            </w:r>
          </w:p>
        </w:tc>
        <w:tc>
          <w:tcPr>
            <w:tcW w:w="1969"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2.1146</w:t>
            </w:r>
          </w:p>
        </w:tc>
      </w:tr>
      <w:tr>
        <w:trPr>
          <w:trHeight w:val="347" w:hRule="exact"/>
        </w:trPr>
        <w:tc>
          <w:tcPr>
            <w:tcW w:w="4126"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段志强</w:t>
            </w:r>
          </w:p>
        </w:tc>
        <w:tc>
          <w:tcPr>
            <w:tcW w:w="3031"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376"/>
              <w:jc w:val="right"/>
              <w:rPr>
                <w:rFonts w:ascii="宋体" w:hAnsi="宋体" w:cs="宋体" w:eastAsia="宋体" w:hint="default"/>
                <w:sz w:val="21"/>
                <w:szCs w:val="21"/>
              </w:rPr>
            </w:pPr>
            <w:r>
              <w:rPr>
                <w:rFonts w:ascii="宋体"/>
                <w:sz w:val="21"/>
              </w:rPr>
              <w:t>1,585,709.00</w:t>
            </w:r>
          </w:p>
        </w:tc>
        <w:tc>
          <w:tcPr>
            <w:tcW w:w="1969"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2.1143</w:t>
            </w:r>
          </w:p>
        </w:tc>
      </w:tr>
      <w:tr>
        <w:trPr>
          <w:trHeight w:val="347" w:hRule="exact"/>
        </w:trPr>
        <w:tc>
          <w:tcPr>
            <w:tcW w:w="4126"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吴安华</w:t>
            </w:r>
          </w:p>
        </w:tc>
        <w:tc>
          <w:tcPr>
            <w:tcW w:w="3031"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376"/>
              <w:jc w:val="right"/>
              <w:rPr>
                <w:rFonts w:ascii="宋体" w:hAnsi="宋体" w:cs="宋体" w:eastAsia="宋体" w:hint="default"/>
                <w:sz w:val="21"/>
                <w:szCs w:val="21"/>
              </w:rPr>
            </w:pPr>
            <w:r>
              <w:rPr>
                <w:rFonts w:ascii="宋体"/>
                <w:sz w:val="21"/>
              </w:rPr>
              <w:t>1,578,388.00</w:t>
            </w:r>
          </w:p>
        </w:tc>
        <w:tc>
          <w:tcPr>
            <w:tcW w:w="1969"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2.1045</w:t>
            </w:r>
          </w:p>
        </w:tc>
      </w:tr>
      <w:tr>
        <w:trPr>
          <w:trHeight w:val="347" w:hRule="exact"/>
        </w:trPr>
        <w:tc>
          <w:tcPr>
            <w:tcW w:w="4126"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耿增强</w:t>
            </w:r>
          </w:p>
        </w:tc>
        <w:tc>
          <w:tcPr>
            <w:tcW w:w="3031"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376"/>
              <w:jc w:val="right"/>
              <w:rPr>
                <w:rFonts w:ascii="宋体" w:hAnsi="宋体" w:cs="宋体" w:eastAsia="宋体" w:hint="default"/>
                <w:sz w:val="21"/>
                <w:szCs w:val="21"/>
              </w:rPr>
            </w:pPr>
            <w:r>
              <w:rPr>
                <w:rFonts w:ascii="宋体"/>
                <w:sz w:val="21"/>
              </w:rPr>
              <w:t>1,498,837.00</w:t>
            </w:r>
          </w:p>
        </w:tc>
        <w:tc>
          <w:tcPr>
            <w:tcW w:w="1969"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1.9984</w:t>
            </w:r>
          </w:p>
        </w:tc>
      </w:tr>
      <w:tr>
        <w:trPr>
          <w:trHeight w:val="348" w:hRule="exact"/>
        </w:trPr>
        <w:tc>
          <w:tcPr>
            <w:tcW w:w="4126"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世悦控股有限公司</w:t>
            </w:r>
          </w:p>
        </w:tc>
        <w:tc>
          <w:tcPr>
            <w:tcW w:w="3031"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377"/>
              <w:jc w:val="right"/>
              <w:rPr>
                <w:rFonts w:ascii="宋体" w:hAnsi="宋体" w:cs="宋体" w:eastAsia="宋体" w:hint="default"/>
                <w:sz w:val="21"/>
                <w:szCs w:val="21"/>
              </w:rPr>
            </w:pPr>
            <w:r>
              <w:rPr>
                <w:rFonts w:ascii="宋体"/>
                <w:sz w:val="21"/>
              </w:rPr>
              <w:t>792,992.00</w:t>
            </w:r>
          </w:p>
        </w:tc>
        <w:tc>
          <w:tcPr>
            <w:tcW w:w="1969"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1.0573</w:t>
            </w:r>
          </w:p>
        </w:tc>
      </w:tr>
      <w:tr>
        <w:trPr>
          <w:trHeight w:val="347" w:hRule="exact"/>
        </w:trPr>
        <w:tc>
          <w:tcPr>
            <w:tcW w:w="4126"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邹鹏程</w:t>
            </w:r>
          </w:p>
        </w:tc>
        <w:tc>
          <w:tcPr>
            <w:tcW w:w="3031"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377"/>
              <w:jc w:val="right"/>
              <w:rPr>
                <w:rFonts w:ascii="宋体" w:hAnsi="宋体" w:cs="宋体" w:eastAsia="宋体" w:hint="default"/>
                <w:sz w:val="21"/>
                <w:szCs w:val="21"/>
              </w:rPr>
            </w:pPr>
            <w:r>
              <w:rPr>
                <w:rFonts w:ascii="宋体"/>
                <w:sz w:val="21"/>
              </w:rPr>
              <w:t>294,527.00</w:t>
            </w:r>
          </w:p>
        </w:tc>
        <w:tc>
          <w:tcPr>
            <w:tcW w:w="1969"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7"/>
              <w:jc w:val="right"/>
              <w:rPr>
                <w:rFonts w:ascii="宋体" w:hAnsi="宋体" w:cs="宋体" w:eastAsia="宋体" w:hint="default"/>
                <w:sz w:val="21"/>
                <w:szCs w:val="21"/>
              </w:rPr>
            </w:pPr>
            <w:r>
              <w:rPr>
                <w:rFonts w:ascii="宋体"/>
                <w:sz w:val="21"/>
              </w:rPr>
              <w:t>0.3927</w:t>
            </w:r>
          </w:p>
        </w:tc>
      </w:tr>
      <w:tr>
        <w:trPr>
          <w:trHeight w:val="347" w:hRule="exact"/>
        </w:trPr>
        <w:tc>
          <w:tcPr>
            <w:tcW w:w="4126"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杨洁</w:t>
            </w:r>
          </w:p>
        </w:tc>
        <w:tc>
          <w:tcPr>
            <w:tcW w:w="3031"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377"/>
              <w:jc w:val="right"/>
              <w:rPr>
                <w:rFonts w:ascii="宋体" w:hAnsi="宋体" w:cs="宋体" w:eastAsia="宋体" w:hint="default"/>
                <w:sz w:val="21"/>
                <w:szCs w:val="21"/>
              </w:rPr>
            </w:pPr>
            <w:r>
              <w:rPr>
                <w:rFonts w:ascii="宋体"/>
                <w:sz w:val="21"/>
              </w:rPr>
              <w:t>285,477.00</w:t>
            </w:r>
          </w:p>
        </w:tc>
        <w:tc>
          <w:tcPr>
            <w:tcW w:w="1969"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0.3806</w:t>
            </w:r>
          </w:p>
        </w:tc>
      </w:tr>
      <w:tr>
        <w:trPr>
          <w:trHeight w:val="348" w:hRule="exact"/>
        </w:trPr>
        <w:tc>
          <w:tcPr>
            <w:tcW w:w="4126"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31"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379"/>
              <w:jc w:val="right"/>
              <w:rPr>
                <w:rFonts w:ascii="宋体" w:hAnsi="宋体" w:cs="宋体" w:eastAsia="宋体" w:hint="default"/>
                <w:sz w:val="21"/>
                <w:szCs w:val="21"/>
              </w:rPr>
            </w:pPr>
            <w:r>
              <w:rPr>
                <w:rFonts w:ascii="宋体"/>
                <w:b/>
                <w:w w:val="95"/>
                <w:sz w:val="21"/>
              </w:rPr>
              <w:t>75,000,000.00</w:t>
            </w:r>
            <w:r>
              <w:rPr>
                <w:rFonts w:ascii="宋体"/>
                <w:sz w:val="21"/>
              </w:rPr>
            </w:r>
          </w:p>
        </w:tc>
        <w:tc>
          <w:tcPr>
            <w:tcW w:w="1969"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9"/>
              <w:jc w:val="right"/>
              <w:rPr>
                <w:rFonts w:ascii="宋体" w:hAnsi="宋体" w:cs="宋体" w:eastAsia="宋体" w:hint="default"/>
                <w:sz w:val="21"/>
                <w:szCs w:val="21"/>
              </w:rPr>
            </w:pPr>
            <w:r>
              <w:rPr>
                <w:rFonts w:ascii="宋体"/>
                <w:b/>
                <w:w w:val="95"/>
                <w:sz w:val="21"/>
              </w:rPr>
              <w:t>100.0000</w:t>
            </w:r>
            <w:r>
              <w:rPr>
                <w:rFonts w:ascii="宋体"/>
                <w:sz w:val="21"/>
              </w:rPr>
            </w:r>
          </w:p>
        </w:tc>
      </w:tr>
    </w:tbl>
    <w:p>
      <w:pPr>
        <w:spacing w:line="240" w:lineRule="auto" w:before="5"/>
        <w:rPr>
          <w:rFonts w:ascii="宋体" w:hAnsi="宋体" w:cs="宋体" w:eastAsia="宋体" w:hint="default"/>
          <w:sz w:val="5"/>
          <w:szCs w:val="5"/>
        </w:rPr>
      </w:pPr>
    </w:p>
    <w:p>
      <w:pPr>
        <w:pStyle w:val="BodyText"/>
        <w:spacing w:line="273" w:lineRule="auto" w:before="35"/>
        <w:ind w:left="1134" w:right="1131"/>
        <w:jc w:val="both"/>
      </w:pPr>
      <w:r>
        <w:rPr>
          <w:rFonts w:ascii="宋体" w:hAnsi="宋体" w:cs="宋体" w:eastAsia="宋体" w:hint="default"/>
          <w:spacing w:val="-1"/>
        </w:rPr>
        <w:t>2014</w:t>
      </w:r>
      <w:r>
        <w:rPr>
          <w:spacing w:val="-1"/>
        </w:rPr>
        <w:t>年，本公司股东北京创达汇咨询有限公司、北京创达立咨询有限公司、北京创达信科技有限公司名称</w:t>
      </w:r>
      <w:r>
        <w:rPr>
          <w:spacing w:val="-82"/>
        </w:rPr>
        <w:t> </w:t>
      </w:r>
      <w:r>
        <w:rPr>
          <w:spacing w:val="-82"/>
        </w:rPr>
      </w:r>
      <w:r>
        <w:rPr>
          <w:spacing w:val="-1"/>
        </w:rPr>
        <w:t>分别变更为达孜县创达汇咨询有限公司、达孜县创达立咨询有限公司、达孜县创达信科技有限公司。变更</w:t>
      </w:r>
      <w:r>
        <w:rPr>
          <w:spacing w:val="-83"/>
        </w:rPr>
        <w:t> </w:t>
      </w:r>
      <w:r>
        <w:rPr>
          <w:spacing w:val="-83"/>
        </w:rPr>
      </w:r>
      <w:r>
        <w:rPr/>
        <w:t>后股权结构如下：</w:t>
      </w:r>
    </w:p>
    <w:p>
      <w:pPr>
        <w:spacing w:line="240" w:lineRule="auto" w:before="3"/>
        <w:rPr>
          <w:rFonts w:ascii="宋体" w:hAnsi="宋体" w:cs="宋体" w:eastAsia="宋体" w:hint="default"/>
          <w:sz w:val="18"/>
          <w:szCs w:val="18"/>
        </w:rPr>
      </w:pPr>
    </w:p>
    <w:tbl>
      <w:tblPr>
        <w:tblW w:w="0" w:type="auto"/>
        <w:jc w:val="left"/>
        <w:tblInd w:w="1134" w:type="dxa"/>
        <w:tblLayout w:type="fixed"/>
        <w:tblCellMar>
          <w:top w:w="0" w:type="dxa"/>
          <w:left w:w="0" w:type="dxa"/>
          <w:bottom w:w="0" w:type="dxa"/>
          <w:right w:w="0" w:type="dxa"/>
        </w:tblCellMar>
        <w:tblLook w:val="01E0"/>
      </w:tblPr>
      <w:tblGrid>
        <w:gridCol w:w="3134"/>
        <w:gridCol w:w="4339"/>
        <w:gridCol w:w="1653"/>
      </w:tblGrid>
      <w:tr>
        <w:trPr>
          <w:trHeight w:val="349" w:hRule="exact"/>
        </w:trPr>
        <w:tc>
          <w:tcPr>
            <w:tcW w:w="3134"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4339"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692"/>
              <w:jc w:val="right"/>
              <w:rPr>
                <w:rFonts w:ascii="宋体" w:hAnsi="宋体" w:cs="宋体" w:eastAsia="宋体" w:hint="default"/>
                <w:sz w:val="21"/>
                <w:szCs w:val="21"/>
              </w:rPr>
            </w:pPr>
            <w:r>
              <w:rPr>
                <w:rFonts w:ascii="宋体" w:hAnsi="宋体" w:cs="宋体" w:eastAsia="宋体" w:hint="default"/>
                <w:b/>
                <w:bCs/>
                <w:sz w:val="21"/>
                <w:szCs w:val="21"/>
              </w:rPr>
              <w:t>股本</w:t>
            </w:r>
            <w:r>
              <w:rPr>
                <w:rFonts w:ascii="宋体" w:hAnsi="宋体" w:cs="宋体" w:eastAsia="宋体" w:hint="default"/>
                <w:sz w:val="21"/>
                <w:szCs w:val="21"/>
              </w:rPr>
            </w:r>
          </w:p>
        </w:tc>
        <w:tc>
          <w:tcPr>
            <w:tcW w:w="1653"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8"/>
              <w:jc w:val="right"/>
              <w:rPr>
                <w:rFonts w:ascii="宋体" w:hAnsi="宋体" w:cs="宋体" w:eastAsia="宋体" w:hint="default"/>
                <w:sz w:val="21"/>
                <w:szCs w:val="21"/>
              </w:rPr>
            </w:pPr>
            <w:r>
              <w:rPr>
                <w:rFonts w:ascii="宋体" w:hAnsi="宋体" w:cs="宋体" w:eastAsia="宋体" w:hint="default"/>
                <w:b/>
                <w:bCs/>
                <w:w w:val="95"/>
                <w:sz w:val="21"/>
                <w:szCs w:val="21"/>
              </w:rPr>
              <w:t>持股比例</w:t>
            </w:r>
            <w:r>
              <w:rPr>
                <w:rFonts w:ascii="宋体" w:hAnsi="宋体" w:cs="宋体" w:eastAsia="宋体" w:hint="default"/>
                <w:b/>
                <w:bCs/>
                <w:w w:val="95"/>
                <w:sz w:val="21"/>
                <w:szCs w:val="21"/>
              </w:rPr>
              <w:t>%</w:t>
            </w:r>
            <w:r>
              <w:rPr>
                <w:rFonts w:ascii="宋体" w:hAnsi="宋体" w:cs="宋体" w:eastAsia="宋体" w:hint="default"/>
                <w:sz w:val="21"/>
                <w:szCs w:val="21"/>
              </w:rPr>
            </w:r>
          </w:p>
        </w:tc>
      </w:tr>
      <w:tr>
        <w:trPr>
          <w:trHeight w:val="348" w:hRule="exact"/>
        </w:trPr>
        <w:tc>
          <w:tcPr>
            <w:tcW w:w="3134"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赵鸿飞</w:t>
            </w:r>
          </w:p>
        </w:tc>
        <w:tc>
          <w:tcPr>
            <w:tcW w:w="4339"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94"/>
              <w:jc w:val="right"/>
              <w:rPr>
                <w:rFonts w:ascii="宋体" w:hAnsi="宋体" w:cs="宋体" w:eastAsia="宋体" w:hint="default"/>
                <w:sz w:val="21"/>
                <w:szCs w:val="21"/>
              </w:rPr>
            </w:pPr>
            <w:r>
              <w:rPr>
                <w:rFonts w:ascii="宋体"/>
                <w:sz w:val="21"/>
              </w:rPr>
              <w:t>36,322,483.00</w:t>
            </w:r>
          </w:p>
        </w:tc>
        <w:tc>
          <w:tcPr>
            <w:tcW w:w="16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48.4300</w:t>
            </w:r>
          </w:p>
        </w:tc>
      </w:tr>
    </w:tbl>
    <w:p>
      <w:pPr>
        <w:spacing w:after="0" w:line="266" w:lineRule="exact"/>
        <w:jc w:val="right"/>
        <w:rPr>
          <w:rFonts w:ascii="宋体" w:hAnsi="宋体" w:cs="宋体" w:eastAsia="宋体" w:hint="default"/>
          <w:sz w:val="21"/>
          <w:szCs w:val="21"/>
        </w:rPr>
        <w:sectPr>
          <w:pgSz w:w="11910" w:h="16840"/>
          <w:pgMar w:header="747" w:footer="979" w:top="1060" w:bottom="1160" w:left="0" w:right="0"/>
        </w:sectPr>
      </w:pPr>
    </w:p>
    <w:p>
      <w:pPr>
        <w:spacing w:line="240" w:lineRule="auto" w:before="12"/>
        <w:rPr>
          <w:rFonts w:ascii="宋体" w:hAnsi="宋体" w:cs="宋体" w:eastAsia="宋体" w:hint="default"/>
          <w:sz w:val="2"/>
          <w:szCs w:val="2"/>
        </w:rPr>
      </w:pPr>
      <w:r>
        <w:rPr/>
        <w:pict>
          <v:group style="position:absolute;margin-left:55.200001pt;margin-top:55.619984pt;width:485pt;height:.1pt;mso-position-horizontal-relative:page;mso-position-vertical-relative:page;z-index:-925360"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34" w:type="dxa"/>
        <w:tblLayout w:type="fixed"/>
        <w:tblCellMar>
          <w:top w:w="0" w:type="dxa"/>
          <w:left w:w="0" w:type="dxa"/>
          <w:bottom w:w="0" w:type="dxa"/>
          <w:right w:w="0" w:type="dxa"/>
        </w:tblCellMar>
        <w:tblLook w:val="01E0"/>
      </w:tblPr>
      <w:tblGrid>
        <w:gridCol w:w="4281"/>
        <w:gridCol w:w="3244"/>
        <w:gridCol w:w="1602"/>
      </w:tblGrid>
      <w:tr>
        <w:trPr>
          <w:trHeight w:val="684" w:hRule="exact"/>
        </w:trPr>
        <w:tc>
          <w:tcPr>
            <w:tcW w:w="4281"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sz w:val="21"/>
                <w:szCs w:val="21"/>
              </w:rPr>
              <w:t>越超有限公司</w:t>
            </w:r>
          </w:p>
        </w:tc>
        <w:tc>
          <w:tcPr>
            <w:tcW w:w="3244"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745"/>
              <w:jc w:val="right"/>
              <w:rPr>
                <w:rFonts w:ascii="宋体" w:hAnsi="宋体" w:cs="宋体" w:eastAsia="宋体" w:hint="default"/>
                <w:sz w:val="21"/>
                <w:szCs w:val="21"/>
              </w:rPr>
            </w:pPr>
            <w:r>
              <w:rPr>
                <w:rFonts w:ascii="宋体"/>
                <w:sz w:val="21"/>
              </w:rPr>
              <w:t>8,405,724.00</w:t>
            </w:r>
          </w:p>
        </w:tc>
        <w:tc>
          <w:tcPr>
            <w:tcW w:w="1602"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8"/>
              <w:jc w:val="right"/>
              <w:rPr>
                <w:rFonts w:ascii="宋体" w:hAnsi="宋体" w:cs="宋体" w:eastAsia="宋体" w:hint="default"/>
                <w:sz w:val="21"/>
                <w:szCs w:val="21"/>
              </w:rPr>
            </w:pPr>
            <w:r>
              <w:rPr>
                <w:rFonts w:ascii="宋体"/>
                <w:sz w:val="21"/>
              </w:rPr>
              <w:t>11.2076</w:t>
            </w:r>
          </w:p>
        </w:tc>
      </w:tr>
      <w:tr>
        <w:trPr>
          <w:trHeight w:val="347" w:hRule="exact"/>
        </w:trPr>
        <w:tc>
          <w:tcPr>
            <w:tcW w:w="4281"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大洋中科特别目的株式会社</w:t>
            </w:r>
          </w:p>
        </w:tc>
        <w:tc>
          <w:tcPr>
            <w:tcW w:w="3244"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45"/>
              <w:jc w:val="right"/>
              <w:rPr>
                <w:rFonts w:ascii="宋体" w:hAnsi="宋体" w:cs="宋体" w:eastAsia="宋体" w:hint="default"/>
                <w:sz w:val="21"/>
                <w:szCs w:val="21"/>
              </w:rPr>
            </w:pPr>
            <w:r>
              <w:rPr>
                <w:rFonts w:ascii="宋体"/>
                <w:sz w:val="21"/>
              </w:rPr>
              <w:t>4,811,141.00</w:t>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6.4149</w:t>
            </w:r>
          </w:p>
        </w:tc>
      </w:tr>
      <w:tr>
        <w:trPr>
          <w:trHeight w:val="347" w:hRule="exact"/>
        </w:trPr>
        <w:tc>
          <w:tcPr>
            <w:tcW w:w="4281"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陈晓华</w:t>
            </w:r>
          </w:p>
        </w:tc>
        <w:tc>
          <w:tcPr>
            <w:tcW w:w="3244"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45"/>
              <w:jc w:val="right"/>
              <w:rPr>
                <w:rFonts w:ascii="宋体" w:hAnsi="宋体" w:cs="宋体" w:eastAsia="宋体" w:hint="default"/>
                <w:sz w:val="21"/>
                <w:szCs w:val="21"/>
              </w:rPr>
            </w:pPr>
            <w:r>
              <w:rPr>
                <w:rFonts w:ascii="宋体"/>
                <w:sz w:val="21"/>
              </w:rPr>
              <w:t>3,806,365.00</w:t>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5.0752</w:t>
            </w:r>
          </w:p>
        </w:tc>
      </w:tr>
      <w:tr>
        <w:trPr>
          <w:trHeight w:val="348" w:hRule="exact"/>
        </w:trPr>
        <w:tc>
          <w:tcPr>
            <w:tcW w:w="4281"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sz w:val="21"/>
              </w:rPr>
              <w:t>Qualcomm</w:t>
            </w:r>
            <w:r>
              <w:rPr>
                <w:rFonts w:ascii="宋体"/>
                <w:spacing w:val="-2"/>
                <w:sz w:val="21"/>
              </w:rPr>
              <w:t> </w:t>
            </w:r>
            <w:r>
              <w:rPr>
                <w:rFonts w:ascii="宋体"/>
                <w:sz w:val="21"/>
              </w:rPr>
              <w:t>International,Inc.</w:t>
            </w:r>
          </w:p>
        </w:tc>
        <w:tc>
          <w:tcPr>
            <w:tcW w:w="3244"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45"/>
              <w:jc w:val="right"/>
              <w:rPr>
                <w:rFonts w:ascii="宋体" w:hAnsi="宋体" w:cs="宋体" w:eastAsia="宋体" w:hint="default"/>
                <w:sz w:val="21"/>
                <w:szCs w:val="21"/>
              </w:rPr>
            </w:pPr>
            <w:r>
              <w:rPr>
                <w:rFonts w:ascii="宋体"/>
                <w:sz w:val="21"/>
              </w:rPr>
              <w:t>3,171,973.00</w:t>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4.2293</w:t>
            </w:r>
          </w:p>
        </w:tc>
      </w:tr>
      <w:tr>
        <w:trPr>
          <w:trHeight w:val="347" w:hRule="exact"/>
        </w:trPr>
        <w:tc>
          <w:tcPr>
            <w:tcW w:w="4281"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国科瑞祺物联网创业投资有限公司</w:t>
            </w:r>
          </w:p>
        </w:tc>
        <w:tc>
          <w:tcPr>
            <w:tcW w:w="3244"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745"/>
              <w:jc w:val="right"/>
              <w:rPr>
                <w:rFonts w:ascii="宋体" w:hAnsi="宋体" w:cs="宋体" w:eastAsia="宋体" w:hint="default"/>
                <w:sz w:val="21"/>
                <w:szCs w:val="21"/>
              </w:rPr>
            </w:pPr>
            <w:r>
              <w:rPr>
                <w:rFonts w:ascii="宋体"/>
                <w:sz w:val="21"/>
              </w:rPr>
              <w:t>2,854,774.00</w:t>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7"/>
              <w:jc w:val="right"/>
              <w:rPr>
                <w:rFonts w:ascii="宋体" w:hAnsi="宋体" w:cs="宋体" w:eastAsia="宋体" w:hint="default"/>
                <w:sz w:val="21"/>
                <w:szCs w:val="21"/>
              </w:rPr>
            </w:pPr>
            <w:r>
              <w:rPr>
                <w:rFonts w:ascii="宋体"/>
                <w:sz w:val="21"/>
              </w:rPr>
              <w:t>3.8064</w:t>
            </w:r>
          </w:p>
        </w:tc>
      </w:tr>
      <w:tr>
        <w:trPr>
          <w:trHeight w:val="347" w:hRule="exact"/>
        </w:trPr>
        <w:tc>
          <w:tcPr>
            <w:tcW w:w="4281"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展讯通信（天津）有限公司</w:t>
            </w:r>
          </w:p>
        </w:tc>
        <w:tc>
          <w:tcPr>
            <w:tcW w:w="3244"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45"/>
              <w:jc w:val="right"/>
              <w:rPr>
                <w:rFonts w:ascii="宋体" w:hAnsi="宋体" w:cs="宋体" w:eastAsia="宋体" w:hint="default"/>
                <w:sz w:val="21"/>
                <w:szCs w:val="21"/>
              </w:rPr>
            </w:pPr>
            <w:r>
              <w:rPr>
                <w:rFonts w:ascii="宋体"/>
                <w:sz w:val="21"/>
              </w:rPr>
              <w:t>2,231,250.00</w:t>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2.9750</w:t>
            </w:r>
          </w:p>
        </w:tc>
      </w:tr>
      <w:tr>
        <w:trPr>
          <w:trHeight w:val="347" w:hRule="exact"/>
        </w:trPr>
        <w:tc>
          <w:tcPr>
            <w:tcW w:w="4281"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达孜县创达汇咨询有限公司</w:t>
            </w:r>
          </w:p>
        </w:tc>
        <w:tc>
          <w:tcPr>
            <w:tcW w:w="3244"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45"/>
              <w:jc w:val="right"/>
              <w:rPr>
                <w:rFonts w:ascii="宋体" w:hAnsi="宋体" w:cs="宋体" w:eastAsia="宋体" w:hint="default"/>
                <w:sz w:val="21"/>
                <w:szCs w:val="21"/>
              </w:rPr>
            </w:pPr>
            <w:r>
              <w:rPr>
                <w:rFonts w:ascii="宋体"/>
                <w:sz w:val="21"/>
              </w:rPr>
              <w:t>1,962,883.00</w:t>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2.6172</w:t>
            </w:r>
          </w:p>
        </w:tc>
      </w:tr>
      <w:tr>
        <w:trPr>
          <w:trHeight w:val="347" w:hRule="exact"/>
        </w:trPr>
        <w:tc>
          <w:tcPr>
            <w:tcW w:w="4281"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达孜县创达立咨询有限公司</w:t>
            </w:r>
          </w:p>
        </w:tc>
        <w:tc>
          <w:tcPr>
            <w:tcW w:w="3244"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45"/>
              <w:jc w:val="right"/>
              <w:rPr>
                <w:rFonts w:ascii="宋体" w:hAnsi="宋体" w:cs="宋体" w:eastAsia="宋体" w:hint="default"/>
                <w:sz w:val="21"/>
                <w:szCs w:val="21"/>
              </w:rPr>
            </w:pPr>
            <w:r>
              <w:rPr>
                <w:rFonts w:ascii="宋体"/>
                <w:sz w:val="21"/>
              </w:rPr>
              <w:t>1,925,633.00</w:t>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2.5675</w:t>
            </w:r>
          </w:p>
        </w:tc>
      </w:tr>
      <w:tr>
        <w:trPr>
          <w:trHeight w:val="347" w:hRule="exact"/>
        </w:trPr>
        <w:tc>
          <w:tcPr>
            <w:tcW w:w="4281"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达孜县创达信科技有限公司</w:t>
            </w:r>
          </w:p>
        </w:tc>
        <w:tc>
          <w:tcPr>
            <w:tcW w:w="3244"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45"/>
              <w:jc w:val="right"/>
              <w:rPr>
                <w:rFonts w:ascii="宋体" w:hAnsi="宋体" w:cs="宋体" w:eastAsia="宋体" w:hint="default"/>
                <w:sz w:val="21"/>
                <w:szCs w:val="21"/>
              </w:rPr>
            </w:pPr>
            <w:r>
              <w:rPr>
                <w:rFonts w:ascii="宋体"/>
                <w:sz w:val="21"/>
              </w:rPr>
              <w:t>1,885,858.00</w:t>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2.5145</w:t>
            </w:r>
          </w:p>
        </w:tc>
      </w:tr>
      <w:tr>
        <w:trPr>
          <w:trHeight w:val="348" w:hRule="exact"/>
        </w:trPr>
        <w:tc>
          <w:tcPr>
            <w:tcW w:w="4281"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sz w:val="21"/>
              </w:rPr>
              <w:t>ARM Limited</w:t>
            </w:r>
          </w:p>
        </w:tc>
        <w:tc>
          <w:tcPr>
            <w:tcW w:w="3244"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45"/>
              <w:jc w:val="right"/>
              <w:rPr>
                <w:rFonts w:ascii="宋体" w:hAnsi="宋体" w:cs="宋体" w:eastAsia="宋体" w:hint="default"/>
                <w:sz w:val="21"/>
                <w:szCs w:val="21"/>
              </w:rPr>
            </w:pPr>
            <w:r>
              <w:rPr>
                <w:rFonts w:ascii="宋体"/>
                <w:sz w:val="21"/>
              </w:rPr>
              <w:t>1,585,986.00</w:t>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2.1146</w:t>
            </w:r>
          </w:p>
        </w:tc>
      </w:tr>
      <w:tr>
        <w:trPr>
          <w:trHeight w:val="347" w:hRule="exact"/>
        </w:trPr>
        <w:tc>
          <w:tcPr>
            <w:tcW w:w="4281"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段志强</w:t>
            </w:r>
          </w:p>
        </w:tc>
        <w:tc>
          <w:tcPr>
            <w:tcW w:w="3244"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745"/>
              <w:jc w:val="right"/>
              <w:rPr>
                <w:rFonts w:ascii="宋体" w:hAnsi="宋体" w:cs="宋体" w:eastAsia="宋体" w:hint="default"/>
                <w:sz w:val="21"/>
                <w:szCs w:val="21"/>
              </w:rPr>
            </w:pPr>
            <w:r>
              <w:rPr>
                <w:rFonts w:ascii="宋体"/>
                <w:sz w:val="21"/>
              </w:rPr>
              <w:t>1,585,709.00</w:t>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7"/>
              <w:jc w:val="right"/>
              <w:rPr>
                <w:rFonts w:ascii="宋体" w:hAnsi="宋体" w:cs="宋体" w:eastAsia="宋体" w:hint="default"/>
                <w:sz w:val="21"/>
                <w:szCs w:val="21"/>
              </w:rPr>
            </w:pPr>
            <w:r>
              <w:rPr>
                <w:rFonts w:ascii="宋体"/>
                <w:sz w:val="21"/>
              </w:rPr>
              <w:t>2.1143</w:t>
            </w:r>
          </w:p>
        </w:tc>
      </w:tr>
      <w:tr>
        <w:trPr>
          <w:trHeight w:val="347" w:hRule="exact"/>
        </w:trPr>
        <w:tc>
          <w:tcPr>
            <w:tcW w:w="4281"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吴安华</w:t>
            </w:r>
          </w:p>
        </w:tc>
        <w:tc>
          <w:tcPr>
            <w:tcW w:w="3244"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45"/>
              <w:jc w:val="right"/>
              <w:rPr>
                <w:rFonts w:ascii="宋体" w:hAnsi="宋体" w:cs="宋体" w:eastAsia="宋体" w:hint="default"/>
                <w:sz w:val="21"/>
                <w:szCs w:val="21"/>
              </w:rPr>
            </w:pPr>
            <w:r>
              <w:rPr>
                <w:rFonts w:ascii="宋体"/>
                <w:sz w:val="21"/>
              </w:rPr>
              <w:t>1,578,388.00</w:t>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2.1045</w:t>
            </w:r>
          </w:p>
        </w:tc>
      </w:tr>
      <w:tr>
        <w:trPr>
          <w:trHeight w:val="347" w:hRule="exact"/>
        </w:trPr>
        <w:tc>
          <w:tcPr>
            <w:tcW w:w="4281"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耿增强</w:t>
            </w:r>
          </w:p>
        </w:tc>
        <w:tc>
          <w:tcPr>
            <w:tcW w:w="3244"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45"/>
              <w:jc w:val="right"/>
              <w:rPr>
                <w:rFonts w:ascii="宋体" w:hAnsi="宋体" w:cs="宋体" w:eastAsia="宋体" w:hint="default"/>
                <w:sz w:val="21"/>
                <w:szCs w:val="21"/>
              </w:rPr>
            </w:pPr>
            <w:r>
              <w:rPr>
                <w:rFonts w:ascii="宋体"/>
                <w:sz w:val="21"/>
              </w:rPr>
              <w:t>1,498,837.00</w:t>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1.9984</w:t>
            </w:r>
          </w:p>
        </w:tc>
      </w:tr>
      <w:tr>
        <w:trPr>
          <w:trHeight w:val="347" w:hRule="exact"/>
        </w:trPr>
        <w:tc>
          <w:tcPr>
            <w:tcW w:w="4281"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世悦控股有限公司</w:t>
            </w:r>
          </w:p>
        </w:tc>
        <w:tc>
          <w:tcPr>
            <w:tcW w:w="3244"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45"/>
              <w:jc w:val="right"/>
              <w:rPr>
                <w:rFonts w:ascii="宋体" w:hAnsi="宋体" w:cs="宋体" w:eastAsia="宋体" w:hint="default"/>
                <w:sz w:val="21"/>
                <w:szCs w:val="21"/>
              </w:rPr>
            </w:pPr>
            <w:r>
              <w:rPr>
                <w:rFonts w:ascii="宋体"/>
                <w:sz w:val="21"/>
              </w:rPr>
              <w:t>792,992.00</w:t>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1.0573</w:t>
            </w:r>
          </w:p>
        </w:tc>
      </w:tr>
      <w:tr>
        <w:trPr>
          <w:trHeight w:val="347" w:hRule="exact"/>
        </w:trPr>
        <w:tc>
          <w:tcPr>
            <w:tcW w:w="4281"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邹鹏程</w:t>
            </w:r>
          </w:p>
        </w:tc>
        <w:tc>
          <w:tcPr>
            <w:tcW w:w="3244"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45"/>
              <w:jc w:val="right"/>
              <w:rPr>
                <w:rFonts w:ascii="宋体" w:hAnsi="宋体" w:cs="宋体" w:eastAsia="宋体" w:hint="default"/>
                <w:sz w:val="21"/>
                <w:szCs w:val="21"/>
              </w:rPr>
            </w:pPr>
            <w:r>
              <w:rPr>
                <w:rFonts w:ascii="宋体"/>
                <w:sz w:val="21"/>
              </w:rPr>
              <w:t>294,527.00</w:t>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0.3927</w:t>
            </w:r>
          </w:p>
        </w:tc>
      </w:tr>
      <w:tr>
        <w:trPr>
          <w:trHeight w:val="348" w:hRule="exact"/>
        </w:trPr>
        <w:tc>
          <w:tcPr>
            <w:tcW w:w="4281"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杨洁</w:t>
            </w:r>
          </w:p>
        </w:tc>
        <w:tc>
          <w:tcPr>
            <w:tcW w:w="3244"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45"/>
              <w:jc w:val="right"/>
              <w:rPr>
                <w:rFonts w:ascii="宋体" w:hAnsi="宋体" w:cs="宋体" w:eastAsia="宋体" w:hint="default"/>
                <w:sz w:val="21"/>
                <w:szCs w:val="21"/>
              </w:rPr>
            </w:pPr>
            <w:r>
              <w:rPr>
                <w:rFonts w:ascii="宋体"/>
                <w:sz w:val="21"/>
              </w:rPr>
              <w:t>285,477.00</w:t>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0.3806</w:t>
            </w:r>
          </w:p>
        </w:tc>
      </w:tr>
      <w:tr>
        <w:trPr>
          <w:trHeight w:val="347" w:hRule="exact"/>
        </w:trPr>
        <w:tc>
          <w:tcPr>
            <w:tcW w:w="4281"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244"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748"/>
              <w:jc w:val="right"/>
              <w:rPr>
                <w:rFonts w:ascii="宋体" w:hAnsi="宋体" w:cs="宋体" w:eastAsia="宋体" w:hint="default"/>
                <w:sz w:val="21"/>
                <w:szCs w:val="21"/>
              </w:rPr>
            </w:pPr>
            <w:r>
              <w:rPr>
                <w:rFonts w:ascii="宋体"/>
                <w:b/>
                <w:w w:val="95"/>
                <w:sz w:val="21"/>
              </w:rPr>
              <w:t>75,000,000.00</w:t>
            </w:r>
            <w:r>
              <w:rPr>
                <w:rFonts w:ascii="宋体"/>
                <w:sz w:val="21"/>
              </w:rPr>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9"/>
              <w:jc w:val="right"/>
              <w:rPr>
                <w:rFonts w:ascii="宋体" w:hAnsi="宋体" w:cs="宋体" w:eastAsia="宋体" w:hint="default"/>
                <w:sz w:val="21"/>
                <w:szCs w:val="21"/>
              </w:rPr>
            </w:pPr>
            <w:r>
              <w:rPr>
                <w:rFonts w:ascii="宋体"/>
                <w:b/>
                <w:w w:val="95"/>
                <w:sz w:val="21"/>
              </w:rPr>
              <w:t>100.0000</w:t>
            </w:r>
            <w:r>
              <w:rPr>
                <w:rFonts w:ascii="宋体"/>
                <w:sz w:val="21"/>
              </w:rPr>
            </w:r>
          </w:p>
        </w:tc>
      </w:tr>
    </w:tbl>
    <w:p>
      <w:pPr>
        <w:pStyle w:val="BodyText"/>
        <w:spacing w:line="260" w:lineRule="exact"/>
        <w:ind w:left="1134" w:right="0"/>
        <w:jc w:val="both"/>
      </w:pPr>
      <w:r>
        <w:rPr>
          <w:rFonts w:ascii="宋体" w:hAnsi="宋体" w:cs="宋体" w:eastAsia="宋体" w:hint="default"/>
        </w:rPr>
        <w:t>2015</w:t>
      </w:r>
      <w:r>
        <w:rPr/>
        <w:t>年经中国证券监督管理委员会证监许可（</w:t>
      </w:r>
      <w:r>
        <w:rPr>
          <w:rFonts w:ascii="宋体" w:hAnsi="宋体" w:cs="宋体" w:eastAsia="宋体" w:hint="default"/>
        </w:rPr>
        <w:t>2015</w:t>
      </w:r>
      <w:r>
        <w:rPr/>
        <w:t>）</w:t>
      </w:r>
      <w:r>
        <w:rPr>
          <w:rFonts w:ascii="宋体" w:hAnsi="宋体" w:cs="宋体" w:eastAsia="宋体" w:hint="default"/>
        </w:rPr>
        <w:t>1372</w:t>
      </w:r>
      <w:r>
        <w:rPr/>
        <w:t>号文核准，本公司向社会公众发行人民币普通股</w:t>
      </w:r>
    </w:p>
    <w:p>
      <w:pPr>
        <w:pStyle w:val="BodyText"/>
        <w:spacing w:line="460" w:lineRule="auto" w:before="37"/>
        <w:ind w:right="4469"/>
        <w:jc w:val="left"/>
      </w:pPr>
      <w:r>
        <w:rPr/>
        <w:t>（</w:t>
      </w:r>
      <w:r>
        <w:rPr>
          <w:rFonts w:ascii="宋体" w:hAnsi="宋体" w:cs="宋体" w:eastAsia="宋体" w:hint="default"/>
        </w:rPr>
        <w:t>A</w:t>
      </w:r>
      <w:r>
        <w:rPr/>
        <w:t>股）</w:t>
      </w:r>
      <w:r>
        <w:rPr>
          <w:rFonts w:ascii="宋体" w:hAnsi="宋体" w:cs="宋体" w:eastAsia="宋体" w:hint="default"/>
        </w:rPr>
        <w:t>25,000,000</w:t>
      </w:r>
      <w:r>
        <w:rPr/>
        <w:t>股，变更后的注册资本为人民币</w:t>
      </w:r>
      <w:r>
        <w:rPr>
          <w:rFonts w:ascii="宋体" w:hAnsi="宋体" w:cs="宋体" w:eastAsia="宋体" w:hint="default"/>
        </w:rPr>
        <w:t>100,000,000</w:t>
      </w:r>
      <w:r>
        <w:rPr/>
        <w:t>元。 本公司企业法人营业执照注册号：</w:t>
      </w:r>
      <w:r>
        <w:rPr>
          <w:rFonts w:ascii="宋体" w:hAnsi="宋体" w:cs="宋体" w:eastAsia="宋体" w:hint="default"/>
        </w:rPr>
        <w:t>91110000672354637K </w:t>
      </w:r>
      <w:r>
        <w:rPr/>
        <w:t>本公司住所：北京市海淀区龙翔路甲</w:t>
      </w:r>
      <w:r>
        <w:rPr>
          <w:rFonts w:ascii="宋体" w:hAnsi="宋体" w:cs="宋体" w:eastAsia="宋体" w:hint="default"/>
        </w:rPr>
        <w:t>1</w:t>
      </w:r>
      <w:r>
        <w:rPr/>
        <w:t>号泰翔商务楼</w:t>
      </w:r>
      <w:r>
        <w:rPr>
          <w:rFonts w:ascii="宋体" w:hAnsi="宋体" w:cs="宋体" w:eastAsia="宋体" w:hint="default"/>
        </w:rPr>
        <w:t>4</w:t>
      </w:r>
      <w:r>
        <w:rPr/>
        <w:t>层</w:t>
      </w:r>
      <w:r>
        <w:rPr>
          <w:rFonts w:ascii="宋体" w:hAnsi="宋体" w:cs="宋体" w:eastAsia="宋体" w:hint="default"/>
        </w:rPr>
        <w:t>401-409</w:t>
      </w:r>
      <w:r>
        <w:rPr/>
        <w:t>。 本公司法定代表人：赵鸿飞。</w:t>
      </w:r>
    </w:p>
    <w:p>
      <w:pPr>
        <w:pStyle w:val="BodyText"/>
        <w:spacing w:line="273" w:lineRule="auto" w:before="60"/>
        <w:ind w:left="1134" w:right="1129"/>
        <w:jc w:val="both"/>
      </w:pPr>
      <w:r>
        <w:rPr>
          <w:spacing w:val="-1"/>
        </w:rPr>
        <w:t>本公司建立了股东大会、董事会、监事会的法人治理结构。目前设审计部、市场部、战略产品部、研发中</w:t>
      </w:r>
      <w:r>
        <w:rPr>
          <w:spacing w:val="-83"/>
        </w:rPr>
        <w:t> </w:t>
      </w:r>
      <w:r>
        <w:rPr>
          <w:spacing w:val="-83"/>
        </w:rPr>
      </w:r>
      <w:r>
        <w:rPr>
          <w:spacing w:val="-1"/>
        </w:rPr>
        <w:t>心、基础平台事业部、解决方案事业部、展卓事业部、销售部、技术质量部、财务部、人力资源部、行政</w:t>
      </w:r>
      <w:r>
        <w:rPr>
          <w:spacing w:val="-85"/>
        </w:rPr>
        <w:t> </w:t>
      </w:r>
      <w:r>
        <w:rPr>
          <w:spacing w:val="-85"/>
        </w:rPr>
      </w:r>
      <w:r>
        <w:rPr/>
        <w:t>部、董事会办公室等部门。</w:t>
      </w:r>
    </w:p>
    <w:p>
      <w:pPr>
        <w:spacing w:line="240" w:lineRule="auto" w:before="1"/>
        <w:rPr>
          <w:rFonts w:ascii="宋体" w:hAnsi="宋体" w:cs="宋体" w:eastAsia="宋体" w:hint="default"/>
          <w:sz w:val="17"/>
          <w:szCs w:val="17"/>
        </w:rPr>
      </w:pPr>
    </w:p>
    <w:p>
      <w:pPr>
        <w:pStyle w:val="BodyText"/>
        <w:spacing w:line="273" w:lineRule="auto"/>
        <w:ind w:right="1132"/>
        <w:jc w:val="both"/>
      </w:pPr>
      <w:r>
        <w:rPr>
          <w:spacing w:val="-1"/>
        </w:rPr>
        <w:t>本公司及其子公司（以下简称“本集团”）主要经营范围：开发计算机软件；销售自行开发的产品；技术</w:t>
      </w:r>
      <w:r>
        <w:rPr>
          <w:spacing w:val="-83"/>
        </w:rPr>
        <w:t> </w:t>
      </w:r>
      <w:r>
        <w:rPr>
          <w:spacing w:val="-83"/>
        </w:rPr>
      </w:r>
      <w:r>
        <w:rPr/>
        <w:t>咨询、技术服务；计算机软件技术培训；商务咨询；从事通讯设备、电子产品的批发及进出口。</w:t>
      </w:r>
    </w:p>
    <w:p>
      <w:pPr>
        <w:spacing w:line="240" w:lineRule="auto" w:before="1"/>
        <w:rPr>
          <w:rFonts w:ascii="宋体" w:hAnsi="宋体" w:cs="宋体" w:eastAsia="宋体" w:hint="default"/>
          <w:sz w:val="17"/>
          <w:szCs w:val="17"/>
        </w:rPr>
      </w:pPr>
    </w:p>
    <w:p>
      <w:pPr>
        <w:pStyle w:val="BodyText"/>
        <w:spacing w:line="240" w:lineRule="auto"/>
        <w:ind w:right="0"/>
        <w:jc w:val="both"/>
      </w:pPr>
      <w:r>
        <w:rPr/>
        <w:t>本申报财务报表及财务报表附注业经本公司第二届董事会第七次会议于</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22</w:t>
      </w:r>
      <w:r>
        <w:rPr/>
        <w:t>日批准。</w:t>
      </w:r>
    </w:p>
    <w:p>
      <w:pPr>
        <w:spacing w:line="240" w:lineRule="auto" w:before="5"/>
        <w:rPr>
          <w:rFonts w:ascii="宋体" w:hAnsi="宋体" w:cs="宋体" w:eastAsia="宋体" w:hint="default"/>
          <w:sz w:val="19"/>
          <w:szCs w:val="19"/>
        </w:rPr>
      </w:pPr>
    </w:p>
    <w:p>
      <w:pPr>
        <w:pStyle w:val="BodyText"/>
        <w:spacing w:line="273" w:lineRule="auto"/>
        <w:ind w:right="1130"/>
        <w:jc w:val="both"/>
      </w:pPr>
      <w:r>
        <w:rPr>
          <w:spacing w:val="-1"/>
        </w:rPr>
        <w:t>本报告期合并财务报表的合并范围包括本公司及全部子公司，本年新设立九家子公司包括西安中科创达软</w:t>
      </w:r>
      <w:r>
        <w:rPr>
          <w:spacing w:val="-81"/>
        </w:rPr>
        <w:t> </w:t>
      </w:r>
      <w:r>
        <w:rPr>
          <w:spacing w:val="-81"/>
        </w:rPr>
      </w:r>
      <w:r>
        <w:rPr/>
        <w:t>件有限公司、深圳市创达天盛智能科技有限公司、日本天集有限公司、</w:t>
      </w:r>
      <w:r>
        <w:rPr>
          <w:rFonts w:ascii="宋体" w:hAnsi="宋体" w:cs="宋体" w:eastAsia="宋体" w:hint="default"/>
        </w:rPr>
        <w:t>Longtrans Holding</w:t>
      </w:r>
      <w:r>
        <w:rPr>
          <w:rFonts w:ascii="宋体" w:hAnsi="宋体" w:cs="宋体" w:eastAsia="宋体" w:hint="default"/>
          <w:spacing w:val="-24"/>
        </w:rPr>
        <w:t> </w:t>
      </w:r>
      <w:r>
        <w:rPr>
          <w:rFonts w:ascii="宋体" w:hAnsi="宋体" w:cs="宋体" w:eastAsia="宋体" w:hint="default"/>
        </w:rPr>
        <w:t>Ltd.</w:t>
      </w:r>
      <w:r>
        <w:rPr/>
        <w:t>、大连中 </w:t>
      </w:r>
      <w:r>
        <w:rPr>
          <w:spacing w:val="-1"/>
        </w:rPr>
        <w:t>科创达软件有限公司、沈阳中科创达软件有限公司、深圳互连科技有限公司、青柠优视科技（北京）有限</w:t>
      </w:r>
      <w:r>
        <w:rPr>
          <w:spacing w:val="-83"/>
        </w:rPr>
        <w:t> </w:t>
      </w:r>
      <w:r>
        <w:rPr>
          <w:spacing w:val="-83"/>
        </w:rPr>
      </w:r>
      <w:r>
        <w:rPr/>
        <w:t>公司、北京安创空间科技有限公司。</w:t>
      </w:r>
    </w:p>
    <w:p>
      <w:pPr>
        <w:spacing w:line="240" w:lineRule="auto" w:before="1"/>
        <w:rPr>
          <w:rFonts w:ascii="宋体" w:hAnsi="宋体" w:cs="宋体" w:eastAsia="宋体" w:hint="default"/>
          <w:sz w:val="17"/>
          <w:szCs w:val="17"/>
        </w:rPr>
      </w:pPr>
    </w:p>
    <w:p>
      <w:pPr>
        <w:pStyle w:val="BodyText"/>
        <w:spacing w:line="273" w:lineRule="auto"/>
        <w:ind w:left="1134" w:right="1131"/>
        <w:jc w:val="both"/>
      </w:pPr>
      <w:r>
        <w:rPr/>
        <w:t>本报告期合并范围的变动情况详见本报告”第十节 财务报告</w:t>
      </w:r>
      <w:r>
        <w:rPr>
          <w:spacing w:val="-27"/>
        </w:rPr>
        <w:t> </w:t>
      </w:r>
      <w:r>
        <w:rPr/>
        <w:t>八、合并范围的变更“。本公司在其他主体</w:t>
      </w:r>
      <w:r>
        <w:rPr/>
        <w:t> 中的权益情况详见本报告”第十节 财务报告</w:t>
      </w:r>
      <w:r>
        <w:rPr>
          <w:spacing w:val="-3"/>
        </w:rPr>
        <w:t> </w:t>
      </w:r>
      <w:r>
        <w:rPr/>
        <w:t>九、在其他主体中的权益“。</w:t>
      </w:r>
    </w:p>
    <w:p>
      <w:pPr>
        <w:spacing w:after="0" w:line="273" w:lineRule="auto"/>
        <w:jc w:val="both"/>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pStyle w:val="Heading2"/>
        <w:spacing w:line="240" w:lineRule="auto" w:before="26"/>
        <w:ind w:right="3499"/>
        <w:jc w:val="left"/>
        <w:rPr>
          <w:b w:val="0"/>
          <w:bCs w:val="0"/>
        </w:rPr>
      </w:pPr>
      <w:bookmarkStart w:name="四、财务报表的编制基础" w:id="160"/>
      <w:bookmarkEnd w:id="160"/>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499"/>
        <w:jc w:val="left"/>
        <w:rPr>
          <w:b w:val="0"/>
          <w:bCs w:val="0"/>
        </w:rPr>
      </w:pPr>
      <w:bookmarkStart w:name="1、编制基础" w:id="161"/>
      <w:bookmarkEnd w:id="161"/>
      <w:r>
        <w:rPr>
          <w:b w:val="0"/>
          <w:bCs w:val="0"/>
        </w:rPr>
      </w:r>
      <w:r>
        <w:rPr>
          <w:rFonts w:ascii="宋体" w:hAnsi="宋体" w:cs="宋体" w:eastAsia="宋体" w:hint="default"/>
        </w:rPr>
        <w:t>1</w:t>
      </w:r>
      <w:r>
        <w:rPr/>
        <w:t>、编制基础</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1024"/>
        <w:jc w:val="left"/>
      </w:pPr>
      <w:r>
        <w:rPr>
          <w:spacing w:val="-3"/>
        </w:rPr>
        <w:t>本财务报表按照财政部颁布的企业会计准则及其应用指南、解释及其他有关规定（统称“企业会计准则”）</w:t>
      </w:r>
      <w:r>
        <w:rPr>
          <w:spacing w:val="-91"/>
        </w:rPr>
        <w:t> </w:t>
      </w:r>
      <w:r>
        <w:rPr>
          <w:spacing w:val="-91"/>
        </w:rPr>
      </w:r>
      <w:r>
        <w:rPr/>
        <w:t>编制。此外，本集团还按照中国证监会《公开发行证券的公司信息披露编报规则第</w:t>
      </w:r>
      <w:r>
        <w:rPr>
          <w:rFonts w:ascii="宋体" w:hAnsi="宋体" w:cs="宋体" w:eastAsia="宋体" w:hint="default"/>
        </w:rPr>
        <w:t>15</w:t>
      </w:r>
      <w:r>
        <w:rPr/>
        <w:t>号—财务报告的一般 规定》（</w:t>
      </w:r>
      <w:r>
        <w:rPr>
          <w:rFonts w:ascii="宋体" w:hAnsi="宋体" w:cs="宋体" w:eastAsia="宋体" w:hint="default"/>
        </w:rPr>
        <w:t>2014</w:t>
      </w:r>
      <w:r>
        <w:rPr/>
        <w:t>年修订）披露有关财务信息。</w:t>
      </w:r>
    </w:p>
    <w:p>
      <w:pPr>
        <w:spacing w:line="240" w:lineRule="auto" w:before="1"/>
        <w:rPr>
          <w:rFonts w:ascii="宋体" w:hAnsi="宋体" w:cs="宋体" w:eastAsia="宋体" w:hint="default"/>
          <w:sz w:val="17"/>
          <w:szCs w:val="17"/>
        </w:rPr>
      </w:pPr>
    </w:p>
    <w:p>
      <w:pPr>
        <w:pStyle w:val="BodyText"/>
        <w:spacing w:line="240" w:lineRule="auto"/>
        <w:ind w:left="1134" w:right="3499"/>
        <w:jc w:val="left"/>
      </w:pPr>
      <w:r>
        <w:rPr/>
        <w:t>本财务报表以持续经营为基础列报。</w:t>
      </w:r>
    </w:p>
    <w:p>
      <w:pPr>
        <w:spacing w:line="240" w:lineRule="auto" w:before="5"/>
        <w:rPr>
          <w:rFonts w:ascii="宋体" w:hAnsi="宋体" w:cs="宋体" w:eastAsia="宋体" w:hint="default"/>
          <w:sz w:val="19"/>
          <w:szCs w:val="19"/>
        </w:rPr>
      </w:pPr>
    </w:p>
    <w:p>
      <w:pPr>
        <w:pStyle w:val="BodyText"/>
        <w:spacing w:line="273" w:lineRule="auto"/>
        <w:ind w:left="1134" w:right="0"/>
        <w:jc w:val="left"/>
      </w:pPr>
      <w:r>
        <w:rPr>
          <w:spacing w:val="-1"/>
        </w:rPr>
        <w:t>本集团会计核算以权责发生制为基础。除某些金融工具外，本申报财务报表均以历史成本为计量基础。资</w:t>
      </w:r>
      <w:r>
        <w:rPr>
          <w:spacing w:val="-83"/>
        </w:rPr>
        <w:t> </w:t>
      </w:r>
      <w:r>
        <w:rPr>
          <w:spacing w:val="-83"/>
        </w:rPr>
      </w:r>
      <w:r>
        <w:rPr/>
        <w:t>产如果发生减值，则按照相关规定计提相应的减值准备。</w:t>
      </w:r>
    </w:p>
    <w:p>
      <w:pPr>
        <w:spacing w:line="240" w:lineRule="auto" w:before="8"/>
        <w:rPr>
          <w:rFonts w:ascii="宋体" w:hAnsi="宋体" w:cs="宋体" w:eastAsia="宋体" w:hint="default"/>
          <w:sz w:val="23"/>
          <w:szCs w:val="23"/>
        </w:rPr>
      </w:pPr>
    </w:p>
    <w:p>
      <w:pPr>
        <w:pStyle w:val="Heading3"/>
        <w:spacing w:line="240" w:lineRule="auto"/>
        <w:ind w:right="3499"/>
        <w:jc w:val="left"/>
        <w:rPr>
          <w:b w:val="0"/>
          <w:bCs w:val="0"/>
        </w:rPr>
      </w:pPr>
      <w:bookmarkStart w:name="2、持续经营" w:id="162"/>
      <w:bookmarkEnd w:id="162"/>
      <w:r>
        <w:rPr>
          <w:b w:val="0"/>
          <w:bCs w:val="0"/>
        </w:rPr>
      </w:r>
      <w:r>
        <w:rPr>
          <w:rFonts w:ascii="宋体" w:hAnsi="宋体" w:cs="宋体" w:eastAsia="宋体" w:hint="default"/>
        </w:rPr>
        <w:t>2</w:t>
      </w:r>
      <w:r>
        <w:rPr/>
        <w:t>、持续经营</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left="1134" w:right="0"/>
        <w:jc w:val="left"/>
      </w:pPr>
      <w:r>
        <w:rPr>
          <w:spacing w:val="-1"/>
        </w:rPr>
        <w:t>本公司对报告期末起</w:t>
      </w:r>
      <w:r>
        <w:rPr>
          <w:rFonts w:ascii="宋体" w:hAnsi="宋体" w:cs="宋体" w:eastAsia="宋体" w:hint="default"/>
          <w:spacing w:val="-1"/>
        </w:rPr>
        <w:t>12</w:t>
      </w:r>
      <w:r>
        <w:rPr>
          <w:spacing w:val="-1"/>
        </w:rPr>
        <w:t>个月的持续经营能力进行了评价，未发现对持续经营能力产生重大怀疑的事项或情</w:t>
      </w:r>
      <w:r>
        <w:rPr>
          <w:spacing w:val="-81"/>
        </w:rPr>
        <w:t> </w:t>
      </w:r>
      <w:r>
        <w:rPr>
          <w:spacing w:val="-81"/>
        </w:rPr>
      </w:r>
      <w:r>
        <w:rPr/>
        <w:t>况。因此，本财务报表系在持续经营假设的基础上编制。</w:t>
      </w:r>
    </w:p>
    <w:p>
      <w:pPr>
        <w:spacing w:line="614" w:lineRule="exact" w:before="63"/>
        <w:ind w:left="1133" w:right="7813" w:firstLine="0"/>
        <w:jc w:val="left"/>
        <w:rPr>
          <w:rFonts w:ascii="宋体" w:hAnsi="宋体" w:cs="宋体" w:eastAsia="宋体" w:hint="default"/>
          <w:sz w:val="21"/>
          <w:szCs w:val="21"/>
        </w:rPr>
      </w:pPr>
      <w:bookmarkStart w:name="五、重要会计政策及会计估计" w:id="163"/>
      <w:bookmarkEnd w:id="163"/>
      <w:r>
        <w:rPr/>
      </w:r>
      <w:r>
        <w:rPr>
          <w:rFonts w:ascii="宋体" w:hAnsi="宋体" w:cs="宋体" w:eastAsia="宋体" w:hint="default"/>
          <w:b/>
          <w:bCs/>
          <w:sz w:val="21"/>
          <w:szCs w:val="21"/>
        </w:rPr>
        <w:t>五、重要会计政策及会计估计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p>
    <w:p>
      <w:pPr>
        <w:pStyle w:val="BodyText"/>
        <w:spacing w:line="258" w:lineRule="exact"/>
        <w:ind w:right="0"/>
        <w:jc w:val="left"/>
      </w:pPr>
      <w:r>
        <w:rPr/>
        <w:t>本集团根据自身生产经营特点，确定固定资产折旧、无形资产摊销、研发费用资本化条件以及收入确认政</w:t>
      </w:r>
    </w:p>
    <w:p>
      <w:pPr>
        <w:pStyle w:val="BodyText"/>
        <w:spacing w:line="273" w:lineRule="auto" w:before="37"/>
        <w:ind w:right="1124"/>
        <w:jc w:val="left"/>
      </w:pPr>
      <w:r>
        <w:rPr/>
        <w:t>策，具体会计政策参见本报告”第十节 财务报告 </w:t>
      </w:r>
      <w:r>
        <w:rPr>
          <w:spacing w:val="-6"/>
        </w:rPr>
        <w:t>五、</w:t>
      </w:r>
      <w:r>
        <w:rPr>
          <w:rFonts w:ascii="宋体" w:hAnsi="宋体" w:cs="宋体" w:eastAsia="宋体" w:hint="default"/>
          <w:spacing w:val="-6"/>
        </w:rPr>
        <w:t>16</w:t>
      </w:r>
      <w:r>
        <w:rPr>
          <w:spacing w:val="-6"/>
        </w:rPr>
        <w:t>“、”第十节 </w:t>
      </w:r>
      <w:r>
        <w:rPr/>
        <w:t>财务报告 </w:t>
      </w:r>
      <w:r>
        <w:rPr>
          <w:spacing w:val="-6"/>
        </w:rPr>
        <w:t>五、</w:t>
      </w:r>
      <w:r>
        <w:rPr>
          <w:rFonts w:ascii="宋体" w:hAnsi="宋体" w:cs="宋体" w:eastAsia="宋体" w:hint="default"/>
          <w:spacing w:val="-6"/>
        </w:rPr>
        <w:t>21</w:t>
      </w:r>
      <w:r>
        <w:rPr>
          <w:spacing w:val="-6"/>
        </w:rPr>
        <w:t>“、”第十节</w:t>
      </w:r>
      <w:r>
        <w:rPr>
          <w:spacing w:val="-10"/>
        </w:rPr>
        <w:t> </w:t>
      </w:r>
      <w:r>
        <w:rPr/>
        <w:t>财</w:t>
      </w:r>
      <w:r>
        <w:rPr/>
        <w:t> 务报告</w:t>
      </w:r>
      <w:r>
        <w:rPr>
          <w:spacing w:val="-1"/>
        </w:rPr>
        <w:t> </w:t>
      </w:r>
      <w:r>
        <w:rPr/>
        <w:t>五、</w:t>
      </w:r>
      <w:r>
        <w:rPr>
          <w:rFonts w:ascii="宋体" w:hAnsi="宋体" w:cs="宋体" w:eastAsia="宋体" w:hint="default"/>
        </w:rPr>
        <w:t>28</w:t>
      </w:r>
      <w:r>
        <w:rPr/>
        <w:t>。</w:t>
      </w:r>
    </w:p>
    <w:p>
      <w:pPr>
        <w:spacing w:line="240" w:lineRule="auto" w:before="8"/>
        <w:rPr>
          <w:rFonts w:ascii="宋体" w:hAnsi="宋体" w:cs="宋体" w:eastAsia="宋体" w:hint="default"/>
          <w:sz w:val="23"/>
          <w:szCs w:val="23"/>
        </w:rPr>
      </w:pPr>
    </w:p>
    <w:p>
      <w:pPr>
        <w:pStyle w:val="Heading3"/>
        <w:spacing w:line="240" w:lineRule="auto"/>
        <w:ind w:left="1134" w:right="3499"/>
        <w:jc w:val="left"/>
        <w:rPr>
          <w:b w:val="0"/>
          <w:bCs w:val="0"/>
        </w:rPr>
      </w:pPr>
      <w:bookmarkStart w:name="1、遵循企业会计准则的声明" w:id="164"/>
      <w:bookmarkEnd w:id="164"/>
      <w:r>
        <w:rPr>
          <w:b w:val="0"/>
          <w:bCs w:val="0"/>
        </w:rPr>
      </w:r>
      <w:r>
        <w:rPr>
          <w:rFonts w:ascii="宋体" w:hAnsi="宋体" w:cs="宋体" w:eastAsia="宋体" w:hint="default"/>
        </w:rPr>
        <w:t>1</w:t>
      </w:r>
      <w:r>
        <w:rPr/>
        <w:t>、遵循企业会计准则的声明</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0"/>
        <w:jc w:val="left"/>
      </w:pPr>
      <w:r>
        <w:rPr>
          <w:spacing w:val="-1"/>
        </w:rPr>
        <w:t>本财务报表符合企业会计准则的要求，真实、完整地反映了本公司</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日的合并及公司财务状况</w:t>
      </w:r>
      <w:r>
        <w:rPr>
          <w:spacing w:val="-81"/>
        </w:rPr>
        <w:t> </w:t>
      </w:r>
      <w:r>
        <w:rPr>
          <w:spacing w:val="-81"/>
        </w:rPr>
      </w:r>
      <w:r>
        <w:rPr/>
        <w:t>以及</w:t>
      </w:r>
      <w:r>
        <w:rPr>
          <w:rFonts w:ascii="宋体" w:hAnsi="宋体" w:cs="宋体" w:eastAsia="宋体" w:hint="default"/>
        </w:rPr>
        <w:t>2015</w:t>
      </w:r>
      <w:r>
        <w:rPr/>
        <w:t>年度的合并及公司经营成果和合并及公司现金流量等有关信息。</w:t>
      </w:r>
    </w:p>
    <w:p>
      <w:pPr>
        <w:spacing w:line="240" w:lineRule="auto" w:before="8"/>
        <w:rPr>
          <w:rFonts w:ascii="宋体" w:hAnsi="宋体" w:cs="宋体" w:eastAsia="宋体" w:hint="default"/>
          <w:sz w:val="23"/>
          <w:szCs w:val="23"/>
        </w:rPr>
      </w:pPr>
    </w:p>
    <w:p>
      <w:pPr>
        <w:spacing w:line="535" w:lineRule="auto" w:before="0"/>
        <w:ind w:left="1133" w:right="4663" w:firstLine="0"/>
        <w:jc w:val="left"/>
        <w:rPr>
          <w:rFonts w:ascii="宋体" w:hAnsi="宋体" w:cs="宋体" w:eastAsia="宋体" w:hint="default"/>
          <w:sz w:val="21"/>
          <w:szCs w:val="21"/>
        </w:rPr>
      </w:pPr>
      <w:bookmarkStart w:name="2、会计期间" w:id="165"/>
      <w:bookmarkEnd w:id="165"/>
      <w:r>
        <w:rPr/>
      </w:r>
      <w:r>
        <w:rPr>
          <w:rFonts w:ascii="宋体" w:hAnsi="宋体" w:cs="宋体" w:eastAsia="宋体"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21"/>
          <w:szCs w:val="21"/>
        </w:rPr>
        <w:t>本集团会计期间采用公历年度，即每年自</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日起至</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日止。 </w:t>
      </w:r>
      <w:bookmarkStart w:name="3、营业周期" w:id="166"/>
      <w:bookmarkEnd w:id="166"/>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535" w:lineRule="auto" w:before="79"/>
        <w:ind w:left="1133" w:right="8023" w:firstLine="0"/>
        <w:jc w:val="left"/>
        <w:rPr>
          <w:rFonts w:ascii="宋体" w:hAnsi="宋体" w:cs="宋体" w:eastAsia="宋体" w:hint="default"/>
          <w:sz w:val="21"/>
          <w:szCs w:val="21"/>
        </w:rPr>
      </w:pPr>
      <w:r>
        <w:rPr>
          <w:rFonts w:ascii="宋体" w:hAnsi="宋体" w:cs="宋体" w:eastAsia="宋体" w:hint="default"/>
          <w:sz w:val="21"/>
          <w:szCs w:val="21"/>
        </w:rPr>
        <w:t>本集团的营业周期为</w:t>
      </w:r>
      <w:r>
        <w:rPr>
          <w:rFonts w:ascii="宋体" w:hAnsi="宋体" w:cs="宋体" w:eastAsia="宋体" w:hint="default"/>
          <w:sz w:val="21"/>
          <w:szCs w:val="21"/>
        </w:rPr>
        <w:t>12</w:t>
      </w:r>
      <w:r>
        <w:rPr>
          <w:rFonts w:ascii="宋体" w:hAnsi="宋体" w:cs="宋体" w:eastAsia="宋体" w:hint="default"/>
          <w:sz w:val="21"/>
          <w:szCs w:val="21"/>
        </w:rPr>
        <w:t>个月。 </w:t>
      </w:r>
      <w:bookmarkStart w:name="4、记账本位币" w:id="167"/>
      <w:bookmarkEnd w:id="167"/>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535" w:lineRule="auto" w:before="79"/>
        <w:ind w:left="1133" w:right="1933" w:firstLine="0"/>
        <w:jc w:val="left"/>
        <w:rPr>
          <w:rFonts w:ascii="宋体" w:hAnsi="宋体" w:cs="宋体" w:eastAsia="宋体" w:hint="default"/>
          <w:sz w:val="21"/>
          <w:szCs w:val="21"/>
        </w:rPr>
      </w:pPr>
      <w:r>
        <w:rPr>
          <w:rFonts w:ascii="宋体" w:hAnsi="宋体" w:cs="宋体" w:eastAsia="宋体" w:hint="default"/>
          <w:sz w:val="21"/>
          <w:szCs w:val="21"/>
        </w:rPr>
        <w:t>本公司及境内子公司以人民币为记账本位币。本集团编制本财务报表时所采用的货币为人民币。 </w:t>
      </w:r>
      <w:bookmarkStart w:name="5、同一控制下和非同一控制下企业合并的会计处理方法" w:id="168"/>
      <w:bookmarkEnd w:id="168"/>
      <w:r>
        <w:rPr>
          <w:rFonts w:ascii="宋体" w:hAnsi="宋体" w:cs="宋体" w:eastAsia="宋体" w:hint="default"/>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pStyle w:val="BodyText"/>
        <w:spacing w:line="240" w:lineRule="auto" w:before="79"/>
        <w:ind w:left="1134" w:right="3499"/>
        <w:jc w:val="left"/>
      </w:pPr>
      <w:r>
        <w:rPr/>
        <w:t>（</w:t>
      </w:r>
      <w:r>
        <w:rPr>
          <w:rFonts w:ascii="宋体" w:hAnsi="宋体" w:cs="宋体" w:eastAsia="宋体" w:hint="default"/>
        </w:rPr>
        <w:t>1</w:t>
      </w:r>
      <w:r>
        <w:rPr/>
        <w:t>）同一控制下的企业合并</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对于同一控制下的企业合并，合并方在合并中取得的被合并方的资产、负债，除因会计政策不同而进行的</w:t>
      </w:r>
      <w:r>
        <w:rPr>
          <w:spacing w:val="-83"/>
        </w:rPr>
        <w:t> </w:t>
      </w:r>
      <w:r>
        <w:rPr>
          <w:spacing w:val="-83"/>
        </w:rPr>
      </w:r>
      <w:r>
        <w:rPr>
          <w:spacing w:val="-1"/>
        </w:rPr>
        <w:t>调整以外，按合并日被合并方在最终控制方合并财务报表中的账面价值计量。合并对价的账面价值与合并</w:t>
      </w:r>
      <w:r>
        <w:rPr>
          <w:spacing w:val="-81"/>
        </w:rPr>
        <w:t> </w:t>
      </w:r>
      <w:r>
        <w:rPr>
          <w:spacing w:val="-81"/>
        </w:rPr>
      </w:r>
      <w:r>
        <w:rPr/>
        <w:t>中取得的净资产账面价值的差额调整资本公积，资本公积不足冲减的，调整留存收益。</w:t>
      </w:r>
    </w:p>
    <w:p>
      <w:pPr>
        <w:spacing w:line="240" w:lineRule="auto" w:before="2"/>
        <w:rPr>
          <w:rFonts w:ascii="宋体" w:hAnsi="宋体" w:cs="宋体" w:eastAsia="宋体" w:hint="default"/>
          <w:sz w:val="17"/>
          <w:szCs w:val="17"/>
        </w:rPr>
      </w:pPr>
    </w:p>
    <w:p>
      <w:pPr>
        <w:pStyle w:val="BodyText"/>
        <w:spacing w:line="240" w:lineRule="auto"/>
        <w:ind w:right="0"/>
        <w:jc w:val="both"/>
      </w:pPr>
      <w:r>
        <w:rPr/>
        <w:t>通过多次交易分步实现同一控制下的企业合并</w:t>
      </w:r>
    </w:p>
    <w:p>
      <w:pPr>
        <w:spacing w:line="240" w:lineRule="auto" w:before="5"/>
        <w:rPr>
          <w:rFonts w:ascii="宋体" w:hAnsi="宋体" w:cs="宋体" w:eastAsia="宋体" w:hint="default"/>
          <w:sz w:val="19"/>
          <w:szCs w:val="19"/>
        </w:rPr>
      </w:pPr>
    </w:p>
    <w:p>
      <w:pPr>
        <w:pStyle w:val="BodyText"/>
        <w:spacing w:line="273" w:lineRule="auto"/>
        <w:ind w:right="1026"/>
        <w:jc w:val="both"/>
      </w:pPr>
      <w:r>
        <w:rPr/>
        <w:t>在个别财务报表中，以合并日持股比例计算的合并日应享有被合并方净资产在最终控制方合并财务报表中 的账面价值的份额作为该项投资的初始投资成本；初始投资成本与合并前持有投资的账面价值加上合并日 新支付对价的账面价值之和的差额，调整资本公积，资本公积不足冲减的，调整留存收益。</w:t>
      </w:r>
    </w:p>
    <w:p>
      <w:pPr>
        <w:spacing w:line="240" w:lineRule="auto" w:before="1"/>
        <w:rPr>
          <w:rFonts w:ascii="宋体" w:hAnsi="宋体" w:cs="宋体" w:eastAsia="宋体" w:hint="default"/>
          <w:sz w:val="17"/>
          <w:szCs w:val="17"/>
        </w:rPr>
      </w:pPr>
    </w:p>
    <w:p>
      <w:pPr>
        <w:pStyle w:val="BodyText"/>
        <w:spacing w:line="273" w:lineRule="auto"/>
        <w:ind w:right="1024"/>
        <w:jc w:val="left"/>
      </w:pPr>
      <w:r>
        <w:rPr>
          <w:spacing w:val="-3"/>
        </w:rPr>
        <w:t>在合并财务报表中，合并方在合并中取得的被合并方的资产、负债，除因会计政策不同而进行的调整以外，</w:t>
      </w:r>
      <w:r>
        <w:rPr>
          <w:spacing w:val="-90"/>
        </w:rPr>
        <w:t> </w:t>
      </w:r>
      <w:r>
        <w:rPr>
          <w:spacing w:val="-90"/>
        </w:rPr>
      </w:r>
      <w:r>
        <w:rPr/>
        <w:t>按合并日在最终控制方合并财务报表中的账面价值计量；合并前持有投资的账面价值加上合并日新支付对</w:t>
      </w:r>
      <w:r>
        <w:rPr/>
        <w:t> 价的账面价值之和，与合并中取得的净资产账面价值的差额，调整资本公积，资本公积不足冲减的，调整 留存收益。合并方在取得被合并方控制权之前持有的长期股权投资，在取得原股权之日与合并方与被合并 方同处于同一方最终控制之日孰晚日起至合并日之间已确认有关损益、其他综合收益和其他所有者权益变 动，应分别冲减比较报表期间的期初留存收益或当期损益。</w:t>
      </w:r>
    </w:p>
    <w:p>
      <w:pPr>
        <w:spacing w:line="240" w:lineRule="auto" w:before="1"/>
        <w:rPr>
          <w:rFonts w:ascii="宋体" w:hAnsi="宋体" w:cs="宋体" w:eastAsia="宋体" w:hint="default"/>
          <w:sz w:val="17"/>
          <w:szCs w:val="17"/>
        </w:rPr>
      </w:pPr>
    </w:p>
    <w:p>
      <w:pPr>
        <w:pStyle w:val="BodyText"/>
        <w:spacing w:line="240" w:lineRule="auto"/>
        <w:ind w:right="0"/>
        <w:jc w:val="both"/>
      </w:pPr>
      <w:r>
        <w:rPr/>
        <w:t>（</w:t>
      </w:r>
      <w:r>
        <w:rPr>
          <w:rFonts w:ascii="宋体" w:hAnsi="宋体" w:cs="宋体" w:eastAsia="宋体" w:hint="default"/>
        </w:rPr>
        <w:t>2</w:t>
      </w:r>
      <w:r>
        <w:rPr/>
        <w:t>）非同一控制下的企业合并</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对于非同一控制下的企业合并，合并成本为购买日为取得对被购买方的控制权而付出的资产、发生或承担</w:t>
      </w:r>
      <w:r>
        <w:rPr>
          <w:spacing w:val="-81"/>
        </w:rPr>
        <w:t> </w:t>
      </w:r>
      <w:r>
        <w:rPr>
          <w:spacing w:val="-81"/>
        </w:rPr>
      </w:r>
      <w:r>
        <w:rPr>
          <w:spacing w:val="-1"/>
        </w:rPr>
        <w:t>的负债以及发行的权益性证券的公允价值。在购买日，取得的被购买方的资产、负债及或有负债按公允价</w:t>
      </w:r>
      <w:r>
        <w:rPr>
          <w:spacing w:val="-83"/>
        </w:rPr>
        <w:t> </w:t>
      </w:r>
      <w:r>
        <w:rPr>
          <w:spacing w:val="-83"/>
        </w:rPr>
      </w:r>
      <w:r>
        <w:rPr/>
        <w:t>值确认。</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对合并成本大于合并中取得的被购买方可辨认净资产公允价值份额的差额，确认为商誉，按成本扣除累计</w:t>
      </w:r>
      <w:r>
        <w:rPr>
          <w:spacing w:val="-81"/>
        </w:rPr>
        <w:t> </w:t>
      </w:r>
      <w:r>
        <w:rPr>
          <w:spacing w:val="-81"/>
        </w:rPr>
      </w:r>
      <w:r>
        <w:rPr>
          <w:spacing w:val="-1"/>
        </w:rPr>
        <w:t>减值准备进行后续计量；对合并成本小于合并中取得的被购买方可辨认净资产公允价值份额的差额，经复</w:t>
      </w:r>
      <w:r>
        <w:rPr>
          <w:spacing w:val="-81"/>
        </w:rPr>
        <w:t> </w:t>
      </w:r>
      <w:r>
        <w:rPr>
          <w:spacing w:val="-81"/>
        </w:rPr>
      </w:r>
      <w:r>
        <w:rPr/>
        <w:t>核后计入当期损益。</w:t>
      </w:r>
    </w:p>
    <w:p>
      <w:pPr>
        <w:spacing w:line="240" w:lineRule="auto" w:before="1"/>
        <w:rPr>
          <w:rFonts w:ascii="宋体" w:hAnsi="宋体" w:cs="宋体" w:eastAsia="宋体" w:hint="default"/>
          <w:sz w:val="17"/>
          <w:szCs w:val="17"/>
        </w:rPr>
      </w:pPr>
    </w:p>
    <w:p>
      <w:pPr>
        <w:pStyle w:val="BodyText"/>
        <w:spacing w:line="240" w:lineRule="auto"/>
        <w:ind w:left="1134" w:right="0"/>
        <w:jc w:val="both"/>
      </w:pPr>
      <w:r>
        <w:rPr/>
        <w:t>通过多次交易分步实现非同一控制下的企业合并</w:t>
      </w:r>
    </w:p>
    <w:p>
      <w:pPr>
        <w:spacing w:line="240" w:lineRule="auto" w:before="5"/>
        <w:rPr>
          <w:rFonts w:ascii="宋体" w:hAnsi="宋体" w:cs="宋体" w:eastAsia="宋体" w:hint="default"/>
          <w:sz w:val="19"/>
          <w:szCs w:val="19"/>
        </w:rPr>
      </w:pPr>
    </w:p>
    <w:p>
      <w:pPr>
        <w:pStyle w:val="BodyText"/>
        <w:spacing w:line="273" w:lineRule="auto"/>
        <w:ind w:right="1024"/>
        <w:jc w:val="left"/>
      </w:pPr>
      <w:r>
        <w:rPr/>
        <w:t>在个别财务报表中，以购买日之前所持被购买方的股权投资的账面价值与购买日新增投资成本之和，作为 该项投资的初始投资成本。购买日之前持有的股权投资因采用权益法核算而确认的其他综合收益，购买日 对这部分其他综合收益不作处理，在处置该项投资时采用与被投资单位直接处置相关资产或负债相同的基 础进行会计处理；因被投资方除净损益、其他综合收益和利润分配以外的其他所有者权益变动而确认的所 </w:t>
      </w:r>
      <w:r>
        <w:rPr>
          <w:spacing w:val="-3"/>
        </w:rPr>
        <w:t>有者权益，在处置该项投资时转入处置期间的当期损益。购买日之前持有的股权投资采用公允价值计量的，</w:t>
      </w:r>
      <w:r>
        <w:rPr>
          <w:spacing w:val="-92"/>
        </w:rPr>
        <w:t> </w:t>
      </w:r>
      <w:r>
        <w:rPr>
          <w:spacing w:val="-92"/>
        </w:rPr>
      </w:r>
      <w:r>
        <w:rPr/>
        <w:t>原计入其他综合收益的累计公允价值变动在改按成本法核算时转入当期损益。</w:t>
      </w:r>
    </w:p>
    <w:p>
      <w:pPr>
        <w:spacing w:line="240" w:lineRule="auto" w:before="1"/>
        <w:rPr>
          <w:rFonts w:ascii="宋体" w:hAnsi="宋体" w:cs="宋体" w:eastAsia="宋体" w:hint="default"/>
          <w:sz w:val="17"/>
          <w:szCs w:val="17"/>
        </w:rPr>
      </w:pPr>
    </w:p>
    <w:p>
      <w:pPr>
        <w:pStyle w:val="BodyText"/>
        <w:spacing w:line="273" w:lineRule="auto"/>
        <w:ind w:right="1024"/>
        <w:jc w:val="left"/>
      </w:pPr>
      <w:r>
        <w:rPr/>
        <w:t>在合并财务报表中，合并成本为购买日支付的对价与购买日之前已经持有的被购买方的股权在购买日的公 </w:t>
      </w:r>
      <w:r>
        <w:rPr>
          <w:spacing w:val="-3"/>
        </w:rPr>
        <w:t>允价值之和。对于购买日之前已经持有的被购买方的股权，按照该股权在购买日的公允价值进行重新计量，</w:t>
      </w:r>
      <w:r>
        <w:rPr>
          <w:spacing w:val="-92"/>
        </w:rPr>
        <w:t> </w:t>
      </w:r>
      <w:r>
        <w:rPr>
          <w:spacing w:val="-92"/>
        </w:rPr>
      </w:r>
      <w:r>
        <w:rPr/>
        <w:t>公允价值与其账面价值之间的差额计入当期收益；购买日之前已经持有的被购买方的股权涉及其他综合收</w:t>
      </w:r>
      <w:r>
        <w:rPr/>
        <w:t> 益、其他所有者权益变动转为购买日当期收益，由于被投资方重新计量设定收益计划净负债或净资产变动 而产生的其他综合收益除外。</w:t>
      </w:r>
    </w:p>
    <w:p>
      <w:pPr>
        <w:spacing w:line="240" w:lineRule="auto" w:before="1"/>
        <w:rPr>
          <w:rFonts w:ascii="宋体" w:hAnsi="宋体" w:cs="宋体" w:eastAsia="宋体" w:hint="default"/>
          <w:sz w:val="17"/>
          <w:szCs w:val="17"/>
        </w:rPr>
      </w:pPr>
    </w:p>
    <w:p>
      <w:pPr>
        <w:pStyle w:val="BodyText"/>
        <w:spacing w:line="240" w:lineRule="auto"/>
        <w:ind w:right="0"/>
        <w:jc w:val="both"/>
      </w:pPr>
      <w:r>
        <w:rPr/>
        <w:t>（</w:t>
      </w:r>
      <w:r>
        <w:rPr>
          <w:rFonts w:ascii="宋体" w:hAnsi="宋体" w:cs="宋体" w:eastAsia="宋体" w:hint="default"/>
        </w:rPr>
        <w:t>3</w:t>
      </w:r>
      <w:r>
        <w:rPr/>
        <w:t>）企业合并中有关交易费用的处理</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为进行企业合并发生的审计、法律服务、评估咨询等中介费用以及其他相关管理费用，于发生时计入当期</w:t>
      </w:r>
      <w:r>
        <w:rPr>
          <w:spacing w:val="-83"/>
        </w:rPr>
        <w:t> </w:t>
      </w:r>
      <w:r>
        <w:rPr>
          <w:spacing w:val="-83"/>
        </w:rPr>
      </w:r>
      <w:r>
        <w:rPr>
          <w:spacing w:val="-1"/>
        </w:rPr>
        <w:t>损益。作为合并对价发行的权益性证券或债务性证券的交易费用，计入权益性证券或债务性证券的初始确</w:t>
      </w:r>
      <w:r>
        <w:rPr>
          <w:spacing w:val="-81"/>
        </w:rPr>
        <w:t> </w:t>
      </w:r>
      <w:r>
        <w:rPr>
          <w:spacing w:val="-81"/>
        </w:rPr>
      </w:r>
      <w:r>
        <w:rPr/>
        <w:t>认金额。</w:t>
      </w:r>
    </w:p>
    <w:p>
      <w:pPr>
        <w:spacing w:after="0" w:line="273"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6、合并财务报表的编制方法" w:id="169"/>
      <w:bookmarkEnd w:id="169"/>
      <w:r>
        <w:rPr>
          <w:b w:val="0"/>
          <w:bCs w:val="0"/>
        </w:rPr>
      </w:r>
      <w:r>
        <w:rPr>
          <w:rFonts w:ascii="宋体" w:hAnsi="宋体" w:cs="宋体" w:eastAsia="宋体" w:hint="default"/>
        </w:rPr>
        <w:t>6</w:t>
      </w:r>
      <w:r>
        <w:rPr/>
        <w:t>、合并财务报表的编制方法</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right="0"/>
        <w:jc w:val="both"/>
      </w:pPr>
      <w:r>
        <w:rPr/>
        <w:t>（</w:t>
      </w:r>
      <w:r>
        <w:rPr>
          <w:rFonts w:ascii="宋体" w:hAnsi="宋体" w:cs="宋体" w:eastAsia="宋体" w:hint="default"/>
        </w:rPr>
        <w:t>1</w:t>
      </w:r>
      <w:r>
        <w:rPr/>
        <w:t>）合并范围</w:t>
      </w:r>
    </w:p>
    <w:p>
      <w:pPr>
        <w:spacing w:line="240" w:lineRule="auto" w:before="5"/>
        <w:rPr>
          <w:rFonts w:ascii="宋体" w:hAnsi="宋体" w:cs="宋体" w:eastAsia="宋体" w:hint="default"/>
          <w:sz w:val="19"/>
          <w:szCs w:val="19"/>
        </w:rPr>
      </w:pPr>
    </w:p>
    <w:p>
      <w:pPr>
        <w:pStyle w:val="BodyText"/>
        <w:spacing w:line="273" w:lineRule="auto"/>
        <w:ind w:left="1134" w:right="1109"/>
        <w:jc w:val="both"/>
      </w:pPr>
      <w:r>
        <w:rPr>
          <w:spacing w:val="-1"/>
        </w:rPr>
        <w:t>合并财务报表的合并范围以控制为基础予以确定。控制，是指本公司拥有对被投资单位的权力，通过参与</w:t>
      </w:r>
      <w:r>
        <w:rPr>
          <w:spacing w:val="-83"/>
        </w:rPr>
        <w:t> </w:t>
      </w:r>
      <w:r>
        <w:rPr>
          <w:spacing w:val="-83"/>
        </w:rPr>
      </w:r>
      <w:r>
        <w:rPr/>
        <w:t>被投资单位的相关活动而享有可变回报，并且有能力运用对被投资单位的权力影响其回报金额。子公司， 是指被本公司控制的主体（含企业、被投资单位中可分割的部分、结构化主体等）。</w:t>
      </w:r>
    </w:p>
    <w:p>
      <w:pPr>
        <w:spacing w:line="240" w:lineRule="auto" w:before="1"/>
        <w:rPr>
          <w:rFonts w:ascii="宋体" w:hAnsi="宋体" w:cs="宋体" w:eastAsia="宋体" w:hint="default"/>
          <w:sz w:val="17"/>
          <w:szCs w:val="17"/>
        </w:rPr>
      </w:pPr>
    </w:p>
    <w:p>
      <w:pPr>
        <w:pStyle w:val="BodyText"/>
        <w:spacing w:line="240" w:lineRule="auto"/>
        <w:ind w:right="0"/>
        <w:jc w:val="both"/>
      </w:pPr>
      <w:r>
        <w:rPr/>
        <w:t>（</w:t>
      </w:r>
      <w:r>
        <w:rPr>
          <w:rFonts w:ascii="宋体" w:hAnsi="宋体" w:cs="宋体" w:eastAsia="宋体" w:hint="default"/>
        </w:rPr>
        <w:t>2</w:t>
      </w:r>
      <w:r>
        <w:rPr/>
        <w:t>）合并财务报表的编制方法</w:t>
      </w:r>
    </w:p>
    <w:p>
      <w:pPr>
        <w:spacing w:line="240" w:lineRule="auto" w:before="5"/>
        <w:rPr>
          <w:rFonts w:ascii="宋体" w:hAnsi="宋体" w:cs="宋体" w:eastAsia="宋体" w:hint="default"/>
          <w:sz w:val="19"/>
          <w:szCs w:val="19"/>
        </w:rPr>
      </w:pPr>
    </w:p>
    <w:p>
      <w:pPr>
        <w:pStyle w:val="BodyText"/>
        <w:spacing w:line="273" w:lineRule="auto"/>
        <w:ind w:right="1110"/>
        <w:jc w:val="both"/>
      </w:pPr>
      <w:r>
        <w:rPr>
          <w:spacing w:val="-1"/>
        </w:rPr>
        <w:t>合并财务报表以本公司和子公司的财务报表为基础，根据其他有关资料，由本公司编制。在编制合并财务</w:t>
      </w:r>
      <w:r>
        <w:rPr>
          <w:spacing w:val="-83"/>
        </w:rPr>
        <w:t> </w:t>
      </w:r>
      <w:r>
        <w:rPr>
          <w:spacing w:val="-83"/>
        </w:rPr>
      </w:r>
      <w:r>
        <w:rPr/>
        <w:t>报表时，本公司和子公司的会计政策和会计期间要求保持一致，公司间的重大交易和往来余额予以抵销。</w:t>
      </w:r>
    </w:p>
    <w:p>
      <w:pPr>
        <w:spacing w:line="240" w:lineRule="auto" w:before="1"/>
        <w:rPr>
          <w:rFonts w:ascii="宋体" w:hAnsi="宋体" w:cs="宋体" w:eastAsia="宋体" w:hint="default"/>
          <w:sz w:val="17"/>
          <w:szCs w:val="17"/>
        </w:rPr>
      </w:pPr>
    </w:p>
    <w:p>
      <w:pPr>
        <w:pStyle w:val="BodyText"/>
        <w:spacing w:line="273" w:lineRule="auto"/>
        <w:ind w:left="1134" w:right="1131"/>
        <w:jc w:val="both"/>
      </w:pPr>
      <w:r>
        <w:rPr>
          <w:spacing w:val="-1"/>
        </w:rPr>
        <w:t>在报告期内因同一控制下企业合并增加的子公司以及业务，视同该子公司以及业务自同受最终控制方控制</w:t>
      </w:r>
      <w:r>
        <w:rPr>
          <w:spacing w:val="-81"/>
        </w:rPr>
        <w:t> </w:t>
      </w:r>
      <w:r>
        <w:rPr>
          <w:spacing w:val="-81"/>
        </w:rPr>
      </w:r>
      <w:r>
        <w:rPr>
          <w:spacing w:val="-1"/>
        </w:rPr>
        <w:t>之日起纳入本公司的合并范围，将其自同受最终控制方控制之日起的经营成果、现金流量分别纳入合并利</w:t>
      </w:r>
      <w:r>
        <w:rPr>
          <w:spacing w:val="-81"/>
        </w:rPr>
        <w:t> </w:t>
      </w:r>
      <w:r>
        <w:rPr>
          <w:spacing w:val="-81"/>
        </w:rPr>
      </w:r>
      <w:r>
        <w:rPr/>
        <w:t>润表、合并现金流量表中。</w:t>
      </w:r>
    </w:p>
    <w:p>
      <w:pPr>
        <w:spacing w:line="240" w:lineRule="auto" w:before="1"/>
        <w:rPr>
          <w:rFonts w:ascii="宋体" w:hAnsi="宋体" w:cs="宋体" w:eastAsia="宋体" w:hint="default"/>
          <w:sz w:val="17"/>
          <w:szCs w:val="17"/>
        </w:rPr>
      </w:pPr>
    </w:p>
    <w:p>
      <w:pPr>
        <w:pStyle w:val="BodyText"/>
        <w:spacing w:line="273" w:lineRule="auto"/>
        <w:ind w:left="1134" w:right="1132"/>
        <w:jc w:val="both"/>
      </w:pPr>
      <w:r>
        <w:rPr>
          <w:spacing w:val="-1"/>
        </w:rPr>
        <w:t>在报告期内因非同一控制下企业合并增加的子公司以及业务，将该子公司以及业务自购买日至报告期末的</w:t>
      </w:r>
      <w:r>
        <w:rPr>
          <w:spacing w:val="-81"/>
        </w:rPr>
        <w:t> </w:t>
      </w:r>
      <w:r>
        <w:rPr>
          <w:spacing w:val="-81"/>
        </w:rPr>
      </w:r>
      <w:r>
        <w:rPr/>
        <w:t>收入、费用、利润纳入合并利润表，将其现金流量纳入合并现金流量表。</w:t>
      </w:r>
    </w:p>
    <w:p>
      <w:pPr>
        <w:spacing w:line="240" w:lineRule="auto" w:before="1"/>
        <w:rPr>
          <w:rFonts w:ascii="宋体" w:hAnsi="宋体" w:cs="宋体" w:eastAsia="宋体" w:hint="default"/>
          <w:sz w:val="17"/>
          <w:szCs w:val="17"/>
        </w:rPr>
      </w:pPr>
    </w:p>
    <w:p>
      <w:pPr>
        <w:pStyle w:val="BodyText"/>
        <w:spacing w:line="273" w:lineRule="auto"/>
        <w:ind w:left="1134" w:right="1129"/>
        <w:jc w:val="both"/>
      </w:pPr>
      <w:r>
        <w:rPr>
          <w:spacing w:val="-1"/>
        </w:rPr>
        <w:t>子公司的股东权益中不属于本公司所拥有的部分，作为少数股东权益在合并资产负债表中股东权益项下单</w:t>
      </w:r>
      <w:r>
        <w:rPr>
          <w:spacing w:val="-81"/>
        </w:rPr>
        <w:t> </w:t>
      </w:r>
      <w:r>
        <w:rPr>
          <w:spacing w:val="-81"/>
        </w:rPr>
      </w:r>
      <w:r>
        <w:rPr>
          <w:spacing w:val="3"/>
        </w:rPr>
        <w:t>独列示；子公司当期净损益中属于少数股东权益的份额，在合并利润表中净利润项目下以“少数股东损</w:t>
      </w:r>
      <w:r>
        <w:rPr>
          <w:spacing w:val="-73"/>
        </w:rPr>
        <w:t> </w:t>
      </w:r>
      <w:r>
        <w:rPr>
          <w:spacing w:val="-73"/>
        </w:rPr>
      </w:r>
      <w:r>
        <w:rPr>
          <w:spacing w:val="3"/>
        </w:rPr>
        <w:t>益”项目列示。少数股东分担的子公司的亏损超过了少数股东在该子公司期初所有者权益中所享有的份</w:t>
      </w:r>
      <w:r>
        <w:rPr>
          <w:spacing w:val="-82"/>
        </w:rPr>
        <w:t> </w:t>
      </w:r>
      <w:r>
        <w:rPr>
          <w:spacing w:val="-82"/>
        </w:rPr>
      </w:r>
      <w:r>
        <w:rPr/>
        <w:t>额，其余额仍冲减少数股东权益。</w:t>
      </w:r>
    </w:p>
    <w:p>
      <w:pPr>
        <w:spacing w:line="240" w:lineRule="auto" w:before="2"/>
        <w:rPr>
          <w:rFonts w:ascii="宋体" w:hAnsi="宋体" w:cs="宋体" w:eastAsia="宋体" w:hint="default"/>
          <w:sz w:val="17"/>
          <w:szCs w:val="17"/>
        </w:rPr>
      </w:pPr>
    </w:p>
    <w:p>
      <w:pPr>
        <w:pStyle w:val="BodyText"/>
        <w:spacing w:line="240" w:lineRule="auto"/>
        <w:ind w:right="0"/>
        <w:jc w:val="both"/>
      </w:pPr>
      <w:r>
        <w:rPr/>
        <w:t>（</w:t>
      </w:r>
      <w:r>
        <w:rPr>
          <w:rFonts w:ascii="宋体" w:hAnsi="宋体" w:cs="宋体" w:eastAsia="宋体" w:hint="default"/>
        </w:rPr>
        <w:t>3</w:t>
      </w:r>
      <w:r>
        <w:rPr/>
        <w:t>）购买子公司少数股东股权</w:t>
      </w:r>
    </w:p>
    <w:p>
      <w:pPr>
        <w:spacing w:line="240" w:lineRule="auto" w:before="5"/>
        <w:rPr>
          <w:rFonts w:ascii="宋体" w:hAnsi="宋体" w:cs="宋体" w:eastAsia="宋体" w:hint="default"/>
          <w:sz w:val="19"/>
          <w:szCs w:val="19"/>
        </w:rPr>
      </w:pPr>
    </w:p>
    <w:p>
      <w:pPr>
        <w:pStyle w:val="BodyText"/>
        <w:spacing w:line="273" w:lineRule="auto"/>
        <w:ind w:right="1132"/>
        <w:jc w:val="both"/>
      </w:pPr>
      <w:r>
        <w:rPr>
          <w:spacing w:val="3"/>
        </w:rPr>
        <w:t>因购买少数股权新取得的长期股权投资成本与按照新增持股比例计算应享有子公司自购买日或合并日开</w:t>
      </w:r>
      <w:r>
        <w:rPr>
          <w:spacing w:val="-82"/>
        </w:rPr>
        <w:t> </w:t>
      </w:r>
      <w:r>
        <w:rPr>
          <w:spacing w:val="-82"/>
        </w:rPr>
      </w:r>
      <w:r>
        <w:rPr>
          <w:spacing w:val="-1"/>
        </w:rPr>
        <w:t>始持续计算的净资产份额之间的差额，以及在不丧失控制权的情况下因部分处置对子公司的股权投资而取</w:t>
      </w:r>
      <w:r>
        <w:rPr>
          <w:spacing w:val="-81"/>
        </w:rPr>
        <w:t> </w:t>
      </w:r>
      <w:r>
        <w:rPr>
          <w:spacing w:val="-81"/>
        </w:rPr>
      </w:r>
      <w:r>
        <w:rPr>
          <w:spacing w:val="3"/>
        </w:rPr>
        <w:t>得的处置价款与处置长期股权投资相对应享有子公司自购买日或合并日开始持续计算的净资产份额之间</w:t>
      </w:r>
      <w:r>
        <w:rPr>
          <w:spacing w:val="-82"/>
        </w:rPr>
        <w:t> </w:t>
      </w:r>
      <w:r>
        <w:rPr>
          <w:spacing w:val="-82"/>
        </w:rPr>
      </w:r>
      <w:r>
        <w:rPr/>
        <w:t>的差额，均调整合并资产负债表中的资本公积，资本公积不足冲减的，调整留存收益。</w:t>
      </w:r>
    </w:p>
    <w:p>
      <w:pPr>
        <w:spacing w:line="240" w:lineRule="auto" w:before="1"/>
        <w:rPr>
          <w:rFonts w:ascii="宋体" w:hAnsi="宋体" w:cs="宋体" w:eastAsia="宋体" w:hint="default"/>
          <w:sz w:val="17"/>
          <w:szCs w:val="17"/>
        </w:rPr>
      </w:pPr>
    </w:p>
    <w:p>
      <w:pPr>
        <w:pStyle w:val="BodyText"/>
        <w:spacing w:line="240" w:lineRule="auto"/>
        <w:ind w:right="0"/>
        <w:jc w:val="both"/>
      </w:pPr>
      <w:r>
        <w:rPr/>
        <w:t>（</w:t>
      </w:r>
      <w:r>
        <w:rPr>
          <w:rFonts w:ascii="宋体" w:hAnsi="宋体" w:cs="宋体" w:eastAsia="宋体" w:hint="default"/>
        </w:rPr>
        <w:t>4</w:t>
      </w:r>
      <w:r>
        <w:rPr/>
        <w:t>）丧失子公司控制权的处理</w:t>
      </w:r>
    </w:p>
    <w:p>
      <w:pPr>
        <w:spacing w:line="240" w:lineRule="auto" w:before="5"/>
        <w:rPr>
          <w:rFonts w:ascii="宋体" w:hAnsi="宋体" w:cs="宋体" w:eastAsia="宋体" w:hint="default"/>
          <w:sz w:val="19"/>
          <w:szCs w:val="19"/>
        </w:rPr>
      </w:pPr>
    </w:p>
    <w:p>
      <w:pPr>
        <w:pStyle w:val="BodyText"/>
        <w:spacing w:line="273" w:lineRule="auto"/>
        <w:ind w:right="1130"/>
        <w:jc w:val="both"/>
      </w:pPr>
      <w:r>
        <w:rPr>
          <w:spacing w:val="-1"/>
        </w:rPr>
        <w:t>因处置部分股权投资或其他原因丧失了对原有子公司控制权的，剩余股权按照其在丧失控制权日的公允价</w:t>
      </w:r>
      <w:r>
        <w:rPr>
          <w:spacing w:val="-80"/>
        </w:rPr>
        <w:t> </w:t>
      </w:r>
      <w:r>
        <w:rPr>
          <w:spacing w:val="-80"/>
        </w:rPr>
      </w:r>
      <w:r>
        <w:rPr>
          <w:spacing w:val="-1"/>
        </w:rPr>
        <w:t>值进行重新计量；处置股权取得的对价与剩余股权公允价值之和，减去按原持股比例计算应享有原有子公</w:t>
      </w:r>
      <w:r>
        <w:rPr>
          <w:spacing w:val="-81"/>
        </w:rPr>
        <w:t> </w:t>
      </w:r>
      <w:r>
        <w:rPr>
          <w:spacing w:val="-81"/>
        </w:rPr>
      </w:r>
      <w:r>
        <w:rPr>
          <w:spacing w:val="-1"/>
        </w:rPr>
        <w:t>司自购买日开始持续计算的净资产账面价值的份额与商誉之和，形成的差额计入丧失控制权当期的投资收</w:t>
      </w:r>
      <w:r>
        <w:rPr>
          <w:spacing w:val="-81"/>
        </w:rPr>
        <w:t> </w:t>
      </w:r>
      <w:r>
        <w:rPr>
          <w:spacing w:val="-81"/>
        </w:rPr>
      </w:r>
      <w:r>
        <w:rPr/>
        <w:t>益。</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与原有子公司的股权投资相关的其他综合收益等，在丧失控制权时转入当期损益，由于被投资方重新计量</w:t>
      </w:r>
      <w:r>
        <w:rPr>
          <w:spacing w:val="-81"/>
        </w:rPr>
        <w:t> </w:t>
      </w:r>
      <w:r>
        <w:rPr>
          <w:spacing w:val="-81"/>
        </w:rPr>
      </w:r>
      <w:r>
        <w:rPr/>
        <w:t>设定收益计划净负债或净资产变动而产生的其他综合收益除外。</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0"/>
        <w:jc w:val="both"/>
        <w:rPr>
          <w:b w:val="0"/>
          <w:bCs w:val="0"/>
        </w:rPr>
      </w:pPr>
      <w:bookmarkStart w:name="7、合营安排分类及共同经营会计处理方法" w:id="170"/>
      <w:bookmarkEnd w:id="170"/>
      <w:r>
        <w:rPr>
          <w:b w:val="0"/>
          <w:bCs w:val="0"/>
        </w:rPr>
      </w:r>
      <w:r>
        <w:rPr>
          <w:rFonts w:ascii="宋体" w:hAnsi="宋体" w:cs="宋体" w:eastAsia="宋体" w:hint="default"/>
        </w:rPr>
        <w:t>7</w:t>
      </w:r>
      <w:r>
        <w:rPr/>
        <w:t>、合营安排分类及共同经营会计处理方法</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1131"/>
        <w:jc w:val="both"/>
      </w:pPr>
      <w:r>
        <w:rPr>
          <w:spacing w:val="-1"/>
        </w:rPr>
        <w:t>合营安排，是指一项由两个或两个以上的参与方共同控制的安排。本集团合营安排分为共同经营和合营企</w:t>
      </w:r>
      <w:r>
        <w:rPr>
          <w:spacing w:val="-81"/>
        </w:rPr>
        <w:t> </w:t>
      </w:r>
      <w:r>
        <w:rPr>
          <w:spacing w:val="-81"/>
        </w:rPr>
      </w:r>
      <w:r>
        <w:rPr/>
        <w:t>业。</w:t>
      </w:r>
    </w:p>
    <w:p>
      <w:pPr>
        <w:spacing w:after="0" w:line="273"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460" w:lineRule="auto" w:before="35"/>
        <w:ind w:left="1134" w:right="3612"/>
        <w:jc w:val="left"/>
      </w:pPr>
      <w:r>
        <w:rPr/>
        <w:t>（</w:t>
      </w:r>
      <w:r>
        <w:rPr>
          <w:rFonts w:ascii="宋体" w:hAnsi="宋体" w:cs="宋体" w:eastAsia="宋体" w:hint="default"/>
        </w:rPr>
        <w:t>1</w:t>
      </w:r>
      <w:r>
        <w:rPr/>
        <w:t>）共同经营 共同经营是指本集团享有该安排相关资产且承担该安排相关负债的合营安排。</w:t>
      </w:r>
    </w:p>
    <w:p>
      <w:pPr>
        <w:pStyle w:val="BodyText"/>
        <w:spacing w:line="460" w:lineRule="auto" w:before="60"/>
        <w:ind w:right="1513"/>
        <w:jc w:val="left"/>
      </w:pPr>
      <w:r>
        <w:rPr/>
        <w:t>本集团确认与共同经营中利益份额相关的下列项目，并按照相关企业会计准则的规定进行会计处理： </w:t>
      </w:r>
      <w:r>
        <w:rPr>
          <w:rFonts w:ascii="宋体" w:hAnsi="宋体" w:cs="宋体" w:eastAsia="宋体" w:hint="default"/>
        </w:rPr>
        <w:t>A</w:t>
      </w:r>
      <w:r>
        <w:rPr/>
        <w:t>、确认单独所持有的资产，以及按其份额确认共同持有的资产； </w:t>
      </w:r>
      <w:r>
        <w:rPr>
          <w:rFonts w:ascii="宋体" w:hAnsi="宋体" w:cs="宋体" w:eastAsia="宋体" w:hint="default"/>
        </w:rPr>
        <w:t>B</w:t>
      </w:r>
      <w:r>
        <w:rPr/>
        <w:t>、确认单独所承担的负债，以及按其份额确认共同承担的负债； </w:t>
      </w:r>
      <w:r>
        <w:rPr>
          <w:rFonts w:ascii="宋体" w:hAnsi="宋体" w:cs="宋体" w:eastAsia="宋体" w:hint="default"/>
        </w:rPr>
        <w:t>C</w:t>
      </w:r>
      <w:r>
        <w:rPr/>
        <w:t>、确认出售其享有的共同经营产出份额所产生的收入； </w:t>
      </w:r>
      <w:r>
        <w:rPr>
          <w:rFonts w:ascii="宋体" w:hAnsi="宋体" w:cs="宋体" w:eastAsia="宋体" w:hint="default"/>
        </w:rPr>
        <w:t>D</w:t>
      </w:r>
      <w:r>
        <w:rPr/>
        <w:t>、按其份额确认共同经营因出售产出所产生的收入； </w:t>
      </w:r>
      <w:r>
        <w:rPr>
          <w:rFonts w:ascii="宋体" w:hAnsi="宋体" w:cs="宋体" w:eastAsia="宋体" w:hint="default"/>
        </w:rPr>
        <w:t>E</w:t>
      </w:r>
      <w:r>
        <w:rPr/>
        <w:t>、确认单独所发生的费用，以及按其份额确认共同经营发生的费用。</w:t>
      </w:r>
    </w:p>
    <w:p>
      <w:pPr>
        <w:pStyle w:val="BodyText"/>
        <w:spacing w:line="460" w:lineRule="auto" w:before="60"/>
        <w:ind w:left="1134" w:right="4872"/>
        <w:jc w:val="left"/>
      </w:pPr>
      <w:r>
        <w:rPr/>
        <w:t>（</w:t>
      </w:r>
      <w:r>
        <w:rPr>
          <w:rFonts w:ascii="宋体" w:hAnsi="宋体" w:cs="宋体" w:eastAsia="宋体" w:hint="default"/>
        </w:rPr>
        <w:t>2</w:t>
      </w:r>
      <w:r>
        <w:rPr/>
        <w:t>）合营企业 合营企业是指本集团仅对该安排的净资产享有权利的合营安排。</w:t>
      </w:r>
    </w:p>
    <w:p>
      <w:pPr>
        <w:pStyle w:val="BodyText"/>
        <w:spacing w:line="240" w:lineRule="auto" w:before="60"/>
        <w:ind w:right="0"/>
        <w:jc w:val="left"/>
      </w:pPr>
      <w:r>
        <w:rPr/>
        <w:t>本集团按照长期股权投资有关权益法核算的规定对合营企业的投资进行会计处理。</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3"/>
        <w:spacing w:line="240" w:lineRule="auto"/>
        <w:ind w:right="3499"/>
        <w:jc w:val="left"/>
        <w:rPr>
          <w:b w:val="0"/>
          <w:bCs w:val="0"/>
        </w:rPr>
      </w:pPr>
      <w:bookmarkStart w:name="8、现金及现金等价物的确定标准" w:id="171"/>
      <w:bookmarkEnd w:id="171"/>
      <w:r>
        <w:rPr>
          <w:b w:val="0"/>
          <w:bCs w:val="0"/>
        </w:rPr>
      </w:r>
      <w:r>
        <w:rPr>
          <w:rFonts w:ascii="宋体" w:hAnsi="宋体" w:cs="宋体" w:eastAsia="宋体" w:hint="default"/>
        </w:rPr>
        <w:t>8</w:t>
      </w:r>
      <w:r>
        <w:rPr/>
        <w:t>、现金及现金等价物的确定标准</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0"/>
        <w:jc w:val="left"/>
      </w:pPr>
      <w:r>
        <w:rPr>
          <w:spacing w:val="-1"/>
        </w:rPr>
        <w:t>现金是指库存现金以及可以随时用于支付的存款。现金等价物，是指本集团持有的期限短、流动性强、易</w:t>
      </w:r>
      <w:r>
        <w:rPr>
          <w:spacing w:val="-85"/>
        </w:rPr>
        <w:t> </w:t>
      </w:r>
      <w:r>
        <w:rPr>
          <w:spacing w:val="-85"/>
        </w:rPr>
      </w:r>
      <w:r>
        <w:rPr/>
        <w:t>于转换为已知金额现金、价值变动风险很小的投资。</w:t>
      </w:r>
    </w:p>
    <w:p>
      <w:pPr>
        <w:spacing w:line="240" w:lineRule="auto" w:before="8"/>
        <w:rPr>
          <w:rFonts w:ascii="宋体" w:hAnsi="宋体" w:cs="宋体" w:eastAsia="宋体" w:hint="default"/>
          <w:sz w:val="23"/>
          <w:szCs w:val="23"/>
        </w:rPr>
      </w:pPr>
    </w:p>
    <w:p>
      <w:pPr>
        <w:pStyle w:val="Heading3"/>
        <w:spacing w:line="240" w:lineRule="auto"/>
        <w:ind w:left="1134" w:right="3499"/>
        <w:jc w:val="left"/>
        <w:rPr>
          <w:b w:val="0"/>
          <w:bCs w:val="0"/>
        </w:rPr>
      </w:pPr>
      <w:bookmarkStart w:name="9、外币业务和外币报表折算" w:id="172"/>
      <w:bookmarkEnd w:id="172"/>
      <w:r>
        <w:rPr>
          <w:b w:val="0"/>
          <w:bCs w:val="0"/>
        </w:rPr>
      </w:r>
      <w:r>
        <w:rPr>
          <w:rFonts w:ascii="宋体" w:hAnsi="宋体" w:cs="宋体" w:eastAsia="宋体" w:hint="default"/>
        </w:rPr>
        <w:t>9</w:t>
      </w:r>
      <w:r>
        <w:rPr/>
        <w:t>、外币业务和外币报表折算</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1134" w:right="3499"/>
        <w:jc w:val="left"/>
      </w:pPr>
      <w:r>
        <w:rPr/>
        <w:t>（</w:t>
      </w:r>
      <w:r>
        <w:rPr>
          <w:rFonts w:ascii="宋体" w:hAnsi="宋体" w:cs="宋体" w:eastAsia="宋体" w:hint="default"/>
        </w:rPr>
        <w:t>1</w:t>
      </w:r>
      <w:r>
        <w:rPr/>
        <w:t>）外币业务</w:t>
      </w:r>
    </w:p>
    <w:p>
      <w:pPr>
        <w:spacing w:line="240" w:lineRule="auto" w:before="5"/>
        <w:rPr>
          <w:rFonts w:ascii="宋体" w:hAnsi="宋体" w:cs="宋体" w:eastAsia="宋体" w:hint="default"/>
          <w:sz w:val="19"/>
          <w:szCs w:val="19"/>
        </w:rPr>
      </w:pPr>
    </w:p>
    <w:p>
      <w:pPr>
        <w:pStyle w:val="BodyText"/>
        <w:spacing w:line="273" w:lineRule="auto"/>
        <w:ind w:right="1118"/>
        <w:jc w:val="left"/>
      </w:pPr>
      <w:r>
        <w:rPr>
          <w:spacing w:val="-1"/>
        </w:rPr>
        <w:t>本集团发生外币业务，采用按照系统合理的方法确定的、与交易发生日即期汇率近似的汇率折算为记账本</w:t>
      </w:r>
      <w:r>
        <w:rPr>
          <w:spacing w:val="-81"/>
        </w:rPr>
        <w:t> </w:t>
      </w:r>
      <w:r>
        <w:rPr>
          <w:spacing w:val="-81"/>
        </w:rPr>
      </w:r>
      <w:r>
        <w:rPr/>
        <w:t>位币金额。</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资产负债表日，对外币货币性项目，采用资产负债表日即期汇率折算。因资产负债表日即期汇率与初始确</w:t>
      </w:r>
      <w:r>
        <w:rPr>
          <w:spacing w:val="-83"/>
        </w:rPr>
        <w:t> </w:t>
      </w:r>
      <w:r>
        <w:rPr>
          <w:spacing w:val="-83"/>
        </w:rPr>
      </w:r>
      <w:r>
        <w:rPr>
          <w:spacing w:val="-1"/>
        </w:rPr>
        <w:t>认时或者前一资产负债表日即期汇率不同而产生的汇兑差额，计入当期损益；对以历史成本计量的外币非</w:t>
      </w:r>
      <w:r>
        <w:rPr>
          <w:spacing w:val="-81"/>
        </w:rPr>
        <w:t> </w:t>
      </w:r>
      <w:r>
        <w:rPr>
          <w:spacing w:val="-81"/>
        </w:rPr>
      </w:r>
      <w:r>
        <w:rPr>
          <w:spacing w:val="-1"/>
        </w:rPr>
        <w:t>货币性项目，仍采用交易发生日的即期汇率折算；对以公允价值计量的外币非货币性项目，采用公允价值</w:t>
      </w:r>
      <w:r>
        <w:rPr>
          <w:spacing w:val="-83"/>
        </w:rPr>
        <w:t> </w:t>
      </w:r>
      <w:r>
        <w:rPr>
          <w:spacing w:val="-83"/>
        </w:rPr>
      </w:r>
      <w:r>
        <w:rPr/>
        <w:t>确定日的即期汇率折算，折算后的记账本位币金额与原记账本位币金额的差额，计入当期损益。</w:t>
      </w:r>
    </w:p>
    <w:p>
      <w:pPr>
        <w:spacing w:line="240" w:lineRule="auto" w:before="1"/>
        <w:rPr>
          <w:rFonts w:ascii="宋体" w:hAnsi="宋体" w:cs="宋体" w:eastAsia="宋体" w:hint="default"/>
          <w:sz w:val="17"/>
          <w:szCs w:val="17"/>
        </w:rPr>
      </w:pPr>
    </w:p>
    <w:p>
      <w:pPr>
        <w:pStyle w:val="BodyText"/>
        <w:spacing w:line="240" w:lineRule="auto"/>
        <w:ind w:right="3499"/>
        <w:jc w:val="left"/>
      </w:pPr>
      <w:r>
        <w:rPr/>
        <w:t>（</w:t>
      </w:r>
      <w:r>
        <w:rPr>
          <w:rFonts w:ascii="宋体" w:hAnsi="宋体" w:cs="宋体" w:eastAsia="宋体" w:hint="default"/>
        </w:rPr>
        <w:t>2</w:t>
      </w:r>
      <w:r>
        <w:rPr/>
        <w:t>）外币财务报表的折算</w:t>
      </w:r>
    </w:p>
    <w:p>
      <w:pPr>
        <w:spacing w:line="240" w:lineRule="auto" w:before="5"/>
        <w:rPr>
          <w:rFonts w:ascii="宋体" w:hAnsi="宋体" w:cs="宋体" w:eastAsia="宋体" w:hint="default"/>
          <w:sz w:val="19"/>
          <w:szCs w:val="19"/>
        </w:rPr>
      </w:pPr>
    </w:p>
    <w:p>
      <w:pPr>
        <w:pStyle w:val="BodyText"/>
        <w:spacing w:line="273" w:lineRule="auto"/>
        <w:ind w:right="0"/>
        <w:jc w:val="left"/>
      </w:pPr>
      <w:r>
        <w:rPr>
          <w:spacing w:val="-1"/>
        </w:rPr>
        <w:t>资产负债表日，对境外子公司外币财务报表进行折算时，资产负债表中的资产和负债项目，采用资产负债</w:t>
      </w:r>
      <w:r>
        <w:rPr>
          <w:spacing w:val="-83"/>
        </w:rPr>
        <w:t> </w:t>
      </w:r>
      <w:r>
        <w:rPr>
          <w:spacing w:val="-83"/>
        </w:rPr>
      </w:r>
      <w:r>
        <w:rPr/>
        <w:t>表日的即期汇率折算，股东权益项目除“未分配利润”外，其他项目采用发生日的即期汇率折算。</w:t>
      </w:r>
    </w:p>
    <w:p>
      <w:pPr>
        <w:spacing w:line="240" w:lineRule="auto" w:before="2"/>
        <w:rPr>
          <w:rFonts w:ascii="宋体" w:hAnsi="宋体" w:cs="宋体" w:eastAsia="宋体" w:hint="default"/>
          <w:sz w:val="17"/>
          <w:szCs w:val="17"/>
        </w:rPr>
      </w:pPr>
    </w:p>
    <w:p>
      <w:pPr>
        <w:pStyle w:val="BodyText"/>
        <w:spacing w:line="240" w:lineRule="auto"/>
        <w:ind w:left="1134" w:right="0"/>
        <w:jc w:val="left"/>
      </w:pPr>
      <w:r>
        <w:rPr/>
        <w:t>利润表中的收入和费用项目，采用按照系统合理的方法确定的、与交易发生日即期汇率近似的汇率折算。</w:t>
      </w:r>
    </w:p>
    <w:p>
      <w:pPr>
        <w:spacing w:line="240" w:lineRule="auto" w:before="5"/>
        <w:rPr>
          <w:rFonts w:ascii="宋体" w:hAnsi="宋体" w:cs="宋体" w:eastAsia="宋体" w:hint="default"/>
          <w:sz w:val="19"/>
          <w:szCs w:val="19"/>
        </w:rPr>
      </w:pPr>
    </w:p>
    <w:p>
      <w:pPr>
        <w:pStyle w:val="BodyText"/>
        <w:spacing w:line="273" w:lineRule="auto"/>
        <w:ind w:left="1134" w:right="0"/>
        <w:jc w:val="left"/>
      </w:pPr>
      <w:r>
        <w:rPr>
          <w:spacing w:val="-1"/>
        </w:rPr>
        <w:t>现金流量表所有项目均按照系统合理的方法确定的、与现金流量发生日即期汇率近似的汇率折算。汇率变</w:t>
      </w:r>
      <w:r>
        <w:rPr>
          <w:spacing w:val="-81"/>
        </w:rPr>
        <w:t> </w:t>
      </w:r>
      <w:r>
        <w:rPr>
          <w:spacing w:val="-81"/>
        </w:rPr>
      </w:r>
      <w:r>
        <w:rPr>
          <w:spacing w:val="-1"/>
        </w:rPr>
        <w:t>动对现金的影响额作为调节项目，在现金流量表中单独列示“汇率变动对现金及现金等价物的影响”项目</w:t>
      </w:r>
    </w:p>
    <w:p>
      <w:pPr>
        <w:spacing w:after="0" w:line="273"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460" w:lineRule="auto" w:before="35"/>
        <w:ind w:right="1933"/>
        <w:jc w:val="left"/>
      </w:pPr>
      <w:r>
        <w:rPr/>
        <w:t>反映。 由于财务报表折算而产生的差额，在资产负债表股东权益项目下的“其他综合收益”项目反映。</w:t>
      </w:r>
    </w:p>
    <w:p>
      <w:pPr>
        <w:pStyle w:val="BodyText"/>
        <w:spacing w:line="273" w:lineRule="auto" w:before="60"/>
        <w:ind w:right="1131"/>
        <w:jc w:val="both"/>
      </w:pPr>
      <w:r>
        <w:rPr>
          <w:spacing w:val="-1"/>
        </w:rPr>
        <w:t>处置境外经营并丧失控制权时，将资产负债表中股东权益项目下列示的、与该境外经营相关的外币报表折</w:t>
      </w:r>
      <w:r>
        <w:rPr>
          <w:spacing w:val="-81"/>
        </w:rPr>
        <w:t> </w:t>
      </w:r>
      <w:r>
        <w:rPr>
          <w:spacing w:val="-81"/>
        </w:rPr>
      </w:r>
      <w:r>
        <w:rPr/>
        <w:t>算差额，全部或按处置该境外经营的比例转入处置当期损益。</w:t>
      </w:r>
    </w:p>
    <w:p>
      <w:pPr>
        <w:spacing w:line="240" w:lineRule="auto" w:before="8"/>
        <w:rPr>
          <w:rFonts w:ascii="宋体" w:hAnsi="宋体" w:cs="宋体" w:eastAsia="宋体" w:hint="default"/>
          <w:sz w:val="23"/>
          <w:szCs w:val="23"/>
        </w:rPr>
      </w:pPr>
    </w:p>
    <w:p>
      <w:pPr>
        <w:pStyle w:val="BodyText"/>
        <w:spacing w:line="535" w:lineRule="auto"/>
        <w:ind w:right="2563"/>
        <w:jc w:val="left"/>
      </w:pPr>
      <w:bookmarkStart w:name="10、金融工具" w:id="173"/>
      <w:bookmarkEnd w:id="173"/>
      <w:r>
        <w:rPr/>
      </w:r>
      <w:r>
        <w:rPr>
          <w:rFonts w:ascii="宋体" w:hAnsi="宋体" w:cs="宋体" w:eastAsia="宋体" w:hint="default"/>
          <w:b/>
          <w:bCs/>
        </w:rPr>
        <w:t>10</w:t>
      </w:r>
      <w:r>
        <w:rPr>
          <w:rFonts w:ascii="宋体" w:hAnsi="宋体" w:cs="宋体" w:eastAsia="宋体" w:hint="default"/>
          <w:b/>
          <w:bCs/>
        </w:rPr>
        <w:t>、金融工具</w:t>
      </w:r>
      <w:r>
        <w:rPr>
          <w:rFonts w:ascii="宋体" w:hAnsi="宋体" w:cs="宋体" w:eastAsia="宋体" w:hint="default"/>
          <w:b/>
          <w:bCs/>
          <w:w w:val="99"/>
        </w:rPr>
        <w:t> </w:t>
      </w:r>
      <w:r>
        <w:rPr/>
        <w:t>金融工具是指形成一个企业的金融资产，并形成其他单位的金融负债或权益工具的合同。</w:t>
      </w:r>
    </w:p>
    <w:p>
      <w:pPr>
        <w:pStyle w:val="BodyText"/>
        <w:spacing w:line="460" w:lineRule="auto"/>
        <w:ind w:right="4453"/>
        <w:jc w:val="left"/>
      </w:pPr>
      <w:r>
        <w:rPr/>
        <w:t>（</w:t>
      </w:r>
      <w:r>
        <w:rPr>
          <w:rFonts w:ascii="宋体" w:hAnsi="宋体" w:cs="宋体" w:eastAsia="宋体" w:hint="default"/>
        </w:rPr>
        <w:t>1</w:t>
      </w:r>
      <w:r>
        <w:rPr/>
        <w:t>）金融工具的确认和终止确认 本集团于成为金融工具合同的一方时确认一项金融资产或金融负债。 金融资产满足下列条件之一的，终止确认：</w:t>
      </w:r>
    </w:p>
    <w:p>
      <w:pPr>
        <w:pStyle w:val="BodyText"/>
        <w:spacing w:line="240" w:lineRule="auto" w:before="60"/>
        <w:ind w:left="1134" w:right="0"/>
        <w:jc w:val="both"/>
      </w:pPr>
      <w:r>
        <w:rPr/>
        <w:t>①收取该金融资产现金流量的合同权利终止；</w:t>
      </w:r>
    </w:p>
    <w:p>
      <w:pPr>
        <w:spacing w:line="240" w:lineRule="auto" w:before="5"/>
        <w:rPr>
          <w:rFonts w:ascii="宋体" w:hAnsi="宋体" w:cs="宋体" w:eastAsia="宋体" w:hint="default"/>
          <w:sz w:val="19"/>
          <w:szCs w:val="19"/>
        </w:rPr>
      </w:pPr>
    </w:p>
    <w:p>
      <w:pPr>
        <w:pStyle w:val="BodyText"/>
        <w:spacing w:line="240" w:lineRule="auto"/>
        <w:ind w:left="1134" w:right="0"/>
        <w:jc w:val="both"/>
      </w:pPr>
      <w:r>
        <w:rPr/>
        <w:t>②该金融资产已转移，且符合下述金融资产转移的终止确认条件。</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金融负债的现时义务全部或部分已经解除的，终止确认该金融负债或其一部分。本集团（债务人）与债权</w:t>
      </w:r>
      <w:r>
        <w:rPr>
          <w:spacing w:val="-86"/>
        </w:rPr>
        <w:t> </w:t>
      </w:r>
      <w:r>
        <w:rPr>
          <w:spacing w:val="-86"/>
        </w:rPr>
      </w:r>
      <w:r>
        <w:rPr>
          <w:spacing w:val="-1"/>
        </w:rPr>
        <w:t>人之间签订协议，以承担新金融负债方式替换现存金融负债，且新金融负债与现存金融负债的合同条款实</w:t>
      </w:r>
      <w:r>
        <w:rPr>
          <w:spacing w:val="-81"/>
        </w:rPr>
        <w:t> </w:t>
      </w:r>
      <w:r>
        <w:rPr>
          <w:spacing w:val="-81"/>
        </w:rPr>
      </w:r>
      <w:r>
        <w:rPr/>
        <w:t>质上不同的，终止确认现存金融负债，并同时确认新金融负债。</w:t>
      </w:r>
    </w:p>
    <w:p>
      <w:pPr>
        <w:spacing w:line="240" w:lineRule="auto" w:before="2"/>
        <w:rPr>
          <w:rFonts w:ascii="宋体" w:hAnsi="宋体" w:cs="宋体" w:eastAsia="宋体" w:hint="default"/>
          <w:sz w:val="17"/>
          <w:szCs w:val="17"/>
        </w:rPr>
      </w:pPr>
    </w:p>
    <w:p>
      <w:pPr>
        <w:pStyle w:val="BodyText"/>
        <w:spacing w:line="240" w:lineRule="auto"/>
        <w:ind w:right="0"/>
        <w:jc w:val="both"/>
      </w:pPr>
      <w:r>
        <w:rPr/>
        <w:t>以常规方式买卖金融资产，按交易日进行会计确认和终止确认。</w:t>
      </w:r>
    </w:p>
    <w:p>
      <w:pPr>
        <w:spacing w:line="240" w:lineRule="auto" w:before="5"/>
        <w:rPr>
          <w:rFonts w:ascii="宋体" w:hAnsi="宋体" w:cs="宋体" w:eastAsia="宋体" w:hint="default"/>
          <w:sz w:val="19"/>
          <w:szCs w:val="19"/>
        </w:rPr>
      </w:pPr>
    </w:p>
    <w:p>
      <w:pPr>
        <w:pStyle w:val="BodyText"/>
        <w:spacing w:line="240" w:lineRule="auto"/>
        <w:ind w:right="0"/>
        <w:jc w:val="both"/>
      </w:pPr>
      <w:r>
        <w:rPr/>
        <w:t>（</w:t>
      </w:r>
      <w:r>
        <w:rPr>
          <w:rFonts w:ascii="宋体" w:hAnsi="宋体" w:cs="宋体" w:eastAsia="宋体" w:hint="default"/>
        </w:rPr>
        <w:t>2</w:t>
      </w:r>
      <w:r>
        <w:rPr/>
        <w:t>）金融资产分类和计量</w:t>
      </w:r>
    </w:p>
    <w:p>
      <w:pPr>
        <w:spacing w:line="240" w:lineRule="auto" w:before="5"/>
        <w:rPr>
          <w:rFonts w:ascii="宋体" w:hAnsi="宋体" w:cs="宋体" w:eastAsia="宋体" w:hint="default"/>
          <w:sz w:val="19"/>
          <w:szCs w:val="19"/>
        </w:rPr>
      </w:pPr>
    </w:p>
    <w:p>
      <w:pPr>
        <w:pStyle w:val="BodyText"/>
        <w:spacing w:line="273" w:lineRule="auto"/>
        <w:ind w:left="1134" w:right="1131"/>
        <w:jc w:val="both"/>
      </w:pPr>
      <w:r>
        <w:rPr>
          <w:spacing w:val="-1"/>
        </w:rPr>
        <w:t>本集团的金融资产于初始确认时分为以下四类：以公允价值计量且其变动计入当期损益的金融资产、持有</w:t>
      </w:r>
      <w:r>
        <w:rPr>
          <w:spacing w:val="-81"/>
        </w:rPr>
        <w:t> </w:t>
      </w:r>
      <w:r>
        <w:rPr>
          <w:spacing w:val="-81"/>
        </w:rPr>
      </w:r>
      <w:r>
        <w:rPr>
          <w:spacing w:val="-1"/>
        </w:rPr>
        <w:t>至到期投资、贷款和应收款项、可供出售金融资产。金融资产在初始确认时以公允价值计量。对于以公允</w:t>
      </w:r>
      <w:r>
        <w:rPr>
          <w:spacing w:val="-86"/>
        </w:rPr>
        <w:t> </w:t>
      </w:r>
      <w:r>
        <w:rPr>
          <w:spacing w:val="-86"/>
        </w:rPr>
      </w:r>
      <w:r>
        <w:rPr>
          <w:spacing w:val="-1"/>
        </w:rPr>
        <w:t>价值计量且其变动计入当期损益的金融资产，相关交易费用直接计入当期损益，其他类别的金融资产相关</w:t>
      </w:r>
      <w:r>
        <w:rPr>
          <w:spacing w:val="-81"/>
        </w:rPr>
        <w:t> </w:t>
      </w:r>
      <w:r>
        <w:rPr>
          <w:spacing w:val="-81"/>
        </w:rPr>
      </w:r>
      <w:r>
        <w:rPr/>
        <w:t>交易费用计入其初始确认金额。</w:t>
      </w:r>
    </w:p>
    <w:p>
      <w:pPr>
        <w:spacing w:line="240" w:lineRule="auto" w:before="1"/>
        <w:rPr>
          <w:rFonts w:ascii="宋体" w:hAnsi="宋体" w:cs="宋体" w:eastAsia="宋体" w:hint="default"/>
          <w:sz w:val="17"/>
          <w:szCs w:val="17"/>
        </w:rPr>
      </w:pPr>
    </w:p>
    <w:p>
      <w:pPr>
        <w:pStyle w:val="BodyText"/>
        <w:spacing w:line="240" w:lineRule="auto"/>
        <w:ind w:left="1134" w:right="0"/>
        <w:jc w:val="both"/>
      </w:pPr>
      <w:r>
        <w:rPr/>
        <w:t>以公允价值计量且其变动计入当期损益的金融资产</w:t>
      </w:r>
    </w:p>
    <w:p>
      <w:pPr>
        <w:spacing w:line="240" w:lineRule="auto" w:before="5"/>
        <w:rPr>
          <w:rFonts w:ascii="宋体" w:hAnsi="宋体" w:cs="宋体" w:eastAsia="宋体" w:hint="default"/>
          <w:sz w:val="19"/>
          <w:szCs w:val="19"/>
        </w:rPr>
      </w:pPr>
    </w:p>
    <w:p>
      <w:pPr>
        <w:pStyle w:val="BodyText"/>
        <w:spacing w:line="273" w:lineRule="auto"/>
        <w:ind w:left="1134" w:right="1130"/>
        <w:jc w:val="both"/>
      </w:pPr>
      <w:r>
        <w:rPr>
          <w:spacing w:val="-1"/>
        </w:rPr>
        <w:t>以公允价值计量且其变动计入当期损益的金融资产，包括交易性金融资产和初始确认时指定为以公允价值</w:t>
      </w:r>
      <w:r>
        <w:rPr>
          <w:spacing w:val="-80"/>
        </w:rPr>
        <w:t> </w:t>
      </w:r>
      <w:r>
        <w:rPr>
          <w:spacing w:val="-80"/>
        </w:rPr>
      </w:r>
      <w:r>
        <w:rPr>
          <w:spacing w:val="-1"/>
        </w:rPr>
        <w:t>计量且其变动计入当期损益的金融资产。对于此类金融资产，采用公允价值进行后续计量，公允价值变动</w:t>
      </w:r>
      <w:r>
        <w:rPr>
          <w:spacing w:val="-83"/>
        </w:rPr>
        <w:t> </w:t>
      </w:r>
      <w:r>
        <w:rPr>
          <w:spacing w:val="-83"/>
        </w:rPr>
      </w:r>
      <w:r>
        <w:rPr/>
        <w:t>形成的利得或损失以及与该等金融资产相关的股利和利息收入计入当期损益。</w:t>
      </w:r>
    </w:p>
    <w:p>
      <w:pPr>
        <w:spacing w:line="240" w:lineRule="auto" w:before="1"/>
        <w:rPr>
          <w:rFonts w:ascii="宋体" w:hAnsi="宋体" w:cs="宋体" w:eastAsia="宋体" w:hint="default"/>
          <w:sz w:val="17"/>
          <w:szCs w:val="17"/>
        </w:rPr>
      </w:pPr>
    </w:p>
    <w:p>
      <w:pPr>
        <w:pStyle w:val="BodyText"/>
        <w:spacing w:line="240" w:lineRule="auto"/>
        <w:ind w:right="0"/>
        <w:jc w:val="both"/>
      </w:pPr>
      <w:r>
        <w:rPr/>
        <w:t>持有至到期投资</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持有至到期投资，是指到期日固定、回收金额固定或可确定，且本集团有明确意图和能力持有至到期的非</w:t>
      </w:r>
      <w:r>
        <w:rPr>
          <w:spacing w:val="-83"/>
        </w:rPr>
        <w:t> </w:t>
      </w:r>
      <w:r>
        <w:rPr>
          <w:spacing w:val="-83"/>
        </w:rPr>
      </w:r>
      <w:r>
        <w:rPr>
          <w:spacing w:val="-1"/>
        </w:rPr>
        <w:t>衍生金融资产。持有至到期投资采用实际利率法，按照摊余成本进行后续计量，其终止确认、发生减值或</w:t>
      </w:r>
      <w:r>
        <w:rPr>
          <w:spacing w:val="-86"/>
        </w:rPr>
        <w:t> </w:t>
      </w:r>
      <w:r>
        <w:rPr>
          <w:spacing w:val="-86"/>
        </w:rPr>
      </w:r>
      <w:r>
        <w:rPr/>
        <w:t>摊销产生的利得或损失，均计入当期损益。</w:t>
      </w:r>
    </w:p>
    <w:p>
      <w:pPr>
        <w:spacing w:line="240" w:lineRule="auto" w:before="2"/>
        <w:rPr>
          <w:rFonts w:ascii="宋体" w:hAnsi="宋体" w:cs="宋体" w:eastAsia="宋体" w:hint="default"/>
          <w:sz w:val="17"/>
          <w:szCs w:val="17"/>
        </w:rPr>
      </w:pPr>
    </w:p>
    <w:p>
      <w:pPr>
        <w:pStyle w:val="BodyText"/>
        <w:spacing w:line="240" w:lineRule="auto"/>
        <w:ind w:right="0"/>
        <w:jc w:val="both"/>
      </w:pPr>
      <w:r>
        <w:rPr/>
        <w:t>应收款项</w:t>
      </w:r>
    </w:p>
    <w:p>
      <w:pPr>
        <w:spacing w:line="240" w:lineRule="auto" w:before="5"/>
        <w:rPr>
          <w:rFonts w:ascii="宋体" w:hAnsi="宋体" w:cs="宋体" w:eastAsia="宋体" w:hint="default"/>
          <w:sz w:val="19"/>
          <w:szCs w:val="19"/>
        </w:rPr>
      </w:pPr>
    </w:p>
    <w:p>
      <w:pPr>
        <w:pStyle w:val="BodyText"/>
        <w:spacing w:line="273" w:lineRule="auto"/>
        <w:ind w:right="1130"/>
        <w:jc w:val="both"/>
      </w:pPr>
      <w:r>
        <w:rPr>
          <w:spacing w:val="-1"/>
        </w:rPr>
        <w:t>应收款项，是指在活跃市场中没有报价、回收金额固定或可确定的非衍生金融资产，包括应收账款和其他</w:t>
      </w:r>
      <w:r>
        <w:rPr>
          <w:spacing w:val="-82"/>
        </w:rPr>
        <w:t> </w:t>
      </w:r>
      <w:r>
        <w:rPr>
          <w:spacing w:val="-82"/>
        </w:rPr>
      </w:r>
      <w:r>
        <w:rPr/>
        <w:t>应收款等（第十节</w:t>
      </w:r>
      <w:r>
        <w:rPr>
          <w:spacing w:val="72"/>
        </w:rPr>
        <w:t> </w:t>
      </w:r>
      <w:r>
        <w:rPr/>
        <w:t>五、</w:t>
      </w:r>
      <w:r>
        <w:rPr>
          <w:rFonts w:ascii="宋体" w:hAnsi="宋体" w:cs="宋体" w:eastAsia="宋体" w:hint="default"/>
        </w:rPr>
        <w:t>11</w:t>
      </w:r>
      <w:r>
        <w:rPr/>
        <w:t>）。应收款项采用实际利率法，按摊余成本进行后续计量，在终止确认、发生</w:t>
      </w:r>
    </w:p>
    <w:p>
      <w:pPr>
        <w:spacing w:after="0" w:line="273"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460" w:lineRule="auto" w:before="35"/>
        <w:ind w:right="6133"/>
        <w:jc w:val="left"/>
      </w:pPr>
      <w:r>
        <w:rPr/>
        <w:t>减值或摊销时产生的利得或损失，计入当期损益。 可供出售金融资产</w:t>
      </w:r>
    </w:p>
    <w:p>
      <w:pPr>
        <w:pStyle w:val="BodyText"/>
        <w:spacing w:line="273" w:lineRule="auto" w:before="60"/>
        <w:ind w:right="1131"/>
        <w:jc w:val="both"/>
      </w:pPr>
      <w:r>
        <w:rPr>
          <w:spacing w:val="-1"/>
        </w:rPr>
        <w:t>可供出售金融资产，是指初始确认时即指定为可供出售的非衍生金融资产，以及除上述金融资产类别以外</w:t>
      </w:r>
      <w:r>
        <w:rPr>
          <w:spacing w:val="-81"/>
        </w:rPr>
        <w:t> </w:t>
      </w:r>
      <w:r>
        <w:rPr>
          <w:spacing w:val="-81"/>
        </w:rPr>
      </w:r>
      <w:r>
        <w:rPr>
          <w:spacing w:val="-1"/>
        </w:rPr>
        <w:t>的金融资产。可供出售金融资产采用公允价值进行后续计量，其折溢价采用实际利率法摊销并确认为利息</w:t>
      </w:r>
      <w:r>
        <w:rPr>
          <w:spacing w:val="-81"/>
        </w:rPr>
        <w:t> </w:t>
      </w:r>
      <w:r>
        <w:rPr>
          <w:spacing w:val="-81"/>
        </w:rPr>
      </w:r>
      <w:r>
        <w:rPr>
          <w:spacing w:val="-1"/>
        </w:rPr>
        <w:t>收入。除减值损失及外币货币性金融资产的汇兑差额确认为当期损益外，可供出售金融资产的公允价值变</w:t>
      </w:r>
      <w:r>
        <w:rPr>
          <w:spacing w:val="-81"/>
        </w:rPr>
        <w:t> </w:t>
      </w:r>
      <w:r>
        <w:rPr>
          <w:spacing w:val="-81"/>
        </w:rPr>
      </w:r>
      <w:r>
        <w:rPr>
          <w:spacing w:val="-1"/>
        </w:rPr>
        <w:t>动确认为其他综合收益，在该金融资产终止确认时转出，计入当期损益。与可供出售金融资产相关的股利</w:t>
      </w:r>
      <w:r>
        <w:rPr>
          <w:spacing w:val="-83"/>
        </w:rPr>
        <w:t> </w:t>
      </w:r>
      <w:r>
        <w:rPr>
          <w:spacing w:val="-83"/>
        </w:rPr>
      </w:r>
      <w:r>
        <w:rPr/>
        <w:t>或利息收入，计入当期损益。</w:t>
      </w:r>
    </w:p>
    <w:p>
      <w:pPr>
        <w:spacing w:line="240" w:lineRule="auto" w:before="1"/>
        <w:rPr>
          <w:rFonts w:ascii="宋体" w:hAnsi="宋体" w:cs="宋体" w:eastAsia="宋体" w:hint="default"/>
          <w:sz w:val="17"/>
          <w:szCs w:val="17"/>
        </w:rPr>
      </w:pPr>
    </w:p>
    <w:p>
      <w:pPr>
        <w:pStyle w:val="BodyText"/>
        <w:spacing w:line="273" w:lineRule="auto"/>
        <w:ind w:right="1132"/>
        <w:jc w:val="both"/>
      </w:pPr>
      <w:r>
        <w:rPr>
          <w:spacing w:val="-1"/>
        </w:rPr>
        <w:t>对于在活跃市场中没有报价且其公允价值不能可靠计量的权益工具投资，以及与该权益工具挂钩并须通过</w:t>
      </w:r>
      <w:r>
        <w:rPr>
          <w:spacing w:val="-81"/>
        </w:rPr>
        <w:t> </w:t>
      </w:r>
      <w:r>
        <w:rPr>
          <w:spacing w:val="-81"/>
        </w:rPr>
      </w:r>
      <w:r>
        <w:rPr/>
        <w:t>交付该权益工具结算的衍生金融资产，按成本计量。</w:t>
      </w:r>
    </w:p>
    <w:p>
      <w:pPr>
        <w:spacing w:line="240" w:lineRule="auto" w:before="1"/>
        <w:rPr>
          <w:rFonts w:ascii="宋体" w:hAnsi="宋体" w:cs="宋体" w:eastAsia="宋体" w:hint="default"/>
          <w:sz w:val="17"/>
          <w:szCs w:val="17"/>
        </w:rPr>
      </w:pPr>
    </w:p>
    <w:p>
      <w:pPr>
        <w:pStyle w:val="BodyText"/>
        <w:spacing w:line="240" w:lineRule="auto"/>
        <w:ind w:right="0"/>
        <w:jc w:val="both"/>
      </w:pPr>
      <w:r>
        <w:rPr/>
        <w:t>（</w:t>
      </w:r>
      <w:r>
        <w:rPr>
          <w:rFonts w:ascii="宋体" w:hAnsi="宋体" w:cs="宋体" w:eastAsia="宋体" w:hint="default"/>
        </w:rPr>
        <w:t>3</w:t>
      </w:r>
      <w:r>
        <w:rPr/>
        <w:t>）金融负债分类和计量</w:t>
      </w:r>
    </w:p>
    <w:p>
      <w:pPr>
        <w:spacing w:line="240" w:lineRule="auto" w:before="5"/>
        <w:rPr>
          <w:rFonts w:ascii="宋体" w:hAnsi="宋体" w:cs="宋体" w:eastAsia="宋体" w:hint="default"/>
          <w:sz w:val="19"/>
          <w:szCs w:val="19"/>
        </w:rPr>
      </w:pPr>
    </w:p>
    <w:p>
      <w:pPr>
        <w:pStyle w:val="BodyText"/>
        <w:spacing w:line="273" w:lineRule="auto"/>
        <w:ind w:left="1134" w:right="1131"/>
        <w:jc w:val="both"/>
      </w:pPr>
      <w:r>
        <w:rPr>
          <w:spacing w:val="-1"/>
        </w:rPr>
        <w:t>本集团的金融负债于初始确认时分类为：以公允价值计量且其变动计入当期损益的金融负债、其他金融负</w:t>
      </w:r>
      <w:r>
        <w:rPr>
          <w:spacing w:val="-81"/>
        </w:rPr>
        <w:t> </w:t>
      </w:r>
      <w:r>
        <w:rPr>
          <w:spacing w:val="-81"/>
        </w:rPr>
      </w:r>
      <w:r>
        <w:rPr>
          <w:spacing w:val="-1"/>
        </w:rPr>
        <w:t>债。对于未划分为以公允价值计量且其变动计入当期损益的金融负债的，相关交易费用计入其初始确认金</w:t>
      </w:r>
      <w:r>
        <w:rPr>
          <w:spacing w:val="-81"/>
        </w:rPr>
        <w:t> </w:t>
      </w:r>
      <w:r>
        <w:rPr>
          <w:spacing w:val="-81"/>
        </w:rPr>
      </w:r>
      <w:r>
        <w:rPr/>
        <w:t>额。</w:t>
      </w:r>
    </w:p>
    <w:p>
      <w:pPr>
        <w:spacing w:line="240" w:lineRule="auto" w:before="1"/>
        <w:rPr>
          <w:rFonts w:ascii="宋体" w:hAnsi="宋体" w:cs="宋体" w:eastAsia="宋体" w:hint="default"/>
          <w:sz w:val="17"/>
          <w:szCs w:val="17"/>
        </w:rPr>
      </w:pPr>
    </w:p>
    <w:p>
      <w:pPr>
        <w:pStyle w:val="BodyText"/>
        <w:spacing w:line="240" w:lineRule="auto"/>
        <w:ind w:left="1134" w:right="0"/>
        <w:jc w:val="both"/>
      </w:pPr>
      <w:r>
        <w:rPr/>
        <w:t>以公允价值计量且其变动计入当期损益的金融负债</w:t>
      </w:r>
    </w:p>
    <w:p>
      <w:pPr>
        <w:spacing w:line="240" w:lineRule="auto" w:before="5"/>
        <w:rPr>
          <w:rFonts w:ascii="宋体" w:hAnsi="宋体" w:cs="宋体" w:eastAsia="宋体" w:hint="default"/>
          <w:sz w:val="19"/>
          <w:szCs w:val="19"/>
        </w:rPr>
      </w:pPr>
    </w:p>
    <w:p>
      <w:pPr>
        <w:pStyle w:val="BodyText"/>
        <w:spacing w:line="273" w:lineRule="auto"/>
        <w:ind w:left="1134" w:right="1131"/>
        <w:jc w:val="both"/>
      </w:pPr>
      <w:r>
        <w:rPr>
          <w:spacing w:val="-1"/>
        </w:rPr>
        <w:t>以公允价值计量且其变动计入当期损益的金融负债，包括交易性金融负债和初始确认时指定为以公允价值</w:t>
      </w:r>
      <w:r>
        <w:rPr>
          <w:spacing w:val="-81"/>
        </w:rPr>
        <w:t> </w:t>
      </w:r>
      <w:r>
        <w:rPr>
          <w:spacing w:val="-81"/>
        </w:rPr>
      </w:r>
      <w:r>
        <w:rPr>
          <w:spacing w:val="-1"/>
        </w:rPr>
        <w:t>计量且其变动计入当期损益的金融负债。对于此类金融负债，按照公允价值进行后续计量，公允价值变动</w:t>
      </w:r>
      <w:r>
        <w:rPr>
          <w:spacing w:val="-83"/>
        </w:rPr>
        <w:t> </w:t>
      </w:r>
      <w:r>
        <w:rPr>
          <w:spacing w:val="-83"/>
        </w:rPr>
      </w:r>
      <w:r>
        <w:rPr/>
        <w:t>形成的利得或损失以及与该等金融负债相关的股利和利息支出计入当期损益。</w:t>
      </w:r>
    </w:p>
    <w:p>
      <w:pPr>
        <w:spacing w:line="240" w:lineRule="auto" w:before="2"/>
        <w:rPr>
          <w:rFonts w:ascii="宋体" w:hAnsi="宋体" w:cs="宋体" w:eastAsia="宋体" w:hint="default"/>
          <w:sz w:val="17"/>
          <w:szCs w:val="17"/>
        </w:rPr>
      </w:pPr>
    </w:p>
    <w:p>
      <w:pPr>
        <w:pStyle w:val="BodyText"/>
        <w:spacing w:line="240" w:lineRule="auto"/>
        <w:ind w:right="0"/>
        <w:jc w:val="both"/>
      </w:pPr>
      <w:r>
        <w:rPr/>
        <w:t>其他金融负债</w:t>
      </w:r>
    </w:p>
    <w:p>
      <w:pPr>
        <w:spacing w:line="240" w:lineRule="auto" w:before="5"/>
        <w:rPr>
          <w:rFonts w:ascii="宋体" w:hAnsi="宋体" w:cs="宋体" w:eastAsia="宋体" w:hint="default"/>
          <w:sz w:val="19"/>
          <w:szCs w:val="19"/>
        </w:rPr>
      </w:pPr>
    </w:p>
    <w:p>
      <w:pPr>
        <w:pStyle w:val="BodyText"/>
        <w:spacing w:line="273" w:lineRule="auto"/>
        <w:ind w:right="1132"/>
        <w:jc w:val="both"/>
      </w:pPr>
      <w:r>
        <w:rPr>
          <w:spacing w:val="-1"/>
        </w:rPr>
        <w:t>与在活跃市场中没有报价、公允价值不能可靠计量的权益工具挂钩并须通过交付该权益工具结算的衍生金</w:t>
      </w:r>
      <w:r>
        <w:rPr>
          <w:spacing w:val="-81"/>
        </w:rPr>
        <w:t> </w:t>
      </w:r>
      <w:r>
        <w:rPr>
          <w:spacing w:val="-81"/>
        </w:rPr>
      </w:r>
      <w:r>
        <w:rPr>
          <w:spacing w:val="-1"/>
        </w:rPr>
        <w:t>融负债，按照成本进行后续计量。其他金融负债采用实际利率法，按摊余成本进行后续计量，终止确认或</w:t>
      </w:r>
      <w:r>
        <w:rPr>
          <w:spacing w:val="-86"/>
        </w:rPr>
        <w:t> </w:t>
      </w:r>
      <w:r>
        <w:rPr>
          <w:spacing w:val="-86"/>
        </w:rPr>
      </w:r>
      <w:r>
        <w:rPr/>
        <w:t>摊销产生的利得或损失计入当期损益。</w:t>
      </w:r>
    </w:p>
    <w:p>
      <w:pPr>
        <w:spacing w:line="240" w:lineRule="auto" w:before="1"/>
        <w:rPr>
          <w:rFonts w:ascii="宋体" w:hAnsi="宋体" w:cs="宋体" w:eastAsia="宋体" w:hint="default"/>
          <w:sz w:val="17"/>
          <w:szCs w:val="17"/>
        </w:rPr>
      </w:pPr>
    </w:p>
    <w:p>
      <w:pPr>
        <w:pStyle w:val="BodyText"/>
        <w:spacing w:line="460" w:lineRule="auto"/>
        <w:ind w:right="6763"/>
        <w:jc w:val="left"/>
      </w:pPr>
      <w:r>
        <w:rPr/>
        <w:t>金融负债与权益工具的区分 金融负债，是指符合下列条件之一的负债：</w:t>
      </w:r>
    </w:p>
    <w:p>
      <w:pPr>
        <w:pStyle w:val="BodyText"/>
        <w:spacing w:line="240" w:lineRule="auto" w:before="60"/>
        <w:ind w:right="0"/>
        <w:jc w:val="both"/>
      </w:pPr>
      <w:r>
        <w:rPr/>
        <w:t>①向其他方交付现金或其他金融资产的合同义务。</w:t>
      </w:r>
    </w:p>
    <w:p>
      <w:pPr>
        <w:spacing w:line="240" w:lineRule="auto" w:before="5"/>
        <w:rPr>
          <w:rFonts w:ascii="宋体" w:hAnsi="宋体" w:cs="宋体" w:eastAsia="宋体" w:hint="default"/>
          <w:sz w:val="19"/>
          <w:szCs w:val="19"/>
        </w:rPr>
      </w:pPr>
    </w:p>
    <w:p>
      <w:pPr>
        <w:pStyle w:val="BodyText"/>
        <w:spacing w:line="240" w:lineRule="auto"/>
        <w:ind w:right="0"/>
        <w:jc w:val="both"/>
      </w:pPr>
      <w:r>
        <w:rPr/>
        <w:t>②在潜在不利条件下，与其他方交换金融资产或金融负债的合同义务。</w:t>
      </w:r>
    </w:p>
    <w:p>
      <w:pPr>
        <w:spacing w:line="240" w:lineRule="auto" w:before="5"/>
        <w:rPr>
          <w:rFonts w:ascii="宋体" w:hAnsi="宋体" w:cs="宋体" w:eastAsia="宋体" w:hint="default"/>
          <w:sz w:val="19"/>
          <w:szCs w:val="19"/>
        </w:rPr>
      </w:pPr>
    </w:p>
    <w:p>
      <w:pPr>
        <w:pStyle w:val="BodyText"/>
        <w:spacing w:line="273" w:lineRule="auto"/>
        <w:ind w:right="1132"/>
        <w:jc w:val="both"/>
      </w:pPr>
      <w:r>
        <w:rPr>
          <w:spacing w:val="-1"/>
        </w:rPr>
        <w:t>③将来须用或可用企业自身权益工具进行结算的非衍生工具合同，且企业根据该合同将交付可变数量的自</w:t>
      </w:r>
      <w:r>
        <w:rPr>
          <w:spacing w:val="-81"/>
        </w:rPr>
        <w:t> </w:t>
      </w:r>
      <w:r>
        <w:rPr>
          <w:spacing w:val="-81"/>
        </w:rPr>
      </w:r>
      <w:r>
        <w:rPr/>
        <w:t>身权益工具。</w:t>
      </w:r>
    </w:p>
    <w:p>
      <w:pPr>
        <w:spacing w:line="240" w:lineRule="auto" w:before="1"/>
        <w:rPr>
          <w:rFonts w:ascii="宋体" w:hAnsi="宋体" w:cs="宋体" w:eastAsia="宋体" w:hint="default"/>
          <w:sz w:val="17"/>
          <w:szCs w:val="17"/>
        </w:rPr>
      </w:pPr>
    </w:p>
    <w:p>
      <w:pPr>
        <w:pStyle w:val="BodyText"/>
        <w:spacing w:line="273" w:lineRule="auto"/>
        <w:ind w:right="1132"/>
        <w:jc w:val="both"/>
      </w:pPr>
      <w:r>
        <w:rPr>
          <w:spacing w:val="-1"/>
        </w:rPr>
        <w:t>④将来须用或可用企业自身权益工具进行结算的衍生工具合同，但以固定数量的自身权益工具交换固定金</w:t>
      </w:r>
      <w:r>
        <w:rPr>
          <w:spacing w:val="-81"/>
        </w:rPr>
        <w:t> </w:t>
      </w:r>
      <w:r>
        <w:rPr>
          <w:spacing w:val="-81"/>
        </w:rPr>
      </w:r>
      <w:r>
        <w:rPr/>
        <w:t>额的现金或其他金融资产的衍生工具合同除外。</w:t>
      </w:r>
    </w:p>
    <w:p>
      <w:pPr>
        <w:spacing w:line="240" w:lineRule="auto" w:before="2"/>
        <w:rPr>
          <w:rFonts w:ascii="宋体" w:hAnsi="宋体" w:cs="宋体" w:eastAsia="宋体" w:hint="default"/>
          <w:sz w:val="17"/>
          <w:szCs w:val="17"/>
        </w:rPr>
      </w:pPr>
    </w:p>
    <w:p>
      <w:pPr>
        <w:pStyle w:val="BodyText"/>
        <w:spacing w:line="240" w:lineRule="auto"/>
        <w:ind w:left="1134" w:right="0"/>
        <w:jc w:val="both"/>
      </w:pPr>
      <w:r>
        <w:rPr/>
        <w:t>权益工具，是指能证明拥有某个企业在扣除所有负债后的资产中剩余权益的合同。</w:t>
      </w:r>
    </w:p>
    <w:p>
      <w:pPr>
        <w:spacing w:line="240" w:lineRule="auto" w:before="5"/>
        <w:rPr>
          <w:rFonts w:ascii="宋体" w:hAnsi="宋体" w:cs="宋体" w:eastAsia="宋体" w:hint="default"/>
          <w:sz w:val="19"/>
          <w:szCs w:val="19"/>
        </w:rPr>
      </w:pPr>
    </w:p>
    <w:p>
      <w:pPr>
        <w:pStyle w:val="BodyText"/>
        <w:spacing w:line="273" w:lineRule="auto"/>
        <w:ind w:right="1132"/>
        <w:jc w:val="both"/>
      </w:pPr>
      <w:r>
        <w:rPr>
          <w:spacing w:val="-1"/>
        </w:rPr>
        <w:t>如果本集团不能无条件地避免以交付现金或其他金融资产来履行一项合同义务，则该合同义务符合金融负</w:t>
      </w:r>
      <w:r>
        <w:rPr>
          <w:spacing w:val="-81"/>
        </w:rPr>
        <w:t> </w:t>
      </w:r>
      <w:r>
        <w:rPr>
          <w:spacing w:val="-81"/>
        </w:rPr>
      </w:r>
      <w:r>
        <w:rPr/>
        <w:t>债的定义。</w:t>
      </w:r>
    </w:p>
    <w:p>
      <w:pPr>
        <w:spacing w:after="0" w:line="273"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73" w:lineRule="auto" w:before="35"/>
        <w:ind w:right="1110"/>
        <w:jc w:val="both"/>
      </w:pPr>
      <w:r>
        <w:rPr>
          <w:spacing w:val="-1"/>
        </w:rPr>
        <w:t>如果一项金融工具须用或可用本集团自身权益工具进行结算，需要考虑用于结算该工具的本集团自身权益</w:t>
      </w:r>
      <w:r>
        <w:rPr>
          <w:spacing w:val="-81"/>
        </w:rPr>
        <w:t> </w:t>
      </w:r>
      <w:r>
        <w:rPr>
          <w:spacing w:val="-81"/>
        </w:rPr>
      </w:r>
      <w:r>
        <w:rPr>
          <w:spacing w:val="-1"/>
        </w:rPr>
        <w:t>工具，是作为现金或其他金融资产的替代品，还是为了使该工具持有方享有在发行方扣除所有负债后的资</w:t>
      </w:r>
      <w:r>
        <w:rPr>
          <w:spacing w:val="-81"/>
        </w:rPr>
        <w:t> </w:t>
      </w:r>
      <w:r>
        <w:rPr>
          <w:spacing w:val="-81"/>
        </w:rPr>
      </w:r>
      <w:r>
        <w:rPr/>
        <w:t>产中的剩余权益。如果是前者，该工具是本集团的金融负债；如果是后者，该工具是本集团的权益工具。</w:t>
      </w:r>
    </w:p>
    <w:p>
      <w:pPr>
        <w:spacing w:line="240" w:lineRule="auto" w:before="2"/>
        <w:rPr>
          <w:rFonts w:ascii="宋体" w:hAnsi="宋体" w:cs="宋体" w:eastAsia="宋体" w:hint="default"/>
          <w:sz w:val="17"/>
          <w:szCs w:val="17"/>
        </w:rPr>
      </w:pPr>
    </w:p>
    <w:p>
      <w:pPr>
        <w:pStyle w:val="BodyText"/>
        <w:spacing w:line="240" w:lineRule="auto"/>
        <w:ind w:right="0"/>
        <w:jc w:val="both"/>
      </w:pPr>
      <w:r>
        <w:rPr/>
        <w:t>（</w:t>
      </w:r>
      <w:r>
        <w:rPr>
          <w:rFonts w:ascii="宋体" w:hAnsi="宋体" w:cs="宋体" w:eastAsia="宋体" w:hint="default"/>
        </w:rPr>
        <w:t>4</w:t>
      </w:r>
      <w:r>
        <w:rPr/>
        <w:t>）衍生金融工具及嵌入衍生工具</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本集团衍生金融工具包括远期外汇合约、货币汇率互换合同、利率互换合同及外汇期权合同等。初始以衍</w:t>
      </w:r>
      <w:r>
        <w:rPr>
          <w:spacing w:val="-83"/>
        </w:rPr>
        <w:t> </w:t>
      </w:r>
      <w:r>
        <w:rPr>
          <w:spacing w:val="-83"/>
        </w:rPr>
      </w:r>
      <w:r>
        <w:rPr>
          <w:spacing w:val="-1"/>
        </w:rPr>
        <w:t>生交易合同签订当日的公允价值进行计量，并以其公允价值进行后续计量。公允价值为正数的衍生金融工</w:t>
      </w:r>
      <w:r>
        <w:rPr>
          <w:spacing w:val="-81"/>
        </w:rPr>
        <w:t> </w:t>
      </w:r>
      <w:r>
        <w:rPr>
          <w:spacing w:val="-81"/>
        </w:rPr>
      </w:r>
      <w:r>
        <w:rPr>
          <w:spacing w:val="-1"/>
        </w:rPr>
        <w:t>具确认为一项资产，公允价值为负数的确认为一项负债。因公允价值变动而产生的任何不符合套期会计规</w:t>
      </w:r>
      <w:r>
        <w:rPr>
          <w:spacing w:val="-81"/>
        </w:rPr>
        <w:t> </w:t>
      </w:r>
      <w:r>
        <w:rPr>
          <w:spacing w:val="-81"/>
        </w:rPr>
      </w:r>
      <w:r>
        <w:rPr/>
        <w:t>定的利得或损失，直接计入当期损益。</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对包含嵌入衍生工具的混合工具，如未指定为以公允价值计量且其变动计入当期损益的金融资产或金融负</w:t>
      </w:r>
      <w:r>
        <w:rPr>
          <w:spacing w:val="-81"/>
        </w:rPr>
        <w:t> </w:t>
      </w:r>
      <w:r>
        <w:rPr>
          <w:spacing w:val="-81"/>
        </w:rPr>
      </w:r>
      <w:r>
        <w:rPr>
          <w:spacing w:val="-1"/>
        </w:rPr>
        <w:t>债，嵌入衍生工具与该主合同在经济特征及风险方面不存在紧密关系，且与嵌入衍生工具条件相同，单独</w:t>
      </w:r>
      <w:r>
        <w:rPr>
          <w:spacing w:val="-83"/>
        </w:rPr>
        <w:t> </w:t>
      </w:r>
      <w:r>
        <w:rPr>
          <w:spacing w:val="-83"/>
        </w:rPr>
      </w:r>
      <w:r>
        <w:rPr>
          <w:spacing w:val="-1"/>
        </w:rPr>
        <w:t>存在的工具符合衍生工具定义的，嵌入衍生工具从混合工具中分拆，作为单独的衍生金融工具处理。如果</w:t>
      </w:r>
      <w:r>
        <w:rPr>
          <w:spacing w:val="-83"/>
        </w:rPr>
        <w:t> </w:t>
      </w:r>
      <w:r>
        <w:rPr>
          <w:spacing w:val="-83"/>
        </w:rPr>
      </w:r>
      <w:r>
        <w:rPr>
          <w:spacing w:val="-1"/>
        </w:rPr>
        <w:t>无法在取得时或后续的资产负债表日对嵌入衍生工具进行单独计量，则将混合工具整体指定为以公允价值</w:t>
      </w:r>
      <w:r>
        <w:rPr>
          <w:spacing w:val="-81"/>
        </w:rPr>
        <w:t> </w:t>
      </w:r>
      <w:r>
        <w:rPr>
          <w:spacing w:val="-81"/>
        </w:rPr>
      </w:r>
      <w:r>
        <w:rPr/>
        <w:t>计量且其变动计入当期损益的金融资产或金融负债。</w:t>
      </w:r>
    </w:p>
    <w:p>
      <w:pPr>
        <w:spacing w:line="240" w:lineRule="auto" w:before="1"/>
        <w:rPr>
          <w:rFonts w:ascii="宋体" w:hAnsi="宋体" w:cs="宋体" w:eastAsia="宋体" w:hint="default"/>
          <w:sz w:val="17"/>
          <w:szCs w:val="17"/>
        </w:rPr>
      </w:pPr>
    </w:p>
    <w:p>
      <w:pPr>
        <w:pStyle w:val="BodyText"/>
        <w:spacing w:line="240" w:lineRule="auto"/>
        <w:ind w:left="1134" w:right="0"/>
        <w:jc w:val="both"/>
      </w:pPr>
      <w:r>
        <w:rPr/>
        <w:t>（</w:t>
      </w:r>
      <w:r>
        <w:rPr>
          <w:rFonts w:ascii="宋体" w:hAnsi="宋体" w:cs="宋体" w:eastAsia="宋体" w:hint="default"/>
        </w:rPr>
        <w:t>5</w:t>
      </w:r>
      <w:r>
        <w:rPr/>
        <w:t>）金融工具的公允价值</w:t>
      </w:r>
    </w:p>
    <w:p>
      <w:pPr>
        <w:spacing w:line="240" w:lineRule="auto" w:before="5"/>
        <w:rPr>
          <w:rFonts w:ascii="宋体" w:hAnsi="宋体" w:cs="宋体" w:eastAsia="宋体" w:hint="default"/>
          <w:sz w:val="19"/>
          <w:szCs w:val="19"/>
        </w:rPr>
      </w:pPr>
    </w:p>
    <w:p>
      <w:pPr>
        <w:pStyle w:val="BodyText"/>
        <w:spacing w:line="240" w:lineRule="auto"/>
        <w:ind w:left="1134" w:right="0"/>
        <w:jc w:val="both"/>
      </w:pPr>
      <w:r>
        <w:rPr/>
        <w:t>（</w:t>
      </w:r>
      <w:r>
        <w:rPr>
          <w:rFonts w:ascii="宋体" w:hAnsi="宋体" w:cs="宋体" w:eastAsia="宋体" w:hint="default"/>
        </w:rPr>
        <w:t>6</w:t>
      </w:r>
      <w:r>
        <w:rPr/>
        <w:t>）金融资产减值</w:t>
      </w:r>
    </w:p>
    <w:p>
      <w:pPr>
        <w:spacing w:line="240" w:lineRule="auto" w:before="5"/>
        <w:rPr>
          <w:rFonts w:ascii="宋体" w:hAnsi="宋体" w:cs="宋体" w:eastAsia="宋体" w:hint="default"/>
          <w:sz w:val="19"/>
          <w:szCs w:val="19"/>
        </w:rPr>
      </w:pPr>
    </w:p>
    <w:p>
      <w:pPr>
        <w:pStyle w:val="BodyText"/>
        <w:spacing w:line="273" w:lineRule="auto"/>
        <w:ind w:left="1134" w:right="1131"/>
        <w:jc w:val="both"/>
      </w:pPr>
      <w:r>
        <w:rPr>
          <w:spacing w:val="-1"/>
        </w:rPr>
        <w:t>除了以公允价值计量且其变动计入当期损益的金融资产外，本集团于资产负债表日对其他金融资产的账面</w:t>
      </w:r>
      <w:r>
        <w:rPr>
          <w:spacing w:val="-81"/>
        </w:rPr>
        <w:t> </w:t>
      </w:r>
      <w:r>
        <w:rPr>
          <w:spacing w:val="-81"/>
        </w:rPr>
      </w:r>
      <w:r>
        <w:rPr>
          <w:spacing w:val="-1"/>
        </w:rPr>
        <w:t>价值进行检查，有客观证据表明该金融资产发生减值的，计提减值准备。表明金融资产发生减值的客观证</w:t>
      </w:r>
      <w:r>
        <w:rPr>
          <w:spacing w:val="-83"/>
        </w:rPr>
        <w:t> </w:t>
      </w:r>
      <w:r>
        <w:rPr>
          <w:spacing w:val="-83"/>
        </w:rPr>
      </w:r>
      <w:r>
        <w:rPr>
          <w:spacing w:val="-1"/>
        </w:rPr>
        <w:t>据，是指金融资产初始确认后实际发生的、对该金融资产的预计未来现金流量有影响，且企业能够对该影</w:t>
      </w:r>
      <w:r>
        <w:rPr>
          <w:spacing w:val="-83"/>
        </w:rPr>
        <w:t> </w:t>
      </w:r>
      <w:r>
        <w:rPr>
          <w:spacing w:val="-83"/>
        </w:rPr>
      </w:r>
      <w:r>
        <w:rPr/>
        <w:t>响进行可靠计量的事项。</w:t>
      </w:r>
    </w:p>
    <w:p>
      <w:pPr>
        <w:spacing w:line="240" w:lineRule="auto" w:before="1"/>
        <w:rPr>
          <w:rFonts w:ascii="宋体" w:hAnsi="宋体" w:cs="宋体" w:eastAsia="宋体" w:hint="default"/>
          <w:sz w:val="17"/>
          <w:szCs w:val="17"/>
        </w:rPr>
      </w:pPr>
    </w:p>
    <w:p>
      <w:pPr>
        <w:pStyle w:val="BodyText"/>
        <w:spacing w:line="240" w:lineRule="auto"/>
        <w:ind w:left="1134" w:right="0"/>
        <w:jc w:val="both"/>
      </w:pPr>
      <w:r>
        <w:rPr/>
        <w:t>金融资产发生减值的客观证据，包括下列可观察到的情形：</w:t>
      </w:r>
    </w:p>
    <w:p>
      <w:pPr>
        <w:spacing w:line="240" w:lineRule="auto" w:before="5"/>
        <w:rPr>
          <w:rFonts w:ascii="宋体" w:hAnsi="宋体" w:cs="宋体" w:eastAsia="宋体" w:hint="default"/>
          <w:sz w:val="19"/>
          <w:szCs w:val="19"/>
        </w:rPr>
      </w:pPr>
    </w:p>
    <w:p>
      <w:pPr>
        <w:pStyle w:val="BodyText"/>
        <w:spacing w:line="240" w:lineRule="auto"/>
        <w:ind w:right="0"/>
        <w:jc w:val="both"/>
      </w:pPr>
      <w:r>
        <w:rPr/>
        <w:t>①发行方或债务人发生严重财务困难；</w:t>
      </w:r>
    </w:p>
    <w:p>
      <w:pPr>
        <w:spacing w:line="240" w:lineRule="auto" w:before="5"/>
        <w:rPr>
          <w:rFonts w:ascii="宋体" w:hAnsi="宋体" w:cs="宋体" w:eastAsia="宋体" w:hint="default"/>
          <w:sz w:val="19"/>
          <w:szCs w:val="19"/>
        </w:rPr>
      </w:pPr>
    </w:p>
    <w:p>
      <w:pPr>
        <w:pStyle w:val="BodyText"/>
        <w:spacing w:line="240" w:lineRule="auto"/>
        <w:ind w:right="0"/>
        <w:jc w:val="both"/>
      </w:pPr>
      <w:r>
        <w:rPr/>
        <w:t>②债务人违反了合同条款，如偿付利息或本金发生违约或逾期等；</w:t>
      </w:r>
    </w:p>
    <w:p>
      <w:pPr>
        <w:spacing w:line="240" w:lineRule="auto" w:before="5"/>
        <w:rPr>
          <w:rFonts w:ascii="宋体" w:hAnsi="宋体" w:cs="宋体" w:eastAsia="宋体" w:hint="default"/>
          <w:sz w:val="19"/>
          <w:szCs w:val="19"/>
        </w:rPr>
      </w:pPr>
    </w:p>
    <w:p>
      <w:pPr>
        <w:pStyle w:val="BodyText"/>
        <w:spacing w:line="240" w:lineRule="auto"/>
        <w:ind w:right="0"/>
        <w:jc w:val="both"/>
      </w:pPr>
      <w:r>
        <w:rPr/>
        <w:t>③本集团出于经济或法律等方面因素的考虑，对发生财务困难的债务人作出让步；</w:t>
      </w:r>
    </w:p>
    <w:p>
      <w:pPr>
        <w:spacing w:line="240" w:lineRule="auto" w:before="5"/>
        <w:rPr>
          <w:rFonts w:ascii="宋体" w:hAnsi="宋体" w:cs="宋体" w:eastAsia="宋体" w:hint="default"/>
          <w:sz w:val="19"/>
          <w:szCs w:val="19"/>
        </w:rPr>
      </w:pPr>
    </w:p>
    <w:p>
      <w:pPr>
        <w:pStyle w:val="BodyText"/>
        <w:spacing w:line="240" w:lineRule="auto"/>
        <w:ind w:right="0"/>
        <w:jc w:val="both"/>
      </w:pPr>
      <w:r>
        <w:rPr/>
        <w:t>④债务人很可能倒闭或者进行其他财务重组；</w:t>
      </w:r>
    </w:p>
    <w:p>
      <w:pPr>
        <w:spacing w:line="240" w:lineRule="auto" w:before="5"/>
        <w:rPr>
          <w:rFonts w:ascii="宋体" w:hAnsi="宋体" w:cs="宋体" w:eastAsia="宋体" w:hint="default"/>
          <w:sz w:val="19"/>
          <w:szCs w:val="19"/>
        </w:rPr>
      </w:pPr>
    </w:p>
    <w:p>
      <w:pPr>
        <w:pStyle w:val="BodyText"/>
        <w:spacing w:line="240" w:lineRule="auto"/>
        <w:ind w:left="1134" w:right="0"/>
        <w:jc w:val="both"/>
      </w:pPr>
      <w:r>
        <w:rPr/>
        <w:t>⑤因发行方发生重大财务困难，导致金融资产无法在活跃市场继续交易；</w:t>
      </w:r>
    </w:p>
    <w:p>
      <w:pPr>
        <w:spacing w:line="240" w:lineRule="auto" w:before="5"/>
        <w:rPr>
          <w:rFonts w:ascii="宋体" w:hAnsi="宋体" w:cs="宋体" w:eastAsia="宋体" w:hint="default"/>
          <w:sz w:val="19"/>
          <w:szCs w:val="19"/>
        </w:rPr>
      </w:pPr>
    </w:p>
    <w:p>
      <w:pPr>
        <w:pStyle w:val="BodyText"/>
        <w:spacing w:line="273" w:lineRule="auto"/>
        <w:ind w:right="1132"/>
        <w:jc w:val="both"/>
      </w:pPr>
      <w:r>
        <w:rPr>
          <w:spacing w:val="-1"/>
        </w:rPr>
        <w:t>⑥无法辨认一组金融资产中的某项资产的现金流量是否已经减少，但根据公开的数据对其进行总体评价后</w:t>
      </w:r>
      <w:r>
        <w:rPr>
          <w:spacing w:val="-81"/>
        </w:rPr>
        <w:t> </w:t>
      </w:r>
      <w:r>
        <w:rPr>
          <w:spacing w:val="-81"/>
        </w:rPr>
      </w:r>
      <w:r>
        <w:rPr/>
        <w:t>发现，该组金融资产自初始确认以来的预计未来现金流量确已减少且可计量，包括：</w:t>
      </w:r>
    </w:p>
    <w:p>
      <w:pPr>
        <w:spacing w:line="240" w:lineRule="auto" w:before="1"/>
        <w:rPr>
          <w:rFonts w:ascii="宋体" w:hAnsi="宋体" w:cs="宋体" w:eastAsia="宋体" w:hint="default"/>
          <w:sz w:val="17"/>
          <w:szCs w:val="17"/>
        </w:rPr>
      </w:pPr>
    </w:p>
    <w:p>
      <w:pPr>
        <w:pStyle w:val="BodyText"/>
        <w:spacing w:line="240" w:lineRule="auto"/>
        <w:ind w:left="1554" w:right="3499"/>
        <w:jc w:val="left"/>
      </w:pPr>
      <w:r>
        <w:rPr>
          <w:rFonts w:ascii="宋体" w:hAnsi="宋体" w:cs="宋体" w:eastAsia="宋体" w:hint="default"/>
        </w:rPr>
        <w:t>-</w:t>
      </w:r>
      <w:r>
        <w:rPr>
          <w:rFonts w:ascii="宋体" w:hAnsi="宋体" w:cs="宋体" w:eastAsia="宋体" w:hint="default"/>
          <w:spacing w:val="-1"/>
        </w:rPr>
        <w:t> </w:t>
      </w:r>
      <w:r>
        <w:rPr/>
        <w:t>该组金融资产的债务人支付能力逐步恶化；</w:t>
      </w:r>
    </w:p>
    <w:p>
      <w:pPr>
        <w:spacing w:line="240" w:lineRule="auto" w:before="5"/>
        <w:rPr>
          <w:rFonts w:ascii="宋体" w:hAnsi="宋体" w:cs="宋体" w:eastAsia="宋体" w:hint="default"/>
          <w:sz w:val="19"/>
          <w:szCs w:val="19"/>
        </w:rPr>
      </w:pPr>
    </w:p>
    <w:p>
      <w:pPr>
        <w:pStyle w:val="BodyText"/>
        <w:spacing w:line="240" w:lineRule="auto"/>
        <w:ind w:left="1554" w:right="0"/>
        <w:jc w:val="left"/>
      </w:pPr>
      <w:r>
        <w:rPr>
          <w:rFonts w:ascii="宋体" w:hAnsi="宋体" w:cs="宋体" w:eastAsia="宋体" w:hint="default"/>
        </w:rPr>
        <w:t>-</w:t>
      </w:r>
      <w:r>
        <w:rPr>
          <w:rFonts w:ascii="宋体" w:hAnsi="宋体" w:cs="宋体" w:eastAsia="宋体" w:hint="default"/>
          <w:spacing w:val="-1"/>
        </w:rPr>
        <w:t> </w:t>
      </w:r>
      <w:r>
        <w:rPr/>
        <w:t>债务人所在国家或地区经济出现了可能导致该组金融资产无法支付的状况；</w:t>
      </w:r>
    </w:p>
    <w:p>
      <w:pPr>
        <w:spacing w:line="240" w:lineRule="auto" w:before="5"/>
        <w:rPr>
          <w:rFonts w:ascii="宋体" w:hAnsi="宋体" w:cs="宋体" w:eastAsia="宋体" w:hint="default"/>
          <w:sz w:val="19"/>
          <w:szCs w:val="19"/>
        </w:rPr>
      </w:pPr>
    </w:p>
    <w:p>
      <w:pPr>
        <w:pStyle w:val="BodyText"/>
        <w:spacing w:line="273" w:lineRule="auto"/>
        <w:ind w:left="1134" w:right="1131"/>
        <w:jc w:val="both"/>
      </w:pPr>
      <w:r>
        <w:rPr>
          <w:spacing w:val="-1"/>
        </w:rPr>
        <w:t>⑦债务人经营所处的技术、市场、经济或法律环境等发生重大不利变化，使权益工具投资人可能无法收回</w:t>
      </w:r>
      <w:r>
        <w:rPr>
          <w:spacing w:val="-83"/>
        </w:rPr>
        <w:t> </w:t>
      </w:r>
      <w:r>
        <w:rPr>
          <w:spacing w:val="-83"/>
        </w:rPr>
      </w:r>
      <w:r>
        <w:rPr/>
        <w:t>投资成本；</w:t>
      </w:r>
    </w:p>
    <w:p>
      <w:pPr>
        <w:spacing w:line="240" w:lineRule="auto" w:before="1"/>
        <w:rPr>
          <w:rFonts w:ascii="宋体" w:hAnsi="宋体" w:cs="宋体" w:eastAsia="宋体" w:hint="default"/>
          <w:sz w:val="17"/>
          <w:szCs w:val="17"/>
        </w:rPr>
      </w:pPr>
    </w:p>
    <w:p>
      <w:pPr>
        <w:pStyle w:val="BodyText"/>
        <w:spacing w:line="273" w:lineRule="auto"/>
        <w:ind w:left="1134" w:right="1131"/>
        <w:jc w:val="both"/>
      </w:pPr>
      <w:r>
        <w:rPr>
          <w:spacing w:val="-1"/>
        </w:rPr>
        <w:t>⑧权益工具投资的公允价值发生严重或非暂时性下跌，如权益工具投资于资产负债表日的公允价值低于其</w:t>
      </w:r>
      <w:r>
        <w:rPr>
          <w:spacing w:val="-81"/>
        </w:rPr>
        <w:t> </w:t>
      </w:r>
      <w:r>
        <w:rPr>
          <w:spacing w:val="-81"/>
        </w:rPr>
      </w:r>
      <w:r>
        <w:rPr>
          <w:spacing w:val="-1"/>
        </w:rPr>
        <w:t>初始投资成本超过</w:t>
      </w:r>
      <w:r>
        <w:rPr>
          <w:rFonts w:ascii="宋体" w:hAnsi="宋体" w:cs="宋体" w:eastAsia="宋体" w:hint="default"/>
          <w:spacing w:val="-1"/>
        </w:rPr>
        <w:t>50%</w:t>
      </w:r>
      <w:r>
        <w:rPr>
          <w:spacing w:val="-1"/>
        </w:rPr>
        <w:t>（含</w:t>
      </w:r>
      <w:r>
        <w:rPr>
          <w:rFonts w:ascii="宋体" w:hAnsi="宋体" w:cs="宋体" w:eastAsia="宋体" w:hint="default"/>
          <w:spacing w:val="-1"/>
        </w:rPr>
        <w:t>50%</w:t>
      </w:r>
      <w:r>
        <w:rPr>
          <w:spacing w:val="-1"/>
        </w:rPr>
        <w:t>）或低于其初始投资成本持续时间超过</w:t>
      </w:r>
      <w:r>
        <w:rPr>
          <w:rFonts w:ascii="宋体" w:hAnsi="宋体" w:cs="宋体" w:eastAsia="宋体" w:hint="default"/>
          <w:spacing w:val="-1"/>
        </w:rPr>
        <w:t>12</w:t>
      </w:r>
      <w:r>
        <w:rPr>
          <w:spacing w:val="-1"/>
        </w:rPr>
        <w:t>个月（含</w:t>
      </w:r>
      <w:r>
        <w:rPr>
          <w:rFonts w:ascii="宋体" w:hAnsi="宋体" w:cs="宋体" w:eastAsia="宋体" w:hint="default"/>
          <w:spacing w:val="-1"/>
        </w:rPr>
        <w:t>12</w:t>
      </w:r>
      <w:r>
        <w:rPr>
          <w:spacing w:val="-1"/>
        </w:rPr>
        <w:t>个月）。低于其初始投</w:t>
      </w:r>
    </w:p>
    <w:p>
      <w:pPr>
        <w:spacing w:after="0" w:line="273"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73" w:lineRule="auto" w:before="35"/>
        <w:ind w:right="1130"/>
        <w:jc w:val="both"/>
      </w:pPr>
      <w:r>
        <w:rPr>
          <w:spacing w:val="-1"/>
        </w:rPr>
        <w:t>资成本持续时间超过</w:t>
      </w:r>
      <w:r>
        <w:rPr>
          <w:rFonts w:ascii="宋体" w:hAnsi="宋体" w:cs="宋体" w:eastAsia="宋体" w:hint="default"/>
          <w:spacing w:val="-1"/>
        </w:rPr>
        <w:t>12</w:t>
      </w:r>
      <w:r>
        <w:rPr>
          <w:spacing w:val="-1"/>
        </w:rPr>
        <w:t>个月（含</w:t>
      </w:r>
      <w:r>
        <w:rPr>
          <w:rFonts w:ascii="宋体" w:hAnsi="宋体" w:cs="宋体" w:eastAsia="宋体" w:hint="default"/>
          <w:spacing w:val="-1"/>
        </w:rPr>
        <w:t>12</w:t>
      </w:r>
      <w:r>
        <w:rPr>
          <w:spacing w:val="-1"/>
        </w:rPr>
        <w:t>个月）是指，权益工具投资公允价值月度均值连续</w:t>
      </w:r>
      <w:r>
        <w:rPr>
          <w:rFonts w:ascii="宋体" w:hAnsi="宋体" w:cs="宋体" w:eastAsia="宋体" w:hint="default"/>
          <w:spacing w:val="-1"/>
        </w:rPr>
        <w:t>12</w:t>
      </w:r>
      <w:r>
        <w:rPr>
          <w:spacing w:val="-1"/>
        </w:rPr>
        <w:t>个月均低于其初始</w:t>
      </w:r>
      <w:r>
        <w:rPr>
          <w:spacing w:val="-84"/>
        </w:rPr>
        <w:t> </w:t>
      </w:r>
      <w:r>
        <w:rPr>
          <w:spacing w:val="-84"/>
        </w:rPr>
      </w:r>
      <w:r>
        <w:rPr/>
        <w:t>投资成本⑨其他表明金融资产发生减值的客观证据。</w:t>
      </w:r>
    </w:p>
    <w:p>
      <w:pPr>
        <w:spacing w:line="240" w:lineRule="auto" w:before="1"/>
        <w:rPr>
          <w:rFonts w:ascii="宋体" w:hAnsi="宋体" w:cs="宋体" w:eastAsia="宋体" w:hint="default"/>
          <w:sz w:val="17"/>
          <w:szCs w:val="17"/>
        </w:rPr>
      </w:pPr>
    </w:p>
    <w:p>
      <w:pPr>
        <w:pStyle w:val="BodyText"/>
        <w:spacing w:line="240" w:lineRule="auto"/>
        <w:ind w:left="1134" w:right="0"/>
        <w:jc w:val="both"/>
      </w:pPr>
      <w:r>
        <w:rPr/>
        <w:t>以摊余成本计量的金融资产</w:t>
      </w:r>
    </w:p>
    <w:p>
      <w:pPr>
        <w:spacing w:line="240" w:lineRule="auto" w:before="5"/>
        <w:rPr>
          <w:rFonts w:ascii="宋体" w:hAnsi="宋体" w:cs="宋体" w:eastAsia="宋体" w:hint="default"/>
          <w:sz w:val="19"/>
          <w:szCs w:val="19"/>
        </w:rPr>
      </w:pPr>
    </w:p>
    <w:p>
      <w:pPr>
        <w:pStyle w:val="BodyText"/>
        <w:spacing w:line="273" w:lineRule="auto"/>
        <w:ind w:left="1134" w:right="1130"/>
        <w:jc w:val="both"/>
      </w:pPr>
      <w:r>
        <w:rPr>
          <w:spacing w:val="-1"/>
        </w:rPr>
        <w:t>如果有客观证据表明该金融资产发生减值，则将该金融资产的账面价值减记至预计未来现金流量（不包括</w:t>
      </w:r>
      <w:r>
        <w:rPr>
          <w:spacing w:val="-80"/>
        </w:rPr>
        <w:t> </w:t>
      </w:r>
      <w:r>
        <w:rPr>
          <w:spacing w:val="-80"/>
        </w:rPr>
      </w:r>
      <w:r>
        <w:rPr>
          <w:spacing w:val="-1"/>
        </w:rPr>
        <w:t>尚未发生的未来信用损失）现值，减记金额计入当期损益。预计未来现金流量现值，按照该金融资产原实</w:t>
      </w:r>
      <w:r>
        <w:rPr>
          <w:spacing w:val="-85"/>
        </w:rPr>
        <w:t> </w:t>
      </w:r>
      <w:r>
        <w:rPr>
          <w:spacing w:val="-85"/>
        </w:rPr>
      </w:r>
      <w:r>
        <w:rPr/>
        <w:t>际利率折现确定，并考虑相关担保物的价值。</w:t>
      </w:r>
    </w:p>
    <w:p>
      <w:pPr>
        <w:spacing w:line="240" w:lineRule="auto" w:before="1"/>
        <w:rPr>
          <w:rFonts w:ascii="宋体" w:hAnsi="宋体" w:cs="宋体" w:eastAsia="宋体" w:hint="default"/>
          <w:sz w:val="17"/>
          <w:szCs w:val="17"/>
        </w:rPr>
      </w:pPr>
    </w:p>
    <w:p>
      <w:pPr>
        <w:pStyle w:val="BodyText"/>
        <w:spacing w:line="273" w:lineRule="auto"/>
        <w:ind w:left="1134" w:right="1110"/>
        <w:jc w:val="both"/>
      </w:pPr>
      <w:r>
        <w:rPr>
          <w:spacing w:val="-1"/>
        </w:rPr>
        <w:t>对单项金额重大的金融资产单独进行减值测试，如有客观证据表明其已发生减值，确认减值损失，计入当</w:t>
      </w:r>
      <w:r>
        <w:rPr>
          <w:spacing w:val="-83"/>
        </w:rPr>
        <w:t> </w:t>
      </w:r>
      <w:r>
        <w:rPr>
          <w:spacing w:val="-83"/>
        </w:rPr>
      </w:r>
      <w:r>
        <w:rPr/>
        <w:t>期损益。对单项金额不重大的金融资产，包括在具有类似信用风险特征的金融资产组合中进行减值测试。 </w:t>
      </w:r>
      <w:r>
        <w:rPr>
          <w:spacing w:val="-1"/>
        </w:rPr>
        <w:t>单独测试未发生减值的金融资产（包括单项金额重大和不重大的金融资产），包括在具有类似信用风险特</w:t>
      </w:r>
      <w:r>
        <w:rPr>
          <w:spacing w:val="-83"/>
        </w:rPr>
        <w:t> </w:t>
      </w:r>
      <w:r>
        <w:rPr>
          <w:spacing w:val="-83"/>
        </w:rPr>
      </w:r>
      <w:r>
        <w:rPr>
          <w:spacing w:val="-1"/>
        </w:rPr>
        <w:t>征的金融资产组合中再进行减值测试。已单项确认减值损失的金融资产，不包括在具有类似信用风险特征</w:t>
      </w:r>
      <w:r>
        <w:rPr>
          <w:spacing w:val="-80"/>
        </w:rPr>
        <w:t> </w:t>
      </w:r>
      <w:r>
        <w:rPr>
          <w:spacing w:val="-80"/>
        </w:rPr>
      </w:r>
      <w:r>
        <w:rPr/>
        <w:t>的金融资产组合中进行减值测试。</w:t>
      </w:r>
    </w:p>
    <w:p>
      <w:pPr>
        <w:spacing w:line="240" w:lineRule="auto" w:before="1"/>
        <w:rPr>
          <w:rFonts w:ascii="宋体" w:hAnsi="宋体" w:cs="宋体" w:eastAsia="宋体" w:hint="default"/>
          <w:sz w:val="17"/>
          <w:szCs w:val="17"/>
        </w:rPr>
      </w:pPr>
    </w:p>
    <w:p>
      <w:pPr>
        <w:pStyle w:val="BodyText"/>
        <w:spacing w:line="273" w:lineRule="auto"/>
        <w:ind w:left="1134" w:right="1131"/>
        <w:jc w:val="both"/>
      </w:pPr>
      <w:r>
        <w:rPr>
          <w:spacing w:val="-1"/>
        </w:rPr>
        <w:t>本集团对以摊余成本计量的金融资产确认减值损失后，如有客观证据表明该金融资产价值已恢复，且客观</w:t>
      </w:r>
      <w:r>
        <w:rPr>
          <w:spacing w:val="-81"/>
        </w:rPr>
        <w:t> </w:t>
      </w:r>
      <w:r>
        <w:rPr>
          <w:spacing w:val="-81"/>
        </w:rPr>
      </w:r>
      <w:r>
        <w:rPr>
          <w:spacing w:val="-1"/>
        </w:rPr>
        <w:t>上与确认该损失后发生的事项有关，原确认的减值损失予以转回，计入当期损益。但是，该转回后的账面</w:t>
      </w:r>
      <w:r>
        <w:rPr>
          <w:spacing w:val="-86"/>
        </w:rPr>
        <w:t> </w:t>
      </w:r>
      <w:r>
        <w:rPr>
          <w:spacing w:val="-86"/>
        </w:rPr>
      </w:r>
      <w:r>
        <w:rPr/>
        <w:t>价值不超过假定不计提减值准备情况下该金融资产在转回日的摊余成本。</w:t>
      </w:r>
    </w:p>
    <w:p>
      <w:pPr>
        <w:spacing w:line="240" w:lineRule="auto" w:before="1"/>
        <w:rPr>
          <w:rFonts w:ascii="宋体" w:hAnsi="宋体" w:cs="宋体" w:eastAsia="宋体" w:hint="default"/>
          <w:sz w:val="17"/>
          <w:szCs w:val="17"/>
        </w:rPr>
      </w:pPr>
    </w:p>
    <w:p>
      <w:pPr>
        <w:pStyle w:val="BodyText"/>
        <w:spacing w:line="240" w:lineRule="auto"/>
        <w:ind w:right="0"/>
        <w:jc w:val="both"/>
      </w:pPr>
      <w:r>
        <w:rPr/>
        <w:t>可供出售金融资产</w:t>
      </w:r>
    </w:p>
    <w:p>
      <w:pPr>
        <w:spacing w:line="240" w:lineRule="auto" w:before="5"/>
        <w:rPr>
          <w:rFonts w:ascii="宋体" w:hAnsi="宋体" w:cs="宋体" w:eastAsia="宋体" w:hint="default"/>
          <w:sz w:val="19"/>
          <w:szCs w:val="19"/>
        </w:rPr>
      </w:pPr>
    </w:p>
    <w:p>
      <w:pPr>
        <w:pStyle w:val="BodyText"/>
        <w:spacing w:line="273" w:lineRule="auto"/>
        <w:ind w:right="1110"/>
        <w:jc w:val="both"/>
      </w:pPr>
      <w:r>
        <w:rPr/>
        <w:t>如果有客观证据表明该金融资产发生减值，原直接计入其他综合收益的因公允价值下降形成的累计损失， </w:t>
      </w:r>
      <w:r>
        <w:rPr>
          <w:spacing w:val="-1"/>
        </w:rPr>
        <w:t>予以转出，计入当期损益。该转出的累计损失，为可供出售金融资产的初始取得成本扣除已收回本金和已</w:t>
      </w:r>
      <w:r>
        <w:rPr>
          <w:spacing w:val="-83"/>
        </w:rPr>
        <w:t> </w:t>
      </w:r>
      <w:r>
        <w:rPr>
          <w:spacing w:val="-83"/>
        </w:rPr>
      </w:r>
      <w:r>
        <w:rPr/>
        <w:t>摊销金额、当前公允价值和原已计入损益的减值损失后的余额。</w:t>
      </w:r>
    </w:p>
    <w:p>
      <w:pPr>
        <w:spacing w:line="240" w:lineRule="auto" w:before="2"/>
        <w:rPr>
          <w:rFonts w:ascii="宋体" w:hAnsi="宋体" w:cs="宋体" w:eastAsia="宋体" w:hint="default"/>
          <w:sz w:val="17"/>
          <w:szCs w:val="17"/>
        </w:rPr>
      </w:pPr>
    </w:p>
    <w:p>
      <w:pPr>
        <w:pStyle w:val="BodyText"/>
        <w:spacing w:line="273" w:lineRule="auto"/>
        <w:ind w:right="1131"/>
        <w:jc w:val="both"/>
      </w:pPr>
      <w:r>
        <w:rPr>
          <w:spacing w:val="-1"/>
        </w:rPr>
        <w:t>对于已确认减值损失的可供出售债务工具，在随后的会计期间公允价值已上升且客观上与确认原减值损失</w:t>
      </w:r>
      <w:r>
        <w:rPr>
          <w:spacing w:val="-81"/>
        </w:rPr>
        <w:t> </w:t>
      </w:r>
      <w:r>
        <w:rPr>
          <w:spacing w:val="-81"/>
        </w:rPr>
      </w:r>
      <w:r>
        <w:rPr>
          <w:spacing w:val="-1"/>
        </w:rPr>
        <w:t>确认后发生的事项有关的，原确认的减值损失予以转回，计入当期损益。可供出售权益工具投资发生的减</w:t>
      </w:r>
      <w:r>
        <w:rPr>
          <w:spacing w:val="-83"/>
        </w:rPr>
        <w:t> </w:t>
      </w:r>
      <w:r>
        <w:rPr>
          <w:spacing w:val="-83"/>
        </w:rPr>
      </w:r>
      <w:r>
        <w:rPr/>
        <w:t>值损失，不通过损益转回。</w:t>
      </w:r>
    </w:p>
    <w:p>
      <w:pPr>
        <w:spacing w:line="240" w:lineRule="auto" w:before="1"/>
        <w:rPr>
          <w:rFonts w:ascii="宋体" w:hAnsi="宋体" w:cs="宋体" w:eastAsia="宋体" w:hint="default"/>
          <w:sz w:val="17"/>
          <w:szCs w:val="17"/>
        </w:rPr>
      </w:pPr>
    </w:p>
    <w:p>
      <w:pPr>
        <w:pStyle w:val="BodyText"/>
        <w:spacing w:line="240" w:lineRule="auto"/>
        <w:ind w:right="0"/>
        <w:jc w:val="both"/>
      </w:pPr>
      <w:r>
        <w:rPr/>
        <w:t>以成本计量的金融资产</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在活跃市场中没有报价且其公允价值不能可靠计量的权益工具投资，或与该权益工具挂钩并须通过交付该</w:t>
      </w:r>
      <w:r>
        <w:rPr>
          <w:spacing w:val="-81"/>
        </w:rPr>
        <w:t> </w:t>
      </w:r>
      <w:r>
        <w:rPr>
          <w:spacing w:val="-81"/>
        </w:rPr>
      </w:r>
      <w:r>
        <w:rPr>
          <w:spacing w:val="-1"/>
        </w:rPr>
        <w:t>权益工具结算的衍生金融资产发生减值时，将该金融资产的账面价值，与按照类似金融资产当时市场收益</w:t>
      </w:r>
      <w:r>
        <w:rPr>
          <w:spacing w:val="-81"/>
        </w:rPr>
        <w:t> </w:t>
      </w:r>
      <w:r>
        <w:rPr>
          <w:spacing w:val="-81"/>
        </w:rPr>
      </w:r>
      <w:r>
        <w:rPr>
          <w:spacing w:val="-1"/>
        </w:rPr>
        <w:t>率对未来现金流量折现确定的现值之间的差额，确认为减值损失，计入当期损益。发生的减值损失一经确</w:t>
      </w:r>
      <w:r>
        <w:rPr>
          <w:spacing w:val="-83"/>
        </w:rPr>
        <w:t> </w:t>
      </w:r>
      <w:r>
        <w:rPr>
          <w:spacing w:val="-83"/>
        </w:rPr>
      </w:r>
      <w:r>
        <w:rPr/>
        <w:t>认，不得转回。</w:t>
      </w:r>
    </w:p>
    <w:p>
      <w:pPr>
        <w:spacing w:line="240" w:lineRule="auto" w:before="1"/>
        <w:rPr>
          <w:rFonts w:ascii="宋体" w:hAnsi="宋体" w:cs="宋体" w:eastAsia="宋体" w:hint="default"/>
          <w:sz w:val="17"/>
          <w:szCs w:val="17"/>
        </w:rPr>
      </w:pPr>
    </w:p>
    <w:p>
      <w:pPr>
        <w:pStyle w:val="BodyText"/>
        <w:spacing w:line="460" w:lineRule="auto"/>
        <w:ind w:right="1131"/>
        <w:jc w:val="both"/>
      </w:pPr>
      <w:r>
        <w:rPr/>
        <w:t>（</w:t>
      </w:r>
      <w:r>
        <w:rPr>
          <w:rFonts w:ascii="宋体" w:hAnsi="宋体" w:cs="宋体" w:eastAsia="宋体" w:hint="default"/>
        </w:rPr>
        <w:t>7</w:t>
      </w:r>
      <w:r>
        <w:rPr/>
        <w:t>）金融资产转移 金融资产转移，是指将金融资产让与或交付给该金融资产发行方以外的另一方（转入方）。</w:t>
      </w:r>
    </w:p>
    <w:p>
      <w:pPr>
        <w:pStyle w:val="BodyText"/>
        <w:spacing w:line="273" w:lineRule="auto" w:before="60"/>
        <w:ind w:right="1131"/>
        <w:jc w:val="both"/>
      </w:pPr>
      <w:r>
        <w:rPr>
          <w:spacing w:val="-1"/>
        </w:rPr>
        <w:t>本集团已将金融资产所有权上几乎所有的风险和报酬转移给转入方的，终止确认该金融资产；保留了金融</w:t>
      </w:r>
      <w:r>
        <w:rPr>
          <w:spacing w:val="-81"/>
        </w:rPr>
        <w:t> </w:t>
      </w:r>
      <w:r>
        <w:rPr>
          <w:spacing w:val="-81"/>
        </w:rPr>
      </w:r>
      <w:r>
        <w:rPr/>
        <w:t>资产所有权上几乎所有的风险和报酬的，不终止确认该金融资产。</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本集团既没有转移也没有保留金融资产所有权上几乎所有的风险和报酬的，分别下列情况处理：放弃了对</w:t>
      </w:r>
      <w:r>
        <w:rPr>
          <w:spacing w:val="-81"/>
        </w:rPr>
        <w:t> </w:t>
      </w:r>
      <w:r>
        <w:rPr>
          <w:spacing w:val="-81"/>
        </w:rPr>
      </w:r>
      <w:r>
        <w:rPr>
          <w:spacing w:val="-1"/>
        </w:rPr>
        <w:t>该金融资产控制的，终止确认该金融资产并确认产生的资产和负债；未放弃对该金融资产控制的，按照其</w:t>
      </w:r>
      <w:r>
        <w:rPr>
          <w:spacing w:val="-83"/>
        </w:rPr>
        <w:t> </w:t>
      </w:r>
      <w:r>
        <w:rPr>
          <w:spacing w:val="-83"/>
        </w:rPr>
      </w:r>
      <w:r>
        <w:rPr/>
        <w:t>继续涉入所转移金融资产的程度确认有关金融资产，并相应确认有关负债。</w:t>
      </w:r>
    </w:p>
    <w:p>
      <w:pPr>
        <w:spacing w:line="240" w:lineRule="auto" w:before="1"/>
        <w:rPr>
          <w:rFonts w:ascii="宋体" w:hAnsi="宋体" w:cs="宋体" w:eastAsia="宋体" w:hint="default"/>
          <w:sz w:val="17"/>
          <w:szCs w:val="17"/>
        </w:rPr>
      </w:pPr>
    </w:p>
    <w:p>
      <w:pPr>
        <w:pStyle w:val="BodyText"/>
        <w:spacing w:line="240" w:lineRule="auto"/>
        <w:ind w:right="0"/>
        <w:jc w:val="both"/>
      </w:pPr>
      <w:r>
        <w:rPr/>
        <w:t>（</w:t>
      </w:r>
      <w:r>
        <w:rPr>
          <w:rFonts w:ascii="宋体" w:hAnsi="宋体" w:cs="宋体" w:eastAsia="宋体" w:hint="default"/>
        </w:rPr>
        <w:t>8</w:t>
      </w:r>
      <w:r>
        <w:rPr/>
        <w:t>）金融资产和金融负债的抵销</w:t>
      </w:r>
    </w:p>
    <w:p>
      <w:pPr>
        <w:spacing w:after="0" w:line="240"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当本集团具有抵销已确认金融资产和金融负债的法定权利，且目前可执行该种法定权利，同时本集团计划</w:t>
      </w:r>
      <w:r>
        <w:rPr>
          <w:spacing w:val="-81"/>
        </w:rPr>
        <w:t> </w:t>
      </w:r>
      <w:r>
        <w:rPr>
          <w:spacing w:val="-81"/>
        </w:rPr>
      </w:r>
      <w:r>
        <w:rPr>
          <w:spacing w:val="-1"/>
        </w:rPr>
        <w:t>以净额结算或同时变现该金融资产和清偿该金融负债时，金融资产和金融负债以相互抵销后的金额在资产</w:t>
      </w:r>
      <w:r>
        <w:rPr>
          <w:spacing w:val="-81"/>
        </w:rPr>
        <w:t> </w:t>
      </w:r>
      <w:r>
        <w:rPr>
          <w:spacing w:val="-81"/>
        </w:rPr>
      </w:r>
      <w:r>
        <w:rPr/>
        <w:t>负债表内列示。除此以外，金融资产和金融负债在资产负债表内分别列示，不予相互抵销。</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bookmarkStart w:name="11、应收款项" w:id="174"/>
      <w:bookmarkEnd w:id="174"/>
      <w:r>
        <w:rPr>
          <w:b w:val="0"/>
          <w:bCs w:val="0"/>
        </w:rPr>
      </w:r>
      <w:r>
        <w:rPr>
          <w:rFonts w:ascii="宋体" w:hAnsi="宋体" w:cs="宋体" w:eastAsia="宋体" w:hint="default"/>
        </w:rPr>
        <w:t>11</w:t>
      </w:r>
      <w:r>
        <w:rPr/>
        <w:t>、应收款项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both"/>
        <w:rPr>
          <w:b w:val="0"/>
          <w:bCs w:val="0"/>
        </w:rPr>
      </w:pPr>
      <w:bookmarkStart w:name="（1）单项金额重大并单独计提坏账准备的应收款项" w:id="175"/>
      <w:bookmarkEnd w:id="175"/>
      <w:r>
        <w:rPr>
          <w:b w:val="0"/>
          <w:bCs w:val="0"/>
        </w:rPr>
      </w:r>
      <w:r>
        <w:rPr/>
        <w:t>（</w:t>
      </w:r>
      <w:r>
        <w:rPr>
          <w:rFonts w:ascii="宋体" w:hAnsi="宋体" w:cs="宋体" w:eastAsia="宋体" w:hint="default"/>
        </w:rPr>
        <w:t>1</w:t>
      </w:r>
      <w:r>
        <w:rPr/>
        <w:t>）单项金额重大并单独计提坏账准备的应收款项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2"/>
              <w:jc w:val="left"/>
              <w:rPr>
                <w:rFonts w:ascii="宋体" w:hAnsi="宋体" w:cs="宋体" w:eastAsia="宋体" w:hint="default"/>
                <w:sz w:val="21"/>
                <w:szCs w:val="21"/>
              </w:rPr>
            </w:pPr>
            <w:r>
              <w:rPr>
                <w:rFonts w:ascii="宋体" w:hAnsi="宋体" w:cs="宋体" w:eastAsia="宋体" w:hint="default"/>
                <w:sz w:val="21"/>
                <w:szCs w:val="21"/>
              </w:rPr>
              <w:t>期末余额达到</w:t>
            </w:r>
            <w:r>
              <w:rPr>
                <w:rFonts w:ascii="宋体" w:hAnsi="宋体" w:cs="宋体" w:eastAsia="宋体" w:hint="default"/>
                <w:spacing w:val="-53"/>
                <w:sz w:val="21"/>
                <w:szCs w:val="21"/>
              </w:rPr>
              <w:t> </w:t>
            </w:r>
            <w:r>
              <w:rPr>
                <w:rFonts w:ascii="宋体" w:hAnsi="宋体" w:cs="宋体" w:eastAsia="宋体" w:hint="default"/>
                <w:sz w:val="21"/>
                <w:szCs w:val="21"/>
              </w:rPr>
              <w:t>300</w:t>
            </w:r>
            <w:r>
              <w:rPr>
                <w:rFonts w:ascii="宋体" w:hAnsi="宋体" w:cs="宋体" w:eastAsia="宋体" w:hint="default"/>
                <w:spacing w:val="-52"/>
                <w:sz w:val="21"/>
                <w:szCs w:val="21"/>
              </w:rPr>
              <w:t> </w:t>
            </w:r>
            <w:r>
              <w:rPr>
                <w:rFonts w:ascii="宋体" w:hAnsi="宋体" w:cs="宋体" w:eastAsia="宋体" w:hint="default"/>
                <w:spacing w:val="-14"/>
                <w:sz w:val="21"/>
                <w:szCs w:val="21"/>
              </w:rPr>
              <w:t>万元（含</w:t>
            </w:r>
            <w:r>
              <w:rPr>
                <w:rFonts w:ascii="宋体" w:hAnsi="宋体" w:cs="宋体" w:eastAsia="宋体" w:hint="default"/>
                <w:spacing w:val="-52"/>
                <w:sz w:val="21"/>
                <w:szCs w:val="21"/>
              </w:rPr>
              <w:t> </w:t>
            </w:r>
            <w:r>
              <w:rPr>
                <w:rFonts w:ascii="宋体" w:hAnsi="宋体" w:cs="宋体" w:eastAsia="宋体" w:hint="default"/>
                <w:sz w:val="21"/>
                <w:szCs w:val="21"/>
              </w:rPr>
              <w:t>300</w:t>
            </w:r>
            <w:r>
              <w:rPr>
                <w:rFonts w:ascii="宋体" w:hAnsi="宋体" w:cs="宋体" w:eastAsia="宋体" w:hint="default"/>
                <w:spacing w:val="-52"/>
                <w:sz w:val="21"/>
                <w:szCs w:val="21"/>
              </w:rPr>
              <w:t> </w:t>
            </w:r>
            <w:r>
              <w:rPr>
                <w:rFonts w:ascii="宋体" w:hAnsi="宋体" w:cs="宋体" w:eastAsia="宋体" w:hint="default"/>
                <w:spacing w:val="-6"/>
                <w:sz w:val="21"/>
                <w:szCs w:val="21"/>
              </w:rPr>
              <w:t>万元）以上的应收款</w:t>
            </w:r>
            <w:r>
              <w:rPr>
                <w:rFonts w:ascii="宋体" w:hAnsi="宋体" w:cs="宋体" w:eastAsia="宋体" w:hint="default"/>
                <w:sz w:val="21"/>
                <w:szCs w:val="21"/>
              </w:rPr>
              <w:t> 项</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1"/>
              <w:jc w:val="both"/>
              <w:rPr>
                <w:rFonts w:ascii="宋体" w:hAnsi="宋体" w:cs="宋体" w:eastAsia="宋体" w:hint="default"/>
                <w:sz w:val="21"/>
                <w:szCs w:val="21"/>
              </w:rPr>
            </w:pPr>
            <w:r>
              <w:rPr>
                <w:rFonts w:ascii="宋体" w:hAnsi="宋体" w:cs="宋体" w:eastAsia="宋体" w:hint="default"/>
                <w:spacing w:val="-5"/>
                <w:sz w:val="21"/>
                <w:szCs w:val="21"/>
              </w:rPr>
              <w:t>对于单项金额重大的应收款项单独进行减值测试，有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5"/>
                <w:sz w:val="21"/>
                <w:szCs w:val="21"/>
              </w:rPr>
              <w:t>客观证据表明发生了减值，根据其未来现金流量现值</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低于其账面价值的差额计提坏账准备。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3499"/>
        <w:jc w:val="left"/>
        <w:rPr>
          <w:b w:val="0"/>
          <w:bCs w:val="0"/>
        </w:rPr>
      </w:pPr>
      <w:bookmarkStart w:name="（2）按信用风险特征组合计提坏账准备的应收款项" w:id="176"/>
      <w:bookmarkEnd w:id="176"/>
      <w:r>
        <w:rPr>
          <w:b w:val="0"/>
          <w:bCs w:val="0"/>
        </w:rPr>
      </w:r>
      <w:r>
        <w:rPr/>
        <w:t>（</w:t>
      </w:r>
      <w:r>
        <w:rPr>
          <w:rFonts w:ascii="宋体" w:hAnsi="宋体" w:cs="宋体" w:eastAsia="宋体" w:hint="default"/>
        </w:rPr>
        <w:t>2</w:t>
      </w:r>
      <w:r>
        <w:rPr/>
        <w:t>）按信用风险特征组合计提坏账准备的应收款项</w:t>
      </w:r>
      <w:r>
        <w:rPr>
          <w:b w:val="0"/>
          <w:bCs w:val="0"/>
        </w:rPr>
      </w:r>
    </w:p>
    <w:p>
      <w:pPr>
        <w:spacing w:line="240" w:lineRule="auto" w:before="13"/>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546" w:right="0"/>
              <w:jc w:val="left"/>
              <w:rPr>
                <w:rFonts w:ascii="宋体" w:hAnsi="宋体" w:cs="宋体" w:eastAsia="宋体" w:hint="default"/>
                <w:sz w:val="21"/>
                <w:szCs w:val="21"/>
              </w:rPr>
            </w:pPr>
            <w:r>
              <w:rPr>
                <w:rFonts w:ascii="宋体" w:hAnsi="宋体" w:cs="宋体" w:eastAsia="宋体" w:hint="default"/>
                <w:sz w:val="21"/>
                <w:szCs w:val="21"/>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其他方法</w:t>
            </w:r>
          </w:p>
        </w:tc>
      </w:tr>
    </w:tbl>
    <w:p>
      <w:pPr>
        <w:pStyle w:val="BodyText"/>
        <w:spacing w:line="240" w:lineRule="auto" w:before="26"/>
        <w:ind w:left="1134" w:right="3499"/>
        <w:jc w:val="left"/>
      </w:pPr>
      <w:r>
        <w:rPr/>
        <w:t>组合中，采用账龄分析法计提坏账准备的：</w:t>
      </w:r>
    </w:p>
    <w:p>
      <w:pPr>
        <w:pStyle w:val="BodyText"/>
        <w:spacing w:line="240" w:lineRule="auto" w:before="78"/>
        <w:ind w:left="1134" w:right="3499"/>
        <w:jc w:val="left"/>
      </w:pPr>
      <w:r>
        <w:rPr/>
        <w:t>√ 适用 □</w:t>
      </w:r>
      <w:r>
        <w:rPr>
          <w:spacing w:val="-1"/>
        </w:rPr>
        <w:t> </w:t>
      </w:r>
      <w:r>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2" w:right="0"/>
              <w:jc w:val="left"/>
              <w:rPr>
                <w:rFonts w:ascii="宋体" w:hAnsi="宋体" w:cs="宋体" w:eastAsia="宋体" w:hint="default"/>
                <w:sz w:val="21"/>
                <w:szCs w:val="21"/>
              </w:rPr>
            </w:pPr>
            <w:r>
              <w:rPr>
                <w:rFonts w:ascii="宋体" w:hAnsi="宋体" w:cs="宋体" w:eastAsia="宋体" w:hint="default"/>
                <w:sz w:val="21"/>
                <w:szCs w:val="21"/>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100.00%</w:t>
            </w:r>
          </w:p>
        </w:tc>
      </w:tr>
    </w:tbl>
    <w:p>
      <w:pPr>
        <w:pStyle w:val="BodyText"/>
        <w:spacing w:line="240" w:lineRule="auto" w:before="26"/>
        <w:ind w:left="1134" w:right="3499"/>
        <w:jc w:val="left"/>
      </w:pPr>
      <w:r>
        <w:rPr/>
        <w:t>组合中，采用余额百分比法计提坏账准备的：</w:t>
      </w:r>
    </w:p>
    <w:p>
      <w:pPr>
        <w:pStyle w:val="BodyText"/>
        <w:spacing w:line="307" w:lineRule="auto" w:before="78"/>
        <w:ind w:left="1134" w:right="6972"/>
        <w:jc w:val="left"/>
      </w:pPr>
      <w:r>
        <w:rPr/>
        <w:t>□ 适用 √</w:t>
      </w:r>
      <w:r>
        <w:rPr>
          <w:spacing w:val="-1"/>
        </w:rPr>
        <w:t> </w:t>
      </w:r>
      <w:r>
        <w:rPr/>
        <w:t>不适用</w:t>
      </w:r>
      <w:r>
        <w:rPr/>
        <w:t> 组合中，采用其他方法计提坏账准备的：</w:t>
      </w:r>
    </w:p>
    <w:p>
      <w:pPr>
        <w:pStyle w:val="BodyText"/>
        <w:spacing w:line="240" w:lineRule="auto" w:before="19"/>
        <w:ind w:left="1134" w:right="3499"/>
        <w:jc w:val="left"/>
      </w:pPr>
      <w:r>
        <w:rPr/>
        <w:t>√ 适用 □</w:t>
      </w:r>
      <w:r>
        <w:rPr>
          <w:spacing w:val="-1"/>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50" w:right="0"/>
              <w:jc w:val="left"/>
              <w:rPr>
                <w:rFonts w:ascii="宋体" w:hAnsi="宋体" w:cs="宋体" w:eastAsia="宋体" w:hint="default"/>
                <w:sz w:val="21"/>
                <w:szCs w:val="21"/>
              </w:rPr>
            </w:pPr>
            <w:r>
              <w:rPr>
                <w:rFonts w:ascii="宋体" w:hAnsi="宋体" w:cs="宋体" w:eastAsia="宋体" w:hint="default"/>
                <w:sz w:val="21"/>
                <w:szCs w:val="21"/>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r>
    </w:tbl>
    <w:p>
      <w:pPr>
        <w:spacing w:line="240" w:lineRule="auto" w:before="3"/>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3）单项金额不重大但单独计提坏账准备的应收款项" w:id="177"/>
      <w:bookmarkEnd w:id="177"/>
      <w:r>
        <w:rPr>
          <w:b w:val="0"/>
          <w:bCs w:val="0"/>
        </w:rPr>
      </w:r>
      <w:r>
        <w:rPr/>
        <w:t>（</w:t>
      </w:r>
      <w:r>
        <w:rPr>
          <w:rFonts w:ascii="宋体" w:hAnsi="宋体" w:cs="宋体" w:eastAsia="宋体" w:hint="default"/>
        </w:rPr>
        <w:t>3</w:t>
      </w:r>
      <w:r>
        <w:rPr/>
        <w:t>）单项金额不重大但单独计提坏账准备的应收款项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涉诉款项、客户信用状况恶化的应收款项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3" w:right="0"/>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根据其未来现金流量现值低于其账面价值的差额计</w:t>
            </w:r>
          </w:p>
        </w:tc>
      </w:tr>
    </w:tbl>
    <w:p>
      <w:pPr>
        <w:spacing w:after="0" w:line="240"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2"/>
        <w:rPr>
          <w:rFonts w:ascii="宋体" w:hAnsi="宋体" w:cs="宋体" w:eastAsia="宋体" w:hint="default"/>
          <w:b/>
          <w:bCs/>
          <w:sz w:val="28"/>
          <w:szCs w:val="28"/>
        </w:rPr>
      </w:pPr>
    </w:p>
    <w:p>
      <w:pPr>
        <w:spacing w:line="38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10;top:14;width:4775;height:353" coordorigin="10,14" coordsize="4775,353">
              <v:shape style="position:absolute;left:10;top:14;width:4775;height:353" coordorigin="10,14" coordsize="4775,353" path="m10,367l4784,367,4784,14,10,14,10,367xe" filled="true" fillcolor="#d2d2d2"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776;height:2" coordorigin="10,372" coordsize="4776,2">
              <v:shape style="position:absolute;left:10;top:372;width:4776;height:2" coordorigin="10,372" coordsize="4776,0" path="m10,372l4785,372e" filled="false" stroked="true" strokeweight=".48pt" strokecolor="#000000">
                <v:path arrowok="t"/>
              </v:shape>
            </v:group>
            <v:group style="position:absolute;left:4790;top:5;width:2;height:372" coordorigin="4790,5" coordsize="2,372">
              <v:shape style="position:absolute;left:4790;top:5;width:2;height:372" coordorigin="4790,5" coordsize="0,372" path="m4790,5l4790,377e" filled="false" stroked="true" strokeweight=".48pt" strokecolor="#000000">
                <v:path arrowok="t"/>
              </v:shape>
            </v:group>
            <v:group style="position:absolute;left:4795;top:372;width:4774;height:2" coordorigin="4795,372" coordsize="4774,2">
              <v:shape style="position:absolute;left:4795;top:372;width:4774;height:2" coordorigin="4795,372" coordsize="4774,0" path="m4795,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4789;top:10;width:4785;height:363" type="#_x0000_t202" filled="false" stroked="false">
                <v:textbox inset="0,0,0,0">
                  <w:txbxContent>
                    <w:p>
                      <w:pPr>
                        <w:spacing w:line="266" w:lineRule="exact" w:before="0"/>
                        <w:ind w:left="28" w:right="0" w:firstLine="0"/>
                        <w:jc w:val="left"/>
                        <w:rPr>
                          <w:rFonts w:ascii="宋体" w:hAnsi="宋体" w:cs="宋体" w:eastAsia="宋体" w:hint="default"/>
                          <w:sz w:val="21"/>
                          <w:szCs w:val="21"/>
                        </w:rPr>
                      </w:pPr>
                      <w:r>
                        <w:rPr>
                          <w:rFonts w:ascii="宋体" w:hAnsi="宋体" w:cs="宋体" w:eastAsia="宋体" w:hint="default"/>
                          <w:sz w:val="21"/>
                          <w:szCs w:val="21"/>
                        </w:rPr>
                        <w:t>提坏账准备</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b/>
          <w:bCs/>
          <w:sz w:val="18"/>
          <w:szCs w:val="18"/>
        </w:rPr>
      </w:pPr>
    </w:p>
    <w:p>
      <w:pPr>
        <w:pStyle w:val="Heading3"/>
        <w:spacing w:line="240" w:lineRule="auto" w:before="35"/>
        <w:ind w:left="1134" w:right="0"/>
        <w:jc w:val="both"/>
        <w:rPr>
          <w:b w:val="0"/>
          <w:bCs w:val="0"/>
        </w:rPr>
      </w:pPr>
      <w:bookmarkStart w:name="12、存货" w:id="178"/>
      <w:bookmarkEnd w:id="178"/>
      <w:r>
        <w:rPr>
          <w:b w:val="0"/>
          <w:bCs w:val="0"/>
        </w:rPr>
      </w:r>
      <w:r>
        <w:rPr>
          <w:rFonts w:ascii="宋体" w:hAnsi="宋体" w:cs="宋体" w:eastAsia="宋体" w:hint="default"/>
        </w:rPr>
        <w:t>12</w:t>
      </w:r>
      <w:r>
        <w:rPr/>
        <w:t>、存货</w:t>
      </w:r>
      <w:r>
        <w:rPr>
          <w:b w:val="0"/>
          <w:bCs w:val="0"/>
        </w:rPr>
      </w:r>
    </w:p>
    <w:p>
      <w:pPr>
        <w:spacing w:line="240" w:lineRule="auto" w:before="10"/>
        <w:rPr>
          <w:rFonts w:ascii="宋体" w:hAnsi="宋体" w:cs="宋体" w:eastAsia="宋体" w:hint="default"/>
          <w:b/>
          <w:bCs/>
          <w:sz w:val="25"/>
          <w:szCs w:val="25"/>
        </w:rPr>
      </w:pPr>
    </w:p>
    <w:p>
      <w:pPr>
        <w:pStyle w:val="BodyText"/>
        <w:spacing w:line="460" w:lineRule="auto"/>
        <w:ind w:left="1134" w:right="2562"/>
        <w:jc w:val="left"/>
      </w:pPr>
      <w:r>
        <w:rPr/>
        <w:t>（</w:t>
      </w:r>
      <w:r>
        <w:rPr>
          <w:rFonts w:ascii="宋体" w:hAnsi="宋体" w:cs="宋体" w:eastAsia="宋体" w:hint="default"/>
        </w:rPr>
        <w:t>1</w:t>
      </w:r>
      <w:r>
        <w:rPr/>
        <w:t>）存货的分类 本集团存货分为原材料、在产品、委托加工物资、库存商品、发出商品、低值易耗品等。</w:t>
      </w:r>
    </w:p>
    <w:p>
      <w:pPr>
        <w:pStyle w:val="BodyText"/>
        <w:spacing w:line="460" w:lineRule="auto" w:before="60"/>
        <w:ind w:left="1134" w:right="1722"/>
        <w:jc w:val="left"/>
      </w:pPr>
      <w:r>
        <w:rPr/>
        <w:t>（</w:t>
      </w:r>
      <w:r>
        <w:rPr>
          <w:rFonts w:ascii="宋体" w:hAnsi="宋体" w:cs="宋体" w:eastAsia="宋体" w:hint="default"/>
        </w:rPr>
        <w:t>2</w:t>
      </w:r>
      <w:r>
        <w:rPr/>
        <w:t>）发出存货的计价方法 本集团存货取得时按实际成本计价。原材料、在产品、发出商品、库存商品采用加权平均法计价。</w:t>
      </w:r>
    </w:p>
    <w:p>
      <w:pPr>
        <w:pStyle w:val="BodyText"/>
        <w:spacing w:line="240" w:lineRule="auto" w:before="60"/>
        <w:ind w:right="0"/>
        <w:jc w:val="both"/>
      </w:pPr>
      <w:r>
        <w:rPr/>
        <w:t>（</w:t>
      </w:r>
      <w:r>
        <w:rPr>
          <w:rFonts w:ascii="宋体" w:hAnsi="宋体" w:cs="宋体" w:eastAsia="宋体" w:hint="default"/>
        </w:rPr>
        <w:t>3</w:t>
      </w:r>
      <w:r>
        <w:rPr/>
        <w:t>）存货可变现净值的确定依据及存货跌价准备的计提方法</w:t>
      </w:r>
    </w:p>
    <w:p>
      <w:pPr>
        <w:spacing w:line="240" w:lineRule="auto" w:before="5"/>
        <w:rPr>
          <w:rFonts w:ascii="宋体" w:hAnsi="宋体" w:cs="宋体" w:eastAsia="宋体" w:hint="default"/>
          <w:sz w:val="19"/>
          <w:szCs w:val="19"/>
        </w:rPr>
      </w:pPr>
    </w:p>
    <w:p>
      <w:pPr>
        <w:pStyle w:val="BodyText"/>
        <w:spacing w:line="273" w:lineRule="auto"/>
        <w:ind w:left="1134" w:right="1131"/>
        <w:jc w:val="both"/>
      </w:pPr>
      <w:r>
        <w:rPr>
          <w:spacing w:val="-1"/>
        </w:rPr>
        <w:t>存货可变现净值是按存货的估计售价减去至完工时估计将要发生的成本、估计的销售费用以及相关税费后</w:t>
      </w:r>
      <w:r>
        <w:rPr>
          <w:spacing w:val="-81"/>
        </w:rPr>
        <w:t> </w:t>
      </w:r>
      <w:r>
        <w:rPr>
          <w:spacing w:val="-81"/>
        </w:rPr>
      </w:r>
      <w:r>
        <w:rPr>
          <w:spacing w:val="-1"/>
        </w:rPr>
        <w:t>的金额。在确定存货的可变现净值时，以取得的确凿证据为基础，同时考虑持有存货的目的以及资产负债</w:t>
      </w:r>
      <w:r>
        <w:rPr>
          <w:spacing w:val="-83"/>
        </w:rPr>
        <w:t> </w:t>
      </w:r>
      <w:r>
        <w:rPr>
          <w:spacing w:val="-83"/>
        </w:rPr>
      </w:r>
      <w:r>
        <w:rPr/>
        <w:t>表日后事项的影响。</w:t>
      </w:r>
    </w:p>
    <w:p>
      <w:pPr>
        <w:spacing w:line="240" w:lineRule="auto" w:before="1"/>
        <w:rPr>
          <w:rFonts w:ascii="宋体" w:hAnsi="宋体" w:cs="宋体" w:eastAsia="宋体" w:hint="default"/>
          <w:sz w:val="17"/>
          <w:szCs w:val="17"/>
        </w:rPr>
      </w:pPr>
    </w:p>
    <w:p>
      <w:pPr>
        <w:pStyle w:val="BodyText"/>
        <w:spacing w:line="273" w:lineRule="auto"/>
        <w:ind w:left="1134" w:right="1131"/>
        <w:jc w:val="both"/>
      </w:pPr>
      <w:r>
        <w:rPr>
          <w:spacing w:val="-1"/>
        </w:rPr>
        <w:t>资产负债表日，存货成本高于其可变现净值的，计提存货跌价准备。本集团通常按照单个存货项目计提存</w:t>
      </w:r>
      <w:r>
        <w:rPr>
          <w:spacing w:val="-83"/>
        </w:rPr>
        <w:t> </w:t>
      </w:r>
      <w:r>
        <w:rPr>
          <w:spacing w:val="-83"/>
        </w:rPr>
      </w:r>
      <w:r>
        <w:rPr>
          <w:spacing w:val="-1"/>
        </w:rPr>
        <w:t>货跌价准备，资产负债表日，以前减记存货价值的影响因素已经消失的，存货跌价准备在原已计提的金额</w:t>
      </w:r>
      <w:r>
        <w:rPr>
          <w:spacing w:val="-83"/>
        </w:rPr>
        <w:t> </w:t>
      </w:r>
      <w:r>
        <w:rPr>
          <w:spacing w:val="-83"/>
        </w:rPr>
      </w:r>
      <w:r>
        <w:rPr/>
        <w:t>内转回。</w:t>
      </w:r>
    </w:p>
    <w:p>
      <w:pPr>
        <w:spacing w:line="240" w:lineRule="auto" w:before="1"/>
        <w:rPr>
          <w:rFonts w:ascii="宋体" w:hAnsi="宋体" w:cs="宋体" w:eastAsia="宋体" w:hint="default"/>
          <w:sz w:val="17"/>
          <w:szCs w:val="17"/>
        </w:rPr>
      </w:pPr>
    </w:p>
    <w:p>
      <w:pPr>
        <w:pStyle w:val="BodyText"/>
        <w:spacing w:line="460" w:lineRule="auto"/>
        <w:ind w:left="1134" w:right="7182"/>
        <w:jc w:val="left"/>
      </w:pPr>
      <w:r>
        <w:rPr/>
        <w:t>（</w:t>
      </w:r>
      <w:r>
        <w:rPr>
          <w:rFonts w:ascii="宋体" w:hAnsi="宋体" w:cs="宋体" w:eastAsia="宋体" w:hint="default"/>
        </w:rPr>
        <w:t>4</w:t>
      </w:r>
      <w:r>
        <w:rPr/>
        <w:t>）存货的盘存制度 本集团存货盘存制度采用永续盘存制。</w:t>
      </w:r>
    </w:p>
    <w:p>
      <w:pPr>
        <w:pStyle w:val="BodyText"/>
        <w:spacing w:line="460" w:lineRule="auto" w:before="60"/>
        <w:ind w:right="6343"/>
        <w:jc w:val="left"/>
      </w:pPr>
      <w:r>
        <w:rPr/>
        <w:t>（</w:t>
      </w:r>
      <w:r>
        <w:rPr>
          <w:rFonts w:ascii="宋体" w:hAnsi="宋体" w:cs="宋体" w:eastAsia="宋体" w:hint="default"/>
        </w:rPr>
        <w:t>5</w:t>
      </w:r>
      <w:r>
        <w:rPr/>
        <w:t>）低值易耗品和包装物的摊销方法 本集团低值易耗品领用时采用一次转销法摊销。</w:t>
      </w:r>
    </w:p>
    <w:p>
      <w:pPr>
        <w:pStyle w:val="Heading3"/>
        <w:spacing w:line="240" w:lineRule="auto" w:before="145"/>
        <w:ind w:left="1134" w:right="0"/>
        <w:jc w:val="both"/>
        <w:rPr>
          <w:b w:val="0"/>
          <w:bCs w:val="0"/>
        </w:rPr>
      </w:pPr>
      <w:bookmarkStart w:name="13、长期股权投资" w:id="179"/>
      <w:bookmarkEnd w:id="179"/>
      <w:r>
        <w:rPr>
          <w:b w:val="0"/>
          <w:bCs w:val="0"/>
        </w:rPr>
      </w:r>
      <w:r>
        <w:rPr>
          <w:rFonts w:ascii="宋体" w:hAnsi="宋体" w:cs="宋体" w:eastAsia="宋体" w:hint="default"/>
        </w:rPr>
        <w:t>13</w:t>
      </w:r>
      <w:r>
        <w:rPr/>
        <w:t>、长期股权投资</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left="1134" w:right="0"/>
        <w:jc w:val="left"/>
      </w:pPr>
      <w:r>
        <w:rPr>
          <w:spacing w:val="-1"/>
        </w:rPr>
        <w:t>长期股权投资包括对子公司、合营企业和联营企业的权益性投资。本公司能够对被投资单位施加重大影响</w:t>
      </w:r>
      <w:r>
        <w:rPr>
          <w:spacing w:val="-81"/>
        </w:rPr>
        <w:t> </w:t>
      </w:r>
      <w:r>
        <w:rPr>
          <w:spacing w:val="-81"/>
        </w:rPr>
      </w:r>
      <w:r>
        <w:rPr/>
        <w:t>的，为本公司的联营企业。</w:t>
      </w:r>
    </w:p>
    <w:p>
      <w:pPr>
        <w:spacing w:line="240" w:lineRule="auto" w:before="1"/>
        <w:rPr>
          <w:rFonts w:ascii="宋体" w:hAnsi="宋体" w:cs="宋体" w:eastAsia="宋体" w:hint="default"/>
          <w:sz w:val="17"/>
          <w:szCs w:val="17"/>
        </w:rPr>
      </w:pPr>
    </w:p>
    <w:p>
      <w:pPr>
        <w:pStyle w:val="BodyText"/>
        <w:spacing w:line="240" w:lineRule="auto"/>
        <w:ind w:left="1134" w:right="0"/>
        <w:jc w:val="both"/>
      </w:pPr>
      <w:r>
        <w:rPr/>
        <w:t>（</w:t>
      </w:r>
      <w:r>
        <w:rPr>
          <w:rFonts w:ascii="宋体" w:hAnsi="宋体" w:cs="宋体" w:eastAsia="宋体" w:hint="default"/>
        </w:rPr>
        <w:t>1</w:t>
      </w:r>
      <w:r>
        <w:rPr/>
        <w:t>）初始投资成本确定</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形成企业合并的长期股权投资：同一控制下企业合并取得的长期股权投资，在合并日按照取得被合并方所</w:t>
      </w:r>
      <w:r>
        <w:rPr>
          <w:spacing w:val="-81"/>
        </w:rPr>
        <w:t> </w:t>
      </w:r>
      <w:r>
        <w:rPr>
          <w:spacing w:val="-81"/>
        </w:rPr>
      </w:r>
      <w:r>
        <w:rPr>
          <w:spacing w:val="-1"/>
        </w:rPr>
        <w:t>有者权益在最终控制方合并财务报表中的账面价值份额作为投资成本；非同一控制下企业合并取得的长期</w:t>
      </w:r>
      <w:r>
        <w:rPr>
          <w:spacing w:val="-81"/>
        </w:rPr>
        <w:t> </w:t>
      </w:r>
      <w:r>
        <w:rPr>
          <w:spacing w:val="-81"/>
        </w:rPr>
      </w:r>
      <w:r>
        <w:rPr/>
        <w:t>股权投资，按照合并成本作为长期股权投资的投资成本。</w:t>
      </w:r>
    </w:p>
    <w:p>
      <w:pPr>
        <w:spacing w:line="240" w:lineRule="auto" w:before="1"/>
        <w:rPr>
          <w:rFonts w:ascii="宋体" w:hAnsi="宋体" w:cs="宋体" w:eastAsia="宋体" w:hint="default"/>
          <w:sz w:val="17"/>
          <w:szCs w:val="17"/>
        </w:rPr>
      </w:pPr>
    </w:p>
    <w:p>
      <w:pPr>
        <w:pStyle w:val="BodyText"/>
        <w:spacing w:line="273" w:lineRule="auto"/>
        <w:ind w:right="0"/>
        <w:jc w:val="left"/>
      </w:pPr>
      <w:r>
        <w:rPr>
          <w:spacing w:val="-1"/>
        </w:rPr>
        <w:t>对于其他方式取得的长期股权投资：支付现金取得的长期股权投资，按照实际支付的购买价款作为初始投</w:t>
      </w:r>
      <w:r>
        <w:rPr>
          <w:spacing w:val="-81"/>
        </w:rPr>
        <w:t> </w:t>
      </w:r>
      <w:r>
        <w:rPr>
          <w:spacing w:val="-81"/>
        </w:rPr>
      </w:r>
      <w:r>
        <w:rPr/>
        <w:t>资成本；发行权益性证券取得的长期股权投资，以发行权益性证券的公允价值作为初始投资成本。</w:t>
      </w:r>
    </w:p>
    <w:p>
      <w:pPr>
        <w:spacing w:line="240" w:lineRule="auto" w:before="2"/>
        <w:rPr>
          <w:rFonts w:ascii="宋体" w:hAnsi="宋体" w:cs="宋体" w:eastAsia="宋体" w:hint="default"/>
          <w:sz w:val="17"/>
          <w:szCs w:val="17"/>
        </w:rPr>
      </w:pPr>
    </w:p>
    <w:p>
      <w:pPr>
        <w:pStyle w:val="BodyText"/>
        <w:spacing w:line="460" w:lineRule="auto"/>
        <w:ind w:right="0"/>
        <w:jc w:val="left"/>
      </w:pPr>
      <w:r>
        <w:rPr/>
        <w:t>（</w:t>
      </w:r>
      <w:r>
        <w:rPr>
          <w:rFonts w:ascii="宋体" w:hAnsi="宋体" w:cs="宋体" w:eastAsia="宋体" w:hint="default"/>
        </w:rPr>
        <w:t>2</w:t>
      </w:r>
      <w:r>
        <w:rPr/>
        <w:t>）后续计量及损益确认方法 本公司对子公司的投资，采用成本法核算；对联营企业和合营企业的投资，采用权益法核算。 </w:t>
      </w:r>
      <w:r>
        <w:rPr>
          <w:spacing w:val="-1"/>
        </w:rPr>
        <w:t>采用成本法核算的长期股权投资，除取得投资时实际支付的价款或对价中包含的已宣告但尚未发放的现金</w:t>
      </w:r>
    </w:p>
    <w:p>
      <w:pPr>
        <w:spacing w:after="0" w:line="46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股利或利润外，被投资单位宣告分派的现金股利或利润，确认为投资收益计入当期损益。</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采用权益法核算的长期股权投资，初始投资成本大于投资时应享有被投资单位可辨认净资产公允价值份额</w:t>
      </w:r>
      <w:r>
        <w:rPr>
          <w:spacing w:val="-81"/>
        </w:rPr>
        <w:t> </w:t>
      </w:r>
      <w:r>
        <w:rPr>
          <w:spacing w:val="-81"/>
        </w:rPr>
      </w:r>
      <w:r>
        <w:rPr>
          <w:spacing w:val="-1"/>
        </w:rPr>
        <w:t>的，不调整长期股权投资的投资成本；初始投资成本小于投资时应享有被投资单位可辨认净资产公允价值</w:t>
      </w:r>
      <w:r>
        <w:rPr>
          <w:spacing w:val="-81"/>
        </w:rPr>
        <w:t> </w:t>
      </w:r>
      <w:r>
        <w:rPr>
          <w:spacing w:val="-81"/>
        </w:rPr>
      </w:r>
      <w:r>
        <w:rPr/>
        <w:t>份额的，对长期股权投资的账面价值进行调整，差额计入投资当期的损益。</w:t>
      </w:r>
    </w:p>
    <w:p>
      <w:pPr>
        <w:spacing w:line="240" w:lineRule="auto" w:before="1"/>
        <w:rPr>
          <w:rFonts w:ascii="宋体" w:hAnsi="宋体" w:cs="宋体" w:eastAsia="宋体" w:hint="default"/>
          <w:sz w:val="17"/>
          <w:szCs w:val="17"/>
        </w:rPr>
      </w:pPr>
    </w:p>
    <w:p>
      <w:pPr>
        <w:pStyle w:val="BodyText"/>
        <w:spacing w:line="273" w:lineRule="auto"/>
        <w:ind w:right="1130"/>
        <w:jc w:val="both"/>
      </w:pPr>
      <w:r>
        <w:rPr>
          <w:spacing w:val="-1"/>
        </w:rPr>
        <w:t>采用权益法核算时，按照应享有或应分担的被投资单位实现的净损益和其他综合收益的份额，分别确认投</w:t>
      </w:r>
      <w:r>
        <w:rPr>
          <w:spacing w:val="-81"/>
        </w:rPr>
        <w:t> </w:t>
      </w:r>
      <w:r>
        <w:rPr>
          <w:spacing w:val="-81"/>
        </w:rPr>
      </w:r>
      <w:r>
        <w:rPr>
          <w:spacing w:val="-1"/>
        </w:rPr>
        <w:t>资收益和其他综合收益，同时调整长期股权投资的账面价值；按照被投资单位宣告分派的利润或现金股利</w:t>
      </w:r>
      <w:r>
        <w:rPr>
          <w:spacing w:val="-81"/>
        </w:rPr>
        <w:t> </w:t>
      </w:r>
      <w:r>
        <w:rPr>
          <w:spacing w:val="-81"/>
        </w:rPr>
      </w:r>
      <w:r>
        <w:rPr>
          <w:spacing w:val="-1"/>
        </w:rPr>
        <w:t>计算应享有的部分，相应减少长期股权投资的账面价值；被投资单位除净损益、其他综合收益和利润分配</w:t>
      </w:r>
      <w:r>
        <w:rPr>
          <w:spacing w:val="-83"/>
        </w:rPr>
        <w:t> </w:t>
      </w:r>
      <w:r>
        <w:rPr>
          <w:spacing w:val="-83"/>
        </w:rPr>
      </w:r>
      <w:r>
        <w:rPr>
          <w:spacing w:val="-1"/>
        </w:rPr>
        <w:t>以外所有者权益的其他变动，调整长期股权投资的账面价值并计入资本公积（其他资本公积）。在确认应</w:t>
      </w:r>
      <w:r>
        <w:rPr>
          <w:spacing w:val="-86"/>
        </w:rPr>
        <w:t> </w:t>
      </w:r>
      <w:r>
        <w:rPr>
          <w:spacing w:val="-86"/>
        </w:rPr>
      </w:r>
      <w:r>
        <w:rPr>
          <w:spacing w:val="-1"/>
        </w:rPr>
        <w:t>享有被投资单位净损益的份额时，以取得投资时被投资单位各项可辨认资产等的公允价值为基础，并按照</w:t>
      </w:r>
      <w:r>
        <w:rPr>
          <w:spacing w:val="-81"/>
        </w:rPr>
        <w:t> </w:t>
      </w:r>
      <w:r>
        <w:rPr>
          <w:spacing w:val="-81"/>
        </w:rPr>
      </w:r>
      <w:r>
        <w:rPr/>
        <w:t>本公司的会计政策及会计期间，对被投资单位的净利润进行调整后确认。</w:t>
      </w:r>
    </w:p>
    <w:p>
      <w:pPr>
        <w:spacing w:line="240" w:lineRule="auto" w:before="1"/>
        <w:rPr>
          <w:rFonts w:ascii="宋体" w:hAnsi="宋体" w:cs="宋体" w:eastAsia="宋体" w:hint="default"/>
          <w:sz w:val="17"/>
          <w:szCs w:val="17"/>
        </w:rPr>
      </w:pPr>
    </w:p>
    <w:p>
      <w:pPr>
        <w:pStyle w:val="BodyText"/>
        <w:spacing w:line="273" w:lineRule="auto"/>
        <w:ind w:right="1110"/>
        <w:jc w:val="both"/>
      </w:pPr>
      <w:r>
        <w:rPr>
          <w:spacing w:val="-1"/>
        </w:rPr>
        <w:t>因追加投资等原因能够对被投资单位施加重大影响或实施共同控制但不构成控制的，在转换日，按照原股</w:t>
      </w:r>
      <w:r>
        <w:rPr>
          <w:spacing w:val="-80"/>
        </w:rPr>
        <w:t> </w:t>
      </w:r>
      <w:r>
        <w:rPr>
          <w:spacing w:val="-80"/>
        </w:rPr>
      </w:r>
      <w:r>
        <w:rPr>
          <w:spacing w:val="-1"/>
        </w:rPr>
        <w:t>权的公允价值加上新增投资成本之和，作为改按权益法核算的初始投资成本。原股权于转换日的公允价值</w:t>
      </w:r>
      <w:r>
        <w:rPr>
          <w:spacing w:val="-81"/>
        </w:rPr>
        <w:t> </w:t>
      </w:r>
      <w:r>
        <w:rPr>
          <w:spacing w:val="-81"/>
        </w:rPr>
      </w:r>
      <w:r>
        <w:rPr/>
        <w:t>与账面价值之间的差额，以及原计入其他综合收益的累计公允价值变动转入改按权益法核算的当期损益。</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因处置部分股权投资等原因丧失了对被投资单位的共同控制或重大影响的，处置后的剩余股权在丧失共同</w:t>
      </w:r>
      <w:r>
        <w:rPr>
          <w:spacing w:val="-81"/>
        </w:rPr>
        <w:t> </w:t>
      </w:r>
      <w:r>
        <w:rPr>
          <w:spacing w:val="-81"/>
        </w:rPr>
      </w:r>
      <w:r>
        <w:rPr>
          <w:spacing w:val="-1"/>
        </w:rPr>
        <w:t>控制或重大影响之日改按《企业会计准则第</w:t>
      </w:r>
      <w:r>
        <w:rPr>
          <w:rFonts w:ascii="宋体" w:hAnsi="宋体" w:cs="宋体" w:eastAsia="宋体" w:hint="default"/>
          <w:spacing w:val="-1"/>
        </w:rPr>
        <w:t>22</w:t>
      </w:r>
      <w:r>
        <w:rPr>
          <w:spacing w:val="-1"/>
        </w:rPr>
        <w:t>号—金融工具确认和计量》进行会计处理，公允价值与账面</w:t>
      </w:r>
      <w:r>
        <w:rPr>
          <w:spacing w:val="-83"/>
        </w:rPr>
        <w:t> </w:t>
      </w:r>
      <w:r>
        <w:rPr>
          <w:spacing w:val="-83"/>
        </w:rPr>
      </w:r>
      <w:r>
        <w:rPr>
          <w:spacing w:val="-1"/>
        </w:rPr>
        <w:t>价值之间的差额计入当期损益。原股权投资因采用权益法核算而确认的其他综合收益，在终止采用权益法</w:t>
      </w:r>
      <w:r>
        <w:rPr>
          <w:spacing w:val="-81"/>
        </w:rPr>
        <w:t> </w:t>
      </w:r>
      <w:r>
        <w:rPr>
          <w:spacing w:val="-81"/>
        </w:rPr>
      </w:r>
      <w:r>
        <w:rPr>
          <w:spacing w:val="-1"/>
        </w:rPr>
        <w:t>核算时采用与被投资单位直接处置相关资产或负债相同的基础进行会计处理；原股权投资相关的其他所有</w:t>
      </w:r>
      <w:r>
        <w:rPr>
          <w:spacing w:val="-81"/>
        </w:rPr>
        <w:t> </w:t>
      </w:r>
      <w:r>
        <w:rPr>
          <w:spacing w:val="-81"/>
        </w:rPr>
      </w:r>
      <w:r>
        <w:rPr/>
        <w:t>者权益变动转入当期损益。</w:t>
      </w:r>
    </w:p>
    <w:p>
      <w:pPr>
        <w:spacing w:line="240" w:lineRule="auto" w:before="1"/>
        <w:rPr>
          <w:rFonts w:ascii="宋体" w:hAnsi="宋体" w:cs="宋体" w:eastAsia="宋体" w:hint="default"/>
          <w:sz w:val="17"/>
          <w:szCs w:val="17"/>
        </w:rPr>
      </w:pPr>
    </w:p>
    <w:p>
      <w:pPr>
        <w:pStyle w:val="BodyText"/>
        <w:spacing w:line="273" w:lineRule="auto"/>
        <w:ind w:right="1130"/>
        <w:jc w:val="both"/>
      </w:pPr>
      <w:r>
        <w:rPr>
          <w:spacing w:val="-1"/>
        </w:rPr>
        <w:t>因处置部分股权投资等原因丧失了对被投资单位的控制的，处置后的剩余股权能够对被投资单位实施共同</w:t>
      </w:r>
      <w:r>
        <w:rPr>
          <w:spacing w:val="-81"/>
        </w:rPr>
        <w:t> </w:t>
      </w:r>
      <w:r>
        <w:rPr>
          <w:spacing w:val="-81"/>
        </w:rPr>
      </w:r>
      <w:r>
        <w:rPr>
          <w:spacing w:val="-1"/>
        </w:rPr>
        <w:t>控制或施加重大影响的，改按权益法核算，并对该剩余股权视同自取得时即采用权益法核算进行调整；处</w:t>
      </w:r>
      <w:r>
        <w:rPr>
          <w:spacing w:val="-83"/>
        </w:rPr>
        <w:t> </w:t>
      </w:r>
      <w:r>
        <w:rPr>
          <w:spacing w:val="-83"/>
        </w:rPr>
      </w:r>
      <w:r>
        <w:rPr>
          <w:spacing w:val="-1"/>
        </w:rPr>
        <w:t>置后的剩余股权不能对被投资单位实施共同控制或施加重大影响的，改按《企业会计准则第</w:t>
      </w:r>
      <w:r>
        <w:rPr>
          <w:rFonts w:ascii="宋体" w:hAnsi="宋体" w:cs="宋体" w:eastAsia="宋体" w:hint="default"/>
          <w:spacing w:val="-1"/>
        </w:rPr>
        <w:t>22</w:t>
      </w:r>
      <w:r>
        <w:rPr>
          <w:spacing w:val="-1"/>
        </w:rPr>
        <w:t>号—金融工</w:t>
      </w:r>
      <w:r>
        <w:rPr>
          <w:spacing w:val="-80"/>
        </w:rPr>
        <w:t> </w:t>
      </w:r>
      <w:r>
        <w:rPr>
          <w:spacing w:val="-1"/>
        </w:rPr>
        <w:t>具确认和计量》的有关规定进行会计处理，其在丧失控制之日的公允价值与账面价值之间的差额计入当期</w:t>
      </w:r>
      <w:r>
        <w:rPr>
          <w:spacing w:val="-81"/>
        </w:rPr>
        <w:t> </w:t>
      </w:r>
      <w:r>
        <w:rPr>
          <w:spacing w:val="-81"/>
        </w:rPr>
      </w:r>
      <w:r>
        <w:rPr/>
        <w:t>损益。</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因其他投资方增资而导致本公司持股比例下降、从而丧失控制权但能对被投资单位实施共同控制或施加重</w:t>
      </w:r>
      <w:r>
        <w:rPr>
          <w:spacing w:val="-81"/>
        </w:rPr>
        <w:t> </w:t>
      </w:r>
      <w:r>
        <w:rPr>
          <w:spacing w:val="-81"/>
        </w:rPr>
      </w:r>
      <w:r>
        <w:rPr>
          <w:spacing w:val="-1"/>
        </w:rPr>
        <w:t>大影响的，按照新的持股比例确认本公司应享有的被投资单位因增资扩股而增加净资产的份额，与应结转</w:t>
      </w:r>
      <w:r>
        <w:rPr>
          <w:spacing w:val="-81"/>
        </w:rPr>
        <w:t> </w:t>
      </w:r>
      <w:r>
        <w:rPr>
          <w:spacing w:val="-81"/>
        </w:rPr>
      </w:r>
      <w:r>
        <w:rPr>
          <w:spacing w:val="-1"/>
        </w:rPr>
        <w:t>持股比例下降部分所对应的长期股权投资原账面价值之间的差额计入当期损益；然后，按照新的持股比例</w:t>
      </w:r>
      <w:r>
        <w:rPr>
          <w:spacing w:val="-81"/>
        </w:rPr>
        <w:t> </w:t>
      </w:r>
      <w:r>
        <w:rPr>
          <w:spacing w:val="-81"/>
        </w:rPr>
      </w:r>
      <w:r>
        <w:rPr/>
        <w:t>视同自取得投资时即采用权益法核算进行调整。</w:t>
      </w:r>
    </w:p>
    <w:p>
      <w:pPr>
        <w:spacing w:line="240" w:lineRule="auto" w:before="1"/>
        <w:rPr>
          <w:rFonts w:ascii="宋体" w:hAnsi="宋体" w:cs="宋体" w:eastAsia="宋体" w:hint="default"/>
          <w:sz w:val="17"/>
          <w:szCs w:val="17"/>
        </w:rPr>
      </w:pPr>
    </w:p>
    <w:p>
      <w:pPr>
        <w:pStyle w:val="BodyText"/>
        <w:spacing w:line="273" w:lineRule="auto"/>
        <w:ind w:left="1134" w:right="1131"/>
        <w:jc w:val="both"/>
      </w:pPr>
      <w:r>
        <w:rPr>
          <w:spacing w:val="-1"/>
        </w:rPr>
        <w:t>本公司与联营企业及合营企业之间发生的未实现内部交易损益按照持股比例计算归属于本公司的部分，在</w:t>
      </w:r>
      <w:r>
        <w:rPr>
          <w:spacing w:val="-81"/>
        </w:rPr>
        <w:t> </w:t>
      </w:r>
      <w:r>
        <w:rPr>
          <w:spacing w:val="-81"/>
        </w:rPr>
      </w:r>
      <w:r>
        <w:rPr>
          <w:spacing w:val="-1"/>
        </w:rPr>
        <w:t>抵销基础上确认投资损益。但本公司与被投资单位发生的未实现内部交易损失，属于所转让资产减值损失</w:t>
      </w:r>
      <w:r>
        <w:rPr>
          <w:spacing w:val="-81"/>
        </w:rPr>
        <w:t> </w:t>
      </w:r>
      <w:r>
        <w:rPr>
          <w:spacing w:val="-81"/>
        </w:rPr>
      </w:r>
      <w:r>
        <w:rPr/>
        <w:t>的，不予以抵销。</w:t>
      </w:r>
    </w:p>
    <w:p>
      <w:pPr>
        <w:spacing w:line="240" w:lineRule="auto" w:before="1"/>
        <w:rPr>
          <w:rFonts w:ascii="宋体" w:hAnsi="宋体" w:cs="宋体" w:eastAsia="宋体" w:hint="default"/>
          <w:sz w:val="17"/>
          <w:szCs w:val="17"/>
        </w:rPr>
      </w:pPr>
    </w:p>
    <w:p>
      <w:pPr>
        <w:pStyle w:val="BodyText"/>
        <w:spacing w:line="240" w:lineRule="auto"/>
        <w:ind w:left="1134" w:right="0"/>
        <w:jc w:val="both"/>
      </w:pPr>
      <w:r>
        <w:rPr/>
        <w:t>（</w:t>
      </w:r>
      <w:r>
        <w:rPr>
          <w:rFonts w:ascii="宋体" w:hAnsi="宋体" w:cs="宋体" w:eastAsia="宋体" w:hint="default"/>
        </w:rPr>
        <w:t>3</w:t>
      </w:r>
      <w:r>
        <w:rPr/>
        <w:t>）确定对被投资单位具有共同控制、重大影响的依据</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共同控制，是指按照相关约定对某项安排所共有的控制，并且该安排的相关活动必须经过分享控制权的参</w:t>
      </w:r>
      <w:r>
        <w:rPr>
          <w:spacing w:val="-81"/>
        </w:rPr>
        <w:t> </w:t>
      </w:r>
      <w:r>
        <w:rPr>
          <w:spacing w:val="-81"/>
        </w:rPr>
      </w:r>
      <w:r>
        <w:rPr>
          <w:spacing w:val="-1"/>
        </w:rPr>
        <w:t>与方一致同意后才能决策。在判断是否存在共同控制时，首先判断是否由所有参与方或参与方组合集体控</w:t>
      </w:r>
      <w:r>
        <w:rPr>
          <w:spacing w:val="-81"/>
        </w:rPr>
        <w:t> </w:t>
      </w:r>
      <w:r>
        <w:rPr>
          <w:spacing w:val="-81"/>
        </w:rPr>
      </w:r>
      <w:r>
        <w:rPr>
          <w:spacing w:val="-1"/>
        </w:rPr>
        <w:t>制该安排，其次再判断该安排相关活动的决策是否必须经过这些集体控制该安排的参与方一致同意。如果</w:t>
      </w:r>
      <w:r>
        <w:rPr>
          <w:spacing w:val="-81"/>
        </w:rPr>
        <w:t> </w:t>
      </w:r>
      <w:r>
        <w:rPr>
          <w:spacing w:val="-81"/>
        </w:rPr>
      </w:r>
      <w:r>
        <w:rPr>
          <w:spacing w:val="-1"/>
        </w:rPr>
        <w:t>所有参与方或一组参与方必须一致行动才能决定某项安排的相关活动，则认为所有参与方或一组参与方集</w:t>
      </w:r>
      <w:r>
        <w:rPr>
          <w:spacing w:val="-81"/>
        </w:rPr>
        <w:t> </w:t>
      </w:r>
      <w:r>
        <w:rPr>
          <w:spacing w:val="-81"/>
        </w:rPr>
      </w:r>
      <w:r>
        <w:rPr>
          <w:spacing w:val="-1"/>
        </w:rPr>
        <w:t>体控制该安排；如果存在两个或两个以上的参与方组合能够集体控制某项安排的，不构成共同控制。判断</w:t>
      </w:r>
      <w:r>
        <w:rPr>
          <w:spacing w:val="-83"/>
        </w:rPr>
        <w:t> </w:t>
      </w:r>
      <w:r>
        <w:rPr>
          <w:spacing w:val="-83"/>
        </w:rPr>
      </w:r>
      <w:r>
        <w:rPr/>
        <w:t>是否存在共同控制时，不考虑享有的保护性权利。</w:t>
      </w:r>
    </w:p>
    <w:p>
      <w:pPr>
        <w:spacing w:after="0" w:line="273"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重大影响，是指投资方对被投资单位的财务和经营政策有参与决策的权力，但并不能够控制或者与其他方</w:t>
      </w:r>
      <w:r>
        <w:rPr>
          <w:spacing w:val="-81"/>
        </w:rPr>
        <w:t> </w:t>
      </w:r>
      <w:r>
        <w:rPr>
          <w:spacing w:val="-81"/>
        </w:rPr>
      </w:r>
      <w:r>
        <w:rPr>
          <w:spacing w:val="-1"/>
        </w:rPr>
        <w:t>一起共同控制这些政策的制定。在确定能否对被投资单位施加重大影响时，考虑投资方直接或间接持有被</w:t>
      </w:r>
      <w:r>
        <w:rPr>
          <w:spacing w:val="-81"/>
        </w:rPr>
        <w:t> </w:t>
      </w:r>
      <w:r>
        <w:rPr>
          <w:spacing w:val="-81"/>
        </w:rPr>
      </w:r>
      <w:r>
        <w:rPr>
          <w:spacing w:val="3"/>
        </w:rPr>
        <w:t>投资单位的表决权股份以及投资方及其他方持有的当期可执行潜在表决权在假定转换为对被投资方单位</w:t>
      </w:r>
      <w:r>
        <w:rPr>
          <w:spacing w:val="-82"/>
        </w:rPr>
        <w:t> </w:t>
      </w:r>
      <w:r>
        <w:rPr>
          <w:spacing w:val="-82"/>
        </w:rPr>
      </w:r>
      <w:r>
        <w:rPr>
          <w:spacing w:val="-1"/>
        </w:rPr>
        <w:t>的股权后产生的影响，包括被投资单位发行的当期可转换的认股权证、股份期权及可转换公司债券等的影</w:t>
      </w:r>
      <w:r>
        <w:rPr>
          <w:spacing w:val="-81"/>
        </w:rPr>
        <w:t> </w:t>
      </w:r>
      <w:r>
        <w:rPr>
          <w:spacing w:val="-81"/>
        </w:rPr>
      </w:r>
      <w:r>
        <w:rPr/>
        <w:t>响。</w:t>
      </w:r>
    </w:p>
    <w:p>
      <w:pPr>
        <w:spacing w:line="240" w:lineRule="auto" w:before="1"/>
        <w:rPr>
          <w:rFonts w:ascii="宋体" w:hAnsi="宋体" w:cs="宋体" w:eastAsia="宋体" w:hint="default"/>
          <w:sz w:val="17"/>
          <w:szCs w:val="17"/>
        </w:rPr>
      </w:pPr>
    </w:p>
    <w:p>
      <w:pPr>
        <w:pStyle w:val="BodyText"/>
        <w:spacing w:line="273" w:lineRule="auto"/>
        <w:ind w:left="1134" w:right="1131"/>
        <w:jc w:val="both"/>
      </w:pPr>
      <w:r>
        <w:rPr/>
        <w:t>当本公司直接或通过子公司间接拥有被投资单位</w:t>
      </w:r>
      <w:r>
        <w:rPr>
          <w:rFonts w:ascii="宋体" w:hAnsi="宋体" w:cs="宋体" w:eastAsia="宋体" w:hint="default"/>
        </w:rPr>
        <w:t>20%</w:t>
      </w:r>
      <w:r>
        <w:rPr/>
        <w:t>（含</w:t>
      </w:r>
      <w:r>
        <w:rPr>
          <w:rFonts w:ascii="宋体" w:hAnsi="宋体" w:cs="宋体" w:eastAsia="宋体" w:hint="default"/>
        </w:rPr>
        <w:t>20%</w:t>
      </w:r>
      <w:r>
        <w:rPr/>
        <w:t>）以上但低于</w:t>
      </w:r>
      <w:r>
        <w:rPr>
          <w:rFonts w:ascii="宋体" w:hAnsi="宋体" w:cs="宋体" w:eastAsia="宋体" w:hint="default"/>
        </w:rPr>
        <w:t>50%</w:t>
      </w:r>
      <w:r>
        <w:rPr/>
        <w:t>的表决权股份时，一般认为</w:t>
      </w:r>
      <w:r>
        <w:rPr>
          <w:spacing w:val="-29"/>
        </w:rPr>
        <w:t> </w:t>
      </w:r>
      <w:r>
        <w:rPr>
          <w:spacing w:val="-29"/>
        </w:rPr>
      </w:r>
      <w:r>
        <w:rPr>
          <w:spacing w:val="-1"/>
        </w:rPr>
        <w:t>对被投资单位具有重大影响，除非有明确证据表明该种情况下不能参与被投资单位的生产经营决策，不形</w:t>
      </w:r>
      <w:r>
        <w:rPr>
          <w:spacing w:val="-81"/>
        </w:rPr>
        <w:t> </w:t>
      </w:r>
      <w:r>
        <w:rPr>
          <w:spacing w:val="-81"/>
        </w:rPr>
      </w:r>
      <w:r>
        <w:rPr/>
        <w:t>成重大影响；本公司拥有被投资单位</w:t>
      </w:r>
      <w:r>
        <w:rPr>
          <w:rFonts w:ascii="宋体" w:hAnsi="宋体" w:cs="宋体" w:eastAsia="宋体" w:hint="default"/>
        </w:rPr>
        <w:t>20%</w:t>
      </w:r>
      <w:r>
        <w:rPr/>
        <w:t>（不含）以下的表决权股份时，一般不认为对被投资单位具有重</w:t>
      </w:r>
      <w:r>
        <w:rPr>
          <w:spacing w:val="-32"/>
        </w:rPr>
        <w:t> </w:t>
      </w:r>
      <w:r>
        <w:rPr>
          <w:spacing w:val="-32"/>
        </w:rPr>
      </w:r>
      <w:r>
        <w:rPr/>
        <w:t>大影响，除非有明确证据表明该种情况下能够参与被投资单位的生产经营决策，形成重大影响。</w:t>
      </w:r>
    </w:p>
    <w:p>
      <w:pPr>
        <w:spacing w:line="240" w:lineRule="auto" w:before="1"/>
        <w:rPr>
          <w:rFonts w:ascii="宋体" w:hAnsi="宋体" w:cs="宋体" w:eastAsia="宋体" w:hint="default"/>
          <w:sz w:val="17"/>
          <w:szCs w:val="17"/>
        </w:rPr>
      </w:pPr>
    </w:p>
    <w:p>
      <w:pPr>
        <w:pStyle w:val="BodyText"/>
        <w:spacing w:line="460" w:lineRule="auto"/>
        <w:ind w:right="2039"/>
        <w:jc w:val="left"/>
      </w:pPr>
      <w:r>
        <w:rPr/>
        <w:t>（</w:t>
      </w:r>
      <w:r>
        <w:rPr>
          <w:rFonts w:ascii="宋体" w:hAnsi="宋体" w:cs="宋体" w:eastAsia="宋体" w:hint="default"/>
        </w:rPr>
        <w:t>4</w:t>
      </w:r>
      <w:r>
        <w:rPr/>
        <w:t>）减值测试方法及减值准备计提方法 对子公司、联营企业及合营企业的投资，本公司计提资产减值的方法见本报告第十节</w:t>
      </w:r>
      <w:r>
        <w:rPr>
          <w:spacing w:val="-1"/>
        </w:rPr>
        <w:t> </w:t>
      </w:r>
      <w:r>
        <w:rPr/>
        <w:t>五、</w:t>
      </w:r>
      <w:r>
        <w:rPr>
          <w:rFonts w:ascii="宋体" w:hAnsi="宋体" w:cs="宋体" w:eastAsia="宋体" w:hint="default"/>
        </w:rPr>
        <w:t>22</w:t>
      </w:r>
      <w:r>
        <w:rPr/>
        <w:t>。</w:t>
      </w:r>
    </w:p>
    <w:p>
      <w:pPr>
        <w:pStyle w:val="Heading3"/>
        <w:spacing w:line="240" w:lineRule="auto" w:before="145"/>
        <w:ind w:left="1134" w:right="0"/>
        <w:jc w:val="both"/>
        <w:rPr>
          <w:b w:val="0"/>
          <w:bCs w:val="0"/>
        </w:rPr>
      </w:pPr>
      <w:bookmarkStart w:name="14、投资性房地产" w:id="180"/>
      <w:bookmarkEnd w:id="180"/>
      <w:r>
        <w:rPr>
          <w:b w:val="0"/>
          <w:bCs w:val="0"/>
        </w:rPr>
      </w:r>
      <w:r>
        <w:rPr>
          <w:rFonts w:ascii="宋体" w:hAnsi="宋体" w:cs="宋体" w:eastAsia="宋体" w:hint="default"/>
        </w:rPr>
        <w:t>14</w:t>
      </w:r>
      <w:r>
        <w:rPr/>
        <w:t>、投资性房地产</w:t>
      </w:r>
      <w:r>
        <w:rPr>
          <w:b w:val="0"/>
          <w:bCs w:val="0"/>
        </w:rPr>
      </w:r>
    </w:p>
    <w:p>
      <w:pPr>
        <w:spacing w:line="240" w:lineRule="auto" w:before="11"/>
        <w:rPr>
          <w:rFonts w:ascii="宋体" w:hAnsi="宋体" w:cs="宋体" w:eastAsia="宋体" w:hint="default"/>
          <w:b/>
          <w:bCs/>
          <w:sz w:val="25"/>
          <w:szCs w:val="25"/>
        </w:rPr>
      </w:pPr>
    </w:p>
    <w:p>
      <w:pPr>
        <w:pStyle w:val="BodyText"/>
        <w:spacing w:line="307" w:lineRule="auto"/>
        <w:ind w:left="1134" w:right="8652"/>
        <w:jc w:val="left"/>
      </w:pPr>
      <w:r>
        <w:rPr/>
        <w:t>投资性房地产计量模式 不适用</w:t>
      </w:r>
    </w:p>
    <w:p>
      <w:pPr>
        <w:spacing w:line="240" w:lineRule="auto" w:before="4"/>
        <w:rPr>
          <w:rFonts w:ascii="宋体" w:hAnsi="宋体" w:cs="宋体" w:eastAsia="宋体" w:hint="default"/>
          <w:sz w:val="21"/>
          <w:szCs w:val="21"/>
        </w:rPr>
      </w:pPr>
    </w:p>
    <w:p>
      <w:pPr>
        <w:pStyle w:val="Heading3"/>
        <w:spacing w:line="240" w:lineRule="auto"/>
        <w:ind w:left="1134" w:right="0"/>
        <w:jc w:val="both"/>
        <w:rPr>
          <w:b w:val="0"/>
          <w:bCs w:val="0"/>
        </w:rPr>
      </w:pPr>
      <w:bookmarkStart w:name="15、固定资产" w:id="181"/>
      <w:bookmarkEnd w:id="181"/>
      <w:r>
        <w:rPr>
          <w:b w:val="0"/>
          <w:bCs w:val="0"/>
        </w:rPr>
      </w:r>
      <w:r>
        <w:rPr>
          <w:rFonts w:ascii="宋体" w:hAnsi="宋体" w:cs="宋体" w:eastAsia="宋体" w:hint="default"/>
        </w:rPr>
        <w:t>15</w:t>
      </w:r>
      <w:r>
        <w:rPr/>
        <w:t>、固定资产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134" w:right="0"/>
        <w:jc w:val="both"/>
        <w:rPr>
          <w:b w:val="0"/>
          <w:bCs w:val="0"/>
        </w:rPr>
      </w:pPr>
      <w:bookmarkStart w:name="（1）确认条件" w:id="182"/>
      <w:bookmarkEnd w:id="182"/>
      <w:r>
        <w:rPr>
          <w:b w:val="0"/>
          <w:bCs w:val="0"/>
        </w:rPr>
      </w:r>
      <w:r>
        <w:rPr/>
        <w:t>（</w:t>
      </w:r>
      <w:r>
        <w:rPr>
          <w:rFonts w:ascii="宋体" w:hAnsi="宋体" w:cs="宋体" w:eastAsia="宋体" w:hint="default"/>
        </w:rPr>
        <w:t>1</w:t>
      </w:r>
      <w:r>
        <w:rPr/>
        <w:t>）确认条件</w:t>
      </w:r>
      <w:r>
        <w:rPr>
          <w:b w:val="0"/>
          <w:bCs w:val="0"/>
        </w:rPr>
      </w:r>
    </w:p>
    <w:p>
      <w:pPr>
        <w:spacing w:line="240" w:lineRule="auto" w:before="12"/>
        <w:rPr>
          <w:rFonts w:ascii="宋体" w:hAnsi="宋体" w:cs="宋体" w:eastAsia="宋体" w:hint="default"/>
          <w:b/>
          <w:bCs/>
          <w:sz w:val="25"/>
          <w:szCs w:val="25"/>
        </w:rPr>
      </w:pPr>
    </w:p>
    <w:p>
      <w:pPr>
        <w:pStyle w:val="BodyText"/>
        <w:spacing w:line="273" w:lineRule="auto"/>
        <w:ind w:left="1134" w:right="1130"/>
        <w:jc w:val="both"/>
      </w:pPr>
      <w:r>
        <w:rPr>
          <w:spacing w:val="-1"/>
        </w:rPr>
        <w:t>本集团固定资产是指为生产商品、提供劳务、出租或经营管理而持有的，使用寿命超过一个会计年度的有</w:t>
      </w:r>
      <w:r>
        <w:rPr>
          <w:spacing w:val="-82"/>
        </w:rPr>
        <w:t> </w:t>
      </w:r>
      <w:r>
        <w:rPr>
          <w:spacing w:val="-82"/>
        </w:rPr>
      </w:r>
      <w:r>
        <w:rPr>
          <w:spacing w:val="-1"/>
        </w:rPr>
        <w:t>形资产。与该固定资产有关的经济利益很可能流入企业，并且该固定资产的成本能够可靠地计量时，固定</w:t>
      </w:r>
      <w:r>
        <w:rPr>
          <w:spacing w:val="-83"/>
        </w:rPr>
        <w:t> </w:t>
      </w:r>
      <w:r>
        <w:rPr>
          <w:spacing w:val="-83"/>
        </w:rPr>
      </w:r>
      <w:r>
        <w:rPr/>
        <w:t>资产才能予以确认。本集团固定资产按照取得时的实际成本进行初始计量。</w:t>
      </w:r>
    </w:p>
    <w:p>
      <w:pPr>
        <w:spacing w:line="240" w:lineRule="auto" w:before="6"/>
        <w:rPr>
          <w:rFonts w:ascii="宋体" w:hAnsi="宋体" w:cs="宋体" w:eastAsia="宋体" w:hint="default"/>
          <w:sz w:val="23"/>
          <w:szCs w:val="23"/>
        </w:rPr>
      </w:pPr>
    </w:p>
    <w:p>
      <w:pPr>
        <w:pStyle w:val="Heading3"/>
        <w:spacing w:line="240" w:lineRule="auto"/>
        <w:ind w:left="1134" w:right="0"/>
        <w:jc w:val="both"/>
        <w:rPr>
          <w:b w:val="0"/>
          <w:bCs w:val="0"/>
        </w:rPr>
      </w:pPr>
      <w:bookmarkStart w:name="（2）折旧方法" w:id="183"/>
      <w:bookmarkEnd w:id="183"/>
      <w:r>
        <w:rPr>
          <w:b w:val="0"/>
          <w:bCs w:val="0"/>
        </w:rPr>
      </w:r>
      <w:r>
        <w:rPr/>
        <w:t>（</w:t>
      </w:r>
      <w:r>
        <w:rPr>
          <w:rFonts w:ascii="宋体" w:hAnsi="宋体" w:cs="宋体" w:eastAsia="宋体" w:hint="default"/>
        </w:rPr>
        <w:t>2</w:t>
      </w:r>
      <w:r>
        <w:rPr/>
        <w:t>）折旧方法</w:t>
      </w:r>
      <w:r>
        <w:rPr>
          <w:b w:val="0"/>
          <w:bCs w:val="0"/>
        </w:rPr>
      </w:r>
    </w:p>
    <w:p>
      <w:pPr>
        <w:spacing w:line="240" w:lineRule="auto" w:before="13"/>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2.43%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房屋装修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20.00%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32.33%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办公家具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19.40%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24.25%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32.33%</w:t>
            </w:r>
          </w:p>
        </w:tc>
      </w:tr>
    </w:tbl>
    <w:p>
      <w:pPr>
        <w:spacing w:line="240" w:lineRule="auto" w:before="5"/>
        <w:rPr>
          <w:rFonts w:ascii="宋体" w:hAnsi="宋体" w:cs="宋体" w:eastAsia="宋体" w:hint="default"/>
          <w:b/>
          <w:bCs/>
          <w:sz w:val="5"/>
          <w:szCs w:val="5"/>
        </w:rPr>
      </w:pPr>
    </w:p>
    <w:p>
      <w:pPr>
        <w:pStyle w:val="BodyText"/>
        <w:spacing w:line="460" w:lineRule="auto" w:before="35"/>
        <w:ind w:right="2143"/>
        <w:jc w:val="left"/>
      </w:pPr>
      <w:r>
        <w:rPr/>
        <w:t>已计提减值准备的固定资产，还应扣除已计提的固定资产减值准备累计金额计算确定折旧率。 房屋建筑物的预计使用年限以</w:t>
      </w:r>
      <w:r>
        <w:rPr>
          <w:rFonts w:ascii="宋体" w:hAnsi="宋体" w:cs="宋体" w:eastAsia="宋体" w:hint="default"/>
        </w:rPr>
        <w:t>40</w:t>
      </w:r>
      <w:r>
        <w:rPr/>
        <w:t>年与房屋产权证书所载使用年限孰低确定。 固定资产的减值测试方法、减值准备计提方法见本报告第十节、五、</w:t>
      </w:r>
      <w:r>
        <w:rPr>
          <w:rFonts w:ascii="宋体" w:hAnsi="宋体" w:cs="宋体" w:eastAsia="宋体" w:hint="default"/>
        </w:rPr>
        <w:t>22</w:t>
      </w:r>
      <w:r>
        <w:rPr/>
        <w:t>。</w:t>
      </w:r>
    </w:p>
    <w:p>
      <w:pPr>
        <w:spacing w:after="0" w:line="46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3）融资租入固定资产的认定依据、计价和折旧方法" w:id="184"/>
      <w:bookmarkEnd w:id="184"/>
      <w:r>
        <w:rPr>
          <w:b w:val="0"/>
          <w:bCs w:val="0"/>
        </w:rPr>
      </w:r>
      <w:r>
        <w:rPr/>
        <w:t>（</w:t>
      </w:r>
      <w:r>
        <w:rPr>
          <w:rFonts w:ascii="宋体" w:hAnsi="宋体" w:cs="宋体" w:eastAsia="宋体" w:hint="default"/>
        </w:rPr>
        <w:t>3</w:t>
      </w:r>
      <w:r>
        <w:rPr/>
        <w:t>）融资租入固定资产的认定依据、计价和折旧方法</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1024"/>
        <w:jc w:val="left"/>
      </w:pPr>
      <w:r>
        <w:rPr/>
        <w:t>当本集团租入的固定资产符合下列一项或数项标准时，确认为融资租入固定资产：①在租赁期届满时，租 赁资产的所有权转移给本集团。②本集团有购买租赁资产的选择权，所订立的购买价款预计将远低于行使 选择权时租赁资产的公允价值，因而在租赁开始日就可以合理确定本集团将会行使这种选择权。③即使资 产的所有权不转移，但租赁期占租赁资产使用寿命的大部分。④本集团在租赁开始日的最低租赁付款额现 值，几乎相当于租赁开始日租赁资产公允价值。⑤租赁资产性质特殊，如果不作较大改造，只有本集团才 能使用。融资租赁租入的固定资产，按租赁开始日租赁资产公允价值与最低租赁付款额的现值两者中较低 者，作为入账价值。最低租赁付款额作为长期应付款的入账价值，其差额作为未确认融资费用。在租赁谈 </w:t>
      </w:r>
      <w:r>
        <w:rPr>
          <w:spacing w:val="-3"/>
        </w:rPr>
        <w:t>判和签订租赁合同过程中发生的，可归属于租赁项目的手续费、律师费、差旅费、印花税等初始直接费用，</w:t>
      </w:r>
      <w:r>
        <w:rPr>
          <w:spacing w:val="-94"/>
        </w:rPr>
        <w:t> </w:t>
      </w:r>
      <w:r>
        <w:rPr>
          <w:spacing w:val="-94"/>
        </w:rPr>
      </w:r>
      <w:r>
        <w:rPr/>
        <w:t>计入租入资产价值。未确认融资费用在租赁期内各个期间采用实际利率法进行分摊。融资租入的固定资产</w:t>
      </w:r>
      <w:r>
        <w:rPr/>
        <w:t> 采用与自有固定资产一致的政策计提租赁资产折旧。能够合理确定租赁期届满时将会取得租赁资产所有权 的，在租赁资产尚可使用年限内计提折旧；无法合理确定租赁期届满时能够取得租赁资产所有权的，在租 赁期与租赁资产尚可使用年限两者中较短的期间内计提折旧。</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bookmarkStart w:name="16、在建工程" w:id="185"/>
      <w:bookmarkEnd w:id="185"/>
      <w:r>
        <w:rPr>
          <w:b w:val="0"/>
          <w:bCs w:val="0"/>
        </w:rPr>
      </w:r>
      <w:r>
        <w:rPr>
          <w:rFonts w:ascii="宋体" w:hAnsi="宋体" w:cs="宋体" w:eastAsia="宋体" w:hint="default"/>
        </w:rPr>
        <w:t>16</w:t>
      </w:r>
      <w:r>
        <w:rPr/>
        <w:t>、在建工程</w:t>
      </w:r>
      <w:r>
        <w:rPr>
          <w:b w:val="0"/>
          <w:bCs w:val="0"/>
        </w:rPr>
      </w:r>
    </w:p>
    <w:p>
      <w:pPr>
        <w:spacing w:line="240" w:lineRule="auto" w:before="11"/>
        <w:rPr>
          <w:rFonts w:ascii="宋体" w:hAnsi="宋体" w:cs="宋体" w:eastAsia="宋体" w:hint="default"/>
          <w:b/>
          <w:bCs/>
          <w:sz w:val="25"/>
          <w:szCs w:val="25"/>
        </w:rPr>
      </w:pPr>
    </w:p>
    <w:p>
      <w:pPr>
        <w:pStyle w:val="BodyText"/>
        <w:spacing w:line="273" w:lineRule="auto"/>
        <w:ind w:right="0"/>
        <w:jc w:val="left"/>
      </w:pPr>
      <w:r>
        <w:rPr>
          <w:spacing w:val="-1"/>
        </w:rPr>
        <w:t>本集团在建工程成本按实际工程支出确定，包括在建期间发生的各项必要工程支出、工程达到预定可使用</w:t>
      </w:r>
      <w:r>
        <w:rPr>
          <w:spacing w:val="-81"/>
        </w:rPr>
        <w:t> </w:t>
      </w:r>
      <w:r>
        <w:rPr>
          <w:spacing w:val="-81"/>
        </w:rPr>
      </w:r>
      <w:r>
        <w:rPr/>
        <w:t>状态前的应予资本化的借款费用以及其他相关费用等。</w:t>
      </w:r>
    </w:p>
    <w:p>
      <w:pPr>
        <w:spacing w:line="240" w:lineRule="auto" w:before="1"/>
        <w:rPr>
          <w:rFonts w:ascii="宋体" w:hAnsi="宋体" w:cs="宋体" w:eastAsia="宋体" w:hint="default"/>
          <w:sz w:val="17"/>
          <w:szCs w:val="17"/>
        </w:rPr>
      </w:pPr>
    </w:p>
    <w:p>
      <w:pPr>
        <w:pStyle w:val="BodyText"/>
        <w:spacing w:line="460" w:lineRule="auto"/>
        <w:ind w:left="1134" w:right="5712"/>
        <w:jc w:val="left"/>
      </w:pPr>
      <w:r>
        <w:rPr/>
        <w:t>在建工程在达到预定可使用状态时转入固定资产。 在建工程计提资产减值方法见本报告第十节、五、</w:t>
      </w:r>
      <w:r>
        <w:rPr>
          <w:rFonts w:ascii="宋体" w:hAnsi="宋体" w:cs="宋体" w:eastAsia="宋体" w:hint="default"/>
        </w:rPr>
        <w:t>22</w:t>
      </w:r>
      <w:r>
        <w:rPr/>
        <w:t>。</w:t>
      </w:r>
    </w:p>
    <w:p>
      <w:pPr>
        <w:pStyle w:val="Heading3"/>
        <w:spacing w:line="240" w:lineRule="auto" w:before="145"/>
        <w:ind w:left="1134" w:right="0"/>
        <w:jc w:val="both"/>
        <w:rPr>
          <w:b w:val="0"/>
          <w:bCs w:val="0"/>
        </w:rPr>
      </w:pPr>
      <w:bookmarkStart w:name="17、借款费用" w:id="186"/>
      <w:bookmarkEnd w:id="186"/>
      <w:r>
        <w:rPr>
          <w:b w:val="0"/>
          <w:bCs w:val="0"/>
        </w:rPr>
      </w:r>
      <w:r>
        <w:rPr>
          <w:rFonts w:ascii="宋体" w:hAnsi="宋体" w:cs="宋体" w:eastAsia="宋体" w:hint="default"/>
        </w:rPr>
        <w:t>17</w:t>
      </w:r>
      <w:r>
        <w:rPr/>
        <w:t>、借款费用</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1134" w:right="0"/>
        <w:jc w:val="both"/>
      </w:pPr>
      <w:r>
        <w:rPr/>
        <w:t>（</w:t>
      </w:r>
      <w:r>
        <w:rPr>
          <w:rFonts w:ascii="宋体" w:hAnsi="宋体" w:cs="宋体" w:eastAsia="宋体" w:hint="default"/>
        </w:rPr>
        <w:t>1</w:t>
      </w:r>
      <w:r>
        <w:rPr/>
        <w:t>）借款费用资本化的确认原则</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本集团发生的借款费用，可直接归属于符合资本化条件的资产的购建或者生产的，予以资本化，计入相关</w:t>
      </w:r>
      <w:r>
        <w:rPr>
          <w:spacing w:val="-83"/>
        </w:rPr>
        <w:t> </w:t>
      </w:r>
      <w:r>
        <w:rPr>
          <w:spacing w:val="-83"/>
        </w:rPr>
      </w:r>
      <w:r>
        <w:rPr>
          <w:spacing w:val="-1"/>
        </w:rPr>
        <w:t>资产成本；其他借款费用，在发生时根据其发生额确认为费用，计入当期损益。借款费用同时满足下列条</w:t>
      </w:r>
      <w:r>
        <w:rPr>
          <w:spacing w:val="-86"/>
        </w:rPr>
        <w:t> </w:t>
      </w:r>
      <w:r>
        <w:rPr>
          <w:spacing w:val="-86"/>
        </w:rPr>
      </w:r>
      <w:r>
        <w:rPr/>
        <w:t>件的，开始资本化：</w:t>
      </w:r>
    </w:p>
    <w:p>
      <w:pPr>
        <w:spacing w:line="240" w:lineRule="auto" w:before="1"/>
        <w:rPr>
          <w:rFonts w:ascii="宋体" w:hAnsi="宋体" w:cs="宋体" w:eastAsia="宋体" w:hint="default"/>
          <w:sz w:val="17"/>
          <w:szCs w:val="17"/>
        </w:rPr>
      </w:pPr>
    </w:p>
    <w:p>
      <w:pPr>
        <w:pStyle w:val="BodyText"/>
        <w:spacing w:line="273" w:lineRule="auto"/>
        <w:ind w:right="0"/>
        <w:jc w:val="left"/>
      </w:pPr>
      <w:r>
        <w:rPr>
          <w:spacing w:val="-1"/>
        </w:rPr>
        <w:t>①资产支出已经发生，资产支出包括为购建或者生产符合资本化条件的资产而以支付现金、转移非现金资</w:t>
      </w:r>
      <w:r>
        <w:rPr>
          <w:spacing w:val="-81"/>
        </w:rPr>
        <w:t> </w:t>
      </w:r>
      <w:r>
        <w:rPr>
          <w:spacing w:val="-81"/>
        </w:rPr>
      </w:r>
      <w:r>
        <w:rPr/>
        <w:t>产或者承担带息债务形式发生的支出；</w:t>
      </w:r>
    </w:p>
    <w:p>
      <w:pPr>
        <w:spacing w:line="240" w:lineRule="auto" w:before="1"/>
        <w:rPr>
          <w:rFonts w:ascii="宋体" w:hAnsi="宋体" w:cs="宋体" w:eastAsia="宋体" w:hint="default"/>
          <w:sz w:val="17"/>
          <w:szCs w:val="17"/>
        </w:rPr>
      </w:pPr>
    </w:p>
    <w:p>
      <w:pPr>
        <w:pStyle w:val="BodyText"/>
        <w:spacing w:line="240" w:lineRule="auto"/>
        <w:ind w:right="0"/>
        <w:jc w:val="both"/>
      </w:pPr>
      <w:r>
        <w:rPr/>
        <w:t>②借款费用已经发生；</w:t>
      </w:r>
    </w:p>
    <w:p>
      <w:pPr>
        <w:spacing w:line="240" w:lineRule="auto" w:before="5"/>
        <w:rPr>
          <w:rFonts w:ascii="宋体" w:hAnsi="宋体" w:cs="宋体" w:eastAsia="宋体" w:hint="default"/>
          <w:sz w:val="19"/>
          <w:szCs w:val="19"/>
        </w:rPr>
      </w:pPr>
    </w:p>
    <w:p>
      <w:pPr>
        <w:pStyle w:val="BodyText"/>
        <w:spacing w:line="240" w:lineRule="auto"/>
        <w:ind w:right="0"/>
        <w:jc w:val="both"/>
      </w:pPr>
      <w:r>
        <w:rPr/>
        <w:t>③为使资产达到预定可使用或者可销售状态所必要的购建或者生产活动已经开始。</w:t>
      </w:r>
    </w:p>
    <w:p>
      <w:pPr>
        <w:spacing w:line="240" w:lineRule="auto" w:before="5"/>
        <w:rPr>
          <w:rFonts w:ascii="宋体" w:hAnsi="宋体" w:cs="宋体" w:eastAsia="宋体" w:hint="default"/>
          <w:sz w:val="19"/>
          <w:szCs w:val="19"/>
        </w:rPr>
      </w:pPr>
    </w:p>
    <w:p>
      <w:pPr>
        <w:pStyle w:val="BodyText"/>
        <w:spacing w:line="240" w:lineRule="auto"/>
        <w:ind w:right="0"/>
        <w:jc w:val="both"/>
      </w:pPr>
      <w:r>
        <w:rPr/>
        <w:t>（</w:t>
      </w:r>
      <w:r>
        <w:rPr>
          <w:rFonts w:ascii="宋体" w:hAnsi="宋体" w:cs="宋体" w:eastAsia="宋体" w:hint="default"/>
        </w:rPr>
        <w:t>2</w:t>
      </w:r>
      <w:r>
        <w:rPr/>
        <w:t>）借款费用资本化期间</w:t>
      </w:r>
    </w:p>
    <w:p>
      <w:pPr>
        <w:spacing w:line="240" w:lineRule="auto" w:before="5"/>
        <w:rPr>
          <w:rFonts w:ascii="宋体" w:hAnsi="宋体" w:cs="宋体" w:eastAsia="宋体" w:hint="default"/>
          <w:sz w:val="19"/>
          <w:szCs w:val="19"/>
        </w:rPr>
      </w:pPr>
    </w:p>
    <w:p>
      <w:pPr>
        <w:pStyle w:val="BodyText"/>
        <w:spacing w:line="273" w:lineRule="auto"/>
        <w:ind w:left="1134" w:right="1129"/>
        <w:jc w:val="both"/>
      </w:pPr>
      <w:r>
        <w:rPr>
          <w:spacing w:val="-1"/>
        </w:rPr>
        <w:t>本集团购建或者生产符合资本化条件的资产达到预定可使用或者可销售状态时，借款费用停止资本化。在</w:t>
      </w:r>
      <w:r>
        <w:rPr>
          <w:spacing w:val="-81"/>
        </w:rPr>
        <w:t> </w:t>
      </w:r>
      <w:r>
        <w:rPr>
          <w:spacing w:val="-81"/>
        </w:rPr>
      </w:r>
      <w:r>
        <w:rPr>
          <w:spacing w:val="-1"/>
        </w:rPr>
        <w:t>符合资本化条件的资产达到预定可使用或者可销售状态之后所发生的借款费用，在发生时根据其发生额确</w:t>
      </w:r>
      <w:r>
        <w:rPr>
          <w:spacing w:val="-81"/>
        </w:rPr>
        <w:t> </w:t>
      </w:r>
      <w:r>
        <w:rPr>
          <w:spacing w:val="-81"/>
        </w:rPr>
      </w:r>
      <w:r>
        <w:rPr/>
        <w:t>认为费用，计入当期损益。</w:t>
      </w:r>
    </w:p>
    <w:p>
      <w:pPr>
        <w:spacing w:line="240" w:lineRule="auto" w:before="1"/>
        <w:rPr>
          <w:rFonts w:ascii="宋体" w:hAnsi="宋体" w:cs="宋体" w:eastAsia="宋体" w:hint="default"/>
          <w:sz w:val="17"/>
          <w:szCs w:val="17"/>
        </w:rPr>
      </w:pPr>
    </w:p>
    <w:p>
      <w:pPr>
        <w:pStyle w:val="BodyText"/>
        <w:spacing w:line="273" w:lineRule="auto"/>
        <w:ind w:right="0"/>
        <w:jc w:val="left"/>
      </w:pPr>
      <w:r>
        <w:rPr/>
        <w:t>符合资本化条件的资产在购建或者生产过程中发生非正常中断、且中断时间连续超过</w:t>
      </w:r>
      <w:r>
        <w:rPr>
          <w:rFonts w:ascii="宋体" w:hAnsi="宋体" w:cs="宋体" w:eastAsia="宋体" w:hint="default"/>
        </w:rPr>
        <w:t>3</w:t>
      </w:r>
      <w:r>
        <w:rPr/>
        <w:t>个月的，暂停借款</w:t>
      </w:r>
      <w:r>
        <w:rPr>
          <w:spacing w:val="-24"/>
        </w:rPr>
        <w:t> </w:t>
      </w:r>
      <w:r>
        <w:rPr>
          <w:spacing w:val="-24"/>
        </w:rPr>
      </w:r>
      <w:r>
        <w:rPr/>
        <w:t>费用的资本化；正常中断期间的借款费用继续资本化。</w:t>
      </w:r>
    </w:p>
    <w:p>
      <w:pPr>
        <w:spacing w:after="0" w:line="273"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w:t>
      </w:r>
      <w:r>
        <w:rPr>
          <w:rFonts w:ascii="宋体" w:hAnsi="宋体" w:cs="宋体" w:eastAsia="宋体" w:hint="default"/>
        </w:rPr>
        <w:t>3</w:t>
      </w:r>
      <w:r>
        <w:rPr/>
        <w:t>）借款费用资本化率以及资本化金额的计算方法</w:t>
      </w:r>
    </w:p>
    <w:p>
      <w:pPr>
        <w:spacing w:line="240" w:lineRule="auto" w:before="5"/>
        <w:rPr>
          <w:rFonts w:ascii="宋体" w:hAnsi="宋体" w:cs="宋体" w:eastAsia="宋体" w:hint="default"/>
          <w:sz w:val="19"/>
          <w:szCs w:val="19"/>
        </w:rPr>
      </w:pPr>
    </w:p>
    <w:p>
      <w:pPr>
        <w:pStyle w:val="BodyText"/>
        <w:spacing w:line="273" w:lineRule="auto"/>
        <w:ind w:right="1110"/>
        <w:jc w:val="both"/>
      </w:pPr>
      <w:r>
        <w:rPr>
          <w:spacing w:val="-1"/>
        </w:rPr>
        <w:t>专门借款当期实际发生的利息费用，减去尚未动用的借款资金存入银行取得的利息收入或进行暂时性投资</w:t>
      </w:r>
      <w:r>
        <w:rPr>
          <w:spacing w:val="-81"/>
        </w:rPr>
        <w:t> </w:t>
      </w:r>
      <w:r>
        <w:rPr>
          <w:spacing w:val="-81"/>
        </w:rPr>
      </w:r>
      <w:r>
        <w:rPr>
          <w:spacing w:val="-1"/>
        </w:rPr>
        <w:t>取得的投资收益后的金额予以资本化；一般借款根据累计资产支出超过专门借款部分的资产支出加权平均</w:t>
      </w:r>
      <w:r>
        <w:rPr>
          <w:spacing w:val="-81"/>
        </w:rPr>
        <w:t> </w:t>
      </w:r>
      <w:r>
        <w:rPr>
          <w:spacing w:val="-81"/>
        </w:rPr>
      </w:r>
      <w:r>
        <w:rPr/>
        <w:t>数乘以所占用一般借款的资本化率，确定资本化金额。资本化率根据一般借款的加权平均利率计算确定。</w:t>
      </w:r>
    </w:p>
    <w:p>
      <w:pPr>
        <w:spacing w:line="240" w:lineRule="auto" w:before="1"/>
        <w:rPr>
          <w:rFonts w:ascii="宋体" w:hAnsi="宋体" w:cs="宋体" w:eastAsia="宋体" w:hint="default"/>
          <w:sz w:val="17"/>
          <w:szCs w:val="17"/>
        </w:rPr>
      </w:pPr>
    </w:p>
    <w:p>
      <w:pPr>
        <w:pStyle w:val="BodyText"/>
        <w:spacing w:line="535" w:lineRule="auto"/>
        <w:ind w:right="1513"/>
        <w:jc w:val="left"/>
        <w:rPr>
          <w:rFonts w:ascii="宋体" w:hAnsi="宋体" w:cs="宋体" w:eastAsia="宋体" w:hint="default"/>
        </w:rPr>
      </w:pPr>
      <w:r>
        <w:rPr/>
        <w:t>资本化期间内，外币专门借款的汇兑差额全部予以资本化；外币一般借款的汇兑差额计入当期损益。 </w:t>
      </w:r>
      <w:bookmarkStart w:name="18、无形资产" w:id="187"/>
      <w:bookmarkEnd w:id="187"/>
      <w:r>
        <w:rPr/>
      </w:r>
      <w:r>
        <w:rPr>
          <w:rFonts w:ascii="宋体" w:hAnsi="宋体" w:cs="宋体" w:eastAsia="宋体" w:hint="default"/>
          <w:b/>
          <w:bCs/>
        </w:rPr>
        <w:t>18</w:t>
      </w:r>
      <w:r>
        <w:rPr>
          <w:rFonts w:ascii="宋体" w:hAnsi="宋体" w:cs="宋体" w:eastAsia="宋体" w:hint="default"/>
          <w:b/>
          <w:bCs/>
        </w:rPr>
        <w:t>、无形资产</w:t>
      </w:r>
      <w:r>
        <w:rPr>
          <w:rFonts w:ascii="宋体" w:hAnsi="宋体" w:cs="宋体" w:eastAsia="宋体" w:hint="default"/>
        </w:rPr>
      </w:r>
    </w:p>
    <w:p>
      <w:pPr>
        <w:spacing w:line="535" w:lineRule="auto" w:before="80"/>
        <w:ind w:left="1133" w:right="7274" w:firstLine="0"/>
        <w:jc w:val="left"/>
        <w:rPr>
          <w:rFonts w:ascii="宋体" w:hAnsi="宋体" w:cs="宋体" w:eastAsia="宋体" w:hint="default"/>
          <w:sz w:val="21"/>
          <w:szCs w:val="21"/>
        </w:rPr>
      </w:pPr>
      <w:bookmarkStart w:name="（1）计价方法、使用寿命、减值测试" w:id="188"/>
      <w:bookmarkEnd w:id="188"/>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z w:val="21"/>
          <w:szCs w:val="21"/>
        </w:rPr>
        <w:t>本集团无形资产包括外购软件等。</w:t>
      </w:r>
    </w:p>
    <w:p>
      <w:pPr>
        <w:pStyle w:val="BodyText"/>
        <w:spacing w:line="273" w:lineRule="auto"/>
        <w:ind w:right="1131"/>
        <w:jc w:val="both"/>
      </w:pPr>
      <w:r>
        <w:rPr>
          <w:spacing w:val="-1"/>
        </w:rPr>
        <w:t>无形资产按照成本进行初始计量，并于取得无形资产时分析判断其使用寿命。使用寿命为有限的，自无形</w:t>
      </w:r>
      <w:r>
        <w:rPr>
          <w:spacing w:val="-83"/>
        </w:rPr>
        <w:t> </w:t>
      </w:r>
      <w:r>
        <w:rPr>
          <w:spacing w:val="-83"/>
        </w:rPr>
      </w:r>
      <w:r>
        <w:rPr>
          <w:spacing w:val="-1"/>
        </w:rPr>
        <w:t>资产可供使用时起，采用能反映与该资产有关的经济利益的预期实现方式的摊销方法，在预计使用年限内</w:t>
      </w:r>
      <w:r>
        <w:rPr>
          <w:spacing w:val="-81"/>
        </w:rPr>
        <w:t> </w:t>
      </w:r>
      <w:r>
        <w:rPr>
          <w:spacing w:val="-81"/>
        </w:rPr>
      </w:r>
      <w:r>
        <w:rPr/>
        <w:t>摊销；无法可靠确定预期实现方式的，采用直线法摊销；使用寿命不确定的无形资产，不作摊销。</w:t>
      </w:r>
    </w:p>
    <w:p>
      <w:pPr>
        <w:spacing w:line="240" w:lineRule="auto" w:before="1"/>
        <w:rPr>
          <w:rFonts w:ascii="宋体" w:hAnsi="宋体" w:cs="宋体" w:eastAsia="宋体" w:hint="default"/>
          <w:sz w:val="17"/>
          <w:szCs w:val="17"/>
        </w:rPr>
      </w:pPr>
    </w:p>
    <w:p>
      <w:pPr>
        <w:pStyle w:val="BodyText"/>
        <w:spacing w:line="240" w:lineRule="auto"/>
        <w:ind w:right="0"/>
        <w:jc w:val="both"/>
      </w:pPr>
      <w:r>
        <w:rPr/>
        <w:t>使用寿命有限的无形资产摊销方法如下：</w:t>
      </w:r>
    </w:p>
    <w:p>
      <w:pPr>
        <w:spacing w:line="240" w:lineRule="auto" w:before="6"/>
        <w:rPr>
          <w:rFonts w:ascii="宋体" w:hAnsi="宋体" w:cs="宋体" w:eastAsia="宋体" w:hint="default"/>
          <w:sz w:val="20"/>
          <w:szCs w:val="20"/>
        </w:rPr>
      </w:pPr>
    </w:p>
    <w:tbl>
      <w:tblPr>
        <w:tblW w:w="0" w:type="auto"/>
        <w:jc w:val="left"/>
        <w:tblInd w:w="1119" w:type="dxa"/>
        <w:tblLayout w:type="fixed"/>
        <w:tblCellMar>
          <w:top w:w="0" w:type="dxa"/>
          <w:left w:w="0" w:type="dxa"/>
          <w:bottom w:w="0" w:type="dxa"/>
          <w:right w:w="0" w:type="dxa"/>
        </w:tblCellMar>
        <w:tblLook w:val="01E0"/>
      </w:tblPr>
      <w:tblGrid>
        <w:gridCol w:w="2542"/>
        <w:gridCol w:w="3282"/>
        <w:gridCol w:w="2323"/>
        <w:gridCol w:w="1149"/>
      </w:tblGrid>
      <w:tr>
        <w:trPr>
          <w:trHeight w:val="349" w:hRule="exact"/>
        </w:trPr>
        <w:tc>
          <w:tcPr>
            <w:tcW w:w="2542"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3282"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757"/>
              <w:jc w:val="right"/>
              <w:rPr>
                <w:rFonts w:ascii="宋体" w:hAnsi="宋体" w:cs="宋体" w:eastAsia="宋体" w:hint="default"/>
                <w:sz w:val="21"/>
                <w:szCs w:val="21"/>
              </w:rPr>
            </w:pPr>
            <w:r>
              <w:rPr>
                <w:rFonts w:ascii="宋体" w:hAnsi="宋体" w:cs="宋体" w:eastAsia="宋体" w:hint="default"/>
                <w:b/>
                <w:bCs/>
                <w:sz w:val="21"/>
                <w:szCs w:val="21"/>
              </w:rPr>
              <w:t>使用寿命</w:t>
            </w:r>
            <w:r>
              <w:rPr>
                <w:rFonts w:ascii="宋体" w:hAnsi="宋体" w:cs="宋体" w:eastAsia="宋体" w:hint="default"/>
                <w:sz w:val="21"/>
                <w:szCs w:val="21"/>
              </w:rPr>
            </w:r>
          </w:p>
        </w:tc>
        <w:tc>
          <w:tcPr>
            <w:tcW w:w="2323"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716"/>
              <w:jc w:val="right"/>
              <w:rPr>
                <w:rFonts w:ascii="宋体" w:hAnsi="宋体" w:cs="宋体" w:eastAsia="宋体" w:hint="default"/>
                <w:sz w:val="21"/>
                <w:szCs w:val="21"/>
              </w:rPr>
            </w:pPr>
            <w:r>
              <w:rPr>
                <w:rFonts w:ascii="宋体" w:hAnsi="宋体" w:cs="宋体" w:eastAsia="宋体" w:hint="default"/>
                <w:b/>
                <w:bCs/>
                <w:sz w:val="21"/>
                <w:szCs w:val="21"/>
              </w:rPr>
              <w:t>摊销方法</w:t>
            </w:r>
            <w:r>
              <w:rPr>
                <w:rFonts w:ascii="宋体" w:hAnsi="宋体" w:cs="宋体" w:eastAsia="宋体" w:hint="default"/>
                <w:sz w:val="21"/>
                <w:szCs w:val="21"/>
              </w:rPr>
            </w:r>
          </w:p>
        </w:tc>
        <w:tc>
          <w:tcPr>
            <w:tcW w:w="1149"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718" w:right="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48" w:hRule="exact"/>
        </w:trPr>
        <w:tc>
          <w:tcPr>
            <w:tcW w:w="2542"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外购软件</w:t>
            </w:r>
          </w:p>
        </w:tc>
        <w:tc>
          <w:tcPr>
            <w:tcW w:w="3282"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58"/>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2</w:t>
            </w:r>
          </w:p>
        </w:tc>
        <w:tc>
          <w:tcPr>
            <w:tcW w:w="232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17"/>
              <w:jc w:val="right"/>
              <w:rPr>
                <w:rFonts w:ascii="宋体" w:hAnsi="宋体" w:cs="宋体" w:eastAsia="宋体" w:hint="default"/>
                <w:sz w:val="21"/>
                <w:szCs w:val="21"/>
              </w:rPr>
            </w:pPr>
            <w:r>
              <w:rPr>
                <w:rFonts w:ascii="宋体" w:hAnsi="宋体" w:cs="宋体" w:eastAsia="宋体" w:hint="default"/>
                <w:sz w:val="21"/>
                <w:szCs w:val="21"/>
              </w:rPr>
              <w:t>直线法</w:t>
            </w:r>
          </w:p>
        </w:tc>
        <w:tc>
          <w:tcPr>
            <w:tcW w:w="1149" w:type="dxa"/>
            <w:tcBorders>
              <w:top w:val="single" w:sz="8" w:space="0" w:color="000000"/>
              <w:left w:val="nil" w:sz="6" w:space="0" w:color="auto"/>
              <w:bottom w:val="single" w:sz="8" w:space="0" w:color="000000"/>
              <w:right w:val="nil" w:sz="6" w:space="0" w:color="auto"/>
            </w:tcBorders>
          </w:tcPr>
          <w:p>
            <w:pPr/>
          </w:p>
        </w:tc>
      </w:tr>
    </w:tbl>
    <w:p>
      <w:pPr>
        <w:spacing w:line="240" w:lineRule="auto" w:before="5"/>
        <w:rPr>
          <w:rFonts w:ascii="宋体" w:hAnsi="宋体" w:cs="宋体" w:eastAsia="宋体" w:hint="default"/>
          <w:sz w:val="5"/>
          <w:szCs w:val="5"/>
        </w:rPr>
      </w:pPr>
    </w:p>
    <w:p>
      <w:pPr>
        <w:pStyle w:val="BodyText"/>
        <w:spacing w:line="273" w:lineRule="auto" w:before="35"/>
        <w:ind w:left="1134" w:right="1023"/>
        <w:jc w:val="left"/>
      </w:pPr>
      <w:r>
        <w:rPr>
          <w:spacing w:val="-3"/>
        </w:rPr>
        <w:t>本集团于每年年度终了，对使用寿命有限的无形资产的使用寿命及摊销方法进行复核，与以前估计不同的，</w:t>
      </w:r>
      <w:r>
        <w:rPr>
          <w:spacing w:val="-92"/>
        </w:rPr>
        <w:t> </w:t>
      </w:r>
      <w:r>
        <w:rPr>
          <w:spacing w:val="-92"/>
        </w:rPr>
      </w:r>
      <w:r>
        <w:rPr/>
        <w:t>调整原先估计数，并按会计估计变更处理。</w:t>
      </w:r>
    </w:p>
    <w:p>
      <w:pPr>
        <w:spacing w:line="240" w:lineRule="auto" w:before="1"/>
        <w:rPr>
          <w:rFonts w:ascii="宋体" w:hAnsi="宋体" w:cs="宋体" w:eastAsia="宋体" w:hint="default"/>
          <w:sz w:val="17"/>
          <w:szCs w:val="17"/>
        </w:rPr>
      </w:pPr>
    </w:p>
    <w:p>
      <w:pPr>
        <w:pStyle w:val="BodyText"/>
        <w:spacing w:line="273" w:lineRule="auto"/>
        <w:ind w:left="1134" w:right="0"/>
        <w:jc w:val="left"/>
      </w:pPr>
      <w:r>
        <w:rPr>
          <w:spacing w:val="-1"/>
        </w:rPr>
        <w:t>资产负债表日预计某项无形资产已经不能给企业带来未来经济利益的，将该项无形资产的账面价值全部转</w:t>
      </w:r>
      <w:r>
        <w:rPr>
          <w:spacing w:val="-81"/>
        </w:rPr>
        <w:t> </w:t>
      </w:r>
      <w:r>
        <w:rPr>
          <w:spacing w:val="-81"/>
        </w:rPr>
      </w:r>
      <w:r>
        <w:rPr/>
        <w:t>入当期损益。</w:t>
      </w:r>
    </w:p>
    <w:p>
      <w:pPr>
        <w:spacing w:line="240" w:lineRule="auto" w:before="1"/>
        <w:rPr>
          <w:rFonts w:ascii="宋体" w:hAnsi="宋体" w:cs="宋体" w:eastAsia="宋体" w:hint="default"/>
          <w:sz w:val="17"/>
          <w:szCs w:val="17"/>
        </w:rPr>
      </w:pPr>
    </w:p>
    <w:p>
      <w:pPr>
        <w:pStyle w:val="BodyText"/>
        <w:spacing w:line="240" w:lineRule="auto"/>
        <w:ind w:left="1134" w:right="0"/>
        <w:jc w:val="both"/>
      </w:pPr>
      <w:r>
        <w:rPr/>
        <w:t>无形资产计提资产减值方法见本报告第十节、五、</w:t>
      </w:r>
      <w:r>
        <w:rPr>
          <w:rFonts w:ascii="宋体" w:hAnsi="宋体" w:cs="宋体" w:eastAsia="宋体" w:hint="default"/>
        </w:rPr>
        <w:t>22</w:t>
      </w:r>
      <w:r>
        <w:rPr/>
        <w:t>。</w:t>
      </w:r>
    </w:p>
    <w:p>
      <w:pPr>
        <w:spacing w:line="240" w:lineRule="auto" w:before="11"/>
        <w:rPr>
          <w:rFonts w:ascii="宋体" w:hAnsi="宋体" w:cs="宋体" w:eastAsia="宋体" w:hint="default"/>
          <w:sz w:val="25"/>
          <w:szCs w:val="25"/>
        </w:rPr>
      </w:pPr>
    </w:p>
    <w:p>
      <w:pPr>
        <w:pStyle w:val="Heading3"/>
        <w:spacing w:line="240" w:lineRule="auto"/>
        <w:ind w:left="1134" w:right="0"/>
        <w:jc w:val="both"/>
        <w:rPr>
          <w:b w:val="0"/>
          <w:bCs w:val="0"/>
        </w:rPr>
      </w:pPr>
      <w:bookmarkStart w:name="（2）内部研究开发支出会计政策" w:id="189"/>
      <w:bookmarkEnd w:id="189"/>
      <w:r>
        <w:rPr>
          <w:b w:val="0"/>
          <w:bCs w:val="0"/>
        </w:rPr>
      </w:r>
      <w:r>
        <w:rPr/>
        <w:t>（</w:t>
      </w:r>
      <w:r>
        <w:rPr>
          <w:rFonts w:ascii="宋体" w:hAnsi="宋体" w:cs="宋体" w:eastAsia="宋体" w:hint="default"/>
        </w:rPr>
        <w:t>2</w:t>
      </w:r>
      <w:r>
        <w:rPr/>
        <w:t>）内部研究开发支出会计政策</w:t>
      </w:r>
      <w:r>
        <w:rPr>
          <w:b w:val="0"/>
          <w:bCs w:val="0"/>
        </w:rPr>
      </w:r>
    </w:p>
    <w:p>
      <w:pPr>
        <w:spacing w:line="240" w:lineRule="auto" w:before="10"/>
        <w:rPr>
          <w:rFonts w:ascii="宋体" w:hAnsi="宋体" w:cs="宋体" w:eastAsia="宋体" w:hint="default"/>
          <w:b/>
          <w:bCs/>
          <w:sz w:val="25"/>
          <w:szCs w:val="25"/>
        </w:rPr>
      </w:pPr>
    </w:p>
    <w:p>
      <w:pPr>
        <w:pStyle w:val="BodyText"/>
        <w:spacing w:line="460" w:lineRule="auto"/>
        <w:ind w:right="3499"/>
        <w:jc w:val="left"/>
      </w:pPr>
      <w:r>
        <w:rPr/>
        <w:t>本集团将内部研究开发项目的支出，区分为研究阶段支出和开发阶段支出。 研究阶段的支出，于发生时计入当期损益。</w:t>
      </w:r>
    </w:p>
    <w:p>
      <w:pPr>
        <w:pStyle w:val="BodyText"/>
        <w:spacing w:line="273" w:lineRule="auto" w:before="60"/>
        <w:ind w:left="1134" w:right="1027"/>
        <w:jc w:val="both"/>
      </w:pPr>
      <w:r>
        <w:rPr/>
        <w:t>开发阶段的支出，同时满足下列条件的，才能予以资本化，即：完成该无形资产以使其能够使用或出售在 技术上具有可行性；具有完成该无形资产并使用或出售的意图；无形资产产生经济利益的方式，包括能够 证明运用该无形资产生产的产品存在市场或无形资产自身存在市场，无形资产将在内部使用的，能够证明 其有用性；有足够的技术、财务资源和其他资源支持，以完成该无形资产的开发，并有能力使用或出售该 </w:t>
      </w:r>
      <w:r>
        <w:rPr>
          <w:spacing w:val="-3"/>
        </w:rPr>
        <w:t>无形资产；归属于该无形资产开发阶段的支出能够可靠地计量。不满足上述条件的开发支出计入当期损益。</w:t>
      </w:r>
    </w:p>
    <w:p>
      <w:pPr>
        <w:spacing w:line="240" w:lineRule="auto" w:before="1"/>
        <w:rPr>
          <w:rFonts w:ascii="宋体" w:hAnsi="宋体" w:cs="宋体" w:eastAsia="宋体" w:hint="default"/>
          <w:sz w:val="17"/>
          <w:szCs w:val="17"/>
        </w:rPr>
      </w:pPr>
    </w:p>
    <w:p>
      <w:pPr>
        <w:pStyle w:val="BodyText"/>
        <w:spacing w:line="273" w:lineRule="auto"/>
        <w:ind w:left="1134" w:right="1118"/>
        <w:jc w:val="left"/>
      </w:pPr>
      <w:r>
        <w:rPr>
          <w:spacing w:val="-1"/>
        </w:rPr>
        <w:t>本集团研究开发项目在满足上述条件，通过技术可行性及经济可行性研究，形成项目立项后，进入开发阶</w:t>
      </w:r>
      <w:r>
        <w:rPr>
          <w:spacing w:val="-83"/>
        </w:rPr>
        <w:t> </w:t>
      </w:r>
      <w:r>
        <w:rPr>
          <w:spacing w:val="-83"/>
        </w:rPr>
      </w:r>
      <w:r>
        <w:rPr/>
        <w:t>段。</w:t>
      </w:r>
    </w:p>
    <w:p>
      <w:pPr>
        <w:spacing w:line="240" w:lineRule="auto" w:before="1"/>
        <w:rPr>
          <w:rFonts w:ascii="宋体" w:hAnsi="宋体" w:cs="宋体" w:eastAsia="宋体" w:hint="default"/>
          <w:sz w:val="17"/>
          <w:szCs w:val="17"/>
        </w:rPr>
      </w:pPr>
    </w:p>
    <w:p>
      <w:pPr>
        <w:pStyle w:val="BodyText"/>
        <w:spacing w:line="273" w:lineRule="auto"/>
        <w:ind w:left="1134" w:right="1118"/>
        <w:jc w:val="left"/>
      </w:pPr>
      <w:r>
        <w:rPr>
          <w:spacing w:val="-1"/>
        </w:rPr>
        <w:t>已资本化的开发阶段的支出在资产负债表上列示为开发支出，自该项目达到预定可使用状态之日转为无形</w:t>
      </w:r>
      <w:r>
        <w:rPr>
          <w:spacing w:val="-81"/>
        </w:rPr>
        <w:t> </w:t>
      </w:r>
      <w:r>
        <w:rPr>
          <w:spacing w:val="-81"/>
        </w:rPr>
      </w:r>
      <w:r>
        <w:rPr/>
        <w:t>资产。</w:t>
      </w:r>
    </w:p>
    <w:p>
      <w:pPr>
        <w:spacing w:after="0" w:line="273"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19、长期资产减值" w:id="190"/>
      <w:bookmarkEnd w:id="190"/>
      <w:r>
        <w:rPr>
          <w:b w:val="0"/>
          <w:bCs w:val="0"/>
        </w:rPr>
      </w:r>
      <w:r>
        <w:rPr>
          <w:rFonts w:ascii="宋体" w:hAnsi="宋体" w:cs="宋体" w:eastAsia="宋体" w:hint="default"/>
        </w:rPr>
        <w:t>19</w:t>
      </w:r>
      <w:r>
        <w:rPr/>
        <w:t>、长期资产减值</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1110"/>
        <w:jc w:val="both"/>
      </w:pPr>
      <w:r>
        <w:rPr>
          <w:spacing w:val="-1"/>
        </w:rPr>
        <w:t>对子公司的长期股权投资、固定资产、在建工程、无形资产、商誉（存货、按公允价值模式计量的投资性</w:t>
      </w:r>
      <w:r>
        <w:rPr>
          <w:spacing w:val="-83"/>
        </w:rPr>
        <w:t> </w:t>
      </w:r>
      <w:r>
        <w:rPr>
          <w:spacing w:val="-83"/>
        </w:rPr>
      </w:r>
      <w:r>
        <w:rPr/>
        <w:t>房地产、递延所得税资产、金融资产除外）的资产减值，按以下方法确定：</w:t>
      </w:r>
    </w:p>
    <w:p>
      <w:pPr>
        <w:spacing w:line="240" w:lineRule="auto" w:before="2"/>
        <w:rPr>
          <w:rFonts w:ascii="宋体" w:hAnsi="宋体" w:cs="宋体" w:eastAsia="宋体" w:hint="default"/>
          <w:sz w:val="17"/>
          <w:szCs w:val="17"/>
        </w:rPr>
      </w:pPr>
    </w:p>
    <w:p>
      <w:pPr>
        <w:pStyle w:val="BodyText"/>
        <w:spacing w:line="273" w:lineRule="auto"/>
        <w:ind w:right="1110"/>
        <w:jc w:val="both"/>
      </w:pPr>
      <w:r>
        <w:rPr/>
        <w:t>于资产负债表日判断资产是否存在可能发生减值的迹象，存在减值迹象的，本集团将估计其可收回金额， </w:t>
      </w:r>
      <w:r>
        <w:rPr>
          <w:spacing w:val="-1"/>
        </w:rPr>
        <w:t>进行减值测试。对因企业合并所形成的商誉、使用寿命不确定的无形资产和尚未达到可使用状态的无形资</w:t>
      </w:r>
      <w:r>
        <w:rPr>
          <w:spacing w:val="-81"/>
        </w:rPr>
        <w:t> </w:t>
      </w:r>
      <w:r>
        <w:rPr>
          <w:spacing w:val="-81"/>
        </w:rPr>
      </w:r>
      <w:r>
        <w:rPr/>
        <w:t>产无论是否存在减值迹象，每年都进行减值测试。</w:t>
      </w:r>
    </w:p>
    <w:p>
      <w:pPr>
        <w:spacing w:line="240" w:lineRule="auto" w:before="1"/>
        <w:rPr>
          <w:rFonts w:ascii="宋体" w:hAnsi="宋体" w:cs="宋体" w:eastAsia="宋体" w:hint="default"/>
          <w:sz w:val="17"/>
          <w:szCs w:val="17"/>
        </w:rPr>
      </w:pPr>
    </w:p>
    <w:p>
      <w:pPr>
        <w:pStyle w:val="BodyText"/>
        <w:spacing w:line="273" w:lineRule="auto"/>
        <w:ind w:left="1134" w:right="1131"/>
        <w:jc w:val="both"/>
      </w:pPr>
      <w:r>
        <w:rPr>
          <w:spacing w:val="3"/>
        </w:rPr>
        <w:t>可收回金额根据资产的公允价值减去处置费用后的净额与资产预计未来现金流量的现值两者之间较高者</w:t>
      </w:r>
      <w:r>
        <w:rPr>
          <w:spacing w:val="-82"/>
        </w:rPr>
        <w:t> </w:t>
      </w:r>
      <w:r>
        <w:rPr>
          <w:spacing w:val="-82"/>
        </w:rPr>
      </w:r>
      <w:r>
        <w:rPr>
          <w:spacing w:val="-1"/>
        </w:rPr>
        <w:t>确定。本集团以单项资产为基础估计其可收回金额；难以对单项资产的可收回金额进行估计的，以该资产</w:t>
      </w:r>
      <w:r>
        <w:rPr>
          <w:spacing w:val="-83"/>
        </w:rPr>
        <w:t> </w:t>
      </w:r>
      <w:r>
        <w:rPr>
          <w:spacing w:val="-83"/>
        </w:rPr>
      </w:r>
      <w:r>
        <w:rPr>
          <w:spacing w:val="-1"/>
        </w:rPr>
        <w:t>所属的资产组为基础确定资产组的可收回金额。资产组的认定，以资产组产生的主要现金流入是否独立于</w:t>
      </w:r>
      <w:r>
        <w:rPr>
          <w:spacing w:val="-81"/>
        </w:rPr>
        <w:t> </w:t>
      </w:r>
      <w:r>
        <w:rPr>
          <w:spacing w:val="-81"/>
        </w:rPr>
      </w:r>
      <w:r>
        <w:rPr/>
        <w:t>其他资产或者资产组的现金流入为依据。</w:t>
      </w:r>
    </w:p>
    <w:p>
      <w:pPr>
        <w:spacing w:line="240" w:lineRule="auto" w:before="1"/>
        <w:rPr>
          <w:rFonts w:ascii="宋体" w:hAnsi="宋体" w:cs="宋体" w:eastAsia="宋体" w:hint="default"/>
          <w:sz w:val="17"/>
          <w:szCs w:val="17"/>
        </w:rPr>
      </w:pPr>
    </w:p>
    <w:p>
      <w:pPr>
        <w:pStyle w:val="BodyText"/>
        <w:spacing w:line="273" w:lineRule="auto"/>
        <w:ind w:left="1134" w:right="1131"/>
        <w:jc w:val="both"/>
      </w:pPr>
      <w:r>
        <w:rPr>
          <w:spacing w:val="-1"/>
        </w:rPr>
        <w:t>当资产或资产组的可收回金额低于其账面价值时，本集团将其账面价值减记至可收回金额，减记的金额计</w:t>
      </w:r>
      <w:r>
        <w:rPr>
          <w:spacing w:val="-81"/>
        </w:rPr>
        <w:t> </w:t>
      </w:r>
      <w:r>
        <w:rPr>
          <w:spacing w:val="-81"/>
        </w:rPr>
      </w:r>
      <w:r>
        <w:rPr/>
        <w:t>入当期损益，同时计提相应的资产减值准备。</w:t>
      </w:r>
    </w:p>
    <w:p>
      <w:pPr>
        <w:spacing w:line="240" w:lineRule="auto" w:before="1"/>
        <w:rPr>
          <w:rFonts w:ascii="宋体" w:hAnsi="宋体" w:cs="宋体" w:eastAsia="宋体" w:hint="default"/>
          <w:sz w:val="17"/>
          <w:szCs w:val="17"/>
        </w:rPr>
      </w:pPr>
    </w:p>
    <w:p>
      <w:pPr>
        <w:pStyle w:val="BodyText"/>
        <w:spacing w:line="273" w:lineRule="auto"/>
        <w:ind w:right="1130"/>
        <w:jc w:val="both"/>
      </w:pPr>
      <w:r>
        <w:rPr>
          <w:spacing w:val="-1"/>
        </w:rPr>
        <w:t>就商誉的减值测试而言，对于因企业合并形成的商誉的账面价值，自购买日起按照合理的方法分摊至相关</w:t>
      </w:r>
      <w:r>
        <w:rPr>
          <w:spacing w:val="-81"/>
        </w:rPr>
        <w:t> </w:t>
      </w:r>
      <w:r>
        <w:rPr>
          <w:spacing w:val="-81"/>
        </w:rPr>
      </w:r>
      <w:r>
        <w:rPr>
          <w:spacing w:val="-1"/>
        </w:rPr>
        <w:t>的资产组；难以分摊至相关的资产组的，将其分摊至相关的资产组组合。相关的资产组或资产组组合，是</w:t>
      </w:r>
      <w:r>
        <w:rPr>
          <w:spacing w:val="-85"/>
        </w:rPr>
        <w:t> </w:t>
      </w:r>
      <w:r>
        <w:rPr>
          <w:spacing w:val="-85"/>
        </w:rPr>
      </w:r>
      <w:r>
        <w:rPr/>
        <w:t>能够从企业合并的协同效应中受益的资产组或者资产组组合，且不大于本集团确定的报告分部。</w:t>
      </w:r>
    </w:p>
    <w:p>
      <w:pPr>
        <w:spacing w:line="240" w:lineRule="auto" w:before="1"/>
        <w:rPr>
          <w:rFonts w:ascii="宋体" w:hAnsi="宋体" w:cs="宋体" w:eastAsia="宋体" w:hint="default"/>
          <w:sz w:val="17"/>
          <w:szCs w:val="17"/>
        </w:rPr>
      </w:pPr>
    </w:p>
    <w:p>
      <w:pPr>
        <w:pStyle w:val="BodyText"/>
        <w:spacing w:line="273" w:lineRule="auto"/>
        <w:ind w:right="1110"/>
        <w:jc w:val="both"/>
      </w:pPr>
      <w:r>
        <w:rPr>
          <w:spacing w:val="-1"/>
        </w:rPr>
        <w:t>减值测试时，如与商誉相关的资产组或者资产组组合存在减值迹象的，首先对不包含商誉的资产组或者资</w:t>
      </w:r>
      <w:r>
        <w:rPr>
          <w:spacing w:val="-80"/>
        </w:rPr>
        <w:t> </w:t>
      </w:r>
      <w:r>
        <w:rPr>
          <w:spacing w:val="-80"/>
        </w:rPr>
      </w:r>
      <w:r>
        <w:rPr>
          <w:spacing w:val="-1"/>
        </w:rPr>
        <w:t>产组组合进行减值测试，计算可收回金额，确认相应的减值损失。然后对包含商誉的资产组或者资产组组</w:t>
      </w:r>
      <w:r>
        <w:rPr>
          <w:spacing w:val="-83"/>
        </w:rPr>
        <w:t> </w:t>
      </w:r>
      <w:r>
        <w:rPr>
          <w:spacing w:val="-83"/>
        </w:rPr>
      </w:r>
      <w:r>
        <w:rPr/>
        <w:t>合进行减值测试，比较其账面价值与可收回金额，如可收回金额低于账面价值的，确认商誉的减值损失。</w:t>
      </w:r>
    </w:p>
    <w:p>
      <w:pPr>
        <w:spacing w:line="240" w:lineRule="auto" w:before="2"/>
        <w:rPr>
          <w:rFonts w:ascii="宋体" w:hAnsi="宋体" w:cs="宋体" w:eastAsia="宋体" w:hint="default"/>
          <w:sz w:val="17"/>
          <w:szCs w:val="17"/>
        </w:rPr>
      </w:pPr>
    </w:p>
    <w:p>
      <w:pPr>
        <w:spacing w:line="535" w:lineRule="auto" w:before="0"/>
        <w:ind w:left="1134" w:right="5922" w:firstLine="0"/>
        <w:jc w:val="left"/>
        <w:rPr>
          <w:rFonts w:ascii="宋体" w:hAnsi="宋体" w:cs="宋体" w:eastAsia="宋体" w:hint="default"/>
          <w:sz w:val="21"/>
          <w:szCs w:val="21"/>
        </w:rPr>
      </w:pPr>
      <w:r>
        <w:rPr>
          <w:rFonts w:ascii="宋体" w:hAnsi="宋体" w:cs="宋体" w:eastAsia="宋体" w:hint="default"/>
          <w:sz w:val="21"/>
          <w:szCs w:val="21"/>
        </w:rPr>
        <w:t>资产减值损失一经确认，在以后会计期间不再转回。 </w:t>
      </w:r>
      <w:bookmarkStart w:name="20、长期待摊费用" w:id="191"/>
      <w:bookmarkEnd w:id="191"/>
      <w:r>
        <w:rPr>
          <w:rFonts w:ascii="宋体" w:hAnsi="宋体" w:cs="宋体" w:eastAsia="宋体" w:hint="default"/>
          <w:sz w:val="21"/>
          <w:szCs w:val="21"/>
        </w:rPr>
      </w:r>
      <w:r>
        <w:rPr>
          <w:rFonts w:ascii="宋体" w:hAnsi="宋体" w:cs="宋体" w:eastAsia="宋体" w:hint="default"/>
          <w:b/>
          <w:bCs/>
          <w:sz w:val="21"/>
          <w:szCs w:val="21"/>
        </w:rPr>
        <w:t>20</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spacing w:line="273" w:lineRule="auto" w:before="79"/>
        <w:ind w:left="1134" w:right="1131"/>
        <w:jc w:val="both"/>
      </w:pPr>
      <w:r>
        <w:rPr>
          <w:spacing w:val="-1"/>
        </w:rPr>
        <w:t>本集团发生的长期待摊费用按实际成本计价，并按预计受益期限平均摊销。对不能使以后会计期间受益的</w:t>
      </w:r>
      <w:r>
        <w:rPr>
          <w:spacing w:val="-81"/>
        </w:rPr>
        <w:t> </w:t>
      </w:r>
      <w:r>
        <w:rPr>
          <w:spacing w:val="-81"/>
        </w:rPr>
      </w:r>
      <w:r>
        <w:rPr/>
        <w:t>长期待摊费用项目，其摊余价值全部计入当期损益。</w:t>
      </w:r>
    </w:p>
    <w:p>
      <w:pPr>
        <w:spacing w:line="240" w:lineRule="auto" w:before="8"/>
        <w:rPr>
          <w:rFonts w:ascii="宋体" w:hAnsi="宋体" w:cs="宋体" w:eastAsia="宋体" w:hint="default"/>
          <w:sz w:val="23"/>
          <w:szCs w:val="23"/>
        </w:rPr>
      </w:pPr>
    </w:p>
    <w:p>
      <w:pPr>
        <w:pStyle w:val="Heading3"/>
        <w:spacing w:line="240" w:lineRule="auto"/>
        <w:ind w:left="1134" w:right="0"/>
        <w:jc w:val="both"/>
        <w:rPr>
          <w:b w:val="0"/>
          <w:bCs w:val="0"/>
        </w:rPr>
      </w:pPr>
      <w:bookmarkStart w:name="21、职工薪酬" w:id="192"/>
      <w:bookmarkEnd w:id="192"/>
      <w:r>
        <w:rPr>
          <w:b w:val="0"/>
          <w:bCs w:val="0"/>
        </w:rPr>
      </w:r>
      <w:r>
        <w:rPr>
          <w:rFonts w:ascii="宋体" w:hAnsi="宋体" w:cs="宋体" w:eastAsia="宋体" w:hint="default"/>
        </w:rPr>
        <w:t>21</w:t>
      </w:r>
      <w:r>
        <w:rPr/>
        <w:t>、职工薪酬</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134" w:right="0"/>
        <w:jc w:val="both"/>
        <w:rPr>
          <w:b w:val="0"/>
          <w:bCs w:val="0"/>
        </w:rPr>
      </w:pPr>
      <w:bookmarkStart w:name="（1）短期薪酬的会计处理方法" w:id="193"/>
      <w:bookmarkEnd w:id="193"/>
      <w:r>
        <w:rPr>
          <w:b w:val="0"/>
          <w:bCs w:val="0"/>
        </w:rPr>
      </w:r>
      <w:r>
        <w:rPr/>
        <w:t>（</w:t>
      </w:r>
      <w:r>
        <w:rPr>
          <w:rFonts w:ascii="宋体" w:hAnsi="宋体" w:cs="宋体" w:eastAsia="宋体" w:hint="default"/>
        </w:rPr>
        <w:t>1</w:t>
      </w:r>
      <w:r>
        <w:rPr/>
        <w:t>）短期薪酬的会计处理方法</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left="1134" w:right="1130"/>
        <w:jc w:val="both"/>
      </w:pPr>
      <w:r>
        <w:rPr>
          <w:spacing w:val="-1"/>
        </w:rPr>
        <w:t>本集团在职工提供服务的会计期间，将实际发生的职工工资、奖金、按规定的基准和比例为职工缴纳的医</w:t>
      </w:r>
      <w:r>
        <w:rPr>
          <w:spacing w:val="-83"/>
        </w:rPr>
        <w:t> </w:t>
      </w:r>
      <w:r>
        <w:rPr>
          <w:spacing w:val="-83"/>
        </w:rPr>
      </w:r>
      <w:r>
        <w:rPr>
          <w:spacing w:val="-1"/>
        </w:rPr>
        <w:t>疗保险费、工伤保险费和生育保险费等社会保险费和住房公积金，确认为负债，并计入当期损益或相关资</w:t>
      </w:r>
      <w:r>
        <w:rPr>
          <w:spacing w:val="-83"/>
        </w:rPr>
        <w:t> </w:t>
      </w:r>
      <w:r>
        <w:rPr>
          <w:spacing w:val="-83"/>
        </w:rPr>
      </w:r>
      <w:r>
        <w:rPr>
          <w:spacing w:val="-1"/>
        </w:rPr>
        <w:t>产成本。如果该负债预期在职工提供相关服务的年度报告期结束后十二个月内不能完全支付，且财务影响</w:t>
      </w:r>
      <w:r>
        <w:rPr>
          <w:spacing w:val="-81"/>
        </w:rPr>
        <w:t> </w:t>
      </w:r>
      <w:r>
        <w:rPr>
          <w:spacing w:val="-81"/>
        </w:rPr>
      </w:r>
      <w:r>
        <w:rPr/>
        <w:t>重大的，则该负债将以折现后的金额计量。</w:t>
      </w:r>
    </w:p>
    <w:p>
      <w:pPr>
        <w:spacing w:line="240" w:lineRule="auto" w:before="8"/>
        <w:rPr>
          <w:rFonts w:ascii="宋体" w:hAnsi="宋体" w:cs="宋体" w:eastAsia="宋体" w:hint="default"/>
          <w:sz w:val="23"/>
          <w:szCs w:val="23"/>
        </w:rPr>
      </w:pPr>
    </w:p>
    <w:p>
      <w:pPr>
        <w:pStyle w:val="Heading3"/>
        <w:spacing w:line="240" w:lineRule="auto"/>
        <w:ind w:left="1134" w:right="0"/>
        <w:jc w:val="both"/>
        <w:rPr>
          <w:b w:val="0"/>
          <w:bCs w:val="0"/>
        </w:rPr>
      </w:pPr>
      <w:bookmarkStart w:name="（2）离职后福利的会计处理方法" w:id="194"/>
      <w:bookmarkEnd w:id="194"/>
      <w:r>
        <w:rPr>
          <w:b w:val="0"/>
          <w:bCs w:val="0"/>
        </w:rPr>
      </w:r>
      <w:r>
        <w:rPr/>
        <w:t>（</w:t>
      </w:r>
      <w:r>
        <w:rPr>
          <w:rFonts w:ascii="宋体" w:hAnsi="宋体" w:cs="宋体" w:eastAsia="宋体" w:hint="default"/>
        </w:rPr>
        <w:t>2</w:t>
      </w:r>
      <w:r>
        <w:rPr/>
        <w:t>）离职后福利的会计处理方法</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left="1134" w:right="1131"/>
        <w:jc w:val="both"/>
      </w:pPr>
      <w:r>
        <w:rPr>
          <w:spacing w:val="-1"/>
        </w:rPr>
        <w:t>离职后福利计划包括设定提存计划和设定受益计划。其中，设定提存计划，是指向独立的基金缴存固定费</w:t>
      </w:r>
      <w:r>
        <w:rPr>
          <w:spacing w:val="-83"/>
        </w:rPr>
        <w:t> </w:t>
      </w:r>
      <w:r>
        <w:rPr>
          <w:spacing w:val="-83"/>
        </w:rPr>
      </w:r>
      <w:r>
        <w:rPr>
          <w:spacing w:val="-1"/>
        </w:rPr>
        <w:t>用后，企业不再承担进一步支付义务的离职后福利计划；设定受益计划，是指除设定提存计划以外的离职</w:t>
      </w:r>
      <w:r>
        <w:rPr>
          <w:spacing w:val="-83"/>
        </w:rPr>
        <w:t> </w:t>
      </w:r>
      <w:r>
        <w:rPr>
          <w:spacing w:val="-83"/>
        </w:rPr>
      </w:r>
      <w:r>
        <w:rPr/>
        <w:t>后福利计划。</w:t>
      </w:r>
    </w:p>
    <w:p>
      <w:pPr>
        <w:spacing w:after="0" w:line="273"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3）辞退福利的会计处理方法" w:id="195"/>
      <w:bookmarkEnd w:id="195"/>
      <w:r>
        <w:rPr>
          <w:b w:val="0"/>
          <w:bCs w:val="0"/>
        </w:rPr>
      </w:r>
      <w:r>
        <w:rPr/>
        <w:t>（</w:t>
      </w:r>
      <w:r>
        <w:rPr>
          <w:rFonts w:ascii="宋体" w:hAnsi="宋体" w:cs="宋体" w:eastAsia="宋体" w:hint="default"/>
        </w:rPr>
        <w:t>3</w:t>
      </w:r>
      <w:r>
        <w:rPr/>
        <w:t>）辞退福利的会计处理方法</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1110"/>
        <w:jc w:val="both"/>
      </w:pPr>
      <w:r>
        <w:rPr/>
        <w:t>本集团向职工提供辞退福利的，在下列两者孰早日确认辞退福利产生的职工薪酬负债，并计入当期损益： </w:t>
      </w:r>
      <w:r>
        <w:rPr>
          <w:spacing w:val="-1"/>
        </w:rPr>
        <w:t>本集团不能单方面撤回因解除劳动关系计划或裁减建议所提供的辞退福利时；本集团确认与涉及支付辞退</w:t>
      </w:r>
      <w:r>
        <w:rPr>
          <w:spacing w:val="-81"/>
        </w:rPr>
        <w:t> </w:t>
      </w:r>
      <w:r>
        <w:rPr>
          <w:spacing w:val="-81"/>
        </w:rPr>
      </w:r>
      <w:r>
        <w:rPr/>
        <w:t>福利的重组相关的成本或费用时。</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实行职工内部退休计划的，在正式退休日之前的经济补偿，属于辞退福利，自职工停止提供服务日至正常</w:t>
      </w:r>
      <w:r>
        <w:rPr>
          <w:spacing w:val="-83"/>
        </w:rPr>
        <w:t> </w:t>
      </w:r>
      <w:r>
        <w:rPr>
          <w:spacing w:val="-83"/>
        </w:rPr>
      </w:r>
      <w:r>
        <w:rPr>
          <w:spacing w:val="-1"/>
        </w:rPr>
        <w:t>退休日期间，拟支付的内退职工工资和缴纳的社会保险费等一次性计入当期损益。正式退休日期之后的经</w:t>
      </w:r>
      <w:r>
        <w:rPr>
          <w:spacing w:val="-81"/>
        </w:rPr>
        <w:t> </w:t>
      </w:r>
      <w:r>
        <w:rPr>
          <w:spacing w:val="-81"/>
        </w:rPr>
      </w:r>
      <w:r>
        <w:rPr/>
        <w:t>济补偿（如正常养老退休金），按照离职后福利处理。</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bookmarkStart w:name="（4）其他长期职工福利的会计处理方法" w:id="196"/>
      <w:bookmarkEnd w:id="196"/>
      <w:r>
        <w:rPr>
          <w:b w:val="0"/>
          <w:bCs w:val="0"/>
        </w:rPr>
      </w:r>
      <w:r>
        <w:rPr/>
        <w:t>（</w:t>
      </w:r>
      <w:r>
        <w:rPr>
          <w:rFonts w:ascii="宋体" w:hAnsi="宋体" w:cs="宋体" w:eastAsia="宋体" w:hint="default"/>
        </w:rPr>
        <w:t>4</w:t>
      </w:r>
      <w:r>
        <w:rPr/>
        <w:t>）其他长期职工福利的会计处理方法</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1131"/>
        <w:jc w:val="both"/>
      </w:pPr>
      <w:r>
        <w:rPr>
          <w:spacing w:val="-1"/>
        </w:rPr>
        <w:t>本集团向职工提供的其他长期职工福利，符合设定提存计划条件的，按照上述关于设定提存计划的有关规</w:t>
      </w:r>
      <w:r>
        <w:rPr>
          <w:spacing w:val="-81"/>
        </w:rPr>
        <w:t> </w:t>
      </w:r>
      <w:r>
        <w:rPr>
          <w:spacing w:val="-81"/>
        </w:rPr>
      </w:r>
      <w:r>
        <w:rPr>
          <w:spacing w:val="-1"/>
        </w:rPr>
        <w:t>定进行处理。符合设定受益计划的，按照上述关于设定受益计划的有关规定进行处理，但相关职工薪酬成</w:t>
      </w:r>
      <w:r>
        <w:rPr>
          <w:spacing w:val="-83"/>
        </w:rPr>
        <w:t> </w:t>
      </w:r>
      <w:r>
        <w:rPr>
          <w:spacing w:val="-83"/>
        </w:rPr>
      </w:r>
      <w:r>
        <w:rPr/>
        <w:t>本中“重新计量设定受益计划净负债或净资产所产生的变动”部分计入当期损益或相关资产成本。</w:t>
      </w:r>
    </w:p>
    <w:p>
      <w:pPr>
        <w:spacing w:line="240" w:lineRule="auto" w:before="8"/>
        <w:rPr>
          <w:rFonts w:ascii="宋体" w:hAnsi="宋体" w:cs="宋体" w:eastAsia="宋体" w:hint="default"/>
          <w:sz w:val="23"/>
          <w:szCs w:val="23"/>
        </w:rPr>
      </w:pPr>
    </w:p>
    <w:p>
      <w:pPr>
        <w:pStyle w:val="BodyText"/>
        <w:spacing w:line="535" w:lineRule="auto"/>
        <w:ind w:right="3613"/>
        <w:jc w:val="left"/>
      </w:pPr>
      <w:bookmarkStart w:name="22、预计负债" w:id="197"/>
      <w:bookmarkEnd w:id="197"/>
      <w:r>
        <w:rPr/>
      </w:r>
      <w:r>
        <w:rPr>
          <w:rFonts w:ascii="宋体" w:hAnsi="宋体" w:cs="宋体" w:eastAsia="宋体" w:hint="default"/>
          <w:b/>
          <w:bCs/>
        </w:rPr>
        <w:t>22</w:t>
      </w:r>
      <w:r>
        <w:rPr>
          <w:rFonts w:ascii="宋体" w:hAnsi="宋体" w:cs="宋体" w:eastAsia="宋体" w:hint="default"/>
          <w:b/>
          <w:bCs/>
        </w:rPr>
        <w:t>、预计负债</w:t>
      </w:r>
      <w:r>
        <w:rPr>
          <w:rFonts w:ascii="宋体" w:hAnsi="宋体" w:cs="宋体" w:eastAsia="宋体" w:hint="default"/>
          <w:b/>
          <w:bCs/>
          <w:w w:val="99"/>
        </w:rPr>
        <w:t> </w:t>
      </w:r>
      <w:r>
        <w:rPr/>
        <w:t>如果与或有事项相关的义务同时符合以下条件，本集团将其确认为预计负债：</w:t>
      </w:r>
    </w:p>
    <w:p>
      <w:pPr>
        <w:pStyle w:val="BodyText"/>
        <w:spacing w:line="270" w:lineRule="exact"/>
        <w:ind w:right="0"/>
        <w:jc w:val="both"/>
      </w:pPr>
      <w:r>
        <w:rPr/>
        <w:t>（</w:t>
      </w:r>
      <w:r>
        <w:rPr>
          <w:rFonts w:ascii="宋体" w:hAnsi="宋体" w:cs="宋体" w:eastAsia="宋体" w:hint="default"/>
        </w:rPr>
        <w:t>1</w:t>
      </w:r>
      <w:r>
        <w:rPr/>
        <w:t>）该义务是本集团承担的现时义务；</w:t>
      </w:r>
    </w:p>
    <w:p>
      <w:pPr>
        <w:spacing w:line="240" w:lineRule="auto" w:before="5"/>
        <w:rPr>
          <w:rFonts w:ascii="宋体" w:hAnsi="宋体" w:cs="宋体" w:eastAsia="宋体" w:hint="default"/>
          <w:sz w:val="19"/>
          <w:szCs w:val="19"/>
        </w:rPr>
      </w:pPr>
    </w:p>
    <w:p>
      <w:pPr>
        <w:pStyle w:val="BodyText"/>
        <w:spacing w:line="240" w:lineRule="auto"/>
        <w:ind w:right="0"/>
        <w:jc w:val="both"/>
      </w:pPr>
      <w:r>
        <w:rPr/>
        <w:t>（</w:t>
      </w:r>
      <w:r>
        <w:rPr>
          <w:rFonts w:ascii="宋体" w:hAnsi="宋体" w:cs="宋体" w:eastAsia="宋体" w:hint="default"/>
        </w:rPr>
        <w:t>2</w:t>
      </w:r>
      <w:r>
        <w:rPr/>
        <w:t>）该义务的履行很可能导致经济利益流出本集团；</w:t>
      </w:r>
    </w:p>
    <w:p>
      <w:pPr>
        <w:spacing w:line="240" w:lineRule="auto" w:before="5"/>
        <w:rPr>
          <w:rFonts w:ascii="宋体" w:hAnsi="宋体" w:cs="宋体" w:eastAsia="宋体" w:hint="default"/>
          <w:sz w:val="19"/>
          <w:szCs w:val="19"/>
        </w:rPr>
      </w:pPr>
    </w:p>
    <w:p>
      <w:pPr>
        <w:pStyle w:val="BodyText"/>
        <w:spacing w:line="240" w:lineRule="auto"/>
        <w:ind w:right="0"/>
        <w:jc w:val="both"/>
      </w:pPr>
      <w:r>
        <w:rPr/>
        <w:t>（</w:t>
      </w:r>
      <w:r>
        <w:rPr>
          <w:rFonts w:ascii="宋体" w:hAnsi="宋体" w:cs="宋体" w:eastAsia="宋体" w:hint="default"/>
        </w:rPr>
        <w:t>3</w:t>
      </w:r>
      <w:r>
        <w:rPr/>
        <w:t>）该义务的金额能够可靠地计量。</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3"/>
        </w:rPr>
        <w:t>预计负债按照履行相关现时义务所需支出的最佳估计数进行初始计量，并综合考虑与或有事项有关的风</w:t>
      </w:r>
      <w:r>
        <w:rPr>
          <w:spacing w:val="-77"/>
        </w:rPr>
        <w:t> </w:t>
      </w:r>
      <w:r>
        <w:rPr>
          <w:spacing w:val="-77"/>
        </w:rPr>
      </w:r>
      <w:r>
        <w:rPr>
          <w:spacing w:val="-1"/>
        </w:rPr>
        <w:t>险、不确定性和货币时间价值等因素。货币时间价值影响重大的，通过对相关未来现金流出进行折现后确</w:t>
      </w:r>
      <w:r>
        <w:rPr>
          <w:spacing w:val="-83"/>
        </w:rPr>
        <w:t> </w:t>
      </w:r>
      <w:r>
        <w:rPr>
          <w:spacing w:val="-83"/>
        </w:rPr>
      </w:r>
      <w:r>
        <w:rPr>
          <w:spacing w:val="-1"/>
        </w:rPr>
        <w:t>定最佳估计数。本集团于资产负债表日对预计负债的账面价值进行复核，并对账面价值进行调整以反映当</w:t>
      </w:r>
      <w:r>
        <w:rPr>
          <w:spacing w:val="-81"/>
        </w:rPr>
        <w:t> </w:t>
      </w:r>
      <w:r>
        <w:rPr>
          <w:spacing w:val="-81"/>
        </w:rPr>
      </w:r>
      <w:r>
        <w:rPr/>
        <w:t>前最佳估计数。</w:t>
      </w:r>
    </w:p>
    <w:p>
      <w:pPr>
        <w:spacing w:line="240" w:lineRule="auto" w:before="1"/>
        <w:rPr>
          <w:rFonts w:ascii="宋体" w:hAnsi="宋体" w:cs="宋体" w:eastAsia="宋体" w:hint="default"/>
          <w:sz w:val="17"/>
          <w:szCs w:val="17"/>
        </w:rPr>
      </w:pPr>
    </w:p>
    <w:p>
      <w:pPr>
        <w:pStyle w:val="BodyText"/>
        <w:spacing w:line="273" w:lineRule="auto"/>
        <w:ind w:right="1132"/>
        <w:jc w:val="both"/>
      </w:pPr>
      <w:r>
        <w:rPr>
          <w:spacing w:val="-1"/>
        </w:rPr>
        <w:t>如果清偿已确认预计负债所需支出全部或部分预期由第三方或其他方补偿，则补偿金额只能在基本确定能</w:t>
      </w:r>
      <w:r>
        <w:rPr>
          <w:spacing w:val="-81"/>
        </w:rPr>
        <w:t> </w:t>
      </w:r>
      <w:r>
        <w:rPr>
          <w:spacing w:val="-81"/>
        </w:rPr>
      </w:r>
      <w:r>
        <w:rPr/>
        <w:t>收到时，作为资产单独确认。确认的补偿金额不超过所确认负债的账面价值。</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bookmarkStart w:name="23、股份支付" w:id="198"/>
      <w:bookmarkEnd w:id="198"/>
      <w:r>
        <w:rPr>
          <w:b w:val="0"/>
          <w:bCs w:val="0"/>
        </w:rPr>
      </w:r>
      <w:r>
        <w:rPr>
          <w:rFonts w:ascii="宋体" w:hAnsi="宋体" w:cs="宋体" w:eastAsia="宋体" w:hint="default"/>
        </w:rPr>
        <w:t>23</w:t>
      </w:r>
      <w:r>
        <w:rPr/>
        <w:t>、股份支付</w:t>
      </w:r>
      <w:r>
        <w:rPr>
          <w:b w:val="0"/>
          <w:bCs w:val="0"/>
        </w:rPr>
      </w:r>
    </w:p>
    <w:p>
      <w:pPr>
        <w:spacing w:line="240" w:lineRule="auto" w:before="10"/>
        <w:rPr>
          <w:rFonts w:ascii="宋体" w:hAnsi="宋体" w:cs="宋体" w:eastAsia="宋体" w:hint="default"/>
          <w:b/>
          <w:bCs/>
          <w:sz w:val="25"/>
          <w:szCs w:val="25"/>
        </w:rPr>
      </w:pPr>
    </w:p>
    <w:p>
      <w:pPr>
        <w:pStyle w:val="BodyText"/>
        <w:spacing w:line="460" w:lineRule="auto"/>
        <w:ind w:left="1134" w:right="4242"/>
        <w:jc w:val="left"/>
      </w:pPr>
      <w:r>
        <w:rPr/>
        <w:t>（</w:t>
      </w:r>
      <w:r>
        <w:rPr>
          <w:rFonts w:ascii="宋体" w:hAnsi="宋体" w:cs="宋体" w:eastAsia="宋体" w:hint="default"/>
        </w:rPr>
        <w:t>1</w:t>
      </w:r>
      <w:r>
        <w:rPr/>
        <w:t>）股份支付的种类 本集团股份支付分为以权益结算的股份支付和以现金结算的股份支付。</w:t>
      </w:r>
    </w:p>
    <w:p>
      <w:pPr>
        <w:pStyle w:val="BodyText"/>
        <w:spacing w:line="240" w:lineRule="auto" w:before="60"/>
        <w:ind w:right="0"/>
        <w:jc w:val="both"/>
      </w:pPr>
      <w:r>
        <w:rPr/>
        <w:t>（</w:t>
      </w:r>
      <w:r>
        <w:rPr>
          <w:rFonts w:ascii="宋体" w:hAnsi="宋体" w:cs="宋体" w:eastAsia="宋体" w:hint="default"/>
        </w:rPr>
        <w:t>2</w:t>
      </w:r>
      <w:r>
        <w:rPr/>
        <w:t>）权益工具公允价值的确定方法</w:t>
      </w:r>
    </w:p>
    <w:p>
      <w:pPr>
        <w:spacing w:line="240" w:lineRule="auto" w:before="5"/>
        <w:rPr>
          <w:rFonts w:ascii="宋体" w:hAnsi="宋体" w:cs="宋体" w:eastAsia="宋体" w:hint="default"/>
          <w:sz w:val="19"/>
          <w:szCs w:val="19"/>
        </w:rPr>
      </w:pPr>
    </w:p>
    <w:p>
      <w:pPr>
        <w:pStyle w:val="BodyText"/>
        <w:spacing w:line="273" w:lineRule="auto"/>
        <w:ind w:right="1130"/>
        <w:jc w:val="both"/>
      </w:pPr>
      <w:r>
        <w:rPr>
          <w:spacing w:val="-1"/>
        </w:rPr>
        <w:t>本集团对于授予的存在活跃市场的期权等权益工具，按照活跃市场中的报价确定其公允价值。对于授予的</w:t>
      </w:r>
      <w:r>
        <w:rPr>
          <w:spacing w:val="-81"/>
        </w:rPr>
        <w:t> </w:t>
      </w:r>
      <w:r>
        <w:rPr>
          <w:spacing w:val="-81"/>
        </w:rPr>
      </w:r>
      <w:r>
        <w:rPr>
          <w:spacing w:val="-1"/>
        </w:rPr>
        <w:t>不存在活跃市场的期权等权益工具，采用期权定价模型等确定其公允价值。选用的期权定价模型考虑以下</w:t>
      </w:r>
      <w:r>
        <w:rPr>
          <w:spacing w:val="-81"/>
        </w:rPr>
        <w:t> </w:t>
      </w:r>
      <w:r>
        <w:rPr>
          <w:spacing w:val="-81"/>
        </w:rPr>
      </w:r>
      <w:r>
        <w:rPr/>
        <w:t>因素：</w:t>
      </w:r>
      <w:r>
        <w:rPr>
          <w:rFonts w:ascii="宋体" w:hAnsi="宋体" w:cs="宋体" w:eastAsia="宋体" w:hint="default"/>
        </w:rPr>
        <w:t>A</w:t>
      </w:r>
      <w:r>
        <w:rPr/>
        <w:t>、期权的行权价格；</w:t>
      </w:r>
      <w:r>
        <w:rPr>
          <w:rFonts w:ascii="宋体" w:hAnsi="宋体" w:cs="宋体" w:eastAsia="宋体" w:hint="default"/>
        </w:rPr>
        <w:t>B</w:t>
      </w:r>
      <w:r>
        <w:rPr/>
        <w:t>、期权的有效期；</w:t>
      </w:r>
      <w:r>
        <w:rPr>
          <w:rFonts w:ascii="宋体" w:hAnsi="宋体" w:cs="宋体" w:eastAsia="宋体" w:hint="default"/>
        </w:rPr>
        <w:t>C</w:t>
      </w:r>
      <w:r>
        <w:rPr/>
        <w:t>、标的股份的现行价格；</w:t>
      </w:r>
      <w:r>
        <w:rPr>
          <w:rFonts w:ascii="宋体" w:hAnsi="宋体" w:cs="宋体" w:eastAsia="宋体" w:hint="default"/>
        </w:rPr>
        <w:t>D</w:t>
      </w:r>
      <w:r>
        <w:rPr/>
        <w:t>、股价预计波动率；</w:t>
      </w:r>
      <w:r>
        <w:rPr>
          <w:rFonts w:ascii="宋体" w:hAnsi="宋体" w:cs="宋体" w:eastAsia="宋体" w:hint="default"/>
        </w:rPr>
        <w:t>E</w:t>
      </w:r>
      <w:r>
        <w:rPr/>
        <w:t>、股份</w:t>
      </w:r>
      <w:r>
        <w:rPr>
          <w:spacing w:val="-29"/>
        </w:rPr>
        <w:t> </w:t>
      </w:r>
      <w:r>
        <w:rPr/>
        <w:t>的预计股利；</w:t>
      </w:r>
      <w:r>
        <w:rPr>
          <w:rFonts w:ascii="宋体" w:hAnsi="宋体" w:cs="宋体" w:eastAsia="宋体" w:hint="default"/>
        </w:rPr>
        <w:t>F</w:t>
      </w:r>
      <w:r>
        <w:rPr/>
        <w:t>、期权有效期内的无风险利率。</w:t>
      </w:r>
    </w:p>
    <w:p>
      <w:pPr>
        <w:spacing w:line="240" w:lineRule="auto" w:before="1"/>
        <w:rPr>
          <w:rFonts w:ascii="宋体" w:hAnsi="宋体" w:cs="宋体" w:eastAsia="宋体" w:hint="default"/>
          <w:sz w:val="17"/>
          <w:szCs w:val="17"/>
        </w:rPr>
      </w:pPr>
    </w:p>
    <w:p>
      <w:pPr>
        <w:pStyle w:val="BodyText"/>
        <w:spacing w:line="240" w:lineRule="auto"/>
        <w:ind w:right="0"/>
        <w:jc w:val="both"/>
      </w:pPr>
      <w:r>
        <w:rPr/>
        <w:t>（</w:t>
      </w:r>
      <w:r>
        <w:rPr>
          <w:rFonts w:ascii="宋体" w:hAnsi="宋体" w:cs="宋体" w:eastAsia="宋体" w:hint="default"/>
        </w:rPr>
        <w:t>3</w:t>
      </w:r>
      <w:r>
        <w:rPr/>
        <w:t>）确认可行权权益工具最佳估计的依据</w:t>
      </w:r>
    </w:p>
    <w:p>
      <w:pPr>
        <w:spacing w:after="0" w:line="240"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73" w:lineRule="auto" w:before="35"/>
        <w:ind w:right="1109"/>
        <w:jc w:val="both"/>
      </w:pPr>
      <w:r>
        <w:rPr>
          <w:spacing w:val="-1"/>
        </w:rPr>
        <w:t>等待期内每个资产负债表日，本集团根据最新取得的可行权职工人数变动等后续信息作出最佳估计，修正</w:t>
      </w:r>
      <w:r>
        <w:rPr>
          <w:spacing w:val="-81"/>
        </w:rPr>
        <w:t> </w:t>
      </w:r>
      <w:r>
        <w:rPr>
          <w:spacing w:val="-81"/>
        </w:rPr>
      </w:r>
      <w:r>
        <w:rPr/>
        <w:t>预计可行权的权益工具数量。在可行权日，最终预计可行权权益工具的数量应当与实际可行权数量一致。</w:t>
      </w:r>
    </w:p>
    <w:p>
      <w:pPr>
        <w:spacing w:line="240" w:lineRule="auto" w:before="1"/>
        <w:rPr>
          <w:rFonts w:ascii="宋体" w:hAnsi="宋体" w:cs="宋体" w:eastAsia="宋体" w:hint="default"/>
          <w:sz w:val="17"/>
          <w:szCs w:val="17"/>
        </w:rPr>
      </w:pPr>
    </w:p>
    <w:p>
      <w:pPr>
        <w:pStyle w:val="BodyText"/>
        <w:spacing w:line="240" w:lineRule="auto"/>
        <w:ind w:right="0"/>
        <w:jc w:val="both"/>
      </w:pPr>
      <w:r>
        <w:rPr/>
        <w:t>（</w:t>
      </w:r>
      <w:r>
        <w:rPr>
          <w:rFonts w:ascii="宋体" w:hAnsi="宋体" w:cs="宋体" w:eastAsia="宋体" w:hint="default"/>
        </w:rPr>
        <w:t>4</w:t>
      </w:r>
      <w:r>
        <w:rPr/>
        <w:t>）实施、修改、终止股份支付计划的相关会计处理</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以权益结算的股份支付，按授予职工权益工具的公允价值计量。授予后立即可行权的，在授予日按照权益</w:t>
      </w:r>
      <w:r>
        <w:rPr>
          <w:spacing w:val="-83"/>
        </w:rPr>
        <w:t> </w:t>
      </w:r>
      <w:r>
        <w:rPr>
          <w:spacing w:val="-83"/>
        </w:rPr>
      </w:r>
      <w:r>
        <w:rPr>
          <w:spacing w:val="-1"/>
        </w:rPr>
        <w:t>工具的公允价值计入相关成本或费用，相应增加资本公积。在完成等待期内的服务或达到规定业绩条件才</w:t>
      </w:r>
      <w:r>
        <w:rPr>
          <w:spacing w:val="-81"/>
        </w:rPr>
        <w:t> </w:t>
      </w:r>
      <w:r>
        <w:rPr>
          <w:spacing w:val="-81"/>
        </w:rPr>
      </w:r>
      <w:r>
        <w:rPr>
          <w:spacing w:val="-1"/>
        </w:rPr>
        <w:t>可行权的，在等待期内的每个资产负债表日，以对可行权权益工具数量的最佳估计为基础，按照权益工具</w:t>
      </w:r>
      <w:r>
        <w:rPr>
          <w:spacing w:val="-83"/>
        </w:rPr>
        <w:t> </w:t>
      </w:r>
      <w:r>
        <w:rPr>
          <w:spacing w:val="-83"/>
        </w:rPr>
      </w:r>
      <w:r>
        <w:rPr>
          <w:spacing w:val="-1"/>
        </w:rPr>
        <w:t>授予日的公允价值，将当期取得的服务计入相关成本或费用和资本公积。在可行权日之后不再对已确认的</w:t>
      </w:r>
      <w:r>
        <w:rPr>
          <w:spacing w:val="-81"/>
        </w:rPr>
        <w:t> </w:t>
      </w:r>
      <w:r>
        <w:rPr>
          <w:spacing w:val="-81"/>
        </w:rPr>
      </w:r>
      <w:r>
        <w:rPr/>
        <w:t>相关成本或费用和所有者权益总额进行调整。</w:t>
      </w:r>
    </w:p>
    <w:p>
      <w:pPr>
        <w:spacing w:line="240" w:lineRule="auto" w:before="1"/>
        <w:rPr>
          <w:rFonts w:ascii="宋体" w:hAnsi="宋体" w:cs="宋体" w:eastAsia="宋体" w:hint="default"/>
          <w:sz w:val="17"/>
          <w:szCs w:val="17"/>
        </w:rPr>
      </w:pPr>
    </w:p>
    <w:p>
      <w:pPr>
        <w:pStyle w:val="BodyText"/>
        <w:spacing w:line="273" w:lineRule="auto"/>
        <w:ind w:left="1134" w:right="1110"/>
        <w:jc w:val="both"/>
      </w:pPr>
      <w:r>
        <w:rPr>
          <w:spacing w:val="3"/>
        </w:rPr>
        <w:t>以现金结算的股份支付，按照本集团承担的以股份或其他权益工具为基础计算确定的负债的公允价值计</w:t>
      </w:r>
      <w:r>
        <w:rPr>
          <w:spacing w:val="-82"/>
        </w:rPr>
        <w:t> </w:t>
      </w:r>
      <w:r>
        <w:rPr>
          <w:spacing w:val="-82"/>
        </w:rPr>
      </w:r>
      <w:r>
        <w:rPr/>
        <w:t>量。授予后立即可行权的，在授予日以本集团承担负债的公允价值计入相关成本或费用，相应增加负债。 </w:t>
      </w:r>
      <w:r>
        <w:rPr>
          <w:spacing w:val="-1"/>
        </w:rPr>
        <w:t>在完成等待期内的服务或达到规定业绩条件以后才可行权的以现金结算的股份支付，在等待期内的每个资</w:t>
      </w:r>
      <w:r>
        <w:rPr>
          <w:spacing w:val="-81"/>
        </w:rPr>
        <w:t> </w:t>
      </w:r>
      <w:r>
        <w:rPr>
          <w:spacing w:val="-81"/>
        </w:rPr>
      </w:r>
      <w:r>
        <w:rPr>
          <w:spacing w:val="-1"/>
        </w:rPr>
        <w:t>产负债表日，以对可行权情况的最佳估计为基础，按照本集团承担负债的公允价值金额，将当期取得的服</w:t>
      </w:r>
      <w:r>
        <w:rPr>
          <w:spacing w:val="-83"/>
        </w:rPr>
        <w:t> </w:t>
      </w:r>
      <w:r>
        <w:rPr>
          <w:spacing w:val="-83"/>
        </w:rPr>
      </w:r>
      <w:r>
        <w:rPr>
          <w:spacing w:val="-1"/>
        </w:rPr>
        <w:t>务计入成本或费用和相应的负债。在相关负债结算前的每个资产负债表日以及结算日，对负债的公允价值</w:t>
      </w:r>
      <w:r>
        <w:rPr>
          <w:spacing w:val="-81"/>
        </w:rPr>
        <w:t> </w:t>
      </w:r>
      <w:r>
        <w:rPr>
          <w:spacing w:val="-81"/>
        </w:rPr>
      </w:r>
      <w:r>
        <w:rPr/>
        <w:t>重新计量，其变动计入当期损益。</w:t>
      </w:r>
    </w:p>
    <w:p>
      <w:pPr>
        <w:spacing w:line="240" w:lineRule="auto" w:before="1"/>
        <w:rPr>
          <w:rFonts w:ascii="宋体" w:hAnsi="宋体" w:cs="宋体" w:eastAsia="宋体" w:hint="default"/>
          <w:sz w:val="17"/>
          <w:szCs w:val="17"/>
        </w:rPr>
      </w:pPr>
    </w:p>
    <w:p>
      <w:pPr>
        <w:pStyle w:val="BodyText"/>
        <w:spacing w:line="273" w:lineRule="auto"/>
        <w:ind w:left="1134" w:right="1131"/>
        <w:jc w:val="both"/>
      </w:pPr>
      <w:r>
        <w:rPr>
          <w:spacing w:val="-1"/>
        </w:rPr>
        <w:t>本集团对股份支付计划进行修改时，若修改增加了所授予权益工具的公允价值，按照权益工具公允价值的</w:t>
      </w:r>
      <w:r>
        <w:rPr>
          <w:spacing w:val="-81"/>
        </w:rPr>
        <w:t> </w:t>
      </w:r>
      <w:r>
        <w:rPr>
          <w:spacing w:val="-81"/>
        </w:rPr>
      </w:r>
      <w:r>
        <w:rPr>
          <w:spacing w:val="-1"/>
        </w:rPr>
        <w:t>增加相应地确认取得服务的增加；若修改增加了所授予权益工具的数量，则将增加的权益工具的公允价值</w:t>
      </w:r>
      <w:r>
        <w:rPr>
          <w:spacing w:val="-81"/>
        </w:rPr>
        <w:t> </w:t>
      </w:r>
      <w:r>
        <w:rPr>
          <w:spacing w:val="-81"/>
        </w:rPr>
      </w:r>
      <w:r>
        <w:rPr>
          <w:spacing w:val="-1"/>
        </w:rPr>
        <w:t>相应地确认为取得服务的增加。权益工具公允价值的增加是指修改前后的权益工具在修改日的公允价值之</w:t>
      </w:r>
      <w:r>
        <w:rPr>
          <w:spacing w:val="-81"/>
        </w:rPr>
        <w:t> </w:t>
      </w:r>
      <w:r>
        <w:rPr>
          <w:spacing w:val="-81"/>
        </w:rPr>
      </w:r>
      <w:r>
        <w:rPr>
          <w:spacing w:val="-1"/>
        </w:rPr>
        <w:t>间的差额。若修改减少了股份支付公允价值总额或采用了其他不利于职工的方式修改股份支付计划的条款</w:t>
      </w:r>
      <w:r>
        <w:rPr>
          <w:spacing w:val="-81"/>
        </w:rPr>
        <w:t> </w:t>
      </w:r>
      <w:r>
        <w:rPr>
          <w:spacing w:val="-81"/>
        </w:rPr>
      </w:r>
      <w:r>
        <w:rPr>
          <w:spacing w:val="-1"/>
        </w:rPr>
        <w:t>和条件，则仍继续对取得的服务进行会计处理，视同该变更从未发生，除非本集团取消了部分或全部已授</w:t>
      </w:r>
      <w:r>
        <w:rPr>
          <w:spacing w:val="-83"/>
        </w:rPr>
        <w:t> </w:t>
      </w:r>
      <w:r>
        <w:rPr>
          <w:spacing w:val="-83"/>
        </w:rPr>
      </w:r>
      <w:r>
        <w:rPr/>
        <w:t>予的权益工具。</w:t>
      </w:r>
    </w:p>
    <w:p>
      <w:pPr>
        <w:spacing w:line="240" w:lineRule="auto" w:before="1"/>
        <w:rPr>
          <w:rFonts w:ascii="宋体" w:hAnsi="宋体" w:cs="宋体" w:eastAsia="宋体" w:hint="default"/>
          <w:sz w:val="17"/>
          <w:szCs w:val="17"/>
        </w:rPr>
      </w:pPr>
    </w:p>
    <w:p>
      <w:pPr>
        <w:pStyle w:val="BodyText"/>
        <w:spacing w:line="273" w:lineRule="auto"/>
        <w:ind w:left="1134" w:right="1131"/>
        <w:jc w:val="both"/>
      </w:pPr>
      <w:r>
        <w:rPr>
          <w:spacing w:val="-1"/>
        </w:rPr>
        <w:t>在等待期内，如果取消了授予的权益工具（因未满足可行权条件的非市场条件而被取消的除外），本集团</w:t>
      </w:r>
      <w:r>
        <w:rPr>
          <w:spacing w:val="-85"/>
        </w:rPr>
        <w:t> </w:t>
      </w:r>
      <w:r>
        <w:rPr>
          <w:spacing w:val="-85"/>
        </w:rPr>
      </w:r>
      <w:r>
        <w:rPr>
          <w:spacing w:val="-1"/>
        </w:rPr>
        <w:t>对取消所授予的权益性工具作为加速行权处理，将剩余等待期内应确认的金额立即计入当期损益，同时确</w:t>
      </w:r>
      <w:r>
        <w:rPr>
          <w:spacing w:val="-81"/>
        </w:rPr>
        <w:t> </w:t>
      </w:r>
      <w:r>
        <w:rPr>
          <w:spacing w:val="-81"/>
        </w:rPr>
      </w:r>
      <w:r>
        <w:rPr>
          <w:spacing w:val="-1"/>
        </w:rPr>
        <w:t>认资本公积。职工或其他方能够选择满足非可行权条件但在等待期内未满足的，本集团将其作为授予权益</w:t>
      </w:r>
      <w:r>
        <w:rPr>
          <w:spacing w:val="-81"/>
        </w:rPr>
        <w:t> </w:t>
      </w:r>
      <w:r>
        <w:rPr>
          <w:spacing w:val="-81"/>
        </w:rPr>
      </w:r>
      <w:r>
        <w:rPr/>
        <w:t>工具的取消处理。</w:t>
      </w:r>
    </w:p>
    <w:p>
      <w:pPr>
        <w:spacing w:line="240" w:lineRule="auto" w:before="8"/>
        <w:rPr>
          <w:rFonts w:ascii="宋体" w:hAnsi="宋体" w:cs="宋体" w:eastAsia="宋体" w:hint="default"/>
          <w:sz w:val="23"/>
          <w:szCs w:val="23"/>
        </w:rPr>
      </w:pPr>
    </w:p>
    <w:p>
      <w:pPr>
        <w:pStyle w:val="Heading3"/>
        <w:spacing w:line="240" w:lineRule="auto"/>
        <w:ind w:left="1134" w:right="0"/>
        <w:jc w:val="both"/>
        <w:rPr>
          <w:b w:val="0"/>
          <w:bCs w:val="0"/>
        </w:rPr>
      </w:pPr>
      <w:bookmarkStart w:name="24、收入" w:id="199"/>
      <w:bookmarkEnd w:id="199"/>
      <w:r>
        <w:rPr>
          <w:b w:val="0"/>
          <w:bCs w:val="0"/>
        </w:rPr>
      </w:r>
      <w:r>
        <w:rPr>
          <w:rFonts w:ascii="宋体" w:hAnsi="宋体" w:cs="宋体" w:eastAsia="宋体" w:hint="default"/>
        </w:rPr>
        <w:t>24</w:t>
      </w:r>
      <w:r>
        <w:rPr/>
        <w:t>、收入</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1134" w:right="0"/>
        <w:jc w:val="both"/>
      </w:pPr>
      <w:r>
        <w:rPr/>
        <w:t>（</w:t>
      </w:r>
      <w:r>
        <w:rPr>
          <w:rFonts w:ascii="宋体" w:hAnsi="宋体" w:cs="宋体" w:eastAsia="宋体" w:hint="default"/>
        </w:rPr>
        <w:t>1</w:t>
      </w:r>
      <w:r>
        <w:rPr/>
        <w:t>）一般原则</w:t>
      </w:r>
    </w:p>
    <w:p>
      <w:pPr>
        <w:spacing w:line="240" w:lineRule="auto" w:before="5"/>
        <w:rPr>
          <w:rFonts w:ascii="宋体" w:hAnsi="宋体" w:cs="宋体" w:eastAsia="宋体" w:hint="default"/>
          <w:sz w:val="19"/>
          <w:szCs w:val="19"/>
        </w:rPr>
      </w:pPr>
    </w:p>
    <w:p>
      <w:pPr>
        <w:pStyle w:val="BodyText"/>
        <w:spacing w:line="240" w:lineRule="auto"/>
        <w:ind w:left="1134" w:right="0"/>
        <w:jc w:val="both"/>
      </w:pPr>
      <w:r>
        <w:rPr/>
        <w:t>①销售商品</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在已将商品所有权上的主要风险和报酬转移给购货方，既没有保留通常与所有权相联系的继续管理权，也</w:t>
      </w:r>
      <w:r>
        <w:rPr>
          <w:spacing w:val="-81"/>
        </w:rPr>
        <w:t> </w:t>
      </w:r>
      <w:r>
        <w:rPr>
          <w:spacing w:val="-81"/>
        </w:rPr>
      </w:r>
      <w:r>
        <w:rPr>
          <w:spacing w:val="-1"/>
        </w:rPr>
        <w:t>没有对已售商品实施有效控制，收入的金额能够可靠地计量，相关的经济利益很可能流入企业，相关的已</w:t>
      </w:r>
      <w:r>
        <w:rPr>
          <w:spacing w:val="-83"/>
        </w:rPr>
        <w:t> </w:t>
      </w:r>
      <w:r>
        <w:rPr>
          <w:spacing w:val="-83"/>
        </w:rPr>
      </w:r>
      <w:r>
        <w:rPr/>
        <w:t>发生或将发生的成本能够可靠地计量时，确认商品销售收入的实现。</w:t>
      </w:r>
    </w:p>
    <w:p>
      <w:pPr>
        <w:spacing w:line="240" w:lineRule="auto" w:before="1"/>
        <w:rPr>
          <w:rFonts w:ascii="宋体" w:hAnsi="宋体" w:cs="宋体" w:eastAsia="宋体" w:hint="default"/>
          <w:sz w:val="17"/>
          <w:szCs w:val="17"/>
        </w:rPr>
      </w:pPr>
    </w:p>
    <w:p>
      <w:pPr>
        <w:pStyle w:val="BodyText"/>
        <w:spacing w:line="460" w:lineRule="auto"/>
        <w:ind w:right="1303"/>
        <w:jc w:val="left"/>
      </w:pPr>
      <w:r>
        <w:rPr/>
        <w:t>②提供劳务 对在提供劳务交易的结果能够可靠估计的情况下，本集团于资产负债表日按完工百分比法确认收入。 劳务交易的完工进度按已经发生的劳务成本占估计总成本的比例确定。</w:t>
      </w:r>
    </w:p>
    <w:p>
      <w:pPr>
        <w:pStyle w:val="BodyText"/>
        <w:spacing w:line="273" w:lineRule="auto" w:before="60"/>
        <w:ind w:right="1110"/>
        <w:jc w:val="both"/>
      </w:pPr>
      <w:r>
        <w:rPr>
          <w:spacing w:val="-1"/>
        </w:rPr>
        <w:t>提供劳务交易的结果能够可靠估计是指同时满足：</w:t>
      </w:r>
      <w:r>
        <w:rPr>
          <w:rFonts w:ascii="宋体" w:hAnsi="宋体" w:cs="宋体" w:eastAsia="宋体" w:hint="default"/>
          <w:spacing w:val="-1"/>
        </w:rPr>
        <w:t>A</w:t>
      </w:r>
      <w:r>
        <w:rPr>
          <w:spacing w:val="-1"/>
        </w:rPr>
        <w:t>、收入的金额能够可靠地计量；</w:t>
      </w:r>
      <w:r>
        <w:rPr>
          <w:rFonts w:ascii="宋体" w:hAnsi="宋体" w:cs="宋体" w:eastAsia="宋体" w:hint="default"/>
          <w:spacing w:val="-1"/>
        </w:rPr>
        <w:t>B</w:t>
      </w:r>
      <w:r>
        <w:rPr>
          <w:spacing w:val="-1"/>
        </w:rPr>
        <w:t>、相关的经济利益很</w:t>
      </w:r>
      <w:r>
        <w:rPr>
          <w:spacing w:val="-84"/>
        </w:rPr>
        <w:t> </w:t>
      </w:r>
      <w:r>
        <w:rPr>
          <w:spacing w:val="-84"/>
        </w:rPr>
      </w:r>
      <w:r>
        <w:rPr/>
        <w:t>可能流入企业；</w:t>
      </w:r>
      <w:r>
        <w:rPr>
          <w:rFonts w:ascii="宋体" w:hAnsi="宋体" w:cs="宋体" w:eastAsia="宋体" w:hint="default"/>
        </w:rPr>
        <w:t>C</w:t>
      </w:r>
      <w:r>
        <w:rPr/>
        <w:t>、交易的完工程度能够可靠地确定；</w:t>
      </w:r>
      <w:r>
        <w:rPr>
          <w:rFonts w:ascii="宋体" w:hAnsi="宋体" w:cs="宋体" w:eastAsia="宋体" w:hint="default"/>
        </w:rPr>
        <w:t>D</w:t>
      </w:r>
      <w:r>
        <w:rPr/>
        <w:t>、交易中已发生和将发生的成本能够可靠地计量。</w:t>
      </w:r>
    </w:p>
    <w:p>
      <w:pPr>
        <w:spacing w:after="0" w:line="273" w:lineRule="auto"/>
        <w:jc w:val="both"/>
        <w:sectPr>
          <w:footerReference w:type="default" r:id="rId14"/>
          <w:pgSz w:w="11910" w:h="16840"/>
          <w:pgMar w:footer="979" w:header="747" w:top="1060" w:bottom="1160" w:left="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如果提供劳务交易的结果不能够可靠估计，则按已经发生并预计能够得到补偿的劳务成本金额确认提供的</w:t>
      </w:r>
      <w:r>
        <w:rPr>
          <w:spacing w:val="-81"/>
        </w:rPr>
        <w:t> </w:t>
      </w:r>
      <w:r>
        <w:rPr>
          <w:spacing w:val="-81"/>
        </w:rPr>
      </w:r>
      <w:r>
        <w:rPr>
          <w:spacing w:val="-1"/>
        </w:rPr>
        <w:t>劳务收入，并将已发生的劳务成本作为当期费用。已经发生的劳务成本如预计不能得到补偿的，则不确认</w:t>
      </w:r>
      <w:r>
        <w:rPr>
          <w:spacing w:val="-83"/>
        </w:rPr>
        <w:t> </w:t>
      </w:r>
      <w:r>
        <w:rPr>
          <w:spacing w:val="-83"/>
        </w:rPr>
      </w:r>
      <w:r>
        <w:rPr/>
        <w:t>收入。</w:t>
      </w:r>
    </w:p>
    <w:p>
      <w:pPr>
        <w:spacing w:line="240" w:lineRule="auto" w:before="2"/>
        <w:rPr>
          <w:rFonts w:ascii="宋体" w:hAnsi="宋体" w:cs="宋体" w:eastAsia="宋体" w:hint="default"/>
          <w:sz w:val="17"/>
          <w:szCs w:val="17"/>
        </w:rPr>
      </w:pPr>
    </w:p>
    <w:p>
      <w:pPr>
        <w:pStyle w:val="BodyText"/>
        <w:spacing w:line="460" w:lineRule="auto"/>
        <w:ind w:right="1933"/>
        <w:jc w:val="left"/>
      </w:pPr>
      <w:r>
        <w:rPr/>
        <w:t>③让渡资产使用权 与资产使用权让渡相关的经济利益能够流入及收入的金额能够可靠地计量时，本集团确认收入。</w:t>
      </w:r>
    </w:p>
    <w:p>
      <w:pPr>
        <w:pStyle w:val="BodyText"/>
        <w:spacing w:line="240" w:lineRule="auto" w:before="60"/>
        <w:ind w:right="3499"/>
        <w:jc w:val="left"/>
      </w:pPr>
      <w:r>
        <w:rPr/>
        <w:t>（</w:t>
      </w:r>
      <w:r>
        <w:rPr>
          <w:rFonts w:ascii="宋体" w:hAnsi="宋体" w:cs="宋体" w:eastAsia="宋体" w:hint="default"/>
        </w:rPr>
        <w:t>2</w:t>
      </w:r>
      <w:r>
        <w:rPr/>
        <w:t>）收入确认的具体方法</w:t>
      </w:r>
    </w:p>
    <w:p>
      <w:pPr>
        <w:spacing w:line="240" w:lineRule="auto" w:before="5"/>
        <w:rPr>
          <w:rFonts w:ascii="宋体" w:hAnsi="宋体" w:cs="宋体" w:eastAsia="宋体" w:hint="default"/>
          <w:sz w:val="19"/>
          <w:szCs w:val="19"/>
        </w:rPr>
      </w:pPr>
    </w:p>
    <w:p>
      <w:pPr>
        <w:pStyle w:val="BodyText"/>
        <w:spacing w:line="460" w:lineRule="auto"/>
        <w:ind w:left="1136" w:right="4240"/>
        <w:jc w:val="left"/>
      </w:pPr>
      <w:r>
        <w:rPr/>
        <w:t>①软件开发收入 软件开发是指根据客户的实际需求进行专门的软件设计与开发的服务。 软件开发收入的具体确认方法为：</w:t>
      </w:r>
    </w:p>
    <w:p>
      <w:pPr>
        <w:pStyle w:val="BodyText"/>
        <w:spacing w:line="273" w:lineRule="auto" w:before="60"/>
        <w:ind w:left="1136" w:right="0"/>
        <w:jc w:val="left"/>
      </w:pPr>
      <w:r>
        <w:rPr>
          <w:rFonts w:ascii="宋体" w:hAnsi="宋体" w:cs="宋体" w:eastAsia="宋体" w:hint="default"/>
          <w:spacing w:val="-1"/>
        </w:rPr>
        <w:t>A</w:t>
      </w:r>
      <w:r>
        <w:rPr>
          <w:spacing w:val="-1"/>
        </w:rPr>
        <w:t>、软件开发业务主要部分或全部由本集团完成的，在资产负债表日提供劳务交易的结果能够可靠估计的，</w:t>
      </w:r>
      <w:r>
        <w:rPr>
          <w:spacing w:val="-84"/>
        </w:rPr>
        <w:t> </w:t>
      </w:r>
      <w:r>
        <w:rPr>
          <w:spacing w:val="-84"/>
        </w:rPr>
      </w:r>
      <w:r>
        <w:rPr/>
        <w:t>采用完工百分比法确认收入，完工百分比依据已经发生的成本占估计总成本的比例确定。</w:t>
      </w:r>
    </w:p>
    <w:p>
      <w:pPr>
        <w:spacing w:line="240" w:lineRule="auto" w:before="1"/>
        <w:rPr>
          <w:rFonts w:ascii="宋体" w:hAnsi="宋体" w:cs="宋体" w:eastAsia="宋体" w:hint="default"/>
          <w:sz w:val="17"/>
          <w:szCs w:val="17"/>
        </w:rPr>
      </w:pPr>
    </w:p>
    <w:p>
      <w:pPr>
        <w:pStyle w:val="BodyText"/>
        <w:spacing w:line="273" w:lineRule="auto"/>
        <w:ind w:left="1136" w:right="1118"/>
        <w:jc w:val="left"/>
      </w:pPr>
      <w:r>
        <w:rPr>
          <w:rFonts w:ascii="宋体" w:hAnsi="宋体" w:cs="宋体" w:eastAsia="宋体" w:hint="default"/>
        </w:rPr>
        <w:t>B</w:t>
      </w:r>
      <w:r>
        <w:rPr/>
        <w:t>、软件开发业务主要部分或全部委托其他公司完成的，以取得客户确认的交付验收确认书确认软件开发</w:t>
      </w:r>
      <w:r>
        <w:rPr>
          <w:spacing w:val="-38"/>
        </w:rPr>
        <w:t> </w:t>
      </w:r>
      <w:r>
        <w:rPr>
          <w:spacing w:val="-38"/>
        </w:rPr>
      </w:r>
      <w:r>
        <w:rPr/>
        <w:t>收入。</w:t>
      </w:r>
    </w:p>
    <w:p>
      <w:pPr>
        <w:spacing w:line="240" w:lineRule="auto" w:before="1"/>
        <w:rPr>
          <w:rFonts w:ascii="宋体" w:hAnsi="宋体" w:cs="宋体" w:eastAsia="宋体" w:hint="default"/>
          <w:sz w:val="17"/>
          <w:szCs w:val="17"/>
        </w:rPr>
      </w:pPr>
    </w:p>
    <w:p>
      <w:pPr>
        <w:pStyle w:val="BodyText"/>
        <w:spacing w:line="460" w:lineRule="auto"/>
        <w:ind w:left="1136" w:right="4450"/>
        <w:jc w:val="left"/>
      </w:pPr>
      <w:r>
        <w:rPr/>
        <w:t>②技术服务收入 技术服务是指为客户提供的技术支持、技术咨询、系统维护等服务。 技术服务收入的具体确认方法为：</w:t>
      </w:r>
    </w:p>
    <w:p>
      <w:pPr>
        <w:pStyle w:val="BodyText"/>
        <w:spacing w:line="273" w:lineRule="auto" w:before="60"/>
        <w:ind w:left="1136" w:right="1131"/>
        <w:jc w:val="both"/>
      </w:pPr>
      <w:r>
        <w:rPr>
          <w:rFonts w:ascii="宋体" w:hAnsi="宋体" w:cs="宋体" w:eastAsia="宋体" w:hint="default"/>
        </w:rPr>
        <w:t>A</w:t>
      </w:r>
      <w:r>
        <w:rPr/>
        <w:t>、根据客户需求在一定时间内提供相应的技术人员，明确约定相应的服务期限，并明确约定每月的服务</w:t>
      </w:r>
      <w:r>
        <w:rPr>
          <w:spacing w:val="-41"/>
        </w:rPr>
        <w:t> </w:t>
      </w:r>
      <w:r>
        <w:rPr>
          <w:spacing w:val="-41"/>
        </w:rPr>
      </w:r>
      <w:r>
        <w:rPr>
          <w:spacing w:val="-1"/>
        </w:rPr>
        <w:t>费用金额或者服务期限内服务费用总额。合同中未约定验收条款的，按合同约定的每月服务费用确认收入</w:t>
      </w:r>
      <w:r>
        <w:rPr>
          <w:spacing w:val="-83"/>
        </w:rPr>
        <w:t> </w:t>
      </w:r>
      <w:r>
        <w:rPr>
          <w:spacing w:val="-83"/>
        </w:rPr>
      </w:r>
      <w:r>
        <w:rPr>
          <w:spacing w:val="-1"/>
        </w:rPr>
        <w:t>或在合同约定的期限内采用直线法确认，合同中约定验收条款的，取得验收条款约定的依据确认服务费收</w:t>
      </w:r>
      <w:r>
        <w:rPr>
          <w:spacing w:val="-83"/>
        </w:rPr>
        <w:t> </w:t>
      </w:r>
      <w:r>
        <w:rPr>
          <w:spacing w:val="-83"/>
        </w:rPr>
      </w:r>
      <w:r>
        <w:rPr/>
        <w:t>入。</w:t>
      </w:r>
    </w:p>
    <w:p>
      <w:pPr>
        <w:spacing w:line="240" w:lineRule="auto" w:before="1"/>
        <w:rPr>
          <w:rFonts w:ascii="宋体" w:hAnsi="宋体" w:cs="宋体" w:eastAsia="宋体" w:hint="default"/>
          <w:sz w:val="17"/>
          <w:szCs w:val="17"/>
        </w:rPr>
      </w:pPr>
    </w:p>
    <w:p>
      <w:pPr>
        <w:pStyle w:val="BodyText"/>
        <w:spacing w:line="273" w:lineRule="auto"/>
        <w:ind w:left="1136" w:right="0"/>
        <w:jc w:val="left"/>
      </w:pPr>
      <w:r>
        <w:rPr>
          <w:rFonts w:ascii="宋体" w:hAnsi="宋体" w:cs="宋体" w:eastAsia="宋体" w:hint="default"/>
        </w:rPr>
        <w:t>B</w:t>
      </w:r>
      <w:r>
        <w:rPr/>
        <w:t>、根据客户需求提供相应的技术人员，但合同中明确约定验收条款，相应的实际服务期限可能会根据客</w:t>
      </w:r>
      <w:r>
        <w:rPr>
          <w:spacing w:val="-36"/>
        </w:rPr>
        <w:t> </w:t>
      </w:r>
      <w:r>
        <w:rPr>
          <w:spacing w:val="-36"/>
        </w:rPr>
      </w:r>
      <w:r>
        <w:rPr/>
        <w:t>户的需求或验收进行调整，按照软件开发业务的确认方法确认。</w:t>
      </w:r>
    </w:p>
    <w:p>
      <w:pPr>
        <w:spacing w:line="240" w:lineRule="auto" w:before="1"/>
        <w:rPr>
          <w:rFonts w:ascii="宋体" w:hAnsi="宋体" w:cs="宋体" w:eastAsia="宋体" w:hint="default"/>
          <w:sz w:val="17"/>
          <w:szCs w:val="17"/>
        </w:rPr>
      </w:pPr>
    </w:p>
    <w:p>
      <w:pPr>
        <w:pStyle w:val="BodyText"/>
        <w:spacing w:line="460" w:lineRule="auto"/>
        <w:ind w:left="1136" w:right="5920"/>
        <w:jc w:val="left"/>
      </w:pPr>
      <w:r>
        <w:rPr/>
        <w:t>③软件许可收入 软件许可是指授权客户使用本集团的自有软件产品。 软件许可收入的具体确认方法为：</w:t>
      </w:r>
    </w:p>
    <w:p>
      <w:pPr>
        <w:pStyle w:val="BodyText"/>
        <w:spacing w:line="273" w:lineRule="auto" w:before="60"/>
        <w:ind w:left="1136" w:right="0"/>
        <w:jc w:val="left"/>
      </w:pPr>
      <w:r>
        <w:rPr>
          <w:rFonts w:ascii="宋体" w:hAnsi="宋体" w:cs="宋体" w:eastAsia="宋体" w:hint="default"/>
        </w:rPr>
        <w:t>A</w:t>
      </w:r>
      <w:r>
        <w:rPr/>
        <w:t>、合同中约定许可费按照客户产品的出货量为标准进行结算的，以收到客户确认的许可费确认单所属期</w:t>
      </w:r>
      <w:r>
        <w:rPr>
          <w:spacing w:val="-41"/>
        </w:rPr>
        <w:t> </w:t>
      </w:r>
      <w:r>
        <w:rPr>
          <w:spacing w:val="-41"/>
        </w:rPr>
      </w:r>
      <w:r>
        <w:rPr/>
        <w:t>间确认软件许可收入。</w:t>
      </w:r>
    </w:p>
    <w:p>
      <w:pPr>
        <w:spacing w:line="240" w:lineRule="auto" w:before="1"/>
        <w:rPr>
          <w:rFonts w:ascii="宋体" w:hAnsi="宋体" w:cs="宋体" w:eastAsia="宋体" w:hint="default"/>
          <w:sz w:val="17"/>
          <w:szCs w:val="17"/>
        </w:rPr>
      </w:pPr>
    </w:p>
    <w:p>
      <w:pPr>
        <w:pStyle w:val="BodyText"/>
        <w:spacing w:line="273" w:lineRule="auto"/>
        <w:ind w:left="1136" w:right="0"/>
        <w:jc w:val="left"/>
      </w:pPr>
      <w:r>
        <w:rPr>
          <w:rFonts w:ascii="宋体" w:hAnsi="宋体" w:cs="宋体" w:eastAsia="宋体" w:hint="default"/>
        </w:rPr>
        <w:t>B</w:t>
      </w:r>
      <w:r>
        <w:rPr/>
        <w:t>、合同中约定客户可以在一定有效期内享有本集团自有软件产品的使用权，在合同约定的有效期内分期</w:t>
      </w:r>
      <w:r>
        <w:rPr>
          <w:spacing w:val="-41"/>
        </w:rPr>
        <w:t> </w:t>
      </w:r>
      <w:r>
        <w:rPr>
          <w:spacing w:val="-41"/>
        </w:rPr>
      </w:r>
      <w:r>
        <w:rPr/>
        <w:t>确认软件许可收入。</w:t>
      </w:r>
    </w:p>
    <w:p>
      <w:pPr>
        <w:spacing w:line="240" w:lineRule="auto" w:before="1"/>
        <w:rPr>
          <w:rFonts w:ascii="宋体" w:hAnsi="宋体" w:cs="宋体" w:eastAsia="宋体" w:hint="default"/>
          <w:sz w:val="17"/>
          <w:szCs w:val="17"/>
        </w:rPr>
      </w:pPr>
    </w:p>
    <w:p>
      <w:pPr>
        <w:pStyle w:val="BodyText"/>
        <w:spacing w:line="240" w:lineRule="auto"/>
        <w:ind w:left="1136" w:right="0"/>
        <w:jc w:val="left"/>
      </w:pPr>
      <w:r>
        <w:rPr>
          <w:rFonts w:ascii="宋体" w:hAnsi="宋体" w:cs="宋体" w:eastAsia="宋体" w:hint="default"/>
        </w:rPr>
        <w:t>C</w:t>
      </w:r>
      <w:r>
        <w:rPr/>
        <w:t>、合同中约定许可的软件需要交付验收的，以收到客户确认的交付验收单确认收入。</w:t>
      </w:r>
    </w:p>
    <w:p>
      <w:pPr>
        <w:spacing w:after="0" w:line="240" w:lineRule="auto"/>
        <w:jc w:val="left"/>
        <w:sectPr>
          <w:footerReference w:type="default" r:id="rId15"/>
          <w:pgSz w:w="11910" w:h="16840"/>
          <w:pgMar w:footer="979" w:header="747" w:top="1060" w:bottom="1160" w:left="0" w:right="0"/>
          <w:pgNumType w:start="101"/>
        </w:sectPr>
      </w:pPr>
    </w:p>
    <w:p>
      <w:pPr>
        <w:spacing w:line="240" w:lineRule="auto" w:before="9"/>
        <w:rPr>
          <w:rFonts w:ascii="宋体" w:hAnsi="宋体" w:cs="宋体" w:eastAsia="宋体" w:hint="default"/>
          <w:sz w:val="24"/>
          <w:szCs w:val="24"/>
        </w:rPr>
      </w:pPr>
    </w:p>
    <w:p>
      <w:pPr>
        <w:pStyle w:val="BodyText"/>
        <w:spacing w:line="240" w:lineRule="auto" w:before="35"/>
        <w:ind w:left="1136" w:right="0"/>
        <w:jc w:val="both"/>
      </w:pPr>
      <w:r>
        <w:rPr/>
        <w:t>④商品销售收入</w:t>
      </w:r>
    </w:p>
    <w:p>
      <w:pPr>
        <w:spacing w:line="240" w:lineRule="auto" w:before="5"/>
        <w:rPr>
          <w:rFonts w:ascii="宋体" w:hAnsi="宋体" w:cs="宋体" w:eastAsia="宋体" w:hint="default"/>
          <w:sz w:val="19"/>
          <w:szCs w:val="19"/>
        </w:rPr>
      </w:pPr>
    </w:p>
    <w:p>
      <w:pPr>
        <w:pStyle w:val="BodyText"/>
        <w:spacing w:line="460" w:lineRule="auto"/>
        <w:ind w:right="1154"/>
        <w:jc w:val="left"/>
      </w:pPr>
      <w:r>
        <w:rPr>
          <w:rFonts w:ascii="宋体" w:hAnsi="宋体" w:cs="宋体" w:eastAsia="宋体" w:hint="default"/>
        </w:rPr>
        <w:t>A.</w:t>
      </w:r>
      <w:r>
        <w:rPr>
          <w:rFonts w:ascii="宋体" w:hAnsi="宋体" w:cs="宋体" w:eastAsia="宋体" w:hint="default"/>
          <w:spacing w:val="44"/>
        </w:rPr>
        <w:t> </w:t>
      </w:r>
      <w:r>
        <w:rPr/>
        <w:t>合同中没有明确约定验收条款的，在商品已经发出并取得客户的签收确认单据时确认商品销售收入。 </w:t>
      </w:r>
      <w:r>
        <w:rPr>
          <w:rFonts w:ascii="宋体" w:hAnsi="宋体" w:cs="宋体" w:eastAsia="宋体" w:hint="default"/>
        </w:rPr>
        <w:t>B</w:t>
      </w:r>
      <w:r>
        <w:rPr/>
        <w:t>、合同明确约定验收条款的，在商品已经验收通过并取得客户确认验收单据时确认商品销售收入。</w:t>
      </w:r>
    </w:p>
    <w:p>
      <w:pPr>
        <w:pStyle w:val="Heading3"/>
        <w:spacing w:line="240" w:lineRule="auto" w:before="145"/>
        <w:ind w:left="1134" w:right="0"/>
        <w:jc w:val="both"/>
        <w:rPr>
          <w:b w:val="0"/>
          <w:bCs w:val="0"/>
        </w:rPr>
      </w:pPr>
      <w:bookmarkStart w:name="25、政府补助" w:id="200"/>
      <w:bookmarkEnd w:id="200"/>
      <w:r>
        <w:rPr>
          <w:b w:val="0"/>
          <w:bCs w:val="0"/>
        </w:rPr>
      </w:r>
      <w:r>
        <w:rPr>
          <w:rFonts w:ascii="宋体" w:hAnsi="宋体" w:cs="宋体" w:eastAsia="宋体" w:hint="default"/>
        </w:rPr>
        <w:t>25</w:t>
      </w:r>
      <w:r>
        <w:rPr/>
        <w:t>、政府补助</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134" w:right="0"/>
        <w:jc w:val="both"/>
        <w:rPr>
          <w:b w:val="0"/>
          <w:bCs w:val="0"/>
        </w:rPr>
      </w:pPr>
      <w:bookmarkStart w:name="（1）与资产相关的政府补助判断依据及会计处理方法" w:id="201"/>
      <w:bookmarkEnd w:id="201"/>
      <w:r>
        <w:rPr>
          <w:b w:val="0"/>
          <w:bCs w:val="0"/>
        </w:rPr>
      </w:r>
      <w:r>
        <w:rPr/>
        <w:t>（</w:t>
      </w:r>
      <w:r>
        <w:rPr>
          <w:rFonts w:ascii="宋体" w:hAnsi="宋体" w:cs="宋体" w:eastAsia="宋体" w:hint="default"/>
        </w:rPr>
        <w:t>1</w:t>
      </w:r>
      <w:r>
        <w:rPr/>
        <w:t>）与资产相关的政府补助判断依据及会计处理方法</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left="1134" w:right="0"/>
        <w:jc w:val="left"/>
      </w:pPr>
      <w:r>
        <w:rPr>
          <w:spacing w:val="-1"/>
        </w:rPr>
        <w:t>对于政府文件未明确规定补助对象的，能够形成长期资产的，与资产价值相对应的政府补助部分作为与资</w:t>
      </w:r>
      <w:r>
        <w:rPr>
          <w:spacing w:val="-81"/>
        </w:rPr>
        <w:t> </w:t>
      </w:r>
      <w:r>
        <w:rPr>
          <w:spacing w:val="-81"/>
        </w:rPr>
      </w:r>
      <w:r>
        <w:rPr/>
        <w:t>产相关的政府补助。</w:t>
      </w:r>
    </w:p>
    <w:p>
      <w:pPr>
        <w:spacing w:line="240" w:lineRule="auto" w:before="1"/>
        <w:rPr>
          <w:rFonts w:ascii="宋体" w:hAnsi="宋体" w:cs="宋体" w:eastAsia="宋体" w:hint="default"/>
          <w:sz w:val="17"/>
          <w:szCs w:val="17"/>
        </w:rPr>
      </w:pPr>
    </w:p>
    <w:p>
      <w:pPr>
        <w:pStyle w:val="BodyText"/>
        <w:spacing w:line="240" w:lineRule="auto"/>
        <w:ind w:left="1134" w:right="0"/>
        <w:jc w:val="both"/>
      </w:pPr>
      <w:r>
        <w:rPr/>
        <w:t>与资产相关的政府补助，确认为递延收益，并在相关资产使用期限内平均分配，计入当期损益。</w:t>
      </w:r>
    </w:p>
    <w:p>
      <w:pPr>
        <w:spacing w:line="240" w:lineRule="auto" w:before="11"/>
        <w:rPr>
          <w:rFonts w:ascii="宋体" w:hAnsi="宋体" w:cs="宋体" w:eastAsia="宋体" w:hint="default"/>
          <w:sz w:val="25"/>
          <w:szCs w:val="25"/>
        </w:rPr>
      </w:pPr>
    </w:p>
    <w:p>
      <w:pPr>
        <w:pStyle w:val="Heading3"/>
        <w:spacing w:line="240" w:lineRule="auto"/>
        <w:ind w:left="1134" w:right="0"/>
        <w:jc w:val="both"/>
        <w:rPr>
          <w:b w:val="0"/>
          <w:bCs w:val="0"/>
        </w:rPr>
      </w:pPr>
      <w:bookmarkStart w:name="（2）与收益相关的政府补助判断依据及会计处理方法" w:id="202"/>
      <w:bookmarkEnd w:id="202"/>
      <w:r>
        <w:rPr>
          <w:b w:val="0"/>
          <w:bCs w:val="0"/>
        </w:rPr>
      </w:r>
      <w:r>
        <w:rPr/>
        <w:t>（</w:t>
      </w:r>
      <w:r>
        <w:rPr>
          <w:rFonts w:ascii="宋体" w:hAnsi="宋体" w:cs="宋体" w:eastAsia="宋体" w:hint="default"/>
        </w:rPr>
        <w:t>2</w:t>
      </w:r>
      <w:r>
        <w:rPr/>
        <w:t>）与收益相关的政府补助判断依据及会计处理方法</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0"/>
        <w:jc w:val="left"/>
      </w:pPr>
      <w:r>
        <w:rPr/>
        <w:t>不能作为与资产相关的政府补助的，作为与收益相关的政府补助。 </w:t>
      </w:r>
      <w:r>
        <w:rPr>
          <w:spacing w:val="-1"/>
        </w:rPr>
        <w:t>与收益相关的政府补助，如果用于补偿已发生的相关费用或损失，则计入当期损益；如果用于补偿以后期</w:t>
      </w:r>
      <w:r>
        <w:rPr>
          <w:spacing w:val="-83"/>
        </w:rPr>
        <w:t> </w:t>
      </w:r>
      <w:r>
        <w:rPr>
          <w:spacing w:val="-83"/>
        </w:rPr>
      </w:r>
      <w:r>
        <w:rPr/>
        <w:t>间的相关费用或损失，则计入递延收益，于费用确认期间计入当期损益。</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bookmarkStart w:name="26、递延所得税资产/递延所得税负债" w:id="203"/>
      <w:bookmarkEnd w:id="203"/>
      <w:r>
        <w:rPr>
          <w:b w:val="0"/>
          <w:bCs w:val="0"/>
        </w:rPr>
      </w:r>
      <w:r>
        <w:rPr>
          <w:rFonts w:ascii="宋体" w:hAnsi="宋体" w:cs="宋体" w:eastAsia="宋体" w:hint="default"/>
        </w:rPr>
        <w:t>26</w:t>
      </w:r>
      <w:r>
        <w:rPr/>
        <w:t>、递延所得税资产</w:t>
      </w:r>
      <w:r>
        <w:rPr>
          <w:rFonts w:ascii="宋体" w:hAnsi="宋体" w:cs="宋体" w:eastAsia="宋体" w:hint="default"/>
        </w:rPr>
        <w:t>/</w:t>
      </w:r>
      <w:r>
        <w:rPr/>
        <w:t>递延所得税负债</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0"/>
        <w:jc w:val="left"/>
      </w:pPr>
      <w:r>
        <w:rPr>
          <w:spacing w:val="-1"/>
        </w:rPr>
        <w:t>所得税包括当期所得税和递延所得税。除由于企业合并产生的调整商誉，或与直接计入所有者权益的交易</w:t>
      </w:r>
      <w:r>
        <w:rPr>
          <w:spacing w:val="-81"/>
        </w:rPr>
        <w:t> </w:t>
      </w:r>
      <w:r>
        <w:rPr>
          <w:spacing w:val="-81"/>
        </w:rPr>
      </w:r>
      <w:r>
        <w:rPr/>
        <w:t>或者事项相关的递延所得税计入所有者权益外，均作为所得税费用计入当期损益。</w:t>
      </w:r>
    </w:p>
    <w:p>
      <w:pPr>
        <w:spacing w:line="240" w:lineRule="auto" w:before="1"/>
        <w:rPr>
          <w:rFonts w:ascii="宋体" w:hAnsi="宋体" w:cs="宋体" w:eastAsia="宋体" w:hint="default"/>
          <w:sz w:val="17"/>
          <w:szCs w:val="17"/>
        </w:rPr>
      </w:pPr>
    </w:p>
    <w:p>
      <w:pPr>
        <w:pStyle w:val="BodyText"/>
        <w:spacing w:line="273" w:lineRule="auto"/>
        <w:ind w:right="0"/>
        <w:jc w:val="left"/>
      </w:pPr>
      <w:r>
        <w:rPr>
          <w:spacing w:val="-1"/>
        </w:rPr>
        <w:t>本集团根据资产、负债于资产负债表日的账面价值与计税基础之间的暂时性差异，采用资产负债表债务法</w:t>
      </w:r>
      <w:r>
        <w:rPr>
          <w:spacing w:val="-81"/>
        </w:rPr>
        <w:t> </w:t>
      </w:r>
      <w:r>
        <w:rPr>
          <w:spacing w:val="-81"/>
        </w:rPr>
      </w:r>
      <w:r>
        <w:rPr/>
        <w:t>确认递延所得税。</w:t>
      </w:r>
    </w:p>
    <w:p>
      <w:pPr>
        <w:spacing w:line="240" w:lineRule="auto" w:before="1"/>
        <w:rPr>
          <w:rFonts w:ascii="宋体" w:hAnsi="宋体" w:cs="宋体" w:eastAsia="宋体" w:hint="default"/>
          <w:sz w:val="17"/>
          <w:szCs w:val="17"/>
        </w:rPr>
      </w:pPr>
    </w:p>
    <w:p>
      <w:pPr>
        <w:pStyle w:val="BodyText"/>
        <w:spacing w:line="240" w:lineRule="auto"/>
        <w:ind w:left="1134" w:right="0"/>
        <w:jc w:val="both"/>
      </w:pPr>
      <w:r>
        <w:rPr/>
        <w:t>各项应纳税暂时性差异均确认相关的递延所得税负债，除非该应纳税暂时性差异是在以下交易中产生的：</w:t>
      </w:r>
    </w:p>
    <w:p>
      <w:pPr>
        <w:spacing w:line="240" w:lineRule="auto" w:before="5"/>
        <w:rPr>
          <w:rFonts w:ascii="宋体" w:hAnsi="宋体" w:cs="宋体" w:eastAsia="宋体" w:hint="default"/>
          <w:sz w:val="19"/>
          <w:szCs w:val="19"/>
        </w:rPr>
      </w:pPr>
    </w:p>
    <w:p>
      <w:pPr>
        <w:pStyle w:val="BodyText"/>
        <w:spacing w:line="273" w:lineRule="auto"/>
        <w:ind w:left="1134" w:right="0"/>
        <w:jc w:val="left"/>
      </w:pPr>
      <w:r>
        <w:rPr>
          <w:spacing w:val="-1"/>
        </w:rPr>
        <w:t>（</w:t>
      </w:r>
      <w:r>
        <w:rPr>
          <w:rFonts w:ascii="宋体" w:hAnsi="宋体" w:cs="宋体" w:eastAsia="宋体" w:hint="default"/>
          <w:spacing w:val="-1"/>
        </w:rPr>
        <w:t>1</w:t>
      </w:r>
      <w:r>
        <w:rPr>
          <w:spacing w:val="-1"/>
        </w:rPr>
        <w:t>）商誉的初始确认，或者具有以下特征的交易中产生的资产或负债的初始确认：该交易不是企业合并，</w:t>
      </w:r>
      <w:r>
        <w:rPr>
          <w:spacing w:val="-84"/>
        </w:rPr>
        <w:t> </w:t>
      </w:r>
      <w:r>
        <w:rPr>
          <w:spacing w:val="-84"/>
        </w:rPr>
      </w:r>
      <w:r>
        <w:rPr/>
        <w:t>并且交易发生时既不影响会计利润也不影响应纳税所得额；</w:t>
      </w:r>
    </w:p>
    <w:p>
      <w:pPr>
        <w:spacing w:line="240" w:lineRule="auto" w:before="1"/>
        <w:rPr>
          <w:rFonts w:ascii="宋体" w:hAnsi="宋体" w:cs="宋体" w:eastAsia="宋体" w:hint="default"/>
          <w:sz w:val="17"/>
          <w:szCs w:val="17"/>
        </w:rPr>
      </w:pPr>
    </w:p>
    <w:p>
      <w:pPr>
        <w:pStyle w:val="BodyText"/>
        <w:spacing w:line="273" w:lineRule="auto"/>
        <w:ind w:right="0"/>
        <w:jc w:val="left"/>
      </w:pPr>
      <w:r>
        <w:rPr/>
        <w:t>（</w:t>
      </w:r>
      <w:r>
        <w:rPr>
          <w:rFonts w:ascii="宋体" w:hAnsi="宋体" w:cs="宋体" w:eastAsia="宋体" w:hint="default"/>
        </w:rPr>
        <w:t>2</w:t>
      </w:r>
      <w:r>
        <w:rPr/>
        <w:t>）对于与子公司、合营企业及联营企业投资相关的应纳税暂时性差异，该暂时性差异转回的时间能够</w:t>
      </w:r>
      <w:r>
        <w:rPr>
          <w:spacing w:val="-35"/>
        </w:rPr>
        <w:t> </w:t>
      </w:r>
      <w:r>
        <w:rPr>
          <w:spacing w:val="-35"/>
        </w:rPr>
      </w:r>
      <w:r>
        <w:rPr/>
        <w:t>控制并且该暂时性差异在可预见的未来很可能不会转回。</w:t>
      </w:r>
    </w:p>
    <w:p>
      <w:pPr>
        <w:spacing w:line="240" w:lineRule="auto" w:before="1"/>
        <w:rPr>
          <w:rFonts w:ascii="宋体" w:hAnsi="宋体" w:cs="宋体" w:eastAsia="宋体" w:hint="default"/>
          <w:sz w:val="17"/>
          <w:szCs w:val="17"/>
        </w:rPr>
      </w:pPr>
    </w:p>
    <w:p>
      <w:pPr>
        <w:pStyle w:val="BodyText"/>
        <w:spacing w:line="273" w:lineRule="auto"/>
        <w:ind w:right="1131"/>
        <w:jc w:val="both"/>
      </w:pPr>
      <w:r>
        <w:rPr>
          <w:spacing w:val="-1"/>
        </w:rPr>
        <w:t>对于可抵扣暂时性差异、能够结转以后年度的可抵扣亏损和税款抵减，本集团以很可能取得用来抵扣可抵</w:t>
      </w:r>
      <w:r>
        <w:rPr>
          <w:spacing w:val="-81"/>
        </w:rPr>
        <w:t> </w:t>
      </w:r>
      <w:r>
        <w:rPr>
          <w:spacing w:val="-81"/>
        </w:rPr>
      </w:r>
      <w:r>
        <w:rPr>
          <w:spacing w:val="-1"/>
        </w:rPr>
        <w:t>扣暂时性差异、可抵扣亏损和税款抵减的未来应纳税所得额为限，确认由此产生的递延所得税资产，除非</w:t>
      </w:r>
      <w:r>
        <w:rPr>
          <w:spacing w:val="-83"/>
        </w:rPr>
        <w:t> </w:t>
      </w:r>
      <w:r>
        <w:rPr>
          <w:spacing w:val="-83"/>
        </w:rPr>
      </w:r>
      <w:r>
        <w:rPr/>
        <w:t>该可抵扣暂时性差异是在以下交易中产生的：</w:t>
      </w:r>
    </w:p>
    <w:p>
      <w:pPr>
        <w:spacing w:line="240" w:lineRule="auto" w:before="1"/>
        <w:rPr>
          <w:rFonts w:ascii="宋体" w:hAnsi="宋体" w:cs="宋体" w:eastAsia="宋体" w:hint="default"/>
          <w:sz w:val="17"/>
          <w:szCs w:val="17"/>
        </w:rPr>
      </w:pPr>
    </w:p>
    <w:p>
      <w:pPr>
        <w:pStyle w:val="BodyText"/>
        <w:spacing w:line="240" w:lineRule="auto"/>
        <w:ind w:left="1134" w:right="0"/>
        <w:jc w:val="both"/>
      </w:pPr>
      <w:r>
        <w:rPr/>
        <w:t>（</w:t>
      </w:r>
      <w:r>
        <w:rPr>
          <w:rFonts w:ascii="宋体" w:hAnsi="宋体" w:cs="宋体" w:eastAsia="宋体" w:hint="default"/>
        </w:rPr>
        <w:t>1</w:t>
      </w:r>
      <w:r>
        <w:rPr/>
        <w:t>）该交易不是企业合并，并且交易发生时既不影响会计利润也不影响应纳税所得额；</w:t>
      </w:r>
    </w:p>
    <w:p>
      <w:pPr>
        <w:spacing w:line="240" w:lineRule="auto" w:before="5"/>
        <w:rPr>
          <w:rFonts w:ascii="宋体" w:hAnsi="宋体" w:cs="宋体" w:eastAsia="宋体" w:hint="default"/>
          <w:sz w:val="19"/>
          <w:szCs w:val="19"/>
        </w:rPr>
      </w:pPr>
    </w:p>
    <w:p>
      <w:pPr>
        <w:pStyle w:val="BodyText"/>
        <w:spacing w:line="273" w:lineRule="auto"/>
        <w:ind w:left="1134" w:right="1131"/>
        <w:jc w:val="both"/>
      </w:pPr>
      <w:r>
        <w:rPr/>
        <w:t>（</w:t>
      </w:r>
      <w:r>
        <w:rPr>
          <w:rFonts w:ascii="宋体" w:hAnsi="宋体" w:cs="宋体" w:eastAsia="宋体" w:hint="default"/>
        </w:rPr>
        <w:t>2</w:t>
      </w:r>
      <w:r>
        <w:rPr/>
        <w:t>）对于与子公司、合营企业及联营企业投资相关的可抵扣暂时性差异，同时满足下列条件的，确认相</w:t>
      </w:r>
      <w:r>
        <w:rPr>
          <w:spacing w:val="-35"/>
        </w:rPr>
        <w:t> </w:t>
      </w:r>
      <w:r>
        <w:rPr>
          <w:spacing w:val="-35"/>
        </w:rPr>
      </w:r>
      <w:r>
        <w:rPr>
          <w:spacing w:val="-1"/>
        </w:rPr>
        <w:t>应的递延所得税资产：暂时性差异在可预见的未来很可能转回，且未来很可能获得用来抵扣可抵扣暂时性</w:t>
      </w:r>
      <w:r>
        <w:rPr>
          <w:spacing w:val="-81"/>
        </w:rPr>
        <w:t> </w:t>
      </w:r>
      <w:r>
        <w:rPr>
          <w:spacing w:val="-81"/>
        </w:rPr>
      </w:r>
      <w:r>
        <w:rPr/>
        <w:t>差异的应纳税所得额。</w:t>
      </w:r>
    </w:p>
    <w:p>
      <w:pPr>
        <w:spacing w:line="240" w:lineRule="auto" w:before="1"/>
        <w:rPr>
          <w:rFonts w:ascii="宋体" w:hAnsi="宋体" w:cs="宋体" w:eastAsia="宋体" w:hint="default"/>
          <w:sz w:val="17"/>
          <w:szCs w:val="17"/>
        </w:rPr>
      </w:pPr>
    </w:p>
    <w:p>
      <w:pPr>
        <w:pStyle w:val="BodyText"/>
        <w:spacing w:line="240" w:lineRule="auto"/>
        <w:ind w:left="1134" w:right="0"/>
        <w:jc w:val="both"/>
      </w:pPr>
      <w:r>
        <w:rPr/>
        <w:t>于资产负债表日，本集团对递延所得税资产和递延所得税负债，按照预期收回该资产或清偿该负债期间的</w:t>
      </w:r>
    </w:p>
    <w:p>
      <w:pPr>
        <w:spacing w:after="0" w:line="240"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适用税率计量，并反映资产负债表日预期收回资产或清偿负债方式的所得税影响。</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于资产负债表日，本集团对递延所得税资产的账面价值进行复核。如果未来期间很可能无法获得足够的应</w:t>
      </w:r>
      <w:r>
        <w:rPr>
          <w:spacing w:val="-81"/>
        </w:rPr>
        <w:t> </w:t>
      </w:r>
      <w:r>
        <w:rPr>
          <w:spacing w:val="-81"/>
        </w:rPr>
      </w:r>
      <w:r>
        <w:rPr>
          <w:spacing w:val="-1"/>
        </w:rPr>
        <w:t>纳税所得额用以抵扣递延所得税资产的利益，减记递延所得税资产的账面价值。在很可能获得足够的应纳</w:t>
      </w:r>
      <w:r>
        <w:rPr>
          <w:spacing w:val="-81"/>
        </w:rPr>
        <w:t> </w:t>
      </w:r>
      <w:r>
        <w:rPr>
          <w:spacing w:val="-81"/>
        </w:rPr>
      </w:r>
      <w:r>
        <w:rPr/>
        <w:t>税所得额时，减记的金额予以转回。</w:t>
      </w:r>
    </w:p>
    <w:p>
      <w:pPr>
        <w:spacing w:line="240" w:lineRule="auto" w:before="8"/>
        <w:rPr>
          <w:rFonts w:ascii="宋体" w:hAnsi="宋体" w:cs="宋体" w:eastAsia="宋体" w:hint="default"/>
          <w:sz w:val="23"/>
          <w:szCs w:val="23"/>
        </w:rPr>
      </w:pPr>
    </w:p>
    <w:p>
      <w:pPr>
        <w:pStyle w:val="Heading3"/>
        <w:spacing w:line="240" w:lineRule="auto"/>
        <w:ind w:right="3499"/>
        <w:jc w:val="left"/>
        <w:rPr>
          <w:b w:val="0"/>
          <w:bCs w:val="0"/>
        </w:rPr>
      </w:pPr>
      <w:bookmarkStart w:name="27、租赁" w:id="204"/>
      <w:bookmarkEnd w:id="204"/>
      <w:r>
        <w:rPr>
          <w:b w:val="0"/>
          <w:bCs w:val="0"/>
        </w:rPr>
      </w:r>
      <w:r>
        <w:rPr>
          <w:rFonts w:ascii="宋体" w:hAnsi="宋体" w:cs="宋体" w:eastAsia="宋体" w:hint="default"/>
        </w:rPr>
        <w:t>27</w:t>
      </w:r>
      <w:r>
        <w:rPr/>
        <w:t>、租赁</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3499"/>
        <w:jc w:val="left"/>
        <w:rPr>
          <w:b w:val="0"/>
          <w:bCs w:val="0"/>
        </w:rPr>
      </w:pPr>
      <w:bookmarkStart w:name="（1）经营租赁的会计处理方法" w:id="205"/>
      <w:bookmarkEnd w:id="205"/>
      <w:r>
        <w:rPr>
          <w:b w:val="0"/>
          <w:bCs w:val="0"/>
        </w:rPr>
      </w:r>
      <w:r>
        <w:rPr/>
        <w:t>（</w:t>
      </w:r>
      <w:r>
        <w:rPr>
          <w:rFonts w:ascii="宋体" w:hAnsi="宋体" w:cs="宋体" w:eastAsia="宋体" w:hint="default"/>
        </w:rPr>
        <w:t>1</w:t>
      </w:r>
      <w:r>
        <w:rPr/>
        <w:t>）经营租赁的会计处理方法</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0"/>
        <w:jc w:val="left"/>
      </w:pPr>
      <w:r>
        <w:rPr>
          <w:spacing w:val="-1"/>
        </w:rPr>
        <w:t>本集团作为出租人经营租赁中的租金，本集团在租赁期内各个期间按照直线法确认当期损益。发生的初始</w:t>
      </w:r>
      <w:r>
        <w:rPr>
          <w:spacing w:val="-81"/>
        </w:rPr>
        <w:t> </w:t>
      </w:r>
      <w:r>
        <w:rPr>
          <w:spacing w:val="-81"/>
        </w:rPr>
      </w:r>
      <w:r>
        <w:rPr/>
        <w:t>直接费用，计入当期损益。 </w:t>
      </w:r>
      <w:r>
        <w:rPr>
          <w:spacing w:val="-1"/>
        </w:rPr>
        <w:t>本集团作为承租人经营租赁中的租金，本集团在租赁期内各个期间按照直线法计入相关资产成本或当期损</w:t>
      </w:r>
      <w:r>
        <w:rPr>
          <w:spacing w:val="-80"/>
        </w:rPr>
        <w:t> </w:t>
      </w:r>
      <w:r>
        <w:rPr>
          <w:spacing w:val="-80"/>
        </w:rPr>
      </w:r>
      <w:r>
        <w:rPr/>
        <w:t>益；发生的初始直接费用，计入当期损益。</w:t>
      </w:r>
    </w:p>
    <w:p>
      <w:pPr>
        <w:spacing w:line="240" w:lineRule="auto" w:before="8"/>
        <w:rPr>
          <w:rFonts w:ascii="宋体" w:hAnsi="宋体" w:cs="宋体" w:eastAsia="宋体" w:hint="default"/>
          <w:sz w:val="23"/>
          <w:szCs w:val="23"/>
        </w:rPr>
      </w:pPr>
    </w:p>
    <w:p>
      <w:pPr>
        <w:pStyle w:val="Heading3"/>
        <w:spacing w:line="240" w:lineRule="auto"/>
        <w:ind w:right="3499"/>
        <w:jc w:val="left"/>
        <w:rPr>
          <w:b w:val="0"/>
          <w:bCs w:val="0"/>
        </w:rPr>
      </w:pPr>
      <w:bookmarkStart w:name="（2）融资租赁的会计处理方法" w:id="206"/>
      <w:bookmarkEnd w:id="206"/>
      <w:r>
        <w:rPr>
          <w:b w:val="0"/>
          <w:bCs w:val="0"/>
        </w:rPr>
      </w:r>
      <w:r>
        <w:rPr/>
        <w:t>（</w:t>
      </w:r>
      <w:r>
        <w:rPr>
          <w:rFonts w:ascii="宋体" w:hAnsi="宋体" w:cs="宋体" w:eastAsia="宋体" w:hint="default"/>
        </w:rPr>
        <w:t>2</w:t>
      </w:r>
      <w:r>
        <w:rPr/>
        <w:t>）融资租赁的会计处理方法</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1118"/>
        <w:jc w:val="left"/>
      </w:pPr>
      <w:r>
        <w:rPr>
          <w:spacing w:val="-1"/>
        </w:rPr>
        <w:t>本集团作为出租人融资租赁中，在租赁开始日本集团按最低租赁收款额与初始直接费用之和作为应收融资</w:t>
      </w:r>
      <w:r>
        <w:rPr>
          <w:spacing w:val="-81"/>
        </w:rPr>
        <w:t> </w:t>
      </w:r>
      <w:r>
        <w:rPr>
          <w:spacing w:val="-81"/>
        </w:rPr>
      </w:r>
      <w:r>
        <w:rPr>
          <w:spacing w:val="-1"/>
        </w:rPr>
        <w:t>租赁款的入账价值，同时记录未担保余值；将最低租赁收款额、初始直接费用及未担保余值之和与其现值</w:t>
      </w:r>
      <w:r>
        <w:rPr>
          <w:spacing w:val="-83"/>
        </w:rPr>
        <w:t> </w:t>
      </w:r>
      <w:r>
        <w:rPr>
          <w:spacing w:val="-83"/>
        </w:rPr>
      </w:r>
      <w:r>
        <w:rPr>
          <w:spacing w:val="-1"/>
        </w:rPr>
        <w:t>之和的差额确认为未实现融资收益。未实现融资收益在租赁期内各个期间采用实际利率法计算确认当期的</w:t>
      </w:r>
      <w:r>
        <w:rPr>
          <w:spacing w:val="-81"/>
        </w:rPr>
        <w:t> </w:t>
      </w:r>
      <w:r>
        <w:rPr>
          <w:spacing w:val="-81"/>
        </w:rPr>
      </w:r>
      <w:r>
        <w:rPr/>
        <w:t>融资收入。 </w:t>
      </w:r>
      <w:r>
        <w:rPr>
          <w:spacing w:val="-1"/>
        </w:rPr>
        <w:t>本集团作为承租人融资租赁中，在租赁开始日本集团将租赁资产公允价值与最低租赁付款额现值两者中较</w:t>
      </w:r>
      <w:r>
        <w:rPr>
          <w:spacing w:val="-81"/>
        </w:rPr>
        <w:t> </w:t>
      </w:r>
      <w:r>
        <w:rPr>
          <w:spacing w:val="-81"/>
        </w:rPr>
      </w:r>
      <w:r>
        <w:rPr>
          <w:spacing w:val="-1"/>
        </w:rPr>
        <w:t>低者作为租入资产的入账价值，将最低租赁付款额作为长期应付款的入账价值，其差额作为未确认融资费</w:t>
      </w:r>
      <w:r>
        <w:rPr>
          <w:spacing w:val="-81"/>
        </w:rPr>
        <w:t> </w:t>
      </w:r>
      <w:r>
        <w:rPr>
          <w:spacing w:val="-81"/>
        </w:rPr>
      </w:r>
      <w:r>
        <w:rPr>
          <w:spacing w:val="-1"/>
        </w:rPr>
        <w:t>用。初始直接费用计入租入资产价值。未确认融资费用在租赁期内各个期间采用实际利率法计算确认当期</w:t>
      </w:r>
      <w:r>
        <w:rPr>
          <w:spacing w:val="-81"/>
        </w:rPr>
        <w:t> </w:t>
      </w:r>
      <w:r>
        <w:rPr>
          <w:spacing w:val="-81"/>
        </w:rPr>
      </w:r>
      <w:r>
        <w:rPr/>
        <w:t>的融资费用。本集团采用与自有固定资产相一致的折旧政策计提租赁资产折旧。</w:t>
      </w:r>
    </w:p>
    <w:p>
      <w:pPr>
        <w:spacing w:line="240" w:lineRule="auto" w:before="8"/>
        <w:rPr>
          <w:rFonts w:ascii="宋体" w:hAnsi="宋体" w:cs="宋体" w:eastAsia="宋体" w:hint="default"/>
          <w:sz w:val="23"/>
          <w:szCs w:val="23"/>
        </w:rPr>
      </w:pPr>
    </w:p>
    <w:p>
      <w:pPr>
        <w:pStyle w:val="Heading3"/>
        <w:spacing w:line="240" w:lineRule="auto"/>
        <w:ind w:right="3499"/>
        <w:jc w:val="left"/>
        <w:rPr>
          <w:b w:val="0"/>
          <w:bCs w:val="0"/>
        </w:rPr>
      </w:pPr>
      <w:bookmarkStart w:name="28、其他重要的会计政策和会计估计" w:id="207"/>
      <w:bookmarkEnd w:id="207"/>
      <w:r>
        <w:rPr>
          <w:b w:val="0"/>
          <w:bCs w:val="0"/>
        </w:rPr>
      </w:r>
      <w:r>
        <w:rPr>
          <w:rFonts w:ascii="宋体" w:hAnsi="宋体" w:cs="宋体" w:eastAsia="宋体" w:hint="default"/>
        </w:rPr>
        <w:t>28</w:t>
      </w:r>
      <w:r>
        <w:rPr/>
        <w:t>、其他重要的会计政策和会计估计</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0"/>
        <w:jc w:val="left"/>
      </w:pPr>
      <w:r>
        <w:rPr>
          <w:spacing w:val="-1"/>
        </w:rPr>
        <w:t>本集团根据历史经验和其它因素，包括对未来事项的合理预期，对所采用的重要会计估计和关键假设进行</w:t>
      </w:r>
      <w:r>
        <w:rPr>
          <w:spacing w:val="-81"/>
        </w:rPr>
        <w:t> </w:t>
      </w:r>
      <w:r>
        <w:rPr>
          <w:spacing w:val="-81"/>
        </w:rPr>
      </w:r>
      <w:r>
        <w:rPr/>
        <w:t>持续的评价。</w:t>
      </w:r>
    </w:p>
    <w:p>
      <w:pPr>
        <w:spacing w:line="240" w:lineRule="auto" w:before="4"/>
        <w:rPr>
          <w:rFonts w:ascii="宋体" w:hAnsi="宋体" w:cs="宋体" w:eastAsia="宋体" w:hint="default"/>
          <w:sz w:val="15"/>
          <w:szCs w:val="15"/>
        </w:rPr>
      </w:pPr>
    </w:p>
    <w:p>
      <w:pPr>
        <w:pStyle w:val="BodyText"/>
        <w:spacing w:line="439" w:lineRule="auto"/>
        <w:ind w:right="1093"/>
        <w:jc w:val="left"/>
      </w:pPr>
      <w:r>
        <w:rPr/>
        <w:t>很可能导致下一会计年度资产和负债的账面价值出现重大调整风险的重要会计估计和关键假设列示如下： 递延所得税资产</w:t>
      </w:r>
    </w:p>
    <w:p>
      <w:pPr>
        <w:pStyle w:val="BodyText"/>
        <w:spacing w:line="273" w:lineRule="auto" w:before="55"/>
        <w:ind w:right="1109"/>
        <w:jc w:val="both"/>
      </w:pPr>
      <w:r>
        <w:rPr/>
        <w:t>在很有可能有足够的应纳税利润来抵扣亏损的限度内，应就所有未利用的税务亏损确认递延所得税资产。 </w:t>
      </w:r>
      <w:r>
        <w:rPr>
          <w:spacing w:val="-1"/>
        </w:rPr>
        <w:t>这需要管理层运用大量的判断来估计未来应纳税利润发生的时间和金额，结合纳税筹划策略，以决定应确</w:t>
      </w:r>
      <w:r>
        <w:rPr>
          <w:spacing w:val="-81"/>
        </w:rPr>
        <w:t> </w:t>
      </w:r>
      <w:r>
        <w:rPr>
          <w:spacing w:val="-81"/>
        </w:rPr>
      </w:r>
      <w:r>
        <w:rPr/>
        <w:t>认的递延所得税资产的金额。</w:t>
      </w:r>
    </w:p>
    <w:p>
      <w:pPr>
        <w:spacing w:line="240" w:lineRule="auto" w:before="8"/>
        <w:rPr>
          <w:rFonts w:ascii="宋体" w:hAnsi="宋体" w:cs="宋体" w:eastAsia="宋体" w:hint="default"/>
          <w:sz w:val="23"/>
          <w:szCs w:val="23"/>
        </w:rPr>
      </w:pPr>
    </w:p>
    <w:p>
      <w:pPr>
        <w:pStyle w:val="Heading3"/>
        <w:spacing w:line="240" w:lineRule="auto"/>
        <w:ind w:right="3499"/>
        <w:jc w:val="left"/>
        <w:rPr>
          <w:b w:val="0"/>
          <w:bCs w:val="0"/>
        </w:rPr>
      </w:pPr>
      <w:bookmarkStart w:name="29、重要会计政策和会计估计变更" w:id="208"/>
      <w:bookmarkEnd w:id="208"/>
      <w:r>
        <w:rPr>
          <w:b w:val="0"/>
          <w:bCs w:val="0"/>
        </w:rPr>
      </w:r>
      <w:r>
        <w:rPr>
          <w:rFonts w:ascii="宋体" w:hAnsi="宋体" w:cs="宋体" w:eastAsia="宋体" w:hint="default"/>
        </w:rPr>
        <w:t>29</w:t>
      </w:r>
      <w:r>
        <w:rPr/>
        <w:t>、重要会计政策和会计估计变更</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3499"/>
        <w:jc w:val="left"/>
        <w:rPr>
          <w:b w:val="0"/>
          <w:bCs w:val="0"/>
        </w:rPr>
      </w:pPr>
      <w:bookmarkStart w:name="（1）重要会计政策变更" w:id="209"/>
      <w:bookmarkEnd w:id="209"/>
      <w:r>
        <w:rPr>
          <w:b w:val="0"/>
          <w:bCs w:val="0"/>
        </w:rPr>
      </w:r>
      <w:r>
        <w:rPr/>
        <w:t>（</w:t>
      </w:r>
      <w:r>
        <w:rPr>
          <w:rFonts w:ascii="宋体" w:hAnsi="宋体" w:cs="宋体" w:eastAsia="宋体" w:hint="default"/>
        </w:rPr>
        <w:t>1</w:t>
      </w:r>
      <w:r>
        <w:rPr/>
        <w:t>）重要会计政策变更</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right="3499"/>
        <w:jc w:val="left"/>
      </w:pPr>
      <w:r>
        <w:rPr/>
        <w:t>□ 适用 √</w:t>
      </w:r>
      <w:r>
        <w:rPr>
          <w:spacing w:val="-1"/>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3499"/>
        <w:jc w:val="left"/>
        <w:rPr>
          <w:b w:val="0"/>
          <w:bCs w:val="0"/>
        </w:rPr>
      </w:pPr>
      <w:bookmarkStart w:name="（2）重要会计估计变更" w:id="210"/>
      <w:bookmarkEnd w:id="210"/>
      <w:r>
        <w:rPr>
          <w:b w:val="0"/>
          <w:bCs w:val="0"/>
        </w:rPr>
      </w:r>
      <w:r>
        <w:rPr/>
        <w:t>（</w:t>
      </w:r>
      <w:r>
        <w:rPr>
          <w:rFonts w:ascii="宋体" w:hAnsi="宋体" w:cs="宋体" w:eastAsia="宋体" w:hint="default"/>
        </w:rPr>
        <w:t>2</w:t>
      </w:r>
      <w:r>
        <w:rPr/>
        <w:t>）重要会计估计变更</w:t>
      </w:r>
      <w:r>
        <w:rPr>
          <w:b w:val="0"/>
          <w:bCs w:val="0"/>
        </w:rPr>
      </w:r>
    </w:p>
    <w:p>
      <w:pPr>
        <w:spacing w:line="240" w:lineRule="auto" w:before="12"/>
        <w:rPr>
          <w:rFonts w:ascii="宋体" w:hAnsi="宋体" w:cs="宋体" w:eastAsia="宋体" w:hint="default"/>
          <w:b/>
          <w:bCs/>
          <w:sz w:val="25"/>
          <w:szCs w:val="25"/>
        </w:rPr>
      </w:pPr>
    </w:p>
    <w:p>
      <w:pPr>
        <w:spacing w:line="511" w:lineRule="auto" w:before="0"/>
        <w:ind w:left="1134" w:right="8968" w:firstLine="0"/>
        <w:jc w:val="left"/>
        <w:rPr>
          <w:rFonts w:ascii="宋体" w:hAnsi="宋体" w:cs="宋体" w:eastAsia="宋体" w:hint="default"/>
          <w:sz w:val="24"/>
          <w:szCs w:val="24"/>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0、其他" w:id="211"/>
      <w:bookmarkEnd w:id="211"/>
      <w:r>
        <w:rPr>
          <w:rFonts w:ascii="宋体" w:hAnsi="宋体" w:cs="宋体" w:eastAsia="宋体" w:hint="default"/>
          <w:sz w:val="21"/>
          <w:szCs w:val="21"/>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2"/>
      <w:bookmarkEnd w:id="212"/>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sz w:val="24"/>
          <w:szCs w:val="24"/>
        </w:rPr>
      </w:r>
    </w:p>
    <w:p>
      <w:pPr>
        <w:pStyle w:val="Heading3"/>
        <w:spacing w:line="240" w:lineRule="auto" w:before="51"/>
        <w:ind w:left="1134" w:right="3499"/>
        <w:jc w:val="left"/>
        <w:rPr>
          <w:b w:val="0"/>
          <w:bCs w:val="0"/>
        </w:rPr>
      </w:pPr>
      <w:bookmarkStart w:name="1、主要税种及税率" w:id="213"/>
      <w:bookmarkEnd w:id="213"/>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本公司控股的境外子公司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根据其所在地相关法律、法规缴纳相关的税金</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both"/>
        <w:rPr>
          <w:b w:val="0"/>
          <w:bCs w:val="0"/>
        </w:rPr>
      </w:pPr>
      <w:bookmarkStart w:name="2、税收优惠" w:id="214"/>
      <w:bookmarkEnd w:id="21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29"/>
        <w:jc w:val="both"/>
      </w:pPr>
      <w:r>
        <w:rPr/>
        <w:t>（</w:t>
      </w:r>
      <w:r>
        <w:rPr>
          <w:rFonts w:ascii="宋体" w:hAnsi="宋体" w:cs="宋体" w:eastAsia="宋体" w:hint="default"/>
        </w:rPr>
        <w:t>1</w:t>
      </w:r>
      <w:r>
        <w:rPr/>
        <w:t>）本公司获得北京市科学技术委员会、北京市财政局、北京市国家税务局、北京市地方税务局于</w:t>
      </w:r>
      <w:r>
        <w:rPr>
          <w:rFonts w:ascii="宋体" w:hAnsi="宋体" w:cs="宋体" w:eastAsia="宋体" w:hint="default"/>
        </w:rPr>
        <w:t>2013</w:t>
      </w:r>
      <w:r>
        <w:rPr>
          <w:rFonts w:ascii="宋体" w:hAnsi="宋体" w:cs="宋体" w:eastAsia="宋体" w:hint="default"/>
          <w:spacing w:val="-25"/>
        </w:rPr>
        <w:t> </w:t>
      </w:r>
      <w:r>
        <w:rPr/>
        <w:t>年</w:t>
      </w:r>
      <w:r>
        <w:rPr>
          <w:rFonts w:ascii="宋体" w:hAnsi="宋体" w:cs="宋体" w:eastAsia="宋体" w:hint="default"/>
        </w:rPr>
        <w:t>11</w:t>
      </w:r>
      <w:r>
        <w:rPr/>
        <w:t>月</w:t>
      </w:r>
      <w:r>
        <w:rPr>
          <w:rFonts w:ascii="宋体" w:hAnsi="宋体" w:cs="宋体" w:eastAsia="宋体" w:hint="default"/>
        </w:rPr>
        <w:t>11</w:t>
      </w:r>
      <w:r>
        <w:rPr/>
        <w:t>日联合颁发的《高新技术企业证书》，证书有效期三年，所得税按应纳税所得额的</w:t>
      </w:r>
      <w:r>
        <w:rPr>
          <w:rFonts w:ascii="宋体" w:hAnsi="宋体" w:cs="宋体" w:eastAsia="宋体" w:hint="default"/>
        </w:rPr>
        <w:t>15%</w:t>
      </w:r>
      <w:r>
        <w:rPr/>
        <w:t>计缴。</w:t>
      </w:r>
    </w:p>
    <w:p>
      <w:pPr>
        <w:pStyle w:val="BodyText"/>
        <w:spacing w:line="273" w:lineRule="auto" w:before="127"/>
        <w:ind w:right="1130"/>
        <w:jc w:val="both"/>
      </w:pPr>
      <w:r>
        <w:rPr/>
        <w:t>（</w:t>
      </w:r>
      <w:r>
        <w:rPr>
          <w:rFonts w:ascii="宋体" w:hAnsi="宋体" w:cs="宋体" w:eastAsia="宋体" w:hint="default"/>
        </w:rPr>
        <w:t>2</w:t>
      </w:r>
      <w:r>
        <w:rPr/>
        <w:t>）本公司获得中华人民共和国国家发展和改革委员会、中华人民共和国工业和信息化部、中华人民共</w:t>
      </w:r>
      <w:r>
        <w:rPr>
          <w:spacing w:val="-35"/>
        </w:rPr>
        <w:t> </w:t>
      </w:r>
      <w:r>
        <w:rPr>
          <w:spacing w:val="-35"/>
        </w:rPr>
      </w:r>
      <w:r>
        <w:rPr>
          <w:spacing w:val="-1"/>
        </w:rPr>
        <w:t>和国财政部、中华人民共和国商务部、国家税务总局于二○一三年十二月联合颁发的《国家规划布局内重</w:t>
      </w:r>
      <w:r>
        <w:rPr>
          <w:spacing w:val="-83"/>
        </w:rPr>
        <w:t> </w:t>
      </w:r>
      <w:r>
        <w:rPr>
          <w:spacing w:val="-83"/>
        </w:rPr>
      </w:r>
      <w:r>
        <w:rPr>
          <w:spacing w:val="-1"/>
        </w:rPr>
        <w:t>点软件企业证书》，证书有效期</w:t>
      </w:r>
      <w:r>
        <w:rPr>
          <w:rFonts w:ascii="宋体" w:hAnsi="宋体" w:cs="宋体" w:eastAsia="宋体" w:hint="default"/>
          <w:spacing w:val="-1"/>
        </w:rPr>
        <w:t>2013-2014</w:t>
      </w:r>
      <w:r>
        <w:rPr>
          <w:spacing w:val="-1"/>
        </w:rPr>
        <w:t>年度，证书编号：</w:t>
      </w:r>
      <w:r>
        <w:rPr>
          <w:rFonts w:ascii="宋体" w:hAnsi="宋体" w:cs="宋体" w:eastAsia="宋体" w:hint="default"/>
          <w:spacing w:val="-1"/>
        </w:rPr>
        <w:t>R-2013-071</w:t>
      </w:r>
      <w:r>
        <w:rPr>
          <w:spacing w:val="-1"/>
        </w:rPr>
        <w:t>，所得税按应纳税所得额的</w:t>
      </w:r>
      <w:r>
        <w:rPr>
          <w:rFonts w:ascii="宋体" w:hAnsi="宋体" w:cs="宋体" w:eastAsia="宋体" w:hint="default"/>
          <w:spacing w:val="-1"/>
        </w:rPr>
        <w:t>10%</w:t>
      </w:r>
      <w:r>
        <w:rPr>
          <w:spacing w:val="-1"/>
        </w:rPr>
        <w:t>计</w:t>
      </w:r>
      <w:r>
        <w:rPr>
          <w:spacing w:val="-76"/>
        </w:rPr>
        <w:t> </w:t>
      </w:r>
      <w:r>
        <w:rPr/>
        <w:t>缴。</w:t>
      </w:r>
      <w:r>
        <w:rPr>
          <w:rFonts w:ascii="宋体" w:hAnsi="宋体" w:cs="宋体" w:eastAsia="宋体" w:hint="default"/>
        </w:rPr>
        <w:t>2015</w:t>
      </w:r>
      <w:r>
        <w:rPr/>
        <w:t>年</w:t>
      </w:r>
      <w:r>
        <w:rPr>
          <w:rFonts w:ascii="宋体" w:hAnsi="宋体" w:cs="宋体" w:eastAsia="宋体" w:hint="default"/>
        </w:rPr>
        <w:t>1-12</w:t>
      </w:r>
      <w:r>
        <w:rPr/>
        <w:t>月，所得税按</w:t>
      </w:r>
      <w:r>
        <w:rPr>
          <w:rFonts w:ascii="宋体" w:hAnsi="宋体" w:cs="宋体" w:eastAsia="宋体" w:hint="default"/>
        </w:rPr>
        <w:t>15%</w:t>
      </w:r>
      <w:r>
        <w:rPr/>
        <w:t>计缴。</w:t>
      </w:r>
    </w:p>
    <w:p>
      <w:pPr>
        <w:pStyle w:val="BodyText"/>
        <w:spacing w:line="273" w:lineRule="auto" w:before="127"/>
        <w:ind w:right="1129"/>
        <w:jc w:val="both"/>
      </w:pPr>
      <w:r>
        <w:rPr/>
        <w:t>（</w:t>
      </w:r>
      <w:r>
        <w:rPr>
          <w:rFonts w:ascii="宋体" w:hAnsi="宋体" w:cs="宋体" w:eastAsia="宋体" w:hint="default"/>
        </w:rPr>
        <w:t>3</w:t>
      </w:r>
      <w:r>
        <w:rPr/>
        <w:t>）本公司之子公司南京中科创达软件科技有限公司获得江苏省经济和信息化委员会于</w:t>
      </w:r>
      <w:r>
        <w:rPr>
          <w:rFonts w:ascii="宋体" w:hAnsi="宋体" w:cs="宋体" w:eastAsia="宋体" w:hint="default"/>
        </w:rPr>
        <w:t>2013</w:t>
      </w:r>
      <w:r>
        <w:rPr/>
        <w:t>年</w:t>
      </w:r>
      <w:r>
        <w:rPr>
          <w:rFonts w:ascii="宋体" w:hAnsi="宋体" w:cs="宋体" w:eastAsia="宋体" w:hint="default"/>
        </w:rPr>
        <w:t>11</w:t>
      </w:r>
      <w:r>
        <w:rPr/>
        <w:t>月</w:t>
      </w:r>
      <w:r>
        <w:rPr>
          <w:rFonts w:ascii="宋体" w:hAnsi="宋体" w:cs="宋体" w:eastAsia="宋体" w:hint="default"/>
        </w:rPr>
        <w:t>28</w:t>
      </w:r>
      <w:r>
        <w:rPr/>
        <w:t>日</w:t>
      </w:r>
      <w:r>
        <w:rPr>
          <w:spacing w:val="-26"/>
        </w:rPr>
        <w:t> </w:t>
      </w:r>
      <w:r>
        <w:rPr>
          <w:spacing w:val="-1"/>
        </w:rPr>
        <w:t>颁发的《软件企业认定证书》，证书编号：苏</w:t>
      </w:r>
      <w:r>
        <w:rPr>
          <w:rFonts w:ascii="宋体" w:hAnsi="宋体" w:cs="宋体" w:eastAsia="宋体" w:hint="default"/>
          <w:spacing w:val="-1"/>
        </w:rPr>
        <w:t>R-2013-A0111</w:t>
      </w:r>
      <w:r>
        <w:rPr>
          <w:spacing w:val="-1"/>
        </w:rPr>
        <w:t>，自</w:t>
      </w:r>
      <w:r>
        <w:rPr>
          <w:rFonts w:ascii="宋体" w:hAnsi="宋体" w:cs="宋体" w:eastAsia="宋体" w:hint="default"/>
          <w:spacing w:val="-1"/>
        </w:rPr>
        <w:t>2013</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日起至</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日止免缴</w:t>
      </w:r>
      <w:r>
        <w:rPr>
          <w:spacing w:val="-78"/>
        </w:rPr>
        <w:t> </w:t>
      </w:r>
      <w:r>
        <w:rPr/>
        <w:t>企业所得税，自</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日止减半计缴企业所得税。</w:t>
      </w:r>
    </w:p>
    <w:p>
      <w:pPr>
        <w:pStyle w:val="BodyText"/>
        <w:spacing w:line="273" w:lineRule="auto" w:before="127"/>
        <w:ind w:right="1130"/>
        <w:jc w:val="both"/>
      </w:pPr>
      <w:r>
        <w:rPr>
          <w:spacing w:val="-1"/>
        </w:rPr>
        <w:t>（</w:t>
      </w:r>
      <w:r>
        <w:rPr>
          <w:rFonts w:ascii="宋体" w:hAnsi="宋体" w:cs="宋体" w:eastAsia="宋体" w:hint="default"/>
          <w:spacing w:val="-1"/>
        </w:rPr>
        <w:t>4</w:t>
      </w:r>
      <w:r>
        <w:rPr>
          <w:spacing w:val="-1"/>
        </w:rPr>
        <w:t>）本公司之子公司畅索软件科技（上海）有限公司获得上海市经济和信息化委员会于</w:t>
      </w:r>
      <w:r>
        <w:rPr>
          <w:rFonts w:ascii="宋体" w:hAnsi="宋体" w:cs="宋体" w:eastAsia="宋体" w:hint="default"/>
          <w:spacing w:val="-1"/>
        </w:rPr>
        <w:t>2013</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10</w:t>
      </w:r>
      <w:r>
        <w:rPr>
          <w:spacing w:val="-1"/>
        </w:rPr>
        <w:t>日颁</w:t>
      </w:r>
      <w:r>
        <w:rPr>
          <w:spacing w:val="-82"/>
        </w:rPr>
        <w:t> </w:t>
      </w:r>
      <w:r>
        <w:rPr/>
        <w:t>发的《软件企业认定证书》，证书编号：沪</w:t>
      </w:r>
      <w:r>
        <w:rPr>
          <w:rFonts w:ascii="宋体" w:hAnsi="宋体" w:cs="宋体" w:eastAsia="宋体" w:hint="default"/>
        </w:rPr>
        <w:t>R-2013-0559</w:t>
      </w:r>
      <w:r>
        <w:rPr/>
        <w:t>，自</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日止免缴企</w:t>
      </w:r>
      <w:r>
        <w:rPr>
          <w:spacing w:val="-32"/>
        </w:rPr>
        <w:t> </w:t>
      </w:r>
      <w:r>
        <w:rPr>
          <w:spacing w:val="-32"/>
        </w:rPr>
      </w:r>
      <w:r>
        <w:rPr/>
        <w:t>业所得税，自</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日止减半计缴企业所得税。</w:t>
      </w:r>
    </w:p>
    <w:p>
      <w:pPr>
        <w:pStyle w:val="BodyText"/>
        <w:spacing w:line="273" w:lineRule="auto" w:before="127"/>
        <w:ind w:right="1130"/>
        <w:jc w:val="both"/>
      </w:pPr>
      <w:r>
        <w:rPr/>
        <w:t>（</w:t>
      </w:r>
      <w:r>
        <w:rPr>
          <w:rFonts w:ascii="宋体" w:hAnsi="宋体" w:cs="宋体" w:eastAsia="宋体" w:hint="default"/>
        </w:rPr>
        <w:t>5</w:t>
      </w:r>
      <w:r>
        <w:rPr/>
        <w:t>）本公司之子公司成都中科创达软件有限公司获得四川省经济和信息化委员会于</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日颁发</w:t>
      </w:r>
      <w:r>
        <w:rPr>
          <w:spacing w:val="-28"/>
        </w:rPr>
        <w:t> </w:t>
      </w:r>
      <w:r>
        <w:rPr>
          <w:spacing w:val="-28"/>
        </w:rPr>
      </w:r>
      <w:r>
        <w:rPr/>
        <w:t>的《软件企业认定证书》，证书编号：川</w:t>
      </w:r>
      <w:r>
        <w:rPr>
          <w:rFonts w:ascii="宋体" w:hAnsi="宋体" w:cs="宋体" w:eastAsia="宋体" w:hint="default"/>
        </w:rPr>
        <w:t>R-2013-0486</w:t>
      </w:r>
      <w:r>
        <w:rPr/>
        <w:t>，自</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日止免缴企业</w:t>
      </w:r>
      <w:r>
        <w:rPr>
          <w:spacing w:val="-30"/>
        </w:rPr>
        <w:t> </w:t>
      </w:r>
      <w:r>
        <w:rPr>
          <w:spacing w:val="-30"/>
        </w:rPr>
      </w:r>
      <w:r>
        <w:rPr/>
        <w:t>所得税，自</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日止减半计缴企业所得税。</w:t>
      </w:r>
    </w:p>
    <w:p>
      <w:pPr>
        <w:pStyle w:val="BodyText"/>
        <w:spacing w:line="273" w:lineRule="auto" w:before="128"/>
        <w:ind w:right="0"/>
        <w:jc w:val="left"/>
      </w:pPr>
      <w:r>
        <w:rPr>
          <w:spacing w:val="-7"/>
        </w:rPr>
        <w:t>（</w:t>
      </w:r>
      <w:r>
        <w:rPr>
          <w:rFonts w:ascii="宋体" w:hAnsi="宋体" w:cs="宋体" w:eastAsia="宋体" w:hint="default"/>
          <w:spacing w:val="-7"/>
        </w:rPr>
        <w:t>6</w:t>
      </w:r>
      <w:r>
        <w:rPr>
          <w:spacing w:val="-7"/>
        </w:rPr>
        <w:t>）根据国税发【</w:t>
      </w:r>
      <w:r>
        <w:rPr>
          <w:rFonts w:ascii="宋体" w:hAnsi="宋体" w:cs="宋体" w:eastAsia="宋体" w:hint="default"/>
          <w:spacing w:val="-7"/>
        </w:rPr>
        <w:t>2008</w:t>
      </w:r>
      <w:r>
        <w:rPr>
          <w:spacing w:val="-7"/>
        </w:rPr>
        <w:t>】</w:t>
      </w:r>
      <w:r>
        <w:rPr>
          <w:rFonts w:ascii="宋体" w:hAnsi="宋体" w:cs="宋体" w:eastAsia="宋体" w:hint="default"/>
          <w:spacing w:val="-7"/>
        </w:rPr>
        <w:t>116</w:t>
      </w:r>
      <w:r>
        <w:rPr>
          <w:spacing w:val="-7"/>
        </w:rPr>
        <w:t>号《国家税务总局关于印发〈企业研究开发费用税前扣除管理办法〉的通知》、</w:t>
      </w:r>
      <w:r>
        <w:rPr>
          <w:spacing w:val="-88"/>
        </w:rPr>
        <w:t> </w:t>
      </w:r>
      <w:r>
        <w:rPr>
          <w:spacing w:val="-88"/>
        </w:rPr>
      </w:r>
      <w:r>
        <w:rPr/>
        <w:t>财税发【</w:t>
      </w:r>
      <w:r>
        <w:rPr>
          <w:rFonts w:ascii="宋体" w:hAnsi="宋体" w:cs="宋体" w:eastAsia="宋体" w:hint="default"/>
        </w:rPr>
        <w:t>2013</w:t>
      </w:r>
      <w:r>
        <w:rPr/>
        <w:t>】</w:t>
      </w:r>
      <w:r>
        <w:rPr>
          <w:rFonts w:ascii="宋体" w:hAnsi="宋体" w:cs="宋体" w:eastAsia="宋体" w:hint="default"/>
        </w:rPr>
        <w:t>70</w:t>
      </w:r>
      <w:r>
        <w:rPr/>
        <w:t>号《财政部国家税务总局关于研究开发费用税前加计扣除有关政策问题的通知》本公司 享受研究开发费用企业所得税前加计扣除优惠政策。</w:t>
      </w:r>
    </w:p>
    <w:p>
      <w:pPr>
        <w:pStyle w:val="BodyText"/>
        <w:spacing w:line="240" w:lineRule="auto" w:before="127"/>
        <w:ind w:left="1134" w:right="0"/>
        <w:jc w:val="both"/>
      </w:pPr>
      <w:r>
        <w:rPr/>
        <w:t>（</w:t>
      </w:r>
      <w:r>
        <w:rPr>
          <w:rFonts w:ascii="宋体" w:hAnsi="宋体" w:cs="宋体" w:eastAsia="宋体" w:hint="default"/>
        </w:rPr>
        <w:t>7</w:t>
      </w:r>
      <w:r>
        <w:rPr/>
        <w:t>）根据财税</w:t>
      </w:r>
      <w:r>
        <w:rPr>
          <w:rFonts w:ascii="宋体" w:hAnsi="宋体" w:cs="宋体" w:eastAsia="宋体" w:hint="default"/>
        </w:rPr>
        <w:t>[2011]100</w:t>
      </w:r>
      <w:r>
        <w:rPr/>
        <w:t>号文件《财政部、国家税务总局关于软件产品增值税政策的通知》规定，增值税</w:t>
      </w:r>
    </w:p>
    <w:p>
      <w:pPr>
        <w:spacing w:after="0" w:line="240"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73" w:lineRule="auto" w:before="35"/>
        <w:ind w:right="1127"/>
        <w:jc w:val="both"/>
      </w:pPr>
      <w:r>
        <w:rPr/>
        <w:t>一般纳税人销售其自行开发生产的软件产品，按</w:t>
      </w:r>
      <w:r>
        <w:rPr>
          <w:rFonts w:ascii="宋体" w:hAnsi="宋体" w:cs="宋体" w:eastAsia="宋体" w:hint="default"/>
        </w:rPr>
        <w:t>17%</w:t>
      </w:r>
      <w:r>
        <w:rPr/>
        <w:t>税率征收增值税后，对其增值税实际税负超过</w:t>
      </w:r>
      <w:r>
        <w:rPr>
          <w:rFonts w:ascii="宋体" w:hAnsi="宋体" w:cs="宋体" w:eastAsia="宋体" w:hint="default"/>
        </w:rPr>
        <w:t>3%</w:t>
      </w:r>
      <w:r>
        <w:rPr/>
        <w:t>的部</w:t>
      </w:r>
      <w:r>
        <w:rPr>
          <w:spacing w:val="-24"/>
        </w:rPr>
        <w:t> </w:t>
      </w:r>
      <w:r>
        <w:rPr/>
        <w:t>分实行即征即退政策。</w:t>
      </w:r>
    </w:p>
    <w:p>
      <w:pPr>
        <w:pStyle w:val="BodyText"/>
        <w:spacing w:line="273" w:lineRule="auto" w:before="127"/>
        <w:ind w:right="1128"/>
        <w:jc w:val="both"/>
      </w:pPr>
      <w:r>
        <w:rPr/>
        <w:t>（</w:t>
      </w:r>
      <w:r>
        <w:rPr>
          <w:rFonts w:ascii="宋体" w:hAnsi="宋体" w:cs="宋体" w:eastAsia="宋体" w:hint="default"/>
        </w:rPr>
        <w:t>8</w:t>
      </w:r>
      <w:r>
        <w:rPr/>
        <w:t>）根据财税</w:t>
      </w:r>
      <w:r>
        <w:rPr>
          <w:rFonts w:ascii="宋体" w:hAnsi="宋体" w:cs="宋体" w:eastAsia="宋体" w:hint="default"/>
        </w:rPr>
        <w:t>[2003]</w:t>
      </w:r>
      <w:r>
        <w:rPr/>
        <w:t>第</w:t>
      </w:r>
      <w:r>
        <w:rPr>
          <w:rFonts w:ascii="宋体" w:hAnsi="宋体" w:cs="宋体" w:eastAsia="宋体" w:hint="default"/>
        </w:rPr>
        <w:t>238</w:t>
      </w:r>
      <w:r>
        <w:rPr/>
        <w:t>号《关于调整出口货物退税率的补充通知》的规定，计算机软件出口</w:t>
      </w:r>
      <w:r>
        <w:rPr>
          <w:rFonts w:ascii="宋体" w:hAnsi="宋体" w:cs="宋体" w:eastAsia="宋体" w:hint="default"/>
        </w:rPr>
        <w:t>(</w:t>
      </w:r>
      <w:r>
        <w:rPr/>
        <w:t>海关出</w:t>
      </w:r>
      <w:r>
        <w:rPr>
          <w:spacing w:val="-27"/>
        </w:rPr>
        <w:t> </w:t>
      </w:r>
      <w:r>
        <w:rPr>
          <w:spacing w:val="-1"/>
        </w:rPr>
        <w:t>口商品码</w:t>
      </w:r>
      <w:r>
        <w:rPr>
          <w:rFonts w:ascii="宋体" w:hAnsi="宋体" w:cs="宋体" w:eastAsia="宋体" w:hint="default"/>
          <w:spacing w:val="-1"/>
        </w:rPr>
        <w:t>9803)</w:t>
      </w:r>
      <w:r>
        <w:rPr>
          <w:spacing w:val="-1"/>
        </w:rPr>
        <w:t>实行免税，其进项税额不予抵扣或退税；根据外经贸技发</w:t>
      </w:r>
      <w:r>
        <w:rPr>
          <w:rFonts w:ascii="宋体" w:hAnsi="宋体" w:cs="宋体" w:eastAsia="宋体" w:hint="default"/>
          <w:spacing w:val="-1"/>
        </w:rPr>
        <w:t>[2000]</w:t>
      </w:r>
      <w:r>
        <w:rPr>
          <w:spacing w:val="-1"/>
        </w:rPr>
        <w:t>第</w:t>
      </w:r>
      <w:r>
        <w:rPr>
          <w:rFonts w:ascii="宋体" w:hAnsi="宋体" w:cs="宋体" w:eastAsia="宋体" w:hint="default"/>
          <w:spacing w:val="-1"/>
        </w:rPr>
        <w:t>680</w:t>
      </w:r>
      <w:r>
        <w:rPr>
          <w:spacing w:val="-1"/>
        </w:rPr>
        <w:t>号对外贸易经济合作</w:t>
      </w:r>
      <w:r>
        <w:rPr>
          <w:spacing w:val="-79"/>
        </w:rPr>
        <w:t> </w:t>
      </w:r>
      <w:r>
        <w:rPr>
          <w:spacing w:val="-79"/>
        </w:rPr>
      </w:r>
      <w:r>
        <w:rPr>
          <w:spacing w:val="-1"/>
        </w:rPr>
        <w:t>部、信息产业部、国家税务总局、海关总署、国家外汇管理局、国家统计局关于软件出口有关问题的通知</w:t>
      </w:r>
      <w:r>
        <w:rPr>
          <w:spacing w:val="-83"/>
        </w:rPr>
        <w:t> </w:t>
      </w:r>
      <w:r>
        <w:rPr>
          <w:spacing w:val="-83"/>
        </w:rPr>
      </w:r>
      <w:r>
        <w:rPr/>
        <w:t>以及外经贸技发</w:t>
      </w:r>
      <w:r>
        <w:rPr>
          <w:rFonts w:ascii="宋体" w:hAnsi="宋体" w:cs="宋体" w:eastAsia="宋体" w:hint="default"/>
        </w:rPr>
        <w:t>[2001]604</w:t>
      </w:r>
      <w:r>
        <w:rPr/>
        <w:t>号对外贸易经济合作部、科学技术部、信息产业部、国家统计局、国家外汇管</w:t>
      </w:r>
      <w:r>
        <w:rPr>
          <w:spacing w:val="-35"/>
        </w:rPr>
        <w:t> </w:t>
      </w:r>
      <w:r>
        <w:rPr>
          <w:spacing w:val="-35"/>
        </w:rPr>
      </w:r>
      <w:r>
        <w:rPr>
          <w:spacing w:val="-1"/>
        </w:rPr>
        <w:t>理局关于印发《软件出口管理和统计办法》的通知，软件出口包括采取通关或网上传输方式向境外出口软</w:t>
      </w:r>
      <w:r>
        <w:rPr>
          <w:spacing w:val="-83"/>
        </w:rPr>
        <w:t> </w:t>
      </w:r>
      <w:r>
        <w:rPr>
          <w:spacing w:val="-83"/>
        </w:rPr>
      </w:r>
      <w:r>
        <w:rPr/>
        <w:t>件产品、转让软件技术和提供相关服务。本公司的相关业务免税，其进项税额不予抵扣或退税。</w:t>
      </w:r>
    </w:p>
    <w:p>
      <w:pPr>
        <w:pStyle w:val="BodyText"/>
        <w:spacing w:line="273" w:lineRule="auto" w:before="127"/>
        <w:ind w:left="1134" w:right="1133"/>
        <w:jc w:val="both"/>
      </w:pPr>
      <w:r>
        <w:rPr>
          <w:spacing w:val="-1"/>
        </w:rPr>
        <w:t>（</w:t>
      </w:r>
      <w:r>
        <w:rPr>
          <w:rFonts w:ascii="宋体" w:hAnsi="宋体" w:cs="宋体" w:eastAsia="宋体" w:hint="default"/>
          <w:spacing w:val="-1"/>
        </w:rPr>
        <w:t>9</w:t>
      </w:r>
      <w:r>
        <w:rPr>
          <w:spacing w:val="-1"/>
        </w:rPr>
        <w:t>）根据财税</w:t>
      </w:r>
      <w:r>
        <w:rPr>
          <w:rFonts w:ascii="宋体" w:hAnsi="宋体" w:cs="宋体" w:eastAsia="宋体" w:hint="default"/>
          <w:spacing w:val="-1"/>
        </w:rPr>
        <w:t>[2013]106</w:t>
      </w:r>
      <w:r>
        <w:rPr>
          <w:spacing w:val="-1"/>
        </w:rPr>
        <w:t>号《关于将铁路运输和邮政业纳入营业税改征增值税试点的通知》文件规定，试</w:t>
      </w:r>
      <w:r>
        <w:rPr>
          <w:spacing w:val="-81"/>
        </w:rPr>
        <w:t> </w:t>
      </w:r>
      <w:r>
        <w:rPr>
          <w:spacing w:val="-81"/>
        </w:rPr>
      </w:r>
      <w:r>
        <w:rPr/>
        <w:t>点纳税人提供技术转让、技术开发和与之相关的技术咨询、技术服务免征增值税。</w:t>
      </w:r>
    </w:p>
    <w:p>
      <w:pPr>
        <w:pStyle w:val="BodyText"/>
        <w:spacing w:line="273" w:lineRule="auto" w:before="127"/>
        <w:ind w:right="1109"/>
        <w:jc w:val="both"/>
      </w:pPr>
      <w:r>
        <w:rPr/>
        <w:t>（</w:t>
      </w:r>
      <w:r>
        <w:rPr>
          <w:rFonts w:ascii="宋体" w:hAnsi="宋体" w:cs="宋体" w:eastAsia="宋体" w:hint="default"/>
        </w:rPr>
        <w:t>10</w:t>
      </w:r>
      <w:r>
        <w:rPr/>
        <w:t>）根据《财政部、国家税务总局关于进一步推进出口货物实行免抵退税办法的通知》（财税〔</w:t>
      </w:r>
      <w:r>
        <w:rPr>
          <w:rFonts w:ascii="宋体" w:hAnsi="宋体" w:cs="宋体" w:eastAsia="宋体" w:hint="default"/>
        </w:rPr>
        <w:t>2002</w:t>
      </w:r>
      <w:r>
        <w:rPr/>
        <w:t>〕 </w:t>
      </w:r>
      <w:r>
        <w:rPr>
          <w:rFonts w:ascii="宋体" w:hAnsi="宋体" w:cs="宋体" w:eastAsia="宋体" w:hint="default"/>
        </w:rPr>
        <w:t>7</w:t>
      </w:r>
      <w:r>
        <w:rPr/>
        <w:t>号）规定：生产企业自营或委托外贸企业代理出口自产货物，除另行规定外，增值税一律实行免、抵、</w:t>
      </w:r>
      <w:r>
        <w:rPr>
          <w:spacing w:val="-34"/>
        </w:rPr>
        <w:t> </w:t>
      </w:r>
      <w:r>
        <w:rPr>
          <w:spacing w:val="-34"/>
        </w:rPr>
      </w:r>
      <w:r>
        <w:rPr/>
        <w:t>退税管理办法。</w:t>
      </w:r>
    </w:p>
    <w:p>
      <w:pPr>
        <w:spacing w:line="240" w:lineRule="auto" w:before="8"/>
        <w:rPr>
          <w:rFonts w:ascii="宋体" w:hAnsi="宋体" w:cs="宋体" w:eastAsia="宋体" w:hint="default"/>
          <w:sz w:val="23"/>
          <w:szCs w:val="23"/>
        </w:rPr>
      </w:pPr>
    </w:p>
    <w:p>
      <w:pPr>
        <w:spacing w:line="487" w:lineRule="auto" w:before="0"/>
        <w:ind w:left="1133" w:right="7333" w:firstLine="0"/>
        <w:jc w:val="left"/>
        <w:rPr>
          <w:rFonts w:ascii="宋体" w:hAnsi="宋体" w:cs="宋体" w:eastAsia="宋体" w:hint="default"/>
          <w:sz w:val="21"/>
          <w:szCs w:val="21"/>
        </w:rPr>
      </w:pPr>
      <w:bookmarkStart w:name="3、其他" w:id="215"/>
      <w:bookmarkEnd w:id="21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16"/>
      <w:bookmarkEnd w:id="216"/>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17"/>
      <w:bookmarkEnd w:id="217"/>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414,885.13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284,996.12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722,232,240.70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200,151,918.12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16,297,673.53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259,282.37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738,944,799.36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200,696,196.61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52,944,065.57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52,376,579.87</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71" w:lineRule="auto"/>
        <w:ind w:left="1134" w:right="0"/>
        <w:jc w:val="left"/>
      </w:pPr>
      <w:r>
        <w:rPr/>
        <w:t>（</w:t>
      </w:r>
      <w:r>
        <w:rPr>
          <w:rFonts w:ascii="宋体" w:hAnsi="宋体" w:cs="宋体" w:eastAsia="宋体" w:hint="default"/>
        </w:rPr>
        <w:t>1</w:t>
      </w:r>
      <w:r>
        <w:rPr/>
        <w:t>）期末使用受限的银行存款为</w:t>
      </w:r>
      <w:r>
        <w:rPr>
          <w:rFonts w:ascii="宋体" w:hAnsi="宋体" w:cs="宋体" w:eastAsia="宋体" w:hint="default"/>
        </w:rPr>
        <w:t>71,509,470.68</w:t>
      </w:r>
      <w:r>
        <w:rPr/>
        <w:t>元，其中</w:t>
      </w:r>
      <w:r>
        <w:rPr>
          <w:rFonts w:ascii="宋体" w:hAnsi="宋体" w:cs="宋体" w:eastAsia="宋体" w:hint="default"/>
        </w:rPr>
        <w:t>61,228,100.00</w:t>
      </w:r>
      <w:r>
        <w:rPr/>
        <w:t>元系开立备用信用证质押所致，</w:t>
      </w:r>
      <w:r>
        <w:rPr>
          <w:spacing w:val="-34"/>
        </w:rPr>
        <w:t> </w:t>
      </w:r>
      <w:r>
        <w:rPr>
          <w:rFonts w:ascii="宋体" w:hAnsi="宋体" w:cs="宋体" w:eastAsia="宋体" w:hint="default"/>
        </w:rPr>
        <w:t>10,281,370.68</w:t>
      </w:r>
      <w:r>
        <w:rPr/>
        <w:t>元系取得短期借款质押所致。</w:t>
      </w:r>
    </w:p>
    <w:p>
      <w:pPr>
        <w:pStyle w:val="BodyText"/>
        <w:spacing w:line="240" w:lineRule="auto" w:before="130"/>
        <w:ind w:left="1134" w:right="3499"/>
        <w:jc w:val="left"/>
      </w:pPr>
      <w:r>
        <w:rPr/>
        <w:t>（</w:t>
      </w:r>
      <w:r>
        <w:rPr>
          <w:rFonts w:ascii="宋体" w:hAnsi="宋体" w:cs="宋体" w:eastAsia="宋体" w:hint="default"/>
        </w:rPr>
        <w:t>2</w:t>
      </w:r>
      <w:r>
        <w:rPr/>
        <w:t>）期末其他货币资金</w:t>
      </w:r>
      <w:r>
        <w:rPr>
          <w:rFonts w:ascii="宋体" w:hAnsi="宋体" w:cs="宋体" w:eastAsia="宋体" w:hint="default"/>
        </w:rPr>
        <w:t>16,297,673.53</w:t>
      </w:r>
      <w:r>
        <w:rPr/>
        <w:t>元，主要系期末在途货币资金。</w:t>
      </w:r>
    </w:p>
    <w:p>
      <w:pPr>
        <w:spacing w:line="240" w:lineRule="auto" w:before="11"/>
        <w:rPr>
          <w:rFonts w:ascii="宋体" w:hAnsi="宋体" w:cs="宋体" w:eastAsia="宋体" w:hint="default"/>
          <w:sz w:val="25"/>
          <w:szCs w:val="25"/>
        </w:rPr>
      </w:pPr>
    </w:p>
    <w:p>
      <w:pPr>
        <w:pStyle w:val="Heading3"/>
        <w:spacing w:line="240" w:lineRule="auto"/>
        <w:ind w:right="3499"/>
        <w:jc w:val="left"/>
        <w:rPr>
          <w:b w:val="0"/>
          <w:bCs w:val="0"/>
        </w:rPr>
      </w:pPr>
      <w:bookmarkStart w:name="2、以公允价值计量且其变动计入当期损益的金融资产" w:id="218"/>
      <w:bookmarkEnd w:id="218"/>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3499"/>
        <w:jc w:val="left"/>
        <w:rPr>
          <w:b w:val="0"/>
          <w:bCs w:val="0"/>
        </w:rPr>
      </w:pPr>
      <w:bookmarkStart w:name="3、衍生金融资产" w:id="219"/>
      <w:bookmarkEnd w:id="219"/>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3499"/>
        <w:jc w:val="left"/>
        <w:rPr>
          <w:b w:val="0"/>
          <w:bCs w:val="0"/>
        </w:rPr>
      </w:pPr>
      <w:bookmarkStart w:name="4、应收票据" w:id="220"/>
      <w:bookmarkEnd w:id="220"/>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499"/>
        <w:jc w:val="left"/>
        <w:rPr>
          <w:b w:val="0"/>
          <w:bCs w:val="0"/>
        </w:rPr>
      </w:pPr>
      <w:bookmarkStart w:name="（1）应收票据分类列示" w:id="221"/>
      <w:bookmarkEnd w:id="22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2）期末公司已质押的应收票据" w:id="222"/>
      <w:bookmarkEnd w:id="222"/>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3）期末公司已背书或贴现且在资产负债表日尚未到期的应收票据" w:id="223"/>
      <w:bookmarkEnd w:id="223"/>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4）期末公司因出票人未履约而将其转应收账款的票据" w:id="224"/>
      <w:bookmarkEnd w:id="224"/>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3499"/>
        <w:jc w:val="left"/>
        <w:rPr>
          <w:b w:val="0"/>
          <w:bCs w:val="0"/>
        </w:rPr>
      </w:pPr>
      <w:bookmarkStart w:name="5、应收账款" w:id="225"/>
      <w:bookmarkEnd w:id="225"/>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3499"/>
        <w:jc w:val="left"/>
        <w:rPr>
          <w:b w:val="0"/>
          <w:bCs w:val="0"/>
        </w:rPr>
      </w:pPr>
      <w:bookmarkStart w:name="（1）应收账款分类披露" w:id="226"/>
      <w:bookmarkEnd w:id="22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83"/>
        <w:gridCol w:w="1134"/>
        <w:gridCol w:w="708"/>
        <w:gridCol w:w="851"/>
        <w:gridCol w:w="567"/>
        <w:gridCol w:w="1134"/>
        <w:gridCol w:w="992"/>
        <w:gridCol w:w="710"/>
        <w:gridCol w:w="850"/>
        <w:gridCol w:w="568"/>
        <w:gridCol w:w="1061"/>
      </w:tblGrid>
      <w:tr>
        <w:trPr>
          <w:trHeight w:val="397" w:hRule="exact"/>
        </w:trPr>
        <w:tc>
          <w:tcPr>
            <w:tcW w:w="983" w:type="dxa"/>
            <w:vMerge w:val="restart"/>
            <w:tcBorders>
              <w:top w:val="single" w:sz="4" w:space="0" w:color="000000"/>
              <w:left w:val="single" w:sz="4" w:space="0" w:color="000000"/>
              <w:right w:val="single" w:sz="4" w:space="0" w:color="000000"/>
            </w:tcBorders>
            <w:shd w:val="clear" w:color="auto" w:fill="D2D2D2"/>
          </w:tcPr>
          <w:p>
            <w:pPr/>
          </w:p>
        </w:tc>
        <w:tc>
          <w:tcPr>
            <w:tcW w:w="43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1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166" w:hRule="exact"/>
        </w:trPr>
        <w:tc>
          <w:tcPr>
            <w:tcW w:w="983" w:type="dxa"/>
            <w:vMerge/>
            <w:tcBorders>
              <w:left w:val="single" w:sz="4" w:space="0" w:color="000000"/>
              <w:bottom w:val="nil" w:sz="6" w:space="0" w:color="auto"/>
              <w:right w:val="single" w:sz="4" w:space="0" w:color="000000"/>
            </w:tcBorders>
            <w:shd w:val="clear" w:color="auto" w:fill="D2D2D2"/>
          </w:tcPr>
          <w:p>
            <w:pPr/>
          </w:p>
        </w:tc>
        <w:tc>
          <w:tcPr>
            <w:tcW w:w="1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right="1"/>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4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40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544"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40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6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right="12"/>
              <w:jc w:val="center"/>
              <w:rPr>
                <w:rFonts w:ascii="宋体" w:hAnsi="宋体" w:cs="宋体" w:eastAsia="宋体" w:hint="default"/>
                <w:sz w:val="15"/>
                <w:szCs w:val="15"/>
              </w:rPr>
            </w:pPr>
            <w:r>
              <w:rPr>
                <w:rFonts w:ascii="宋体" w:hAnsi="宋体" w:cs="宋体" w:eastAsia="宋体" w:hint="default"/>
                <w:sz w:val="15"/>
                <w:szCs w:val="15"/>
              </w:rPr>
              <w:t>类别</w:t>
            </w:r>
          </w:p>
        </w:tc>
        <w:tc>
          <w:tcPr>
            <w:tcW w:w="1842" w:type="dxa"/>
            <w:gridSpan w:val="2"/>
            <w:vMerge/>
            <w:tcBorders>
              <w:left w:val="single" w:sz="4" w:space="0" w:color="000000"/>
              <w:bottom w:val="single" w:sz="4" w:space="0" w:color="000000"/>
              <w:right w:val="single" w:sz="4" w:space="0" w:color="000000"/>
            </w:tcBorders>
            <w:shd w:val="clear" w:color="auto" w:fill="D2D2D2"/>
          </w:tcPr>
          <w:p>
            <w:pPr/>
          </w:p>
        </w:tc>
        <w:tc>
          <w:tcPr>
            <w:tcW w:w="1418"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983" w:type="dxa"/>
            <w:vMerge/>
            <w:tcBorders>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384" w:lineRule="auto" w:before="74"/>
              <w:ind w:left="203" w:right="53" w:hanging="150"/>
              <w:jc w:val="left"/>
              <w:rPr>
                <w:rFonts w:ascii="宋体" w:hAnsi="宋体" w:cs="宋体" w:eastAsia="宋体" w:hint="default"/>
                <w:sz w:val="15"/>
                <w:szCs w:val="15"/>
              </w:rPr>
            </w:pPr>
            <w:r>
              <w:rPr>
                <w:rFonts w:ascii="宋体" w:hAnsi="宋体" w:cs="宋体" w:eastAsia="宋体" w:hint="default"/>
                <w:sz w:val="15"/>
                <w:szCs w:val="15"/>
              </w:rPr>
              <w:t>计提比 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261"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84" w:lineRule="auto" w:before="74"/>
              <w:ind w:left="202" w:right="53" w:hanging="150"/>
              <w:jc w:val="left"/>
              <w:rPr>
                <w:rFonts w:ascii="宋体" w:hAnsi="宋体" w:cs="宋体" w:eastAsia="宋体" w:hint="default"/>
                <w:sz w:val="15"/>
                <w:szCs w:val="15"/>
              </w:rPr>
            </w:pPr>
            <w:r>
              <w:rPr>
                <w:rFonts w:ascii="宋体" w:hAnsi="宋体" w:cs="宋体" w:eastAsia="宋体" w:hint="default"/>
                <w:sz w:val="15"/>
                <w:szCs w:val="15"/>
              </w:rPr>
              <w:t>计提比 例</w:t>
            </w:r>
          </w:p>
        </w:tc>
        <w:tc>
          <w:tcPr>
            <w:tcW w:w="10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225"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191" w:hRule="exact"/>
        </w:trPr>
        <w:tc>
          <w:tcPr>
            <w:tcW w:w="983"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197"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270"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567"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199"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270"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568"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983"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983"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11" w:right="59"/>
              <w:jc w:val="both"/>
              <w:rPr>
                <w:rFonts w:ascii="宋体" w:hAnsi="宋体" w:cs="宋体" w:eastAsia="宋体" w:hint="default"/>
                <w:sz w:val="15"/>
                <w:szCs w:val="15"/>
              </w:rPr>
            </w:pPr>
            <w:r>
              <w:rPr>
                <w:rFonts w:ascii="宋体" w:hAnsi="宋体" w:cs="宋体" w:eastAsia="宋体" w:hint="default"/>
                <w:sz w:val="15"/>
                <w:szCs w:val="15"/>
              </w:rPr>
              <w:t>按信用风险特 征组合计提坏 账准备的应收 账款</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241,074,374.96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8" w:right="0"/>
              <w:jc w:val="center"/>
              <w:rPr>
                <w:rFonts w:ascii="Times New Roman" w:hAnsi="Times New Roman" w:cs="Times New Roman" w:eastAsia="Times New Roman" w:hint="default"/>
                <w:sz w:val="15"/>
                <w:szCs w:val="15"/>
              </w:rPr>
            </w:pPr>
            <w:r>
              <w:rPr>
                <w:rFonts w:ascii="Times New Roman"/>
                <w:sz w:val="15"/>
              </w:rPr>
              <w:t>3,090,174.92</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1.28%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237,984,200.04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119,364,764.00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 w:right="0"/>
              <w:jc w:val="center"/>
              <w:rPr>
                <w:rFonts w:ascii="Times New Roman" w:hAnsi="Times New Roman" w:cs="Times New Roman" w:eastAsia="Times New Roman" w:hint="default"/>
                <w:sz w:val="15"/>
                <w:szCs w:val="15"/>
              </w:rPr>
            </w:pPr>
            <w:r>
              <w:rPr>
                <w:rFonts w:ascii="Times New Roman"/>
                <w:sz w:val="15"/>
              </w:rPr>
              <w:t>1,232,235.12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1.03%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2" w:right="0"/>
              <w:jc w:val="center"/>
              <w:rPr>
                <w:rFonts w:ascii="Times New Roman" w:hAnsi="Times New Roman" w:cs="Times New Roman" w:eastAsia="Times New Roman" w:hint="default"/>
                <w:sz w:val="15"/>
                <w:szCs w:val="15"/>
              </w:rPr>
            </w:pPr>
            <w:r>
              <w:rPr>
                <w:rFonts w:ascii="Times New Roman"/>
                <w:sz w:val="15"/>
              </w:rPr>
              <w:t>118,132,528.88</w:t>
            </w:r>
          </w:p>
        </w:tc>
      </w:tr>
      <w:tr>
        <w:trPr>
          <w:trHeight w:val="402"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241,074,374.96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8" w:right="0"/>
              <w:jc w:val="center"/>
              <w:rPr>
                <w:rFonts w:ascii="Times New Roman" w:hAnsi="Times New Roman" w:cs="Times New Roman" w:eastAsia="Times New Roman" w:hint="default"/>
                <w:sz w:val="15"/>
                <w:szCs w:val="15"/>
              </w:rPr>
            </w:pPr>
            <w:r>
              <w:rPr>
                <w:rFonts w:ascii="Times New Roman"/>
                <w:sz w:val="15"/>
              </w:rPr>
              <w:t>3,090,174.92</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1.28%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237,984,200.04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Times New Roman" w:hAnsi="Times New Roman" w:cs="Times New Roman" w:eastAsia="Times New Roman" w:hint="default"/>
                <w:sz w:val="15"/>
                <w:szCs w:val="15"/>
              </w:rPr>
            </w:pPr>
            <w:r>
              <w:rPr>
                <w:rFonts w:ascii="Times New Roman"/>
                <w:sz w:val="15"/>
              </w:rPr>
              <w:t>119,364,764.00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 w:right="0"/>
              <w:jc w:val="center"/>
              <w:rPr>
                <w:rFonts w:ascii="Times New Roman" w:hAnsi="Times New Roman" w:cs="Times New Roman" w:eastAsia="Times New Roman" w:hint="default"/>
                <w:sz w:val="15"/>
                <w:szCs w:val="15"/>
              </w:rPr>
            </w:pPr>
            <w:r>
              <w:rPr>
                <w:rFonts w:ascii="Times New Roman"/>
                <w:sz w:val="15"/>
              </w:rPr>
              <w:t>1,232,235.12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1.03%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2" w:right="0"/>
              <w:jc w:val="center"/>
              <w:rPr>
                <w:rFonts w:ascii="Times New Roman" w:hAnsi="Times New Roman" w:cs="Times New Roman" w:eastAsia="Times New Roman" w:hint="default"/>
                <w:sz w:val="15"/>
                <w:szCs w:val="15"/>
              </w:rPr>
            </w:pPr>
            <w:r>
              <w:rPr>
                <w:rFonts w:ascii="Times New Roman"/>
                <w:sz w:val="15"/>
              </w:rPr>
              <w:t>118,132,528.88</w:t>
            </w:r>
          </w:p>
        </w:tc>
      </w:tr>
    </w:tbl>
    <w:p>
      <w:pPr>
        <w:spacing w:after="0" w:line="240" w:lineRule="auto"/>
        <w:jc w:val="center"/>
        <w:rPr>
          <w:rFonts w:ascii="Times New Roman" w:hAnsi="Times New Roman" w:cs="Times New Roman" w:eastAsia="Times New Roman" w:hint="default"/>
          <w:sz w:val="15"/>
          <w:szCs w:val="15"/>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0" w:right="0"/>
        </w:sectPr>
      </w:pPr>
    </w:p>
    <w:p>
      <w:pPr>
        <w:spacing w:before="44"/>
        <w:ind w:left="1133" w:right="-19"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6"/>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0"/>
        <w:ind w:left="113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233,840,695.76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2,338,407.00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233,840,695.76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2,338,407.00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7,091,429.20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709,142.92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241,074,374.96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3,090,174.92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w:t>
            </w:r>
          </w:p>
        </w:tc>
      </w:tr>
    </w:tbl>
    <w:p>
      <w:pPr>
        <w:spacing w:line="360" w:lineRule="auto" w:before="51"/>
        <w:ind w:left="113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6"/>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2"/>
        <w:rPr>
          <w:rFonts w:ascii="宋体" w:hAnsi="宋体" w:cs="宋体" w:eastAsia="宋体" w:hint="default"/>
          <w:sz w:val="21"/>
          <w:szCs w:val="21"/>
        </w:rPr>
      </w:pPr>
    </w:p>
    <w:p>
      <w:pPr>
        <w:pStyle w:val="Heading3"/>
        <w:spacing w:line="240" w:lineRule="auto"/>
        <w:ind w:right="3499"/>
        <w:jc w:val="left"/>
        <w:rPr>
          <w:b w:val="0"/>
          <w:bCs w:val="0"/>
        </w:rPr>
      </w:pPr>
      <w:bookmarkStart w:name="（2）本期计提、收回或转回的坏账准备情况" w:id="227"/>
      <w:bookmarkEnd w:id="22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spacing w:line="340" w:lineRule="auto" w:before="44"/>
        <w:ind w:left="113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1,852,195.68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7434" w:space="1395"/>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3）本期实际核销的应收账款情况" w:id="228"/>
      <w:bookmarkEnd w:id="22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2"/>
        <w:ind w:left="1134" w:right="3499"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after="0"/>
        <w:jc w:val="left"/>
        <w:rPr>
          <w:rFonts w:ascii="宋体" w:hAnsi="宋体" w:cs="宋体" w:eastAsia="宋体" w:hint="default"/>
          <w:sz w:val="18"/>
          <w:szCs w:val="18"/>
        </w:rPr>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3499"/>
        <w:jc w:val="left"/>
        <w:rPr>
          <w:b w:val="0"/>
          <w:bCs w:val="0"/>
        </w:rPr>
      </w:pPr>
      <w:bookmarkStart w:name="（4）按欠款方归集的期末余额前五名的应收账款情况" w:id="229"/>
      <w:bookmarkEnd w:id="229"/>
      <w:r>
        <w:rPr>
          <w:b w:val="0"/>
          <w:bCs w:val="0"/>
        </w:rPr>
      </w:r>
      <w:r>
        <w:rPr/>
        <w:t>（</w:t>
      </w:r>
      <w:r>
        <w:rPr>
          <w:rFonts w:ascii="宋体" w:hAnsi="宋体" w:cs="宋体" w:eastAsia="宋体" w:hint="default"/>
        </w:rPr>
        <w:t>4</w:t>
      </w:r>
      <w:r>
        <w:rPr/>
        <w:t>）按欠款方归集的期末余额前五名的应收账款情况</w:t>
      </w:r>
      <w:r>
        <w:rPr>
          <w:b w:val="0"/>
          <w:bCs w:val="0"/>
        </w:rPr>
      </w:r>
    </w:p>
    <w:p>
      <w:pPr>
        <w:spacing w:line="240" w:lineRule="auto" w:before="11"/>
        <w:rPr>
          <w:rFonts w:ascii="宋体" w:hAnsi="宋体" w:cs="宋体" w:eastAsia="宋体" w:hint="default"/>
          <w:b/>
          <w:bCs/>
          <w:sz w:val="25"/>
          <w:szCs w:val="25"/>
        </w:rPr>
      </w:pPr>
    </w:p>
    <w:p>
      <w:pPr>
        <w:pStyle w:val="BodyText"/>
        <w:spacing w:line="273" w:lineRule="auto"/>
        <w:ind w:right="0"/>
        <w:jc w:val="left"/>
      </w:pPr>
      <w:r>
        <w:rPr>
          <w:spacing w:val="-1"/>
        </w:rPr>
        <w:t>本期按欠款方归集的期末余额前五名应收账款汇总金额</w:t>
      </w:r>
      <w:r>
        <w:rPr>
          <w:rFonts w:ascii="宋体" w:hAnsi="宋体" w:cs="宋体" w:eastAsia="宋体" w:hint="default"/>
          <w:spacing w:val="-1"/>
        </w:rPr>
        <w:t>134,308,563.29</w:t>
      </w:r>
      <w:r>
        <w:rPr>
          <w:spacing w:val="-1"/>
        </w:rPr>
        <w:t>元，占应收账款期末余额合计数的</w:t>
      </w:r>
      <w:r>
        <w:rPr>
          <w:spacing w:val="-76"/>
        </w:rPr>
        <w:t> </w:t>
      </w:r>
      <w:r>
        <w:rPr>
          <w:spacing w:val="-76"/>
        </w:rPr>
      </w:r>
      <w:r>
        <w:rPr/>
        <w:t>比例</w:t>
      </w:r>
      <w:r>
        <w:rPr>
          <w:rFonts w:ascii="宋体" w:hAnsi="宋体" w:cs="宋体" w:eastAsia="宋体" w:hint="default"/>
        </w:rPr>
        <w:t>55.71%</w:t>
      </w:r>
      <w:r>
        <w:rPr/>
        <w:t>，相应计提的坏账准备期末余额汇总金额</w:t>
      </w:r>
      <w:r>
        <w:rPr>
          <w:rFonts w:ascii="宋体" w:hAnsi="宋体" w:cs="宋体" w:eastAsia="宋体" w:hint="default"/>
        </w:rPr>
        <w:t>1,343,085.63</w:t>
      </w:r>
      <w:r>
        <w:rPr/>
        <w:t>元。</w:t>
      </w:r>
    </w:p>
    <w:p>
      <w:pPr>
        <w:spacing w:line="240" w:lineRule="auto" w:before="8"/>
        <w:rPr>
          <w:rFonts w:ascii="宋体" w:hAnsi="宋体" w:cs="宋体" w:eastAsia="宋体" w:hint="default"/>
          <w:sz w:val="23"/>
          <w:szCs w:val="23"/>
        </w:rPr>
      </w:pPr>
    </w:p>
    <w:p>
      <w:pPr>
        <w:pStyle w:val="Heading3"/>
        <w:spacing w:line="240" w:lineRule="auto"/>
        <w:ind w:right="3499"/>
        <w:jc w:val="left"/>
        <w:rPr>
          <w:b w:val="0"/>
          <w:bCs w:val="0"/>
        </w:rPr>
      </w:pPr>
      <w:bookmarkStart w:name="（5）因金融资产转移而终止确认的应收账款" w:id="230"/>
      <w:bookmarkEnd w:id="230"/>
      <w:r>
        <w:rPr>
          <w:b w:val="0"/>
          <w:bCs w:val="0"/>
        </w:rPr>
      </w:r>
      <w:r>
        <w:rPr/>
        <w:t>（</w:t>
      </w:r>
      <w:r>
        <w:rPr>
          <w:rFonts w:ascii="宋体" w:hAnsi="宋体" w:cs="宋体" w:eastAsia="宋体" w:hint="default"/>
        </w:rPr>
        <w:t>5</w:t>
      </w:r>
      <w:r>
        <w:rPr/>
        <w:t>）因金融资产转移而终止确认的应收账款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3499"/>
        <w:jc w:val="left"/>
        <w:rPr>
          <w:b w:val="0"/>
          <w:bCs w:val="0"/>
        </w:rPr>
      </w:pPr>
      <w:bookmarkStart w:name="（6）转移应收账款且继续涉入形成的资产、负债金额" w:id="231"/>
      <w:bookmarkEnd w:id="231"/>
      <w:r>
        <w:rPr>
          <w:b w:val="0"/>
          <w:bCs w:val="0"/>
        </w:rPr>
      </w:r>
      <w:r>
        <w:rPr/>
        <w:t>（</w:t>
      </w:r>
      <w:r>
        <w:rPr>
          <w:rFonts w:ascii="宋体" w:hAnsi="宋体" w:cs="宋体" w:eastAsia="宋体" w:hint="default"/>
        </w:rPr>
        <w:t>6</w:t>
      </w:r>
      <w:r>
        <w:rPr/>
        <w:t>）转移应收账款且继续涉入形成的资产、负债金额</w:t>
      </w:r>
      <w:r>
        <w:rPr>
          <w:b w:val="0"/>
          <w:bCs w:val="0"/>
        </w:rPr>
      </w:r>
    </w:p>
    <w:p>
      <w:pPr>
        <w:spacing w:line="240" w:lineRule="auto" w:before="11"/>
        <w:rPr>
          <w:rFonts w:ascii="宋体" w:hAnsi="宋体" w:cs="宋体" w:eastAsia="宋体" w:hint="default"/>
          <w:b/>
          <w:bCs/>
          <w:sz w:val="27"/>
          <w:szCs w:val="27"/>
        </w:rPr>
      </w:pPr>
    </w:p>
    <w:p>
      <w:pPr>
        <w:spacing w:before="0"/>
        <w:ind w:left="1133"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3499"/>
        <w:jc w:val="left"/>
        <w:rPr>
          <w:b w:val="0"/>
          <w:bCs w:val="0"/>
        </w:rPr>
      </w:pPr>
      <w:bookmarkStart w:name="6、预付款项" w:id="232"/>
      <w:bookmarkEnd w:id="232"/>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499"/>
        <w:jc w:val="left"/>
        <w:rPr>
          <w:b w:val="0"/>
          <w:bCs w:val="0"/>
        </w:rPr>
      </w:pPr>
      <w:bookmarkStart w:name="（1）预付款项按账龄列示" w:id="233"/>
      <w:bookmarkEnd w:id="23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6,586,403.79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4,246,505.19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1,132,075.44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6,596,403.79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5,388,580.63</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pStyle w:val="BodyText"/>
        <w:spacing w:line="240" w:lineRule="auto" w:before="77"/>
        <w:ind w:left="1134" w:right="3499"/>
        <w:jc w:val="left"/>
      </w:pPr>
      <w:r>
        <w:rPr/>
        <w:t>期末公司无账龄超过一年且金额重要的预付账款。</w:t>
      </w:r>
    </w:p>
    <w:p>
      <w:pPr>
        <w:spacing w:line="240" w:lineRule="auto" w:before="11"/>
        <w:rPr>
          <w:rFonts w:ascii="宋体" w:hAnsi="宋体" w:cs="宋体" w:eastAsia="宋体" w:hint="default"/>
          <w:sz w:val="25"/>
          <w:szCs w:val="25"/>
        </w:rPr>
      </w:pPr>
    </w:p>
    <w:p>
      <w:pPr>
        <w:pStyle w:val="Heading3"/>
        <w:spacing w:line="240" w:lineRule="auto"/>
        <w:ind w:left="1134" w:right="3499"/>
        <w:jc w:val="left"/>
        <w:rPr>
          <w:b w:val="0"/>
          <w:bCs w:val="0"/>
        </w:rPr>
      </w:pPr>
      <w:bookmarkStart w:name="（2）按预付对象归集的期末余额前五名的预付款情况" w:id="234"/>
      <w:bookmarkEnd w:id="23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118"/>
        <w:jc w:val="left"/>
      </w:pPr>
      <w:r>
        <w:rPr>
          <w:spacing w:val="-2"/>
        </w:rPr>
        <w:t>本期按预付对象归集的期末余额前五名预付款项汇总金额</w:t>
      </w:r>
      <w:r>
        <w:rPr>
          <w:rFonts w:ascii="Times New Roman" w:hAnsi="Times New Roman" w:cs="Times New Roman" w:eastAsia="Times New Roman" w:hint="default"/>
          <w:spacing w:val="-2"/>
        </w:rPr>
        <w:t>4,239,246.65</w:t>
      </w:r>
      <w:r>
        <w:rPr>
          <w:spacing w:val="-2"/>
        </w:rPr>
        <w:t>元，占预付款项期末余额合计数的比</w:t>
      </w:r>
      <w:r>
        <w:rPr>
          <w:spacing w:val="-76"/>
        </w:rPr>
        <w:t> </w:t>
      </w:r>
      <w:r>
        <w:rPr>
          <w:spacing w:val="-76"/>
        </w:rPr>
      </w:r>
      <w:r>
        <w:rPr/>
        <w:t>例</w:t>
      </w:r>
      <w:r>
        <w:rPr>
          <w:rFonts w:ascii="Times New Roman" w:hAnsi="Times New Roman" w:cs="Times New Roman" w:eastAsia="Times New Roman" w:hint="default"/>
        </w:rPr>
        <w:t>64.27%</w:t>
      </w:r>
      <w:r>
        <w:rPr/>
        <w:t>。</w:t>
      </w:r>
    </w:p>
    <w:p>
      <w:pPr>
        <w:spacing w:before="7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3499"/>
        <w:jc w:val="left"/>
        <w:rPr>
          <w:b w:val="0"/>
          <w:bCs w:val="0"/>
        </w:rPr>
      </w:pPr>
      <w:bookmarkStart w:name="7、应收利息" w:id="235"/>
      <w:bookmarkEnd w:id="235"/>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3499"/>
        <w:jc w:val="left"/>
        <w:rPr>
          <w:b w:val="0"/>
          <w:bCs w:val="0"/>
        </w:rPr>
      </w:pPr>
      <w:bookmarkStart w:name="（1）应收利息分类" w:id="236"/>
      <w:bookmarkEnd w:id="236"/>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3499"/>
        <w:jc w:val="left"/>
        <w:rPr>
          <w:b w:val="0"/>
          <w:bCs w:val="0"/>
        </w:rPr>
      </w:pPr>
      <w:bookmarkStart w:name="（2）重要逾期利息" w:id="237"/>
      <w:bookmarkEnd w:id="237"/>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3499"/>
        <w:jc w:val="left"/>
        <w:rPr>
          <w:b w:val="0"/>
          <w:bCs w:val="0"/>
        </w:rPr>
      </w:pPr>
      <w:bookmarkStart w:name="8、应收股利" w:id="238"/>
      <w:bookmarkEnd w:id="238"/>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3499"/>
        <w:jc w:val="left"/>
        <w:rPr>
          <w:b w:val="0"/>
          <w:bCs w:val="0"/>
        </w:rPr>
      </w:pPr>
      <w:bookmarkStart w:name="（1）应收股利" w:id="239"/>
      <w:bookmarkEnd w:id="239"/>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2）重要的账龄超过1年的应收股利" w:id="240"/>
      <w:bookmarkEnd w:id="240"/>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3499"/>
        <w:jc w:val="left"/>
        <w:rPr>
          <w:b w:val="0"/>
          <w:bCs w:val="0"/>
        </w:rPr>
      </w:pPr>
      <w:bookmarkStart w:name="9、其他应收款" w:id="241"/>
      <w:bookmarkEnd w:id="241"/>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499"/>
        <w:jc w:val="left"/>
        <w:rPr>
          <w:b w:val="0"/>
          <w:bCs w:val="0"/>
        </w:rPr>
      </w:pPr>
      <w:bookmarkStart w:name="（1）其他应收款分类披露" w:id="242"/>
      <w:bookmarkEnd w:id="24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994"/>
        <w:gridCol w:w="850"/>
        <w:gridCol w:w="709"/>
        <w:gridCol w:w="850"/>
        <w:gridCol w:w="568"/>
        <w:gridCol w:w="851"/>
        <w:gridCol w:w="850"/>
        <w:gridCol w:w="709"/>
        <w:gridCol w:w="993"/>
        <w:gridCol w:w="992"/>
        <w:gridCol w:w="1202"/>
      </w:tblGrid>
      <w:tr>
        <w:trPr>
          <w:trHeight w:val="397" w:hRule="exact"/>
        </w:trPr>
        <w:tc>
          <w:tcPr>
            <w:tcW w:w="994" w:type="dxa"/>
            <w:vMerge w:val="restart"/>
            <w:tcBorders>
              <w:top w:val="single" w:sz="4" w:space="0" w:color="000000"/>
              <w:left w:val="single" w:sz="4" w:space="0" w:color="000000"/>
              <w:right w:val="single" w:sz="4" w:space="0" w:color="000000"/>
            </w:tcBorders>
            <w:shd w:val="clear" w:color="auto" w:fill="D2D2D2"/>
          </w:tcPr>
          <w:p>
            <w:pPr/>
          </w:p>
        </w:tc>
        <w:tc>
          <w:tcPr>
            <w:tcW w:w="382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74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166" w:hRule="exact"/>
        </w:trPr>
        <w:tc>
          <w:tcPr>
            <w:tcW w:w="994" w:type="dxa"/>
            <w:vMerge/>
            <w:tcBorders>
              <w:left w:val="single" w:sz="4" w:space="0" w:color="000000"/>
              <w:bottom w:val="nil" w:sz="6" w:space="0" w:color="auto"/>
              <w:right w:val="single" w:sz="4" w:space="0" w:color="000000"/>
            </w:tcBorders>
            <w:shd w:val="clear" w:color="auto" w:fill="D2D2D2"/>
          </w:tcPr>
          <w:p>
            <w:pPr/>
          </w:p>
        </w:tc>
        <w:tc>
          <w:tcPr>
            <w:tcW w:w="15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473"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40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851" w:type="dxa"/>
            <w:vMerge w:val="restart"/>
            <w:tcBorders>
              <w:top w:val="single" w:sz="4" w:space="0" w:color="000000"/>
              <w:left w:val="single" w:sz="4" w:space="0" w:color="000000"/>
              <w:right w:val="single" w:sz="4" w:space="0" w:color="000000"/>
            </w:tcBorders>
            <w:shd w:val="clear" w:color="auto" w:fill="D2D2D2"/>
          </w:tcPr>
          <w:p>
            <w:pPr/>
          </w:p>
        </w:tc>
        <w:tc>
          <w:tcPr>
            <w:tcW w:w="15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473"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right="1"/>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20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1559" w:type="dxa"/>
            <w:gridSpan w:val="2"/>
            <w:vMerge/>
            <w:tcBorders>
              <w:left w:val="single" w:sz="4" w:space="0" w:color="000000"/>
              <w:bottom w:val="single" w:sz="4" w:space="0" w:color="000000"/>
              <w:right w:val="single" w:sz="4" w:space="0" w:color="000000"/>
            </w:tcBorders>
            <w:shd w:val="clear" w:color="auto" w:fill="D2D2D2"/>
          </w:tcPr>
          <w:p>
            <w:pPr/>
          </w:p>
        </w:tc>
        <w:tc>
          <w:tcPr>
            <w:tcW w:w="1418" w:type="dxa"/>
            <w:gridSpan w:val="2"/>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1559" w:type="dxa"/>
            <w:gridSpan w:val="2"/>
            <w:vMerge/>
            <w:tcBorders>
              <w:left w:val="single" w:sz="4" w:space="0" w:color="000000"/>
              <w:bottom w:val="single" w:sz="4" w:space="0" w:color="000000"/>
              <w:right w:val="single" w:sz="4" w:space="0" w:color="000000"/>
            </w:tcBorders>
            <w:shd w:val="clear" w:color="auto" w:fill="D2D2D2"/>
          </w:tcPr>
          <w:p>
            <w:pPr/>
          </w:p>
        </w:tc>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994" w:type="dxa"/>
            <w:vMerge/>
            <w:tcBorders>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84" w:lineRule="auto" w:before="74"/>
              <w:ind w:left="202" w:right="53" w:hanging="150"/>
              <w:jc w:val="left"/>
              <w:rPr>
                <w:rFonts w:ascii="宋体" w:hAnsi="宋体" w:cs="宋体" w:eastAsia="宋体" w:hint="default"/>
                <w:sz w:val="15"/>
                <w:szCs w:val="15"/>
              </w:rPr>
            </w:pPr>
            <w:r>
              <w:rPr>
                <w:rFonts w:ascii="宋体" w:hAnsi="宋体" w:cs="宋体" w:eastAsia="宋体" w:hint="default"/>
                <w:sz w:val="15"/>
                <w:szCs w:val="15"/>
              </w:rPr>
              <w:t>计提比 例</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120"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295"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192" w:hRule="exact"/>
        </w:trPr>
        <w:tc>
          <w:tcPr>
            <w:tcW w:w="994" w:type="dxa"/>
            <w:vMerge w:val="restart"/>
            <w:tcBorders>
              <w:top w:val="nil" w:sz="6" w:space="0" w:color="auto"/>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269"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199"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270"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568" w:type="dxa"/>
            <w:vMerge/>
            <w:tcBorders>
              <w:left w:val="single" w:sz="4" w:space="0" w:color="000000"/>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270"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199"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9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190" w:right="0"/>
              <w:jc w:val="left"/>
              <w:rPr>
                <w:rFonts w:ascii="宋体" w:hAnsi="宋体" w:cs="宋体" w:eastAsia="宋体" w:hint="default"/>
                <w:sz w:val="15"/>
                <w:szCs w:val="15"/>
              </w:rPr>
            </w:pPr>
            <w:r>
              <w:rPr>
                <w:rFonts w:ascii="宋体" w:hAnsi="宋体" w:cs="宋体" w:eastAsia="宋体" w:hint="default"/>
                <w:sz w:val="15"/>
                <w:szCs w:val="15"/>
              </w:rPr>
              <w:t>计提比例</w:t>
            </w:r>
          </w:p>
        </w:tc>
        <w:tc>
          <w:tcPr>
            <w:tcW w:w="120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99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993"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20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22" w:right="59"/>
              <w:jc w:val="both"/>
              <w:rPr>
                <w:rFonts w:ascii="宋体" w:hAnsi="宋体" w:cs="宋体" w:eastAsia="宋体" w:hint="default"/>
                <w:sz w:val="15"/>
                <w:szCs w:val="15"/>
              </w:rPr>
            </w:pPr>
            <w:r>
              <w:rPr>
                <w:rFonts w:ascii="宋体" w:hAnsi="宋体" w:cs="宋体" w:eastAsia="宋体" w:hint="default"/>
                <w:sz w:val="15"/>
                <w:szCs w:val="15"/>
              </w:rPr>
              <w:t>按信用风险特 征组合计提坏 账准备的其他 应收款</w:t>
            </w:r>
          </w:p>
        </w:tc>
        <w:tc>
          <w:tcPr>
            <w:tcW w:w="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15"/>
                <w:szCs w:val="15"/>
              </w:rPr>
            </w:pPr>
            <w:r>
              <w:rPr>
                <w:rFonts w:ascii="Times New Roman"/>
                <w:sz w:val="15"/>
              </w:rPr>
              <w:t>5,522,634.48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898,586.12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8" w:right="0"/>
              <w:jc w:val="center"/>
              <w:rPr>
                <w:rFonts w:ascii="Times New Roman" w:hAnsi="Times New Roman" w:cs="Times New Roman" w:eastAsia="Times New Roman" w:hint="default"/>
                <w:sz w:val="15"/>
                <w:szCs w:val="15"/>
              </w:rPr>
            </w:pPr>
            <w:r>
              <w:rPr>
                <w:rFonts w:ascii="Times New Roman"/>
                <w:sz w:val="15"/>
              </w:rPr>
              <w:t>16.27%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8" w:right="0"/>
              <w:jc w:val="center"/>
              <w:rPr>
                <w:rFonts w:ascii="Times New Roman" w:hAnsi="Times New Roman" w:cs="Times New Roman" w:eastAsia="Times New Roman" w:hint="default"/>
                <w:sz w:val="15"/>
                <w:szCs w:val="15"/>
              </w:rPr>
            </w:pPr>
            <w:r>
              <w:rPr>
                <w:rFonts w:ascii="Times New Roman"/>
                <w:sz w:val="15"/>
              </w:rPr>
              <w:t>4,624,048.36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4,053,263.53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502,161.36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12.39%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3,551,102.17</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
              <w:jc w:val="center"/>
              <w:rPr>
                <w:rFonts w:ascii="Times New Roman" w:hAnsi="Times New Roman" w:cs="Times New Roman" w:eastAsia="Times New Roman" w:hint="default"/>
                <w:sz w:val="15"/>
                <w:szCs w:val="15"/>
              </w:rPr>
            </w:pPr>
            <w:r>
              <w:rPr>
                <w:rFonts w:ascii="Times New Roman"/>
                <w:sz w:val="15"/>
              </w:rPr>
              <w:t>5,522,634.48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898,586.12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8" w:right="0"/>
              <w:jc w:val="center"/>
              <w:rPr>
                <w:rFonts w:ascii="Times New Roman" w:hAnsi="Times New Roman" w:cs="Times New Roman" w:eastAsia="Times New Roman" w:hint="default"/>
                <w:sz w:val="15"/>
                <w:szCs w:val="15"/>
              </w:rPr>
            </w:pPr>
            <w:r>
              <w:rPr>
                <w:rFonts w:ascii="Times New Roman"/>
                <w:sz w:val="15"/>
              </w:rPr>
              <w:t>16.27%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8" w:right="0"/>
              <w:jc w:val="center"/>
              <w:rPr>
                <w:rFonts w:ascii="Times New Roman" w:hAnsi="Times New Roman" w:cs="Times New Roman" w:eastAsia="Times New Roman" w:hint="default"/>
                <w:sz w:val="15"/>
                <w:szCs w:val="15"/>
              </w:rPr>
            </w:pPr>
            <w:r>
              <w:rPr>
                <w:rFonts w:ascii="Times New Roman"/>
                <w:sz w:val="15"/>
              </w:rPr>
              <w:t>4,624,048.36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4,053,263.53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502,161.36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12.39%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3,551,102.17</w:t>
            </w:r>
          </w:p>
        </w:tc>
      </w:tr>
    </w:tbl>
    <w:p>
      <w:pPr>
        <w:spacing w:after="0" w:line="240" w:lineRule="auto"/>
        <w:jc w:val="right"/>
        <w:rPr>
          <w:rFonts w:ascii="Times New Roman" w:hAnsi="Times New Roman" w:cs="Times New Roman" w:eastAsia="Times New Roman" w:hint="default"/>
          <w:sz w:val="15"/>
          <w:szCs w:val="15"/>
        </w:rPr>
        <w:sectPr>
          <w:pgSz w:w="11910" w:h="16840"/>
          <w:pgMar w:header="74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4"/>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455" w:space="337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7177"/>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2,893,792.18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28,938.01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2,893,792.18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28,938.01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1,460,126.17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146,012.62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260,055.51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52,011.10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650,240.62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413,204.39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209,820.23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104,910.12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440,420.39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308,294.27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258,420.00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258,420.00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5,522,634.48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898,586.12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16.27%</w:t>
            </w:r>
          </w:p>
        </w:tc>
      </w:tr>
    </w:tbl>
    <w:p>
      <w:pPr>
        <w:spacing w:line="360" w:lineRule="auto" w:before="51"/>
        <w:ind w:left="113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3499"/>
        <w:jc w:val="left"/>
        <w:rPr>
          <w:b w:val="0"/>
          <w:bCs w:val="0"/>
        </w:rPr>
      </w:pPr>
      <w:bookmarkStart w:name="（2）本期计提、收回或转回的坏账准备情况" w:id="243"/>
      <w:bookmarkEnd w:id="24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line="338" w:lineRule="auto" w:before="44"/>
        <w:ind w:left="1133"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390,760.86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7300" w:space="1530"/>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3）本期实际核销的其他应收款情况" w:id="244"/>
      <w:bookmarkEnd w:id="244"/>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1"/>
        <w:rPr>
          <w:rFonts w:ascii="宋体" w:hAnsi="宋体" w:cs="宋体" w:eastAsia="宋体" w:hint="default"/>
          <w:sz w:val="26"/>
          <w:szCs w:val="26"/>
        </w:rPr>
      </w:pPr>
    </w:p>
    <w:p>
      <w:pPr>
        <w:pStyle w:val="Heading3"/>
        <w:spacing w:line="240" w:lineRule="auto"/>
        <w:ind w:left="1134" w:right="3499"/>
        <w:jc w:val="left"/>
        <w:rPr>
          <w:b w:val="0"/>
          <w:bCs w:val="0"/>
        </w:rPr>
      </w:pPr>
      <w:bookmarkStart w:name="（4）其他应收款按款项性质分类情况" w:id="245"/>
      <w:bookmarkEnd w:id="245"/>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4,488,703.55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3,826,063.71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员工预支款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1,033,930.93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227,199.82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5,522,634.48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4,053,263.53</w:t>
            </w:r>
          </w:p>
        </w:tc>
      </w:tr>
    </w:tbl>
    <w:p>
      <w:pPr>
        <w:spacing w:line="240" w:lineRule="auto" w:before="3"/>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5）按欠款方归集的期末余额前五名的其他应收款情况" w:id="246"/>
      <w:bookmarkEnd w:id="246"/>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TOC</w:t>
            </w:r>
            <w:r>
              <w:rPr>
                <w:rFonts w:ascii="Times New Roman"/>
                <w:spacing w:val="-2"/>
                <w:sz w:val="18"/>
              </w:rPr>
              <w:t> </w:t>
            </w:r>
            <w:r>
              <w:rPr>
                <w:rFonts w:ascii="Times New Roman"/>
                <w:spacing w:val="-3"/>
                <w:sz w:val="18"/>
              </w:rPr>
              <w:t>Co.,LTD</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893,475.93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120,456.01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北京市海淀区欣华 农工商公司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房屋保证金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758,388.00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398,045.91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深圳市迈科龙电子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房屋保证金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614,695.20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61,334.52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上海光通信公司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312,202.00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27,473.86</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上海新兴技术开发 区联合发展有限公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房屋保证金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189,530.81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3-4 </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4-5 </w:t>
            </w:r>
            <w:r>
              <w:rPr>
                <w:rFonts w:ascii="宋体" w:hAnsi="宋体" w:cs="宋体" w:eastAsia="宋体" w:hint="default"/>
                <w:spacing w:val="-11"/>
                <w:sz w:val="18"/>
                <w:szCs w:val="18"/>
              </w:rPr>
              <w:t>年、</w:t>
            </w:r>
            <w:r>
              <w:rPr>
                <w:rFonts w:ascii="Times New Roman" w:hAnsi="Times New Roman" w:cs="Times New Roman" w:eastAsia="Times New Roman" w:hint="default"/>
                <w:spacing w:val="-11"/>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 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172,470.16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2,768,291.94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779,780.46</w:t>
            </w:r>
          </w:p>
        </w:tc>
      </w:tr>
    </w:tbl>
    <w:p>
      <w:pPr>
        <w:spacing w:line="240" w:lineRule="auto" w:before="3"/>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6）涉及政府补助的应收款项" w:id="247"/>
      <w:bookmarkEnd w:id="247"/>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7）因金融资产转移而终止确认的其他应收款" w:id="248"/>
      <w:bookmarkEnd w:id="248"/>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3499"/>
        <w:jc w:val="left"/>
        <w:rPr>
          <w:b w:val="0"/>
          <w:bCs w:val="0"/>
        </w:rPr>
      </w:pPr>
      <w:bookmarkStart w:name="（8）转移其他应收款且继续涉入形成的资产、负债金额" w:id="249"/>
      <w:bookmarkEnd w:id="249"/>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3499"/>
        <w:jc w:val="left"/>
        <w:rPr>
          <w:b w:val="0"/>
          <w:bCs w:val="0"/>
        </w:rPr>
      </w:pPr>
      <w:bookmarkStart w:name="10、存货" w:id="250"/>
      <w:bookmarkEnd w:id="250"/>
      <w:r>
        <w:rPr>
          <w:b w:val="0"/>
          <w:bCs w:val="0"/>
        </w:rPr>
      </w: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3499"/>
        <w:jc w:val="left"/>
        <w:rPr>
          <w:b w:val="0"/>
          <w:bCs w:val="0"/>
        </w:rPr>
      </w:pPr>
      <w:bookmarkStart w:name="（1）存货分类" w:id="251"/>
      <w:bookmarkEnd w:id="251"/>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7"/>
        <w:gridCol w:w="1367"/>
        <w:gridCol w:w="1367"/>
      </w:tblGrid>
      <w:tr>
        <w:trPr>
          <w:trHeight w:val="20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378" w:right="0"/>
              <w:jc w:val="left"/>
              <w:rPr>
                <w:rFonts w:ascii="Times New Roman" w:hAnsi="Times New Roman" w:cs="Times New Roman" w:eastAsia="Times New Roman" w:hint="default"/>
                <w:sz w:val="18"/>
                <w:szCs w:val="18"/>
              </w:rPr>
            </w:pPr>
            <w:r>
              <w:rPr>
                <w:rFonts w:ascii="Times New Roman"/>
                <w:sz w:val="18"/>
              </w:rPr>
              <w:t>2,903,374.88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0" w:right="0"/>
              <w:jc w:val="left"/>
              <w:rPr>
                <w:rFonts w:ascii="Times New Roman" w:hAnsi="Times New Roman" w:cs="Times New Roman" w:eastAsia="Times New Roman" w:hint="default"/>
                <w:sz w:val="18"/>
                <w:szCs w:val="18"/>
              </w:rPr>
            </w:pPr>
            <w:r>
              <w:rPr>
                <w:rFonts w:ascii="Times New Roman"/>
                <w:sz w:val="18"/>
              </w:rPr>
              <w:t>2,903,374.88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0" w:right="0"/>
              <w:jc w:val="left"/>
              <w:rPr>
                <w:rFonts w:ascii="Times New Roman" w:hAnsi="Times New Roman" w:cs="Times New Roman" w:eastAsia="Times New Roman" w:hint="default"/>
                <w:sz w:val="18"/>
                <w:szCs w:val="18"/>
              </w:rPr>
            </w:pPr>
            <w:r>
              <w:rPr>
                <w:rFonts w:ascii="Times New Roman"/>
                <w:sz w:val="18"/>
              </w:rPr>
              <w:t>2,019,106.12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0" w:right="0"/>
              <w:jc w:val="left"/>
              <w:rPr>
                <w:rFonts w:ascii="Times New Roman" w:hAnsi="Times New Roman" w:cs="Times New Roman" w:eastAsia="Times New Roman" w:hint="default"/>
                <w:sz w:val="18"/>
                <w:szCs w:val="18"/>
              </w:rPr>
            </w:pPr>
            <w:r>
              <w:rPr>
                <w:rFonts w:ascii="Times New Roman"/>
                <w:sz w:val="18"/>
              </w:rPr>
              <w:t>2,019,106.12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312,264.73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312,264.73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2,849,172.26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2,849,172.26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1,705,606.90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1,705,606.90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171,639.68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171,639.68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645,597.20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645,597.20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23,573.02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23,573.02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85,434.57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85,434.57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5,947,759.84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5,947,759.84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4,768,009.52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4,768,009.52</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2）存货跌价准备" w:id="252"/>
      <w:bookmarkEnd w:id="252"/>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3）存货期末余额含有借款费用资本化金额的说明" w:id="253"/>
      <w:bookmarkEnd w:id="253"/>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3499"/>
        <w:jc w:val="left"/>
        <w:rPr>
          <w:b w:val="0"/>
          <w:bCs w:val="0"/>
        </w:rPr>
      </w:pPr>
      <w:bookmarkStart w:name="（4）期末建造合同形成的已完工未结算资产情况" w:id="254"/>
      <w:bookmarkEnd w:id="254"/>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3499"/>
        <w:jc w:val="left"/>
        <w:rPr>
          <w:b w:val="0"/>
          <w:bCs w:val="0"/>
        </w:rPr>
      </w:pPr>
      <w:bookmarkStart w:name="11、划分为持有待售的资产" w:id="255"/>
      <w:bookmarkEnd w:id="255"/>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3499"/>
        <w:jc w:val="left"/>
        <w:rPr>
          <w:b w:val="0"/>
          <w:bCs w:val="0"/>
        </w:rPr>
      </w:pPr>
      <w:bookmarkStart w:name="12、一年内到期的非流动资产" w:id="256"/>
      <w:bookmarkEnd w:id="256"/>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年内到期的长期应收款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712,799.88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712,799.88</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3499"/>
        <w:jc w:val="left"/>
        <w:rPr>
          <w:b w:val="0"/>
          <w:bCs w:val="0"/>
        </w:rPr>
      </w:pPr>
      <w:bookmarkStart w:name="13、其他流动资产" w:id="257"/>
      <w:bookmarkEnd w:id="257"/>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期末预缴增值税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1,985,088.40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711,150.36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期末预缴所得税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122,003.31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12,452,691.51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期末预缴个人所得税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20,150.87</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2,127,242.58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13,163,841.87</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3499"/>
        <w:jc w:val="left"/>
        <w:rPr>
          <w:b w:val="0"/>
          <w:bCs w:val="0"/>
        </w:rPr>
      </w:pPr>
      <w:bookmarkStart w:name="14、可供出售金融资产" w:id="258"/>
      <w:bookmarkEnd w:id="258"/>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3499"/>
        <w:jc w:val="left"/>
        <w:rPr>
          <w:b w:val="0"/>
          <w:bCs w:val="0"/>
        </w:rPr>
      </w:pPr>
      <w:bookmarkStart w:name="（1）可供出售金融资产情况" w:id="259"/>
      <w:bookmarkEnd w:id="259"/>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25,343,868.82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25,343,868.82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25,343,868.82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25,343,868.82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25,343,868.82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25,343,868.82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2）期末按公允价值计量的可供出售金融资产" w:id="260"/>
      <w:bookmarkEnd w:id="260"/>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3）期末按成本计量的可供出售金融资产" w:id="261"/>
      <w:bookmarkEnd w:id="261"/>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pict>
          <v:group style="position:absolute;margin-left:93.963005pt;margin-top:82.761719pt;width:48.05pt;height:36.4pt;mso-position-horizontal-relative:page;mso-position-vertical-relative:paragraph;z-index:-925240" coordorigin="1879,1655" coordsize="961,728">
            <v:group style="position:absolute;left:2013;top:1667;width:2;height:705" coordorigin="2013,1667" coordsize="2,705">
              <v:shape style="position:absolute;left:2013;top:1667;width:2;height:705" coordorigin="2013,1667" coordsize="0,705" path="m2013,1667l2013,2371e" filled="false" stroked="true" strokeweight="1.140pt" strokecolor="#ffffff">
                <v:path arrowok="t"/>
              </v:shape>
            </v:group>
            <v:group style="position:absolute;left:2025;top:1667;width:815;height:352" coordorigin="2025,1667" coordsize="815,352">
              <v:shape style="position:absolute;left:2025;top:1667;width:815;height:352" coordorigin="2025,1667" coordsize="815,352" path="m2025,2018l2840,2018,2840,1667,2025,1667,2025,2018xe" filled="true" fillcolor="#ffffff" stroked="false">
                <v:path arrowok="t"/>
                <v:fill type="solid"/>
              </v:shape>
            </v:group>
            <v:group style="position:absolute;left:2025;top:2018;width:815;height:353" coordorigin="2025,2018" coordsize="815,353">
              <v:shape style="position:absolute;left:2025;top:2018;width:815;height:353" coordorigin="2025,2018" coordsize="815,353" path="m2025,2371l2840,2371,2840,2018,2025,2018,2025,2371xe" filled="true" fillcolor="#ffffff" stroked="false">
                <v:path arrowok="t"/>
                <v:fill type="solid"/>
              </v:shape>
              <v:shape style="position:absolute;left:1879;top:192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3"/>
        <w:gridCol w:w="69"/>
        <w:gridCol w:w="801"/>
        <w:gridCol w:w="870"/>
        <w:gridCol w:w="870"/>
        <w:gridCol w:w="870"/>
        <w:gridCol w:w="870"/>
        <w:gridCol w:w="1166"/>
        <w:gridCol w:w="574"/>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01"/>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芯联达科 技（北京 有限公司</w:t>
            </w:r>
          </w:p>
        </w:tc>
        <w:tc>
          <w:tcPr>
            <w:tcW w:w="69" w:type="dxa"/>
            <w:tcBorders>
              <w:top w:val="single" w:sz="4" w:space="0" w:color="000000"/>
              <w:left w:val="single" w:sz="4" w:space="0" w:color="000000"/>
              <w:bottom w:val="single" w:sz="4" w:space="0" w:color="000000"/>
              <w:right w:val="nil" w:sz="6" w:space="0" w:color="auto"/>
            </w:tcBorders>
          </w:tcPr>
          <w:p>
            <w:pPr/>
          </w:p>
        </w:tc>
        <w:tc>
          <w:tcPr>
            <w:tcW w:w="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98"/>
              <w:jc w:val="left"/>
              <w:rPr>
                <w:rFonts w:ascii="Times New Roman" w:hAnsi="Times New Roman" w:cs="Times New Roman" w:eastAsia="Times New Roman" w:hint="default"/>
                <w:sz w:val="18"/>
                <w:szCs w:val="18"/>
              </w:rPr>
            </w:pPr>
            <w:r>
              <w:rPr>
                <w:rFonts w:ascii="Times New Roman"/>
                <w:sz w:val="18"/>
              </w:rPr>
              <w:t>Cista</w:t>
            </w:r>
            <w:r>
              <w:rPr>
                <w:rFonts w:ascii="Times New Roman"/>
                <w:w w:val="99"/>
                <w:sz w:val="18"/>
              </w:rPr>
              <w:t> </w:t>
            </w:r>
            <w:r>
              <w:rPr>
                <w:rFonts w:ascii="Times New Roman"/>
                <w:sz w:val="18"/>
              </w:rPr>
              <w:t>System</w:t>
            </w:r>
            <w:r>
              <w:rPr>
                <w:rFonts w:ascii="Times New Roman"/>
                <w:sz w:val="18"/>
              </w:rPr>
              <w:t> Corp.</w:t>
            </w:r>
          </w:p>
        </w:tc>
        <w:tc>
          <w:tcPr>
            <w:tcW w:w="870" w:type="dxa"/>
            <w:gridSpan w:val="2"/>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9,361,700.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9,361,700.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58"/>
              <w:jc w:val="left"/>
              <w:rPr>
                <w:rFonts w:ascii="Times New Roman" w:hAnsi="Times New Roman" w:cs="Times New Roman" w:eastAsia="Times New Roman" w:hint="default"/>
                <w:sz w:val="18"/>
                <w:szCs w:val="18"/>
              </w:rPr>
            </w:pPr>
            <w:r>
              <w:rPr>
                <w:rFonts w:ascii="Times New Roman"/>
                <w:sz w:val="18"/>
              </w:rPr>
              <w:t>Sesame Pie</w:t>
            </w:r>
            <w:r>
              <w:rPr>
                <w:rFonts w:ascii="Times New Roman"/>
                <w:w w:val="99"/>
                <w:sz w:val="18"/>
              </w:rPr>
              <w:t> </w:t>
            </w:r>
            <w:r>
              <w:rPr>
                <w:rFonts w:ascii="Times New Roman"/>
                <w:sz w:val="18"/>
              </w:rPr>
              <w:t>Limited</w:t>
            </w:r>
          </w:p>
        </w:tc>
        <w:tc>
          <w:tcPr>
            <w:tcW w:w="870" w:type="dxa"/>
            <w:gridSpan w:val="2"/>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1,275,040.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1,275,040.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0.51%</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63"/>
              <w:jc w:val="left"/>
              <w:rPr>
                <w:rFonts w:ascii="Times New Roman" w:hAnsi="Times New Roman" w:cs="Times New Roman" w:eastAsia="Times New Roman" w:hint="default"/>
                <w:sz w:val="18"/>
                <w:szCs w:val="18"/>
              </w:rPr>
            </w:pPr>
            <w:r>
              <w:rPr>
                <w:rFonts w:ascii="Times New Roman"/>
                <w:sz w:val="18"/>
              </w:rPr>
              <w:t>Nok</w:t>
            </w:r>
            <w:r>
              <w:rPr>
                <w:rFonts w:ascii="Times New Roman"/>
                <w:spacing w:val="-1"/>
                <w:sz w:val="18"/>
              </w:rPr>
              <w:t> </w:t>
            </w:r>
            <w:r>
              <w:rPr>
                <w:rFonts w:ascii="Times New Roman"/>
                <w:sz w:val="18"/>
              </w:rPr>
              <w:t>Nok</w:t>
            </w:r>
            <w:r>
              <w:rPr>
                <w:rFonts w:ascii="Times New Roman"/>
                <w:w w:val="99"/>
                <w:sz w:val="18"/>
              </w:rPr>
              <w:t> </w:t>
            </w:r>
            <w:r>
              <w:rPr>
                <w:rFonts w:ascii="Times New Roman"/>
                <w:sz w:val="18"/>
              </w:rPr>
              <w:t>Labs,Inc</w:t>
            </w:r>
          </w:p>
        </w:tc>
        <w:tc>
          <w:tcPr>
            <w:tcW w:w="870" w:type="dxa"/>
            <w:gridSpan w:val="2"/>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9,175,350.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9,175,350.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Evolution</w:t>
            </w:r>
          </w:p>
        </w:tc>
        <w:tc>
          <w:tcPr>
            <w:tcW w:w="870" w:type="dxa"/>
            <w:gridSpan w:val="2"/>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531,778.82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531,778.82</w:t>
            </w:r>
          </w:p>
        </w:tc>
        <w:tc>
          <w:tcPr>
            <w:tcW w:w="870"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1166"/>
        <w:gridCol w:w="574"/>
        <w:gridCol w:w="870"/>
        <w:gridCol w:w="870"/>
        <w:gridCol w:w="870"/>
      </w:tblGrid>
      <w:tr>
        <w:trPr>
          <w:trHeight w:val="67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98"/>
              <w:jc w:val="left"/>
              <w:rPr>
                <w:rFonts w:ascii="Times New Roman" w:hAnsi="Times New Roman" w:cs="Times New Roman" w:eastAsia="Times New Roman" w:hint="default"/>
                <w:sz w:val="18"/>
                <w:szCs w:val="18"/>
              </w:rPr>
            </w:pPr>
            <w:r>
              <w:rPr>
                <w:rFonts w:ascii="Times New Roman"/>
                <w:sz w:val="18"/>
              </w:rPr>
              <w:t>Dynamics Ltd.</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20,343,868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25,343,868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.82</w:t>
            </w:r>
          </w:p>
        </w:tc>
        <w:tc>
          <w:tcPr>
            <w:tcW w:w="870"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4）报告期内可供出售金融资产减值的变动情况" w:id="262"/>
      <w:bookmarkEnd w:id="262"/>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可供出售权益工具期末公允价值严重下跌或非暂时性下跌但未计提减值准备的相关说" w:id="263"/>
      <w:bookmarkEnd w:id="263"/>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1"/>
        <w:ind w:left="113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0"/>
        <w:ind w:right="1131"/>
        <w:jc w:val="both"/>
      </w:pPr>
      <w:r>
        <w:rPr>
          <w:spacing w:val="-1"/>
        </w:rPr>
        <w:t>上述被投资单位为非上市公司，目前不存在活跃的权益交易市场，同时相关财务信息和市场信息的获取不</w:t>
      </w:r>
      <w:r>
        <w:rPr>
          <w:spacing w:val="-81"/>
        </w:rPr>
        <w:t> </w:t>
      </w:r>
      <w:r>
        <w:rPr>
          <w:spacing w:val="-81"/>
        </w:rPr>
      </w:r>
      <w:r>
        <w:rPr>
          <w:spacing w:val="-1"/>
        </w:rPr>
        <w:t>具备持续性和及时性，公允价值无法可靠计量。本集团暂无意图处置这些金融资产，此类金融资产按成本</w:t>
      </w:r>
      <w:r>
        <w:rPr>
          <w:spacing w:val="-83"/>
        </w:rPr>
        <w:t> </w:t>
      </w:r>
      <w:r>
        <w:rPr>
          <w:spacing w:val="-83"/>
        </w:rPr>
      </w:r>
      <w:r>
        <w:rPr/>
        <w:t>法计量。</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bookmarkStart w:name="15、持有至到期投资" w:id="264"/>
      <w:bookmarkEnd w:id="264"/>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持有至到期投资情况" w:id="265"/>
      <w:bookmarkEnd w:id="265"/>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2）期末重要的持有至到期投资" w:id="266"/>
      <w:bookmarkEnd w:id="266"/>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3）本期重分类的持有至到期投资" w:id="267"/>
      <w:bookmarkEnd w:id="267"/>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spacing w:before="0"/>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left="1134" w:right="3499"/>
        <w:jc w:val="left"/>
        <w:rPr>
          <w:b w:val="0"/>
          <w:bCs w:val="0"/>
        </w:rPr>
      </w:pPr>
      <w:bookmarkStart w:name="16、长期应收款" w:id="268"/>
      <w:bookmarkEnd w:id="268"/>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3499"/>
        <w:jc w:val="left"/>
        <w:rPr>
          <w:b w:val="0"/>
          <w:bCs w:val="0"/>
        </w:rPr>
      </w:pPr>
      <w:bookmarkStart w:name="（1）长期应收款情况" w:id="269"/>
      <w:bookmarkEnd w:id="269"/>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应收优先股投资 款</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5,844,240.00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58,442.40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5,785,797.60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5,507,100.00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5,507,100.00</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应收员工借款</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3,266,666.71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32,666.67</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3,234,000.04</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pacing w:val="-12"/>
                <w:sz w:val="18"/>
                <w:szCs w:val="18"/>
              </w:rPr>
              <w:t>其中：</w:t>
            </w:r>
            <w:r>
              <w:rPr>
                <w:rFonts w:ascii="Times New Roman" w:hAnsi="Times New Roman" w:cs="Times New Roman" w:eastAsia="Times New Roman" w:hint="default"/>
                <w:spacing w:val="-12"/>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 的长期应收款</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-719,999.88</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-7,200.00</w:t>
            </w:r>
            <w:r>
              <w:rPr>
                <w:rFonts w:ascii="Times New Roman"/>
                <w:sz w:val="18"/>
              </w:rPr>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-712,799.88</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8,390,906.83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83,909.07</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8,306,997.76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5,507,100.00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5,507,100.00</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both"/>
        <w:rPr>
          <w:b w:val="0"/>
          <w:bCs w:val="0"/>
        </w:rPr>
      </w:pPr>
      <w:bookmarkStart w:name="（2）因金融资产转移而终止确认的长期应收款" w:id="270"/>
      <w:bookmarkEnd w:id="270"/>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pStyle w:val="Heading3"/>
        <w:spacing w:line="590" w:lineRule="atLeast" w:before="23"/>
        <w:ind w:right="5588"/>
        <w:jc w:val="left"/>
        <w:rPr>
          <w:rFonts w:ascii="宋体" w:hAnsi="宋体" w:cs="宋体" w:eastAsia="宋体" w:hint="default"/>
          <w:b w:val="0"/>
          <w:bCs w:val="0"/>
        </w:rPr>
      </w:pPr>
      <w:bookmarkStart w:name="（3）转移长期应收款且继续涉入形成的资产、负债金额" w:id="271"/>
      <w:bookmarkEnd w:id="271"/>
      <w:r>
        <w:rPr>
          <w:b w:val="0"/>
          <w:bCs w:val="0"/>
        </w:rPr>
      </w:r>
      <w:r>
        <w:rPr/>
        <w:t>（</w:t>
      </w:r>
      <w:r>
        <w:rPr>
          <w:rFonts w:ascii="Times New Roman" w:hAnsi="Times New Roman" w:cs="Times New Roman" w:eastAsia="Times New Roman" w:hint="default"/>
        </w:rPr>
        <w:t>3</w:t>
      </w:r>
      <w:r>
        <w:rPr/>
        <w:t>）转移长期应收款且继续涉入形成的资产、负债金额</w:t>
      </w:r>
      <w:r>
        <w:rPr>
          <w:w w:val="99"/>
        </w:rPr>
        <w:t> </w:t>
      </w:r>
      <w:r>
        <w:rPr>
          <w:rFonts w:ascii="宋体" w:hAnsi="宋体" w:cs="宋体" w:eastAsia="宋体" w:hint="default"/>
          <w:b w:val="0"/>
          <w:bCs w:val="0"/>
        </w:rPr>
        <w:t>其他说明</w:t>
      </w:r>
    </w:p>
    <w:p>
      <w:pPr>
        <w:pStyle w:val="BodyText"/>
        <w:spacing w:line="240" w:lineRule="auto" w:before="157"/>
        <w:ind w:right="0"/>
        <w:jc w:val="both"/>
      </w:pPr>
      <w:r>
        <w:rPr/>
        <w:t>①期末无逾期的长期应收款。</w:t>
      </w:r>
    </w:p>
    <w:p>
      <w:pPr>
        <w:pStyle w:val="BodyText"/>
        <w:spacing w:line="256" w:lineRule="auto" w:before="156"/>
        <w:ind w:right="1129"/>
        <w:jc w:val="both"/>
      </w:pPr>
      <w:r>
        <w:rPr>
          <w:spacing w:val="-3"/>
          <w:w w:val="99"/>
        </w:rPr>
        <w:t>②本公司之全资子公司香港天集有限公司于</w:t>
      </w:r>
      <w:r>
        <w:rPr>
          <w:rFonts w:ascii="Times New Roman" w:hAnsi="Times New Roman" w:cs="Times New Roman" w:eastAsia="Times New Roman" w:hint="default"/>
          <w:spacing w:val="-3"/>
          <w:w w:val="99"/>
        </w:rPr>
        <w:t>2014</w:t>
      </w:r>
      <w:r>
        <w:rPr>
          <w:spacing w:val="-3"/>
          <w:w w:val="99"/>
        </w:rPr>
        <w:t>年</w:t>
      </w:r>
      <w:r>
        <w:rPr>
          <w:rFonts w:ascii="Times New Roman" w:hAnsi="Times New Roman" w:cs="Times New Roman" w:eastAsia="Times New Roman" w:hint="default"/>
          <w:spacing w:val="-3"/>
          <w:w w:val="99"/>
        </w:rPr>
        <w:t>7</w:t>
      </w:r>
      <w:r>
        <w:rPr>
          <w:spacing w:val="-3"/>
          <w:w w:val="99"/>
        </w:rPr>
        <w:t>月</w:t>
      </w:r>
      <w:r>
        <w:rPr>
          <w:rFonts w:ascii="Times New Roman" w:hAnsi="Times New Roman" w:cs="Times New Roman" w:eastAsia="Times New Roman" w:hint="default"/>
          <w:spacing w:val="-3"/>
          <w:w w:val="99"/>
        </w:rPr>
        <w:t>30</w:t>
      </w:r>
      <w:r>
        <w:rPr>
          <w:spacing w:val="-3"/>
          <w:w w:val="99"/>
        </w:rPr>
        <w:t>日出资</w:t>
      </w:r>
      <w:r>
        <w:rPr>
          <w:rFonts w:ascii="Times New Roman" w:hAnsi="Times New Roman" w:cs="Times New Roman" w:eastAsia="Times New Roman" w:hint="default"/>
          <w:spacing w:val="-3"/>
          <w:w w:val="99"/>
        </w:rPr>
        <w:t>90</w:t>
      </w:r>
      <w:r>
        <w:rPr>
          <w:spacing w:val="-3"/>
          <w:w w:val="99"/>
        </w:rPr>
        <w:t>万美元，取得</w:t>
      </w:r>
      <w:r>
        <w:rPr>
          <w:rFonts w:ascii="Times New Roman" w:hAnsi="Times New Roman" w:cs="Times New Roman" w:eastAsia="Times New Roman" w:hint="default"/>
          <w:spacing w:val="-3"/>
          <w:w w:val="99"/>
        </w:rPr>
        <w:t>Pomelo</w:t>
      </w:r>
      <w:r>
        <w:rPr>
          <w:rFonts w:ascii="Times New Roman" w:hAnsi="Times New Roman" w:cs="Times New Roman" w:eastAsia="Times New Roman" w:hint="default"/>
          <w:w w:val="99"/>
        </w:rPr>
        <w:t> </w:t>
      </w:r>
      <w:r>
        <w:rPr>
          <w:rFonts w:ascii="Times New Roman" w:hAnsi="Times New Roman" w:cs="Times New Roman" w:eastAsia="Times New Roman" w:hint="default"/>
          <w:w w:val="99"/>
        </w:rPr>
        <w:t>Holdings </w:t>
      </w:r>
      <w:r>
        <w:rPr>
          <w:rFonts w:ascii="Times New Roman" w:hAnsi="Times New Roman" w:cs="Times New Roman" w:eastAsia="Times New Roman" w:hint="default"/>
          <w:spacing w:val="-11"/>
        </w:rPr>
        <w:t>Limited</w:t>
      </w:r>
      <w:r>
        <w:rPr>
          <w:spacing w:val="-11"/>
        </w:rPr>
        <w:t>（注</w:t>
      </w:r>
      <w:r>
        <w:rPr>
          <w:spacing w:val="-88"/>
        </w:rPr>
        <w:t> </w:t>
      </w:r>
      <w:r>
        <w:rPr>
          <w:spacing w:val="-1"/>
        </w:rPr>
        <w:t>册地：开曼群岛）</w:t>
      </w:r>
      <w:r>
        <w:rPr>
          <w:rFonts w:ascii="Times New Roman" w:hAnsi="Times New Roman" w:cs="Times New Roman" w:eastAsia="Times New Roman" w:hint="default"/>
          <w:spacing w:val="-1"/>
        </w:rPr>
        <w:t>1800</w:t>
      </w:r>
      <w:r>
        <w:rPr>
          <w:spacing w:val="-1"/>
        </w:rPr>
        <w:t>万优先股，该公司已发行股份数为</w:t>
      </w:r>
      <w:r>
        <w:rPr>
          <w:rFonts w:ascii="Times New Roman" w:hAnsi="Times New Roman" w:cs="Times New Roman" w:eastAsia="Times New Roman" w:hint="default"/>
          <w:spacing w:val="-1"/>
        </w:rPr>
        <w:t>9000</w:t>
      </w:r>
      <w:r>
        <w:rPr>
          <w:spacing w:val="-1"/>
        </w:rPr>
        <w:t>万股，包括</w:t>
      </w:r>
      <w:r>
        <w:rPr>
          <w:rFonts w:ascii="Times New Roman" w:hAnsi="Times New Roman" w:cs="Times New Roman" w:eastAsia="Times New Roman" w:hint="default"/>
          <w:spacing w:val="-1"/>
        </w:rPr>
        <w:t>5000</w:t>
      </w:r>
      <w:r>
        <w:rPr>
          <w:spacing w:val="-1"/>
        </w:rPr>
        <w:t>万股普通股和</w:t>
      </w:r>
      <w:r>
        <w:rPr>
          <w:rFonts w:ascii="Times New Roman" w:hAnsi="Times New Roman" w:cs="Times New Roman" w:eastAsia="Times New Roman" w:hint="default"/>
          <w:spacing w:val="-1"/>
        </w:rPr>
        <w:t>4000</w:t>
      </w:r>
      <w:r>
        <w:rPr>
          <w:spacing w:val="-1"/>
        </w:rPr>
        <w:t>万股优先</w:t>
      </w:r>
      <w:r>
        <w:rPr>
          <w:spacing w:val="-78"/>
        </w:rPr>
        <w:t> </w:t>
      </w:r>
      <w:r>
        <w:rPr>
          <w:spacing w:val="-78"/>
        </w:rPr>
      </w:r>
      <w:r>
        <w:rPr>
          <w:spacing w:val="-2"/>
        </w:rPr>
        <w:t>股，此外，该公司预留</w:t>
      </w:r>
      <w:r>
        <w:rPr>
          <w:rFonts w:ascii="Times New Roman" w:hAnsi="Times New Roman" w:cs="Times New Roman" w:eastAsia="Times New Roman" w:hint="default"/>
          <w:spacing w:val="-2"/>
        </w:rPr>
        <w:t>1000</w:t>
      </w:r>
      <w:r>
        <w:rPr>
          <w:spacing w:val="-2"/>
        </w:rPr>
        <w:t>万股普通股作为员工期权。根据</w:t>
      </w:r>
      <w:r>
        <w:rPr>
          <w:rFonts w:ascii="Times New Roman" w:hAnsi="Times New Roman" w:cs="Times New Roman" w:eastAsia="Times New Roman" w:hint="default"/>
          <w:spacing w:val="-2"/>
        </w:rPr>
        <w:t>Pomelo </w:t>
      </w:r>
      <w:r>
        <w:rPr>
          <w:rFonts w:ascii="Times New Roman" w:hAnsi="Times New Roman" w:cs="Times New Roman" w:eastAsia="Times New Roman" w:hint="default"/>
        </w:rPr>
        <w:t>Holdings</w:t>
      </w:r>
      <w:r>
        <w:rPr>
          <w:rFonts w:ascii="Times New Roman" w:hAnsi="Times New Roman" w:cs="Times New Roman" w:eastAsia="Times New Roman" w:hint="default"/>
          <w:spacing w:val="-40"/>
        </w:rPr>
        <w:t> </w:t>
      </w:r>
      <w:r>
        <w:rPr>
          <w:rFonts w:ascii="Times New Roman" w:hAnsi="Times New Roman" w:cs="Times New Roman" w:eastAsia="Times New Roman" w:hint="default"/>
        </w:rPr>
        <w:t>Limited</w:t>
      </w:r>
      <w:r>
        <w:rPr/>
        <w:t>公司章程的约定，本集 </w:t>
      </w:r>
      <w:r>
        <w:rPr>
          <w:spacing w:val="-3"/>
        </w:rPr>
        <w:t>团具有可赎回权利，</w:t>
      </w:r>
      <w:r>
        <w:rPr>
          <w:rFonts w:ascii="Times New Roman" w:hAnsi="Times New Roman" w:cs="Times New Roman" w:eastAsia="Times New Roman" w:hint="default"/>
          <w:spacing w:val="-3"/>
        </w:rPr>
        <w:t>Pomelo</w:t>
      </w:r>
      <w:r>
        <w:rPr>
          <w:rFonts w:ascii="Times New Roman" w:hAnsi="Times New Roman" w:cs="Times New Roman" w:eastAsia="Times New Roman" w:hint="default"/>
          <w:spacing w:val="-29"/>
        </w:rPr>
        <w:t> </w:t>
      </w:r>
      <w:r>
        <w:rPr>
          <w:rFonts w:ascii="Times New Roman" w:hAnsi="Times New Roman" w:cs="Times New Roman" w:eastAsia="Times New Roman" w:hint="default"/>
        </w:rPr>
        <w:t>Holdings</w:t>
      </w:r>
      <w:r>
        <w:rPr>
          <w:rFonts w:ascii="Times New Roman" w:hAnsi="Times New Roman" w:cs="Times New Roman" w:eastAsia="Times New Roman" w:hint="default"/>
          <w:spacing w:val="-30"/>
        </w:rPr>
        <w:t> </w:t>
      </w:r>
      <w:r>
        <w:rPr>
          <w:rFonts w:ascii="Times New Roman" w:hAnsi="Times New Roman" w:cs="Times New Roman" w:eastAsia="Times New Roman" w:hint="default"/>
        </w:rPr>
        <w:t>Limited</w:t>
      </w:r>
      <w:r>
        <w:rPr/>
        <w:t>不能无条件避免交付现金的义务，故本集团将出资额确认为长 期应收款。</w:t>
      </w:r>
    </w:p>
    <w:p>
      <w:pPr>
        <w:pStyle w:val="BodyText"/>
        <w:spacing w:line="240" w:lineRule="auto" w:before="120"/>
        <w:ind w:right="0"/>
        <w:jc w:val="both"/>
      </w:pPr>
      <w:r>
        <w:rPr/>
        <w:t>③本期计提坏账准备金额</w:t>
      </w:r>
      <w:r>
        <w:rPr>
          <w:rFonts w:ascii="Times New Roman" w:hAnsi="Times New Roman" w:cs="Times New Roman" w:eastAsia="Times New Roman" w:hint="default"/>
        </w:rPr>
        <w:t>91,109.07</w:t>
      </w:r>
      <w:r>
        <w:rPr/>
        <w:t>元。</w:t>
      </w:r>
    </w:p>
    <w:p>
      <w:pPr>
        <w:spacing w:after="0" w:line="240" w:lineRule="auto"/>
        <w:jc w:val="both"/>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3"/>
        <w:spacing w:line="240" w:lineRule="auto" w:before="35"/>
        <w:ind w:left="140" w:right="0"/>
        <w:jc w:val="left"/>
        <w:rPr>
          <w:b w:val="0"/>
          <w:bCs w:val="0"/>
        </w:rPr>
      </w:pPr>
      <w:bookmarkStart w:name="17、长期股权投资" w:id="272"/>
      <w:bookmarkEnd w:id="272"/>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535"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1419"/>
        <w:gridCol w:w="1134"/>
        <w:gridCol w:w="1276"/>
        <w:gridCol w:w="1276"/>
        <w:gridCol w:w="1276"/>
        <w:gridCol w:w="1134"/>
        <w:gridCol w:w="1276"/>
        <w:gridCol w:w="851"/>
        <w:gridCol w:w="708"/>
        <w:gridCol w:w="1134"/>
        <w:gridCol w:w="1277"/>
        <w:gridCol w:w="991"/>
      </w:tblGrid>
      <w:tr>
        <w:trPr>
          <w:trHeight w:val="402"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93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220" w:right="38"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1025"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2"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2"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91" w:right="111" w:hanging="180"/>
              <w:jc w:val="left"/>
              <w:rPr>
                <w:rFonts w:ascii="宋体" w:hAnsi="宋体" w:cs="宋体" w:eastAsia="宋体" w:hint="default"/>
                <w:sz w:val="18"/>
                <w:szCs w:val="18"/>
              </w:rPr>
            </w:pPr>
            <w:r>
              <w:rPr>
                <w:rFonts w:ascii="宋体" w:hAnsi="宋体" w:cs="宋体" w:eastAsia="宋体" w:hint="default"/>
                <w:sz w:val="18"/>
                <w:szCs w:val="18"/>
              </w:rPr>
              <w:t>其他综合收 益调整</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2" w:right="0"/>
              <w:jc w:val="left"/>
              <w:rPr>
                <w:rFonts w:ascii="宋体" w:hAnsi="宋体" w:cs="宋体" w:eastAsia="宋体" w:hint="default"/>
                <w:sz w:val="18"/>
                <w:szCs w:val="18"/>
              </w:rPr>
            </w:pPr>
            <w:r>
              <w:rPr>
                <w:rFonts w:ascii="宋体" w:hAnsi="宋体" w:cs="宋体" w:eastAsia="宋体" w:hint="default"/>
                <w:sz w:val="18"/>
                <w:szCs w:val="18"/>
              </w:rPr>
              <w:t>其他权益变动</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77"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5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北京金联创咨询 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996,125.00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-8,073.81</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988,051.19</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中天智慧科技有 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4,100,000.00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-2,575.71</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4,097,424.29</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北京安创空间科 技有限公司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15,502,104.53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450,595.47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15,952,700.00</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996,125.00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8" w:right="0"/>
              <w:jc w:val="left"/>
              <w:rPr>
                <w:rFonts w:ascii="Times New Roman" w:hAnsi="Times New Roman" w:cs="Times New Roman" w:eastAsia="Times New Roman" w:hint="default"/>
                <w:sz w:val="18"/>
                <w:szCs w:val="18"/>
              </w:rPr>
            </w:pPr>
            <w:r>
              <w:rPr>
                <w:rFonts w:ascii="Times New Roman"/>
                <w:sz w:val="18"/>
              </w:rPr>
              <w:t>19,602,104.53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-10,649.52</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450,595.47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21,038,175.48</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75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619"/>
              <w:jc w:val="left"/>
              <w:rPr>
                <w:rFonts w:ascii="Times New Roman" w:hAnsi="Times New Roman" w:cs="Times New Roman" w:eastAsia="Times New Roman" w:hint="default"/>
                <w:sz w:val="18"/>
                <w:szCs w:val="18"/>
              </w:rPr>
            </w:pPr>
            <w:r>
              <w:rPr>
                <w:rFonts w:ascii="Times New Roman"/>
                <w:sz w:val="18"/>
              </w:rPr>
              <w:t>T2</w:t>
            </w:r>
            <w:r>
              <w:rPr>
                <w:rFonts w:ascii="Times New Roman"/>
                <w:spacing w:val="-1"/>
                <w:sz w:val="18"/>
              </w:rPr>
              <w:t> </w:t>
            </w:r>
            <w:r>
              <w:rPr>
                <w:rFonts w:ascii="Times New Roman"/>
                <w:sz w:val="18"/>
              </w:rPr>
              <w:t>Mobile</w:t>
            </w:r>
            <w:r>
              <w:rPr>
                <w:rFonts w:ascii="Times New Roman"/>
                <w:sz w:val="18"/>
              </w:rPr>
              <w:t> Limited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4,572,174.62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329,358.52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-304,257.19</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352,933.48</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4,950,209.43</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40"/>
              <w:jc w:val="left"/>
              <w:rPr>
                <w:rFonts w:ascii="Times New Roman" w:hAnsi="Times New Roman" w:cs="Times New Roman" w:eastAsia="Times New Roman" w:hint="default"/>
                <w:sz w:val="18"/>
                <w:szCs w:val="18"/>
              </w:rPr>
            </w:pPr>
            <w:r>
              <w:rPr>
                <w:rFonts w:ascii="Times New Roman"/>
                <w:sz w:val="18"/>
              </w:rPr>
              <w:t>Fine</w:t>
            </w:r>
            <w:r>
              <w:rPr>
                <w:rFonts w:ascii="Times New Roman"/>
                <w:spacing w:val="-1"/>
                <w:sz w:val="18"/>
              </w:rPr>
              <w:t> </w:t>
            </w:r>
            <w:r>
              <w:rPr>
                <w:rFonts w:ascii="Times New Roman"/>
                <w:sz w:val="18"/>
              </w:rPr>
              <w:t>Elite</w:t>
            </w:r>
            <w:r>
              <w:rPr>
                <w:rFonts w:ascii="Times New Roman"/>
                <w:w w:val="99"/>
                <w:sz w:val="18"/>
              </w:rPr>
              <w:t> </w:t>
            </w:r>
            <w:r>
              <w:rPr>
                <w:rFonts w:ascii="Times New Roman"/>
                <w:spacing w:val="-3"/>
                <w:sz w:val="18"/>
              </w:rPr>
              <w:t>Ventures</w:t>
            </w:r>
            <w:r>
              <w:rPr>
                <w:rFonts w:ascii="Times New Roman"/>
                <w:sz w:val="18"/>
              </w:rPr>
              <w:t> Limited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3,064,334.01</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-3,059,500.00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-936.02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257.91</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4,155.90</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39"/>
              <w:jc w:val="left"/>
              <w:rPr>
                <w:rFonts w:ascii="Times New Roman" w:hAnsi="Times New Roman" w:cs="Times New Roman" w:eastAsia="Times New Roman" w:hint="default"/>
                <w:sz w:val="18"/>
                <w:szCs w:val="18"/>
              </w:rPr>
            </w:pPr>
            <w:r>
              <w:rPr>
                <w:rFonts w:ascii="Times New Roman"/>
                <w:sz w:val="18"/>
              </w:rPr>
              <w:t>Point Mobile</w:t>
            </w:r>
            <w:r>
              <w:rPr>
                <w:rFonts w:ascii="Times New Roman"/>
                <w:spacing w:val="-2"/>
                <w:sz w:val="18"/>
              </w:rPr>
              <w:t> </w:t>
            </w:r>
            <w:r>
              <w:rPr>
                <w:rFonts w:ascii="Times New Roman"/>
                <w:sz w:val="18"/>
              </w:rPr>
              <w:t>Co.</w:t>
            </w:r>
            <w:r>
              <w:rPr>
                <w:rFonts w:ascii="Times New Roman"/>
                <w:w w:val="99"/>
                <w:sz w:val="18"/>
              </w:rPr>
              <w:t> </w:t>
            </w:r>
            <w:r>
              <w:rPr>
                <w:rFonts w:ascii="Times New Roman"/>
                <w:sz w:val="18"/>
              </w:rPr>
              <w:t>Ltd.</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42,686,006.35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-2,425,959.89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1,362,045.11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5,580,874.90</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9,057,441.09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56,260,407.56</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7,636,508.63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8" w:right="0"/>
              <w:jc w:val="left"/>
              <w:rPr>
                <w:rFonts w:ascii="Times New Roman" w:hAnsi="Times New Roman" w:cs="Times New Roman" w:eastAsia="Times New Roman" w:hint="default"/>
                <w:sz w:val="18"/>
                <w:szCs w:val="18"/>
              </w:rPr>
            </w:pPr>
            <w:r>
              <w:rPr>
                <w:rFonts w:ascii="Times New Roman"/>
                <w:sz w:val="18"/>
              </w:rPr>
              <w:t>42,686,006.35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7" w:right="0"/>
              <w:jc w:val="left"/>
              <w:rPr>
                <w:rFonts w:ascii="Times New Roman" w:hAnsi="Times New Roman" w:cs="Times New Roman" w:eastAsia="Times New Roman" w:hint="default"/>
                <w:sz w:val="18"/>
                <w:szCs w:val="18"/>
              </w:rPr>
            </w:pPr>
            <w:r>
              <w:rPr>
                <w:rFonts w:ascii="Times New Roman"/>
                <w:sz w:val="18"/>
              </w:rPr>
              <w:t>-3,059,500.00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-2,097,537.39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1,058,045.83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5,933,808.38</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9,057,441.09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61,214,772.89</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8,632,633.63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4" w:right="0"/>
              <w:jc w:val="left"/>
              <w:rPr>
                <w:rFonts w:ascii="Times New Roman" w:hAnsi="Times New Roman" w:cs="Times New Roman" w:eastAsia="Times New Roman" w:hint="default"/>
                <w:sz w:val="18"/>
                <w:szCs w:val="18"/>
              </w:rPr>
            </w:pPr>
            <w:r>
              <w:rPr>
                <w:rFonts w:ascii="Times New Roman"/>
                <w:sz w:val="18"/>
              </w:rPr>
              <w:t>62,288,110.88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7" w:right="0"/>
              <w:jc w:val="left"/>
              <w:rPr>
                <w:rFonts w:ascii="Times New Roman" w:hAnsi="Times New Roman" w:cs="Times New Roman" w:eastAsia="Times New Roman" w:hint="default"/>
                <w:sz w:val="18"/>
                <w:szCs w:val="18"/>
              </w:rPr>
            </w:pPr>
            <w:r>
              <w:rPr>
                <w:rFonts w:ascii="Times New Roman"/>
                <w:sz w:val="18"/>
              </w:rPr>
              <w:t>-3,059,500.00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-2,108,186.91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1,058,045.83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5,933,808.38</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9,508,036.56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82,252,948.37</w:t>
            </w:r>
          </w:p>
        </w:tc>
        <w:tc>
          <w:tcPr>
            <w:tcW w:w="991"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6"/>
          <w:footerReference w:type="default" r:id="rId17"/>
          <w:pgSz w:w="16840" w:h="11910" w:orient="landscape"/>
          <w:pgMar w:header="867" w:footer="979" w:top="1060" w:bottom="1160" w:left="1300" w:right="0"/>
          <w:pgNumType w:start="116"/>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before="20"/>
        <w:ind w:left="140"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BodyText"/>
        <w:spacing w:line="256" w:lineRule="auto"/>
        <w:ind w:left="524" w:right="1415"/>
        <w:jc w:val="both"/>
      </w:pPr>
      <w:r>
        <w:rPr/>
        <w:t>①本公司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月与四川顺天智慧科技有限责任公司、北京金联创咨询有限公司共同投资成立中天智慧科技有限公司，本公司出资</w:t>
      </w:r>
      <w:r>
        <w:rPr>
          <w:rFonts w:ascii="Times New Roman" w:hAnsi="Times New Roman" w:cs="Times New Roman" w:eastAsia="Times New Roman" w:hint="default"/>
        </w:rPr>
        <w:t>4,100,000.00</w:t>
      </w:r>
      <w:r>
        <w:rPr/>
        <w:t>元， 投资比例</w:t>
      </w:r>
      <w:r>
        <w:rPr>
          <w:rFonts w:ascii="Times New Roman" w:hAnsi="Times New Roman" w:cs="Times New Roman" w:eastAsia="Times New Roman" w:hint="default"/>
        </w:rPr>
        <w:t>41%</w:t>
      </w:r>
      <w:r>
        <w:rPr/>
        <w:t>。根据合资经营合同及章程，构成本公司合营企业。</w:t>
      </w:r>
    </w:p>
    <w:p>
      <w:pPr>
        <w:spacing w:line="240" w:lineRule="auto" w:before="12"/>
        <w:rPr>
          <w:rFonts w:ascii="宋体" w:hAnsi="宋体" w:cs="宋体" w:eastAsia="宋体" w:hint="default"/>
          <w:sz w:val="16"/>
          <w:szCs w:val="16"/>
        </w:rPr>
      </w:pPr>
    </w:p>
    <w:p>
      <w:pPr>
        <w:pStyle w:val="BodyText"/>
        <w:spacing w:line="256" w:lineRule="auto"/>
        <w:ind w:left="523" w:right="1438"/>
        <w:jc w:val="both"/>
      </w:pPr>
      <w:r>
        <w:rPr>
          <w:spacing w:val="-1"/>
        </w:rPr>
        <w:t>②本公司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月设立北京安创空间科技有限公司（简称安创空间），持有安创空间</w:t>
      </w:r>
      <w:r>
        <w:rPr>
          <w:rFonts w:ascii="Times New Roman" w:hAnsi="Times New Roman" w:cs="Times New Roman" w:eastAsia="Times New Roman" w:hint="default"/>
          <w:spacing w:val="-1"/>
        </w:rPr>
        <w:t>100%</w:t>
      </w:r>
      <w:r>
        <w:rPr>
          <w:spacing w:val="-1"/>
        </w:rPr>
        <w:t>的股权，</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月安谋电子科技（上海）有限公司协议</w:t>
      </w:r>
      <w:r>
        <w:rPr>
          <w:spacing w:val="-86"/>
        </w:rPr>
        <w:t> </w:t>
      </w:r>
      <w:r>
        <w:rPr>
          <w:spacing w:val="-86"/>
        </w:rPr>
      </w:r>
      <w:r>
        <w:rPr/>
        <w:t>入资并取得安创空间</w:t>
      </w:r>
      <w:r>
        <w:rPr>
          <w:rFonts w:ascii="Times New Roman" w:hAnsi="Times New Roman" w:cs="Times New Roman" w:eastAsia="Times New Roman" w:hint="default"/>
        </w:rPr>
        <w:t>49.9%</w:t>
      </w:r>
      <w:r>
        <w:rPr/>
        <w:t>的股权，同时本公司增资后持有安创空间</w:t>
      </w:r>
      <w:r>
        <w:rPr>
          <w:rFonts w:ascii="Times New Roman" w:hAnsi="Times New Roman" w:cs="Times New Roman" w:eastAsia="Times New Roman" w:hint="default"/>
        </w:rPr>
        <w:t>50.1%</w:t>
      </w:r>
      <w:r>
        <w:rPr/>
        <w:t>的股权，根据合资经营合同及章程，安创空间变为本集团的合营公司，原</w:t>
      </w:r>
      <w:r>
        <w:rPr>
          <w:spacing w:val="-19"/>
        </w:rPr>
        <w:t> </w:t>
      </w:r>
      <w:r>
        <w:rPr>
          <w:spacing w:val="-19"/>
        </w:rPr>
      </w:r>
      <w:r>
        <w:rPr/>
        <w:t>股权形成公允价值溢价</w:t>
      </w:r>
      <w:r>
        <w:rPr>
          <w:rFonts w:ascii="Times New Roman" w:hAnsi="Times New Roman" w:cs="Times New Roman" w:eastAsia="Times New Roman" w:hint="default"/>
        </w:rPr>
        <w:t>450,595.47</w:t>
      </w:r>
      <w:r>
        <w:rPr/>
        <w:t>元转入投资收益同时增加长期股权投资。</w:t>
      </w:r>
    </w:p>
    <w:p>
      <w:pPr>
        <w:spacing w:line="240" w:lineRule="auto" w:before="12"/>
        <w:rPr>
          <w:rFonts w:ascii="宋体" w:hAnsi="宋体" w:cs="宋体" w:eastAsia="宋体" w:hint="default"/>
          <w:sz w:val="16"/>
          <w:szCs w:val="16"/>
        </w:rPr>
      </w:pPr>
    </w:p>
    <w:p>
      <w:pPr>
        <w:pStyle w:val="BodyText"/>
        <w:spacing w:line="256" w:lineRule="auto"/>
        <w:ind w:left="523" w:right="1438"/>
        <w:jc w:val="both"/>
      </w:pPr>
      <w:r>
        <w:rPr>
          <w:spacing w:val="3"/>
        </w:rPr>
        <w:t>③本公司之全资子公司香港天集有限公司原持有</w:t>
      </w:r>
      <w:r>
        <w:rPr>
          <w:rFonts w:ascii="Times New Roman" w:hAnsi="Times New Roman" w:cs="Times New Roman" w:eastAsia="Times New Roman" w:hint="default"/>
          <w:spacing w:val="3"/>
        </w:rPr>
        <w:t>T2Mobile</w:t>
      </w:r>
      <w:r>
        <w:rPr>
          <w:rFonts w:ascii="Times New Roman" w:hAnsi="Times New Roman" w:cs="Times New Roman" w:eastAsia="Times New Roman" w:hint="default"/>
          <w:spacing w:val="50"/>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52"/>
        </w:rPr>
        <w:t> </w:t>
      </w:r>
      <w:r>
        <w:rPr>
          <w:rFonts w:ascii="Times New Roman" w:hAnsi="Times New Roman" w:cs="Times New Roman" w:eastAsia="Times New Roman" w:hint="default"/>
        </w:rPr>
        <w:t>46%</w:t>
      </w:r>
      <w:r>
        <w:rPr/>
        <w:t>股权，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T2Mobile </w:t>
      </w:r>
      <w:r>
        <w:rPr>
          <w:rFonts w:ascii="Times New Roman" w:hAnsi="Times New Roman" w:cs="Times New Roman" w:eastAsia="Times New Roman" w:hint="default"/>
          <w:spacing w:val="3"/>
        </w:rPr>
        <w:t>Limited</w:t>
      </w:r>
      <w:r>
        <w:rPr>
          <w:spacing w:val="3"/>
        </w:rPr>
        <w:t>发行新股导致香港天集持股比例降低至</w:t>
      </w:r>
      <w:r>
        <w:rPr>
          <w:spacing w:val="-98"/>
        </w:rPr>
        <w:t> </w:t>
      </w:r>
      <w:r>
        <w:rPr>
          <w:spacing w:val="-98"/>
        </w:rPr>
      </w:r>
      <w:r>
        <w:rPr>
          <w:rFonts w:ascii="Times New Roman" w:hAnsi="Times New Roman" w:cs="Times New Roman" w:eastAsia="Times New Roman" w:hint="default"/>
        </w:rPr>
        <w:t>30.37%</w:t>
      </w:r>
      <w:r>
        <w:rPr/>
        <w:t>，权益性交易产生资本公积</w:t>
      </w:r>
      <w:r>
        <w:rPr>
          <w:rFonts w:ascii="Times New Roman" w:hAnsi="Times New Roman" w:cs="Times New Roman" w:eastAsia="Times New Roman" w:hint="default"/>
        </w:rPr>
        <w:t>352,933.48</w:t>
      </w:r>
      <w:r>
        <w:rPr/>
        <w:t>元，相应增加长期股权投资，变更后依然为本集团的联营公司。</w:t>
      </w:r>
    </w:p>
    <w:p>
      <w:pPr>
        <w:spacing w:line="240" w:lineRule="auto" w:before="12"/>
        <w:rPr>
          <w:rFonts w:ascii="宋体" w:hAnsi="宋体" w:cs="宋体" w:eastAsia="宋体" w:hint="default"/>
          <w:sz w:val="16"/>
          <w:szCs w:val="16"/>
        </w:rPr>
      </w:pPr>
    </w:p>
    <w:p>
      <w:pPr>
        <w:pStyle w:val="BodyText"/>
        <w:spacing w:line="256" w:lineRule="auto"/>
        <w:ind w:left="523" w:right="1436"/>
        <w:jc w:val="both"/>
      </w:pPr>
      <w:r>
        <w:rPr/>
        <w:t>④ 本公司之全资子公司香港天集有限公司原持有</w:t>
      </w:r>
      <w:r>
        <w:rPr>
          <w:rFonts w:ascii="Times New Roman" w:hAnsi="Times New Roman" w:cs="Times New Roman" w:eastAsia="Times New Roman" w:hint="default"/>
        </w:rPr>
        <w:t>Fine Elite Ventures Limited</w:t>
      </w:r>
      <w:r>
        <w:rPr/>
        <w:t>（简称</w:t>
      </w:r>
      <w:r>
        <w:rPr>
          <w:rFonts w:ascii="Times New Roman" w:hAnsi="Times New Roman" w:cs="Times New Roman" w:eastAsia="Times New Roman" w:hint="default"/>
        </w:rPr>
        <w:t>Fine</w:t>
      </w:r>
      <w:r>
        <w:rPr/>
        <w:t>）</w:t>
      </w:r>
      <w:r>
        <w:rPr>
          <w:rFonts w:ascii="Times New Roman" w:hAnsi="Times New Roman" w:cs="Times New Roman" w:eastAsia="Times New Roman" w:hint="default"/>
        </w:rPr>
        <w:t>20%</w:t>
      </w:r>
      <w:r>
        <w:rPr/>
        <w:t>的股权，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Fine</w:t>
      </w:r>
      <w:r>
        <w:rPr/>
        <w:t>以持有对</w:t>
      </w:r>
      <w:r>
        <w:rPr>
          <w:rFonts w:ascii="Times New Roman" w:hAnsi="Times New Roman" w:cs="Times New Roman" w:eastAsia="Times New Roman" w:hint="default"/>
        </w:rPr>
        <w:t>Cista System Corp.</w:t>
      </w:r>
      <w:r>
        <w:rPr/>
        <w:t>的股权 对价</w:t>
      </w:r>
      <w:r>
        <w:rPr>
          <w:rFonts w:ascii="Times New Roman" w:hAnsi="Times New Roman" w:cs="Times New Roman" w:eastAsia="Times New Roman" w:hint="default"/>
        </w:rPr>
        <w:t>50</w:t>
      </w:r>
      <w:r>
        <w:rPr/>
        <w:t>万美元回购香港天集</w:t>
      </w:r>
      <w:r>
        <w:rPr>
          <w:rFonts w:ascii="Times New Roman" w:hAnsi="Times New Roman" w:cs="Times New Roman" w:eastAsia="Times New Roman" w:hint="default"/>
        </w:rPr>
        <w:t>198</w:t>
      </w:r>
      <w:r>
        <w:rPr/>
        <w:t>股股权，同时按同比例回购另一名股东股权，回购后香港天集依旧持有</w:t>
      </w:r>
      <w:r>
        <w:rPr>
          <w:rFonts w:ascii="Times New Roman" w:hAnsi="Times New Roman" w:cs="Times New Roman" w:eastAsia="Times New Roman" w:hint="default"/>
        </w:rPr>
        <w:t>Fine</w:t>
      </w:r>
      <w:r>
        <w:rPr>
          <w:rFonts w:ascii="Times New Roman" w:hAnsi="Times New Roman" w:cs="Times New Roman" w:eastAsia="Times New Roman" w:hint="default"/>
          <w:spacing w:val="-6"/>
        </w:rPr>
        <w:t> </w:t>
      </w:r>
      <w:r>
        <w:rPr>
          <w:rFonts w:ascii="Times New Roman" w:hAnsi="Times New Roman" w:cs="Times New Roman" w:eastAsia="Times New Roman" w:hint="default"/>
        </w:rPr>
        <w:t>20%</w:t>
      </w:r>
      <w:r>
        <w:rPr/>
        <w:t>股权。</w:t>
      </w:r>
    </w:p>
    <w:p>
      <w:pPr>
        <w:spacing w:line="240" w:lineRule="auto" w:before="12"/>
        <w:rPr>
          <w:rFonts w:ascii="宋体" w:hAnsi="宋体" w:cs="宋体" w:eastAsia="宋体" w:hint="default"/>
          <w:sz w:val="16"/>
          <w:szCs w:val="16"/>
        </w:rPr>
      </w:pPr>
    </w:p>
    <w:p>
      <w:pPr>
        <w:pStyle w:val="BodyText"/>
        <w:spacing w:line="240" w:lineRule="auto"/>
        <w:ind w:left="524" w:right="0"/>
        <w:jc w:val="both"/>
        <w:rPr>
          <w:rFonts w:ascii="Times New Roman" w:hAnsi="Times New Roman" w:cs="Times New Roman" w:eastAsia="Times New Roman" w:hint="default"/>
        </w:rPr>
      </w:pPr>
      <w:r>
        <w:rPr/>
        <w:t>⑤本公司之间接控制全资子公司</w:t>
      </w:r>
      <w:r>
        <w:rPr>
          <w:rFonts w:ascii="Times New Roman" w:hAnsi="Times New Roman" w:cs="Times New Roman" w:eastAsia="Times New Roman" w:hint="default"/>
        </w:rPr>
        <w:t>Mobile</w:t>
      </w:r>
      <w:r>
        <w:rPr>
          <w:rFonts w:ascii="Times New Roman" w:hAnsi="Times New Roman" w:cs="Times New Roman" w:eastAsia="Times New Roman" w:hint="default"/>
          <w:spacing w:val="-19"/>
        </w:rPr>
        <w:t> </w:t>
      </w:r>
      <w:r>
        <w:rPr>
          <w:rFonts w:ascii="Times New Roman" w:hAnsi="Times New Roman" w:cs="Times New Roman" w:eastAsia="Times New Roman" w:hint="default"/>
        </w:rPr>
        <w:t>Focus</w:t>
      </w:r>
      <w:r>
        <w:rPr>
          <w:rFonts w:ascii="Times New Roman" w:hAnsi="Times New Roman" w:cs="Times New Roman" w:eastAsia="Times New Roman" w:hint="default"/>
          <w:spacing w:val="-19"/>
        </w:rPr>
        <w:t> </w:t>
      </w:r>
      <w:r>
        <w:rPr>
          <w:rFonts w:ascii="Times New Roman" w:hAnsi="Times New Roman" w:cs="Times New Roman" w:eastAsia="Times New Roman" w:hint="default"/>
        </w:rPr>
        <w:t>Holding</w:t>
      </w:r>
      <w:r>
        <w:rPr>
          <w:rFonts w:ascii="Times New Roman" w:hAnsi="Times New Roman" w:cs="Times New Roman" w:eastAsia="Times New Roman" w:hint="default"/>
          <w:spacing w:val="-18"/>
        </w:rPr>
        <w:t> </w:t>
      </w:r>
      <w:r>
        <w:rPr>
          <w:rFonts w:ascii="Times New Roman" w:hAnsi="Times New Roman" w:cs="Times New Roman" w:eastAsia="Times New Roman" w:hint="default"/>
        </w:rPr>
        <w:t>Ltd.</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月以</w:t>
      </w:r>
      <w:r>
        <w:rPr>
          <w:rFonts w:ascii="Times New Roman" w:hAnsi="Times New Roman" w:cs="Times New Roman" w:eastAsia="Times New Roman" w:hint="default"/>
        </w:rPr>
        <w:t>6,377,277.50</w:t>
      </w:r>
      <w:r>
        <w:rPr/>
        <w:t>美元购买</w:t>
      </w:r>
      <w:r>
        <w:rPr>
          <w:rFonts w:ascii="Times New Roman" w:hAnsi="Times New Roman" w:cs="Times New Roman" w:eastAsia="Times New Roman" w:hint="default"/>
        </w:rPr>
        <w:t>Point</w:t>
      </w:r>
      <w:r>
        <w:rPr>
          <w:rFonts w:ascii="Times New Roman" w:hAnsi="Times New Roman" w:cs="Times New Roman" w:eastAsia="Times New Roman" w:hint="default"/>
          <w:spacing w:val="-19"/>
        </w:rPr>
        <w:t> </w:t>
      </w:r>
      <w:r>
        <w:rPr>
          <w:rFonts w:ascii="Times New Roman" w:hAnsi="Times New Roman" w:cs="Times New Roman" w:eastAsia="Times New Roman" w:hint="default"/>
        </w:rPr>
        <w:t>Mobile</w:t>
      </w:r>
      <w:r>
        <w:rPr>
          <w:rFonts w:ascii="Times New Roman" w:hAnsi="Times New Roman" w:cs="Times New Roman" w:eastAsia="Times New Roman" w:hint="default"/>
          <w:spacing w:val="-19"/>
        </w:rPr>
        <w:t> </w:t>
      </w:r>
      <w:r>
        <w:rPr>
          <w:rFonts w:ascii="Times New Roman" w:hAnsi="Times New Roman" w:cs="Times New Roman" w:eastAsia="Times New Roman" w:hint="default"/>
        </w:rPr>
        <w:t>Co.</w:t>
      </w:r>
      <w:r>
        <w:rPr>
          <w:rFonts w:ascii="Times New Roman" w:hAnsi="Times New Roman" w:cs="Times New Roman" w:eastAsia="Times New Roman" w:hint="default"/>
          <w:spacing w:val="-19"/>
        </w:rPr>
        <w:t> </w:t>
      </w:r>
      <w:r>
        <w:rPr>
          <w:rFonts w:ascii="Times New Roman" w:hAnsi="Times New Roman" w:cs="Times New Roman" w:eastAsia="Times New Roman" w:hint="default"/>
        </w:rPr>
        <w:t>Ltd.40.67%</w:t>
      </w:r>
      <w:r>
        <w:rPr/>
        <w:t>股权，并于</w:t>
      </w:r>
      <w:r>
        <w:rPr>
          <w:rFonts w:ascii="Times New Roman" w:hAnsi="Times New Roman" w:cs="Times New Roman" w:eastAsia="Times New Roman" w:hint="default"/>
        </w:rPr>
        <w:t>11</w:t>
      </w:r>
      <w:r>
        <w:rPr/>
        <w:t>月以</w:t>
      </w:r>
      <w:r>
        <w:rPr>
          <w:rFonts w:ascii="Times New Roman" w:hAnsi="Times New Roman" w:cs="Times New Roman" w:eastAsia="Times New Roman" w:hint="default"/>
        </w:rPr>
        <w:t>313,637.00</w:t>
      </w:r>
    </w:p>
    <w:p>
      <w:pPr>
        <w:pStyle w:val="BodyText"/>
        <w:spacing w:line="240" w:lineRule="auto" w:before="21"/>
        <w:ind w:left="524" w:right="0"/>
        <w:jc w:val="both"/>
      </w:pPr>
      <w:r>
        <w:rPr/>
        <w:t>美元购买</w:t>
      </w:r>
      <w:r>
        <w:rPr>
          <w:rFonts w:ascii="Times New Roman" w:hAnsi="Times New Roman" w:cs="Times New Roman" w:eastAsia="Times New Roman" w:hint="default"/>
        </w:rPr>
        <w:t>2%</w:t>
      </w:r>
      <w:r>
        <w:rPr/>
        <w:t>股权，期末持股比例</w:t>
      </w:r>
      <w:r>
        <w:rPr>
          <w:rFonts w:ascii="Times New Roman" w:hAnsi="Times New Roman" w:cs="Times New Roman" w:eastAsia="Times New Roman" w:hint="default"/>
        </w:rPr>
        <w:t>42.67%</w:t>
      </w:r>
      <w:r>
        <w:rPr/>
        <w:t>，本期权益法核算享有的权益为</w:t>
      </w:r>
      <w:r>
        <w:rPr>
          <w:rFonts w:ascii="Times New Roman" w:hAnsi="Times New Roman" w:cs="Times New Roman" w:eastAsia="Times New Roman" w:hint="default"/>
        </w:rPr>
        <w:t>-2,425,959.89</w:t>
      </w:r>
      <w:r>
        <w:rPr/>
        <w:t>元。</w:t>
      </w:r>
    </w:p>
    <w:p>
      <w:pPr>
        <w:spacing w:line="240" w:lineRule="auto" w:before="2"/>
        <w:rPr>
          <w:rFonts w:ascii="宋体" w:hAnsi="宋体" w:cs="宋体" w:eastAsia="宋体" w:hint="default"/>
          <w:sz w:val="18"/>
          <w:szCs w:val="18"/>
        </w:rPr>
      </w:pPr>
    </w:p>
    <w:p>
      <w:pPr>
        <w:pStyle w:val="BodyText"/>
        <w:spacing w:line="256" w:lineRule="auto"/>
        <w:ind w:left="140" w:right="0"/>
        <w:jc w:val="left"/>
      </w:pPr>
      <w:r>
        <w:rPr/>
        <w:t>⑥本公司之间接控制全资子公司</w:t>
      </w:r>
      <w:r>
        <w:rPr>
          <w:rFonts w:ascii="Times New Roman" w:hAnsi="Times New Roman" w:cs="Times New Roman" w:eastAsia="Times New Roman" w:hint="default"/>
        </w:rPr>
        <w:t>Mobile Focus Holding Ltd.</w:t>
      </w:r>
      <w:r>
        <w:rPr/>
        <w:t>的联营公司</w:t>
      </w:r>
      <w:r>
        <w:rPr>
          <w:rFonts w:ascii="Times New Roman" w:hAnsi="Times New Roman" w:cs="Times New Roman" w:eastAsia="Times New Roman" w:hint="default"/>
        </w:rPr>
        <w:t>Point Mobile Co.</w:t>
      </w:r>
      <w:r>
        <w:rPr>
          <w:rFonts w:ascii="Times New Roman" w:hAnsi="Times New Roman" w:cs="Times New Roman" w:eastAsia="Times New Roman" w:hint="default"/>
          <w:spacing w:val="29"/>
        </w:rPr>
        <w:t> </w:t>
      </w:r>
      <w:r>
        <w:rPr>
          <w:rFonts w:ascii="Times New Roman" w:hAnsi="Times New Roman" w:cs="Times New Roman" w:eastAsia="Times New Roman" w:hint="default"/>
        </w:rPr>
        <w:t>Ltd.</w:t>
      </w:r>
      <w:r>
        <w:rPr/>
        <w:t>因实施股份支付增加资本公积</w:t>
      </w:r>
      <w:r>
        <w:rPr>
          <w:rFonts w:ascii="Times New Roman" w:hAnsi="Times New Roman" w:cs="Times New Roman" w:eastAsia="Times New Roman" w:hint="default"/>
        </w:rPr>
        <w:t>9,057,441.09</w:t>
      </w:r>
      <w:r>
        <w:rPr/>
        <w:t>元，相应增加长期股 权投资</w:t>
      </w:r>
      <w:r>
        <w:rPr>
          <w:rFonts w:ascii="Times New Roman" w:hAnsi="Times New Roman" w:cs="Times New Roman" w:eastAsia="Times New Roman" w:hint="default"/>
        </w:rPr>
        <w:t>9,057,441.09</w:t>
      </w:r>
      <w:r>
        <w:rPr/>
        <w:t>元。本次股份支付权益法核算增加长期股权投资</w:t>
      </w:r>
      <w:r>
        <w:rPr>
          <w:rFonts w:ascii="Times New Roman" w:hAnsi="Times New Roman" w:cs="Times New Roman" w:eastAsia="Times New Roman" w:hint="default"/>
        </w:rPr>
        <w:t>5,580,874.90</w:t>
      </w:r>
      <w:r>
        <w:rPr/>
        <w:t>元。</w:t>
      </w:r>
    </w:p>
    <w:p>
      <w:pPr>
        <w:spacing w:after="0" w:line="256" w:lineRule="auto"/>
        <w:jc w:val="left"/>
        <w:sectPr>
          <w:pgSz w:w="16840" w:h="11910" w:orient="landscape"/>
          <w:pgMar w:header="867" w:footer="979" w:top="1060" w:bottom="1160" w:left="13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right="3499"/>
        <w:jc w:val="left"/>
        <w:rPr>
          <w:b w:val="0"/>
          <w:bCs w:val="0"/>
        </w:rPr>
      </w:pPr>
      <w:bookmarkStart w:name="18、投资性房地产" w:id="273"/>
      <w:bookmarkEnd w:id="273"/>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3499"/>
        <w:jc w:val="left"/>
        <w:rPr>
          <w:b w:val="0"/>
          <w:bCs w:val="0"/>
        </w:rPr>
      </w:pPr>
      <w:bookmarkStart w:name="（1）采用成本计量模式的投资性房地产" w:id="274"/>
      <w:bookmarkEnd w:id="274"/>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3499"/>
        <w:jc w:val="left"/>
        <w:rPr>
          <w:b w:val="0"/>
          <w:bCs w:val="0"/>
        </w:rPr>
      </w:pPr>
      <w:bookmarkStart w:name="（2）采用公允价值计量模式的投资性房地产" w:id="275"/>
      <w:bookmarkEnd w:id="275"/>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spacing w:before="0"/>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3499"/>
        <w:jc w:val="left"/>
        <w:rPr>
          <w:b w:val="0"/>
          <w:bCs w:val="0"/>
        </w:rPr>
      </w:pPr>
      <w:bookmarkStart w:name="（3）未办妥产权证书的投资性房地产情况" w:id="276"/>
      <w:bookmarkEnd w:id="276"/>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3499"/>
        <w:jc w:val="left"/>
        <w:rPr>
          <w:b w:val="0"/>
          <w:bCs w:val="0"/>
        </w:rPr>
      </w:pPr>
      <w:bookmarkStart w:name="19、固定资产" w:id="277"/>
      <w:bookmarkEnd w:id="277"/>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3499"/>
        <w:jc w:val="left"/>
        <w:rPr>
          <w:b w:val="0"/>
          <w:bCs w:val="0"/>
        </w:rPr>
      </w:pPr>
      <w:bookmarkStart w:name="（1）固定资产情况" w:id="278"/>
      <w:bookmarkEnd w:id="27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办公家具</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1"/>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27,001,969.00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15,211,197.01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3,515,197.87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1,422,523.23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622,059.35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47,772,946.46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9,501,349.54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962,010.23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351,172.06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1,496,537.11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12,311,068.94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9,504,648.06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955,771.13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351,172.06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1,496,537.11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12,308,128.36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）汇率</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-3,298.52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6,239.10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2,940.58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27,001,969.00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24,712,546.55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4,477,208.10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1,773,695.29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2,118,596.46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60,084,015.40</w:t>
            </w:r>
          </w:p>
        </w:tc>
      </w:tr>
    </w:tbl>
    <w:p>
      <w:pPr>
        <w:spacing w:after="0" w:line="240" w:lineRule="auto"/>
        <w:jc w:val="right"/>
        <w:rPr>
          <w:rFonts w:ascii="Times New Roman" w:hAnsi="Times New Roman" w:cs="Times New Roman" w:eastAsia="Times New Roman" w:hint="default"/>
          <w:sz w:val="18"/>
          <w:szCs w:val="18"/>
        </w:rPr>
        <w:sectPr>
          <w:headerReference w:type="default" r:id="rId18"/>
          <w:footerReference w:type="default" r:id="rId19"/>
          <w:pgSz w:w="11910" w:h="16840"/>
          <w:pgMar w:header="877" w:footer="979" w:top="1060" w:bottom="1160" w:left="0" w:right="0"/>
          <w:pgNumType w:start="118"/>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984,974.05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8,039,859.05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1,541,225.88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630,772.01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111,033.52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11,307,864.51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1,121,287.44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4,301,899.61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776,159.12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667,816.24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6,867,162.41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1,121,287.44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4,302,061.11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774,467.35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667,816.24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6,865,632.14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率</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1,691.77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1,530.27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2,106,261.49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12,341,758.66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2,317,385.00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1,298,588.25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111,033.52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18,175,026.92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24,895,707.51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12,370,787.89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2,159,823.10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475,107.04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2,007,562.94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41,908,988.48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26,016,994.95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7,171,337.96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1,973,971.99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791,751.22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511,025.83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36,465,081.95</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2）暂时闲置的固定资产情况" w:id="279"/>
      <w:bookmarkEnd w:id="279"/>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3499"/>
        <w:jc w:val="left"/>
        <w:rPr>
          <w:b w:val="0"/>
          <w:bCs w:val="0"/>
        </w:rPr>
      </w:pPr>
      <w:bookmarkStart w:name="（3）通过融资租赁租入的固定资产情况" w:id="280"/>
      <w:bookmarkEnd w:id="280"/>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4）通过经营租赁租出的固定资产" w:id="281"/>
      <w:bookmarkEnd w:id="281"/>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5）未办妥产权证书的固定资产情况" w:id="282"/>
      <w:bookmarkEnd w:id="282"/>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3499"/>
        <w:jc w:val="left"/>
        <w:rPr>
          <w:b w:val="0"/>
          <w:bCs w:val="0"/>
        </w:rPr>
      </w:pPr>
      <w:bookmarkStart w:name="20、在建工程" w:id="283"/>
      <w:bookmarkEnd w:id="283"/>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3499"/>
        <w:jc w:val="left"/>
        <w:rPr>
          <w:b w:val="0"/>
          <w:bCs w:val="0"/>
        </w:rPr>
      </w:pPr>
      <w:bookmarkStart w:name="（1）在建工程情况" w:id="284"/>
      <w:bookmarkEnd w:id="284"/>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2）重要在建工程项目本期变动情况" w:id="285"/>
      <w:bookmarkEnd w:id="285"/>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3）本期计提在建工程减值准备情况" w:id="286"/>
      <w:bookmarkEnd w:id="286"/>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3499"/>
        <w:jc w:val="left"/>
        <w:rPr>
          <w:b w:val="0"/>
          <w:bCs w:val="0"/>
        </w:rPr>
      </w:pPr>
      <w:bookmarkStart w:name="21、工程物资" w:id="287"/>
      <w:bookmarkEnd w:id="287"/>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3499"/>
        <w:jc w:val="left"/>
        <w:rPr>
          <w:b w:val="0"/>
          <w:bCs w:val="0"/>
        </w:rPr>
      </w:pPr>
      <w:bookmarkStart w:name="22、固定资产清理" w:id="288"/>
      <w:bookmarkEnd w:id="288"/>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3499"/>
        <w:jc w:val="left"/>
        <w:rPr>
          <w:b w:val="0"/>
          <w:bCs w:val="0"/>
        </w:rPr>
      </w:pPr>
      <w:bookmarkStart w:name="23、生产性生物资产" w:id="289"/>
      <w:bookmarkEnd w:id="289"/>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499"/>
        <w:jc w:val="left"/>
        <w:rPr>
          <w:b w:val="0"/>
          <w:bCs w:val="0"/>
        </w:rPr>
      </w:pPr>
      <w:bookmarkStart w:name="（1）采用成本计量模式的生产性生物资产" w:id="290"/>
      <w:bookmarkEnd w:id="290"/>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3499"/>
        <w:jc w:val="left"/>
        <w:rPr>
          <w:b w:val="0"/>
          <w:bCs w:val="0"/>
        </w:rPr>
      </w:pPr>
      <w:bookmarkStart w:name="（2）采用公允价值计量模式的生产性生物资产" w:id="291"/>
      <w:bookmarkEnd w:id="291"/>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spacing w:before="0"/>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3499"/>
        <w:jc w:val="left"/>
        <w:rPr>
          <w:b w:val="0"/>
          <w:bCs w:val="0"/>
        </w:rPr>
      </w:pPr>
      <w:bookmarkStart w:name="24、油气资产" w:id="292"/>
      <w:bookmarkEnd w:id="292"/>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spacing w:before="0"/>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3499"/>
        <w:jc w:val="left"/>
        <w:rPr>
          <w:b w:val="0"/>
          <w:bCs w:val="0"/>
        </w:rPr>
      </w:pPr>
      <w:bookmarkStart w:name="25、无形资产" w:id="293"/>
      <w:bookmarkEnd w:id="293"/>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3499"/>
        <w:jc w:val="left"/>
        <w:rPr>
          <w:b w:val="0"/>
          <w:bCs w:val="0"/>
        </w:rPr>
      </w:pPr>
      <w:bookmarkStart w:name="（1）无形资产情况" w:id="294"/>
      <w:bookmarkEnd w:id="29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3,866,221.58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3,866,221.58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2,558,669.05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2,558,669.05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2,560,363.45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2,560,363.45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率</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-1,694.40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-1,694.40</w:t>
            </w:r>
            <w:r>
              <w:rPr>
                <w:rFonts w:ascii="Times New Roman"/>
                <w:sz w:val="18"/>
              </w:rPr>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6,424,890.63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6,424,890.63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2,259,137.11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2,259,137.11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971,501.08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971,501.08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971,783.48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971,783.48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率</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-282.40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3,230,638.19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3,230,638.19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3,194,252.44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3,194,252.44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1,607,084.47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1,607,084.47</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right="3499"/>
        <w:jc w:val="left"/>
        <w:rPr>
          <w:b w:val="0"/>
          <w:bCs w:val="0"/>
        </w:rPr>
      </w:pPr>
      <w:bookmarkStart w:name="（2）未办妥产权证书的土地使用权情况" w:id="295"/>
      <w:bookmarkEnd w:id="295"/>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spacing w:before="44"/>
        <w:ind w:left="1133"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3499"/>
        <w:jc w:val="left"/>
        <w:rPr>
          <w:b w:val="0"/>
          <w:bCs w:val="0"/>
        </w:rPr>
      </w:pPr>
      <w:bookmarkStart w:name="26、开发支出" w:id="296"/>
      <w:bookmarkEnd w:id="296"/>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3499"/>
        <w:jc w:val="left"/>
        <w:rPr>
          <w:b w:val="0"/>
          <w:bCs w:val="0"/>
        </w:rPr>
      </w:pPr>
      <w:bookmarkStart w:name="27、商誉" w:id="297"/>
      <w:bookmarkEnd w:id="297"/>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3499"/>
        <w:jc w:val="left"/>
        <w:rPr>
          <w:b w:val="0"/>
          <w:bCs w:val="0"/>
        </w:rPr>
      </w:pPr>
      <w:bookmarkStart w:name="（1）商誉账面原值" w:id="298"/>
      <w:bookmarkEnd w:id="29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2）商誉减值准备" w:id="299"/>
      <w:bookmarkEnd w:id="29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357" w:lineRule="auto" w:before="52"/>
        <w:ind w:left="1134" w:right="6072"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 其他说明</w:t>
      </w:r>
    </w:p>
    <w:p>
      <w:pPr>
        <w:spacing w:line="240" w:lineRule="auto" w:before="1"/>
        <w:rPr>
          <w:rFonts w:ascii="宋体" w:hAnsi="宋体" w:cs="宋体" w:eastAsia="宋体" w:hint="default"/>
          <w:sz w:val="20"/>
          <w:szCs w:val="20"/>
        </w:rPr>
      </w:pPr>
    </w:p>
    <w:p>
      <w:pPr>
        <w:pStyle w:val="Heading3"/>
        <w:spacing w:line="240" w:lineRule="auto"/>
        <w:ind w:right="3499"/>
        <w:jc w:val="left"/>
        <w:rPr>
          <w:b w:val="0"/>
          <w:bCs w:val="0"/>
        </w:rPr>
      </w:pPr>
      <w:bookmarkStart w:name="28、长期待摊费用" w:id="300"/>
      <w:bookmarkEnd w:id="300"/>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2,171,418.00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5,554,684.90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2,196,574.24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5,529,528.66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2,171,418.00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5,554,684.90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2,196,574.24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5,529,528.66</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3499"/>
        <w:jc w:val="left"/>
        <w:rPr>
          <w:b w:val="0"/>
          <w:bCs w:val="0"/>
        </w:rPr>
      </w:pPr>
      <w:bookmarkStart w:name="29、递延所得税资产/递延所得税负债" w:id="301"/>
      <w:bookmarkEnd w:id="301"/>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499"/>
        <w:jc w:val="left"/>
        <w:rPr>
          <w:b w:val="0"/>
          <w:bCs w:val="0"/>
        </w:rPr>
      </w:pPr>
      <w:bookmarkStart w:name="（1）未经抵销的递延所得税资产" w:id="302"/>
      <w:bookmarkEnd w:id="30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3,669,470.61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510,129.38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1,489,988.00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126,072.94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6,321,419.69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6,147,222.27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计提未发放工资及奖金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6,688,094.04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540,910.20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18,514,067.70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1,429,029.15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94,374.75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1,034,644.66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155,196.70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32,808,003.75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3,456,236.28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26,151,277.97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1,555,102.09</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2）未经抵销的递延所得税负债" w:id="303"/>
      <w:bookmarkEnd w:id="30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3）以抵销后净额列示的递延所得税资产或负债" w:id="304"/>
      <w:bookmarkEnd w:id="30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2"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3,456,236.28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1,555,102.09</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4）未确认递延所得税资产明细" w:id="305"/>
      <w:bookmarkEnd w:id="30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410,399.50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244,408.48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计提未发放工资及奖金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575,061.75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920,111.55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25,749,683.07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4,890,558.89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26,735,144.32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6,055,078.92</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5）未确认递延所得税资产的可抵扣亏损将于以下年度到期" w:id="306"/>
      <w:bookmarkEnd w:id="30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年及以后年度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25,749,683.07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4,890,558.89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25,749,683.07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4,890,558.89</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3499"/>
        <w:jc w:val="left"/>
        <w:rPr>
          <w:b w:val="0"/>
          <w:bCs w:val="0"/>
        </w:rPr>
      </w:pPr>
      <w:bookmarkStart w:name="30、其他非流动资产" w:id="307"/>
      <w:bookmarkEnd w:id="307"/>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28,406,846.00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14,206,846.00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无形资产预付款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932,801.95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29,339,647.95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14,206,846.00</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3499"/>
        <w:jc w:val="left"/>
        <w:rPr>
          <w:b w:val="0"/>
          <w:bCs w:val="0"/>
        </w:rPr>
      </w:pPr>
      <w:bookmarkStart w:name="31、短期借款" w:id="308"/>
      <w:bookmarkEnd w:id="308"/>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3499"/>
        <w:jc w:val="left"/>
        <w:rPr>
          <w:b w:val="0"/>
          <w:bCs w:val="0"/>
        </w:rPr>
      </w:pPr>
      <w:bookmarkStart w:name="（1）短期借款分类" w:id="309"/>
      <w:bookmarkEnd w:id="30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80,650,512.00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26,923,600.00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110,650,512.00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26,923,600.00</w:t>
            </w:r>
          </w:p>
        </w:tc>
      </w:tr>
    </w:tbl>
    <w:p>
      <w:pPr>
        <w:pStyle w:val="BodyText"/>
        <w:spacing w:line="240" w:lineRule="auto" w:before="26"/>
        <w:ind w:left="1134" w:right="3499"/>
        <w:jc w:val="left"/>
      </w:pPr>
      <w:r>
        <w:rPr/>
        <w:t>短期借款分类的说明：</w:t>
      </w:r>
    </w:p>
    <w:p>
      <w:pPr>
        <w:pStyle w:val="BodyText"/>
        <w:spacing w:line="273" w:lineRule="auto" w:before="77"/>
        <w:ind w:right="0"/>
        <w:jc w:val="left"/>
      </w:pPr>
      <w:r>
        <w:rPr>
          <w:rFonts w:ascii="宋体" w:hAnsi="宋体" w:cs="宋体" w:eastAsia="宋体" w:hint="default"/>
        </w:rPr>
        <w:t>A</w:t>
      </w:r>
      <w:r>
        <w:rPr/>
        <w:t>、</w:t>
      </w:r>
      <w:r>
        <w:rPr>
          <w:spacing w:val="-2"/>
        </w:rPr>
        <w:t> </w:t>
      </w:r>
      <w:r>
        <w:rPr/>
        <w:t>本公司使用汇丰银行综合授信额度及定期存单质押申请开立备用信用证，金额为美元</w:t>
      </w:r>
      <w:r>
        <w:rPr>
          <w:rFonts w:ascii="宋体" w:hAnsi="宋体" w:cs="宋体" w:eastAsia="宋体" w:hint="default"/>
        </w:rPr>
        <w:t>500</w:t>
      </w:r>
      <w:r>
        <w:rPr/>
        <w:t>万元整为本 </w:t>
      </w:r>
      <w:r>
        <w:rPr>
          <w:spacing w:val="-1"/>
        </w:rPr>
        <w:t>公司之全资子公司香港天集有限公司在香港上海汇丰银行股份有限公司提供融资担保，香港天集有限公司</w:t>
      </w:r>
      <w:r>
        <w:rPr>
          <w:spacing w:val="-81"/>
        </w:rPr>
        <w:t> </w:t>
      </w:r>
      <w:r>
        <w:rPr>
          <w:spacing w:val="-81"/>
        </w:rPr>
      </w:r>
      <w:r>
        <w:rPr/>
        <w:t>自香港上海汇丰银行股份有限公司取得借款</w:t>
      </w:r>
      <w:r>
        <w:rPr>
          <w:rFonts w:ascii="宋体" w:hAnsi="宋体" w:cs="宋体" w:eastAsia="宋体" w:hint="default"/>
        </w:rPr>
        <w:t>440</w:t>
      </w:r>
      <w:r>
        <w:rPr/>
        <w:t>万美元；</w:t>
      </w:r>
    </w:p>
    <w:p>
      <w:pPr>
        <w:pStyle w:val="BodyText"/>
        <w:spacing w:line="273" w:lineRule="auto" w:before="7"/>
        <w:ind w:right="0"/>
        <w:jc w:val="left"/>
      </w:pPr>
      <w:r>
        <w:rPr>
          <w:rFonts w:ascii="宋体" w:hAnsi="宋体" w:cs="宋体" w:eastAsia="宋体" w:hint="default"/>
        </w:rPr>
        <w:t>B</w:t>
      </w:r>
      <w:r>
        <w:rPr/>
        <w:t>、</w:t>
      </w:r>
      <w:r>
        <w:rPr>
          <w:spacing w:val="-2"/>
        </w:rPr>
        <w:t> </w:t>
      </w:r>
      <w:r>
        <w:rPr/>
        <w:t>本公司使用汇丰银行综合授信额度及定期存单质押申请开立备用信用证，金额为美元</w:t>
      </w:r>
      <w:r>
        <w:rPr>
          <w:rFonts w:ascii="宋体" w:hAnsi="宋体" w:cs="宋体" w:eastAsia="宋体" w:hint="default"/>
        </w:rPr>
        <w:t>490</w:t>
      </w:r>
      <w:r>
        <w:rPr/>
        <w:t>万元整为本 </w:t>
      </w:r>
      <w:r>
        <w:rPr>
          <w:spacing w:val="-1"/>
        </w:rPr>
        <w:t>公司之全资子公司香港天集有限公司在香港上海汇丰银行股份有限公司提供融资担保，香港天集有限公司</w:t>
      </w:r>
      <w:r>
        <w:rPr>
          <w:spacing w:val="-81"/>
        </w:rPr>
        <w:t> </w:t>
      </w:r>
      <w:r>
        <w:rPr>
          <w:spacing w:val="-81"/>
        </w:rPr>
      </w:r>
      <w:r>
        <w:rPr/>
        <w:t>自香港上海汇丰银行股份有限公司取得借款</w:t>
      </w:r>
      <w:r>
        <w:rPr>
          <w:rFonts w:ascii="宋体" w:hAnsi="宋体" w:cs="宋体" w:eastAsia="宋体" w:hint="default"/>
        </w:rPr>
        <w:t>490</w:t>
      </w:r>
      <w:r>
        <w:rPr/>
        <w:t>万美元；</w:t>
      </w:r>
    </w:p>
    <w:p>
      <w:pPr>
        <w:pStyle w:val="BodyText"/>
        <w:spacing w:line="273" w:lineRule="auto" w:before="7"/>
        <w:ind w:right="1130"/>
        <w:jc w:val="both"/>
      </w:pPr>
      <w:r>
        <w:rPr>
          <w:rFonts w:ascii="宋体" w:hAnsi="宋体" w:cs="宋体" w:eastAsia="宋体" w:hint="default"/>
        </w:rPr>
        <w:t>C</w:t>
      </w:r>
      <w:r>
        <w:rPr/>
        <w:t>、</w:t>
      </w:r>
      <w:r>
        <w:rPr>
          <w:spacing w:val="-22"/>
        </w:rPr>
        <w:t> </w:t>
      </w:r>
      <w:r>
        <w:rPr/>
        <w:t>本公司使用汇丰银行综合授信额度及定期存单质押申请开立备用信用证，金额为美元</w:t>
      </w:r>
      <w:r>
        <w:rPr>
          <w:rFonts w:ascii="宋体" w:hAnsi="宋体" w:cs="宋体" w:eastAsia="宋体" w:hint="default"/>
        </w:rPr>
        <w:t>60</w:t>
      </w:r>
      <w:r>
        <w:rPr/>
        <w:t>万元整为本公 </w:t>
      </w:r>
      <w:r>
        <w:rPr>
          <w:spacing w:val="-1"/>
        </w:rPr>
        <w:t>司之全资子公司香港天集有限公司在香港上海汇丰银行股份有限公司提供融资担保，香港天集有限公司自</w:t>
      </w:r>
      <w:r>
        <w:rPr>
          <w:spacing w:val="-81"/>
        </w:rPr>
        <w:t> </w:t>
      </w:r>
      <w:r>
        <w:rPr>
          <w:spacing w:val="-81"/>
        </w:rPr>
      </w:r>
      <w:r>
        <w:rPr/>
        <w:t>香港上海汇丰银行股份有限公司取得借款</w:t>
      </w:r>
      <w:r>
        <w:rPr>
          <w:rFonts w:ascii="宋体" w:hAnsi="宋体" w:cs="宋体" w:eastAsia="宋体" w:hint="default"/>
        </w:rPr>
        <w:t>60</w:t>
      </w:r>
      <w:r>
        <w:rPr/>
        <w:t>万美元；</w:t>
      </w:r>
    </w:p>
    <w:p>
      <w:pPr>
        <w:pStyle w:val="BodyText"/>
        <w:spacing w:line="273" w:lineRule="auto" w:before="7"/>
        <w:ind w:right="1199"/>
        <w:jc w:val="left"/>
      </w:pPr>
      <w:r>
        <w:rPr>
          <w:rFonts w:ascii="宋体" w:hAnsi="宋体" w:cs="宋体" w:eastAsia="宋体" w:hint="default"/>
        </w:rPr>
        <w:t>D</w:t>
      </w:r>
      <w:r>
        <w:rPr/>
        <w:t>、</w:t>
      </w:r>
      <w:r>
        <w:rPr>
          <w:spacing w:val="-1"/>
        </w:rPr>
        <w:t> </w:t>
      </w:r>
      <w:r>
        <w:rPr/>
        <w:t>本公司之子公司香港天盛有限公司使用定期存单质押自香港上海汇丰银行股份有限公司取得借款</w:t>
      </w:r>
      <w:r>
        <w:rPr>
          <w:rFonts w:ascii="宋体" w:hAnsi="宋体" w:cs="宋体" w:eastAsia="宋体" w:hint="default"/>
        </w:rPr>
        <w:t>152 </w:t>
      </w:r>
      <w:r>
        <w:rPr/>
        <w:t>万美元；</w:t>
      </w:r>
    </w:p>
    <w:p>
      <w:pPr>
        <w:pStyle w:val="BodyText"/>
        <w:spacing w:line="273" w:lineRule="auto" w:before="7"/>
        <w:ind w:right="0"/>
        <w:jc w:val="left"/>
      </w:pPr>
      <w:r>
        <w:rPr>
          <w:rFonts w:ascii="宋体" w:hAnsi="宋体" w:cs="宋体" w:eastAsia="宋体" w:hint="default"/>
        </w:rPr>
        <w:t>E</w:t>
      </w:r>
      <w:r>
        <w:rPr/>
        <w:t>、</w:t>
      </w:r>
      <w:r>
        <w:rPr>
          <w:spacing w:val="-3"/>
        </w:rPr>
        <w:t> </w:t>
      </w:r>
      <w:r>
        <w:rPr/>
        <w:t>本公司使用汇丰银行综合授信额度及定期存单质押申请开立备用信用证，金额为美元</w:t>
      </w:r>
      <w:r>
        <w:rPr>
          <w:rFonts w:ascii="宋体" w:hAnsi="宋体" w:cs="宋体" w:eastAsia="宋体" w:hint="default"/>
        </w:rPr>
        <w:t>250</w:t>
      </w:r>
      <w:r>
        <w:rPr/>
        <w:t>万元整为本 </w:t>
      </w:r>
      <w:r>
        <w:rPr>
          <w:spacing w:val="-1"/>
        </w:rPr>
        <w:t>公司之全资子公司香港天盛有限公司在香港上海汇丰银行股份有限公司提供融资担保，香港天盛有限公司</w:t>
      </w:r>
      <w:r>
        <w:rPr>
          <w:spacing w:val="-81"/>
        </w:rPr>
        <w:t> </w:t>
      </w:r>
      <w:r>
        <w:rPr>
          <w:spacing w:val="-81"/>
        </w:rPr>
      </w:r>
      <w:r>
        <w:rPr/>
        <w:t>自香港上海汇丰银行股份有限公司取得借款</w:t>
      </w:r>
      <w:r>
        <w:rPr>
          <w:rFonts w:ascii="宋体" w:hAnsi="宋体" w:cs="宋体" w:eastAsia="宋体" w:hint="default"/>
        </w:rPr>
        <w:t>100</w:t>
      </w:r>
      <w:r>
        <w:rPr/>
        <w:t>万美元；</w:t>
      </w:r>
    </w:p>
    <w:p>
      <w:pPr>
        <w:pStyle w:val="BodyText"/>
        <w:spacing w:line="240" w:lineRule="auto" w:before="7"/>
        <w:ind w:right="0"/>
        <w:jc w:val="left"/>
      </w:pPr>
      <w:r>
        <w:rPr>
          <w:rFonts w:ascii="宋体" w:hAnsi="宋体" w:cs="宋体" w:eastAsia="宋体" w:hint="default"/>
        </w:rPr>
        <w:t>F</w:t>
      </w:r>
      <w:r>
        <w:rPr/>
        <w:t>、 本公司使用汇丰银行综合授信额度自江苏银行股份有限公司北京德胜支行取得借款人民币</w:t>
      </w:r>
      <w:r>
        <w:rPr>
          <w:rFonts w:ascii="宋体" w:hAnsi="宋体" w:cs="宋体" w:eastAsia="宋体" w:hint="default"/>
        </w:rPr>
        <w:t>3000</w:t>
      </w:r>
      <w:r>
        <w:rPr/>
        <w:t>万元。</w:t>
      </w:r>
    </w:p>
    <w:p>
      <w:pPr>
        <w:spacing w:line="240" w:lineRule="auto" w:before="11"/>
        <w:rPr>
          <w:rFonts w:ascii="宋体" w:hAnsi="宋体" w:cs="宋体" w:eastAsia="宋体" w:hint="default"/>
          <w:sz w:val="25"/>
          <w:szCs w:val="25"/>
        </w:rPr>
      </w:pPr>
    </w:p>
    <w:p>
      <w:pPr>
        <w:pStyle w:val="Heading3"/>
        <w:spacing w:line="240" w:lineRule="auto"/>
        <w:ind w:right="3499"/>
        <w:jc w:val="left"/>
        <w:rPr>
          <w:b w:val="0"/>
          <w:bCs w:val="0"/>
        </w:rPr>
      </w:pPr>
      <w:bookmarkStart w:name="（2）已逾期未偿还的短期借款情况" w:id="310"/>
      <w:bookmarkEnd w:id="310"/>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979" w:top="1100" w:bottom="1160" w:left="0" w:right="0"/>
        </w:sectPr>
      </w:pPr>
    </w:p>
    <w:p>
      <w:pPr>
        <w:pStyle w:val="BodyText"/>
        <w:spacing w:line="240" w:lineRule="auto" w:before="35"/>
        <w:ind w:right="-19"/>
        <w:jc w:val="left"/>
      </w:pPr>
      <w:r>
        <w:rPr/>
        <w:t>本期末已逾期未偿还的短期借款总额为元，其中重要的已逾期未偿还的短期借款情况如下：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389"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0" w:right="0"/>
          <w:cols w:num="2" w:equalWidth="0">
            <w:col w:w="9535" w:space="40"/>
            <w:col w:w="2335"/>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3499"/>
        <w:jc w:val="left"/>
        <w:rPr>
          <w:b w:val="0"/>
          <w:bCs w:val="0"/>
        </w:rPr>
      </w:pPr>
      <w:bookmarkStart w:name="32、以公允价值计量且其变动计入当期损益的金融负债" w:id="311"/>
      <w:bookmarkEnd w:id="311"/>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before="35"/>
        <w:ind w:left="1134" w:right="3499"/>
        <w:jc w:val="left"/>
        <w:rPr>
          <w:b w:val="0"/>
          <w:bCs w:val="0"/>
        </w:rPr>
      </w:pPr>
      <w:bookmarkStart w:name="33、衍生金融负债" w:id="312"/>
      <w:bookmarkEnd w:id="312"/>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spacing w:before="0"/>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3499"/>
        <w:jc w:val="left"/>
        <w:rPr>
          <w:b w:val="0"/>
          <w:bCs w:val="0"/>
        </w:rPr>
      </w:pPr>
      <w:bookmarkStart w:name="34、应付票据" w:id="313"/>
      <w:bookmarkEnd w:id="313"/>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11"/>
        <w:rPr>
          <w:rFonts w:ascii="宋体" w:hAnsi="宋体" w:cs="宋体" w:eastAsia="宋体" w:hint="default"/>
          <w:sz w:val="26"/>
          <w:szCs w:val="26"/>
        </w:rPr>
      </w:pPr>
    </w:p>
    <w:p>
      <w:pPr>
        <w:pStyle w:val="Heading3"/>
        <w:spacing w:line="240" w:lineRule="auto"/>
        <w:ind w:left="1134" w:right="3499"/>
        <w:jc w:val="left"/>
        <w:rPr>
          <w:b w:val="0"/>
          <w:bCs w:val="0"/>
        </w:rPr>
      </w:pPr>
      <w:bookmarkStart w:name="35、应付账款" w:id="314"/>
      <w:bookmarkEnd w:id="314"/>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3499"/>
        <w:jc w:val="left"/>
        <w:rPr>
          <w:b w:val="0"/>
          <w:bCs w:val="0"/>
        </w:rPr>
      </w:pPr>
      <w:bookmarkStart w:name="（1）应付账款列示" w:id="315"/>
      <w:bookmarkEnd w:id="315"/>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应付服务费及货款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11,883,063.59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1,690,573.52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11,883,063.59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1,690,573.52</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2）账龄超过1年的重要应付账款" w:id="316"/>
      <w:bookmarkEnd w:id="31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2"/>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3499"/>
        <w:jc w:val="left"/>
        <w:rPr>
          <w:b w:val="0"/>
          <w:bCs w:val="0"/>
        </w:rPr>
      </w:pPr>
      <w:bookmarkStart w:name="36、预收款项" w:id="317"/>
      <w:bookmarkEnd w:id="317"/>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3499"/>
        <w:jc w:val="left"/>
        <w:rPr>
          <w:b w:val="0"/>
          <w:bCs w:val="0"/>
        </w:rPr>
      </w:pPr>
      <w:bookmarkStart w:name="（1）预收款项列示" w:id="318"/>
      <w:bookmarkEnd w:id="31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预收服务费及货款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3,367,020.23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4,607,476.62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3,367,020.23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4,607,476.62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3499"/>
        <w:jc w:val="left"/>
        <w:rPr>
          <w:b w:val="0"/>
          <w:bCs w:val="0"/>
        </w:rPr>
      </w:pPr>
      <w:bookmarkStart w:name="（2）账龄超过1年的重要预收款项" w:id="319"/>
      <w:bookmarkEnd w:id="31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3）期末建造合同形成的已结算未完工项目情况" w:id="320"/>
      <w:bookmarkEnd w:id="320"/>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3499"/>
        <w:jc w:val="left"/>
        <w:rPr>
          <w:b w:val="0"/>
          <w:bCs w:val="0"/>
        </w:rPr>
      </w:pPr>
      <w:bookmarkStart w:name="37、应付职工薪酬" w:id="321"/>
      <w:bookmarkEnd w:id="321"/>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3499"/>
        <w:jc w:val="left"/>
        <w:rPr>
          <w:b w:val="0"/>
          <w:bCs w:val="0"/>
        </w:rPr>
      </w:pPr>
      <w:bookmarkStart w:name="（1）应付职工薪酬列示" w:id="322"/>
      <w:bookmarkEnd w:id="32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39,018,534.03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345,070,947.08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346,662,838.72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37,426,642.39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971,900.03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19,575,295.43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19,297,074.92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1,250,120.54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308,705.12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308,705.12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39,990,434.06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364,954,947.63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366,268,618.76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38,676,762.93</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2）短期薪酬列示" w:id="323"/>
      <w:bookmarkEnd w:id="32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35,639,497.45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304,180,244.29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306,196,268.01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33,623,473.73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5,809,544.91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5,809,544.91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541,299.85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10,047,166.13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9,914,648.28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673,817.70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481,936.48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8,980,154.56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8,845,883.04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616,208.00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25,251.67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448,980.97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453,742.76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20,489.88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34,111.70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618,030.60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615,022.48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37,119.82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349,254.00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18,929,661.60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18,749,572.60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529,343.00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2,488,482.73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6,104,330.15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5,992,804.92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2,600,007.96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39,018,534.03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345,070,947.08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346,662,838.72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37,426,642.39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3499"/>
        <w:jc w:val="left"/>
        <w:rPr>
          <w:b w:val="0"/>
          <w:bCs w:val="0"/>
        </w:rPr>
      </w:pPr>
      <w:bookmarkStart w:name="（3）设定提存计划列示" w:id="324"/>
      <w:bookmarkEnd w:id="32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926,721.02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18,234,137.35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17,998,276.93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1,162,581.44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45,179.01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1,341,158.08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1,298,797.99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87,539.10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971,900.03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19,575,295.43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19,297,074.92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1,250,120.54</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3499"/>
        <w:jc w:val="left"/>
        <w:rPr>
          <w:b w:val="0"/>
          <w:bCs w:val="0"/>
        </w:rPr>
      </w:pPr>
      <w:bookmarkStart w:name="38、应交税费" w:id="325"/>
      <w:bookmarkEnd w:id="325"/>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6,623,450.17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1,946,783.75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4,975.50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7,535,549.81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473,532.49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2,355,177.47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1,433,497.27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152,495.19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77,136.10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108,925.12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55,097.21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消费税（日本）</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2,814,448.83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1,539,526.45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1,142.85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19,860,046.59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5,531,691.62</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3499"/>
        <w:jc w:val="left"/>
        <w:rPr>
          <w:b w:val="0"/>
          <w:bCs w:val="0"/>
        </w:rPr>
      </w:pPr>
      <w:bookmarkStart w:name="39、应付利息" w:id="326"/>
      <w:bookmarkEnd w:id="326"/>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3499"/>
        <w:jc w:val="left"/>
        <w:rPr>
          <w:b w:val="0"/>
          <w:bCs w:val="0"/>
        </w:rPr>
      </w:pPr>
      <w:bookmarkStart w:name="40、应付股利" w:id="327"/>
      <w:bookmarkEnd w:id="327"/>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3499"/>
        <w:jc w:val="left"/>
        <w:rPr>
          <w:b w:val="0"/>
          <w:bCs w:val="0"/>
        </w:rPr>
      </w:pPr>
      <w:bookmarkStart w:name="41、其他应付款" w:id="328"/>
      <w:bookmarkEnd w:id="328"/>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3499"/>
        <w:jc w:val="left"/>
        <w:rPr>
          <w:b w:val="0"/>
          <w:bCs w:val="0"/>
        </w:rPr>
      </w:pPr>
      <w:bookmarkStart w:name="（1）按款项性质列示其他应付款" w:id="329"/>
      <w:bookmarkEnd w:id="329"/>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2,418,258.44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1,403,986.14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其他待付款项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6,798,576.08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624,968.22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9,216,834.52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2,028,954.36</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2）账龄超过1年的重要其他应付款" w:id="330"/>
      <w:bookmarkEnd w:id="33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2"/>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3499"/>
        <w:jc w:val="left"/>
        <w:rPr>
          <w:b w:val="0"/>
          <w:bCs w:val="0"/>
        </w:rPr>
      </w:pPr>
      <w:bookmarkStart w:name="42、划分为持有待售的负债" w:id="331"/>
      <w:bookmarkEnd w:id="331"/>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3499"/>
        <w:jc w:val="left"/>
        <w:rPr>
          <w:b w:val="0"/>
          <w:bCs w:val="0"/>
        </w:rPr>
      </w:pPr>
      <w:bookmarkStart w:name="43、一年内到期的非流动负债" w:id="332"/>
      <w:bookmarkEnd w:id="332"/>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1,088,284.45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1,088,284.45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3499"/>
        <w:jc w:val="left"/>
        <w:rPr>
          <w:b w:val="0"/>
          <w:bCs w:val="0"/>
        </w:rPr>
      </w:pPr>
      <w:bookmarkStart w:name="44、其他流动负债" w:id="333"/>
      <w:bookmarkEnd w:id="333"/>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134" w:right="3499"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3499"/>
        <w:jc w:val="left"/>
        <w:rPr>
          <w:b w:val="0"/>
          <w:bCs w:val="0"/>
        </w:rPr>
      </w:pPr>
      <w:bookmarkStart w:name="45、长期借款" w:id="334"/>
      <w:bookmarkEnd w:id="334"/>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3499"/>
        <w:jc w:val="left"/>
        <w:rPr>
          <w:b w:val="0"/>
          <w:bCs w:val="0"/>
        </w:rPr>
      </w:pPr>
      <w:bookmarkStart w:name="（1）长期借款分类" w:id="335"/>
      <w:bookmarkEnd w:id="335"/>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12,259,243.89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12,259,243.89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90" w:lineRule="auto" w:before="26"/>
        <w:ind w:right="0"/>
        <w:jc w:val="left"/>
      </w:pPr>
      <w:r>
        <w:rPr/>
        <w:t>长期借款分类的说明： </w:t>
      </w:r>
      <w:r>
        <w:rPr>
          <w:spacing w:val="-1"/>
        </w:rPr>
        <w:t>本公司之子公司南京中科创达软件科技有限公司为从南京丰盛大族科技股份有限公司处购买房产，向招商</w:t>
      </w:r>
      <w:r>
        <w:rPr>
          <w:spacing w:val="-81"/>
        </w:rPr>
        <w:t> </w:t>
      </w:r>
      <w:r>
        <w:rPr>
          <w:spacing w:val="-81"/>
        </w:rPr>
      </w:r>
      <w:r>
        <w:rPr/>
        <w:t>银行股份有限公司南京分行借款，借款期限自</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19</w:t>
      </w:r>
      <w:r>
        <w:rPr/>
        <w:t>日至</w:t>
      </w:r>
      <w:r>
        <w:rPr>
          <w:rFonts w:ascii="宋体" w:hAnsi="宋体" w:cs="宋体" w:eastAsia="宋体" w:hint="default"/>
        </w:rPr>
        <w:t>2025</w:t>
      </w:r>
      <w:r>
        <w:rPr/>
        <w:t>年</w:t>
      </w:r>
      <w:r>
        <w:rPr>
          <w:rFonts w:ascii="宋体" w:hAnsi="宋体" w:cs="宋体" w:eastAsia="宋体" w:hint="default"/>
        </w:rPr>
        <w:t>1</w:t>
      </w:r>
      <w:r>
        <w:rPr/>
        <w:t>月</w:t>
      </w:r>
      <w:r>
        <w:rPr>
          <w:rFonts w:ascii="宋体" w:hAnsi="宋体" w:cs="宋体" w:eastAsia="宋体" w:hint="default"/>
        </w:rPr>
        <w:t>18</w:t>
      </w:r>
      <w:r>
        <w:rPr/>
        <w:t>日。根据</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1</w:t>
      </w:r>
      <w:r>
        <w:rPr/>
        <w:t>日签订</w:t>
      </w:r>
    </w:p>
    <w:p>
      <w:pPr>
        <w:pStyle w:val="BodyText"/>
        <w:spacing w:line="273" w:lineRule="auto"/>
        <w:ind w:left="1134" w:right="0"/>
        <w:jc w:val="left"/>
      </w:pPr>
      <w:r>
        <w:rPr>
          <w:spacing w:val="-1"/>
        </w:rPr>
        <w:t>的抵押协议，南京中科创达软件科技有限公司以所购房产为抵押物为该笔借款提供担保，截至</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spacing w:val="-79"/>
        </w:rPr>
        <w:t> </w:t>
      </w:r>
      <w:r>
        <w:rPr>
          <w:rFonts w:ascii="宋体" w:hAnsi="宋体" w:cs="宋体" w:eastAsia="宋体" w:hint="default"/>
        </w:rPr>
        <w:t>31</w:t>
      </w:r>
      <w:r>
        <w:rPr/>
        <w:t>日，该房产尚未交付。</w:t>
      </w:r>
    </w:p>
    <w:p>
      <w:pPr>
        <w:pStyle w:val="BodyText"/>
        <w:spacing w:line="240" w:lineRule="auto" w:before="48"/>
        <w:ind w:left="1134" w:right="3499"/>
        <w:jc w:val="left"/>
      </w:pPr>
      <w:r>
        <w:rPr/>
        <w:t>其他说明，包括利率区间：</w:t>
      </w:r>
    </w:p>
    <w:p>
      <w:pPr>
        <w:spacing w:line="240" w:lineRule="auto" w:before="10"/>
        <w:rPr>
          <w:rFonts w:ascii="宋体" w:hAnsi="宋体" w:cs="宋体" w:eastAsia="宋体" w:hint="default"/>
          <w:sz w:val="25"/>
          <w:szCs w:val="25"/>
        </w:rPr>
      </w:pPr>
    </w:p>
    <w:p>
      <w:pPr>
        <w:pStyle w:val="Heading3"/>
        <w:spacing w:line="240" w:lineRule="auto"/>
        <w:ind w:left="1134" w:right="3499"/>
        <w:jc w:val="left"/>
        <w:rPr>
          <w:b w:val="0"/>
          <w:bCs w:val="0"/>
        </w:rPr>
      </w:pPr>
      <w:bookmarkStart w:name="46、应付债券" w:id="336"/>
      <w:bookmarkEnd w:id="336"/>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3499"/>
        <w:jc w:val="left"/>
        <w:rPr>
          <w:b w:val="0"/>
          <w:bCs w:val="0"/>
        </w:rPr>
      </w:pPr>
      <w:bookmarkStart w:name="（1）应付债券" w:id="337"/>
      <w:bookmarkEnd w:id="337"/>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应付债券的增减变动（不包括划分为金融负债的优先股、永续债等其他金融工具）" w:id="338"/>
      <w:bookmarkEnd w:id="338"/>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24"/>
          <w:szCs w:val="24"/>
        </w:rPr>
      </w:pPr>
    </w:p>
    <w:p>
      <w:pPr>
        <w:pStyle w:val="Heading3"/>
        <w:spacing w:line="240" w:lineRule="auto" w:before="35"/>
        <w:ind w:right="3499"/>
        <w:jc w:val="left"/>
        <w:rPr>
          <w:b w:val="0"/>
          <w:bCs w:val="0"/>
        </w:rPr>
      </w:pPr>
      <w:bookmarkStart w:name="（3）可转换公司债券的转股条件、转股时间说明" w:id="339"/>
      <w:bookmarkEnd w:id="339"/>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499"/>
        <w:jc w:val="left"/>
        <w:rPr>
          <w:b w:val="0"/>
          <w:bCs w:val="0"/>
        </w:rPr>
      </w:pPr>
      <w:bookmarkStart w:name="（4）划分为金融负债的其他金融工具说明" w:id="340"/>
      <w:bookmarkEnd w:id="340"/>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0" w:right="0"/>
        </w:sectPr>
      </w:pPr>
    </w:p>
    <w:p>
      <w:pPr>
        <w:spacing w:line="357" w:lineRule="auto" w:before="44"/>
        <w:ind w:left="1133" w:right="-19"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635" w:space="319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134" w:right="7512"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after="0" w:line="36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3499"/>
        <w:jc w:val="left"/>
        <w:rPr>
          <w:b w:val="0"/>
          <w:bCs w:val="0"/>
        </w:rPr>
      </w:pPr>
      <w:bookmarkStart w:name="47、长期应付款" w:id="341"/>
      <w:bookmarkEnd w:id="341"/>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3499"/>
        <w:jc w:val="left"/>
        <w:rPr>
          <w:b w:val="0"/>
          <w:bCs w:val="0"/>
        </w:rPr>
      </w:pPr>
      <w:bookmarkStart w:name="（1）按款项性质列示长期应付款" w:id="342"/>
      <w:bookmarkEnd w:id="342"/>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3499"/>
        <w:jc w:val="left"/>
        <w:rPr>
          <w:b w:val="0"/>
          <w:bCs w:val="0"/>
        </w:rPr>
      </w:pPr>
      <w:bookmarkStart w:name="48、长期应付职工薪酬" w:id="343"/>
      <w:bookmarkEnd w:id="343"/>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499"/>
        <w:jc w:val="left"/>
        <w:rPr>
          <w:b w:val="0"/>
          <w:bCs w:val="0"/>
        </w:rPr>
      </w:pPr>
      <w:bookmarkStart w:name="（1）长期应付职工薪酬表" w:id="344"/>
      <w:bookmarkEnd w:id="344"/>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2）设定受益计划变动情况" w:id="345"/>
      <w:bookmarkEnd w:id="345"/>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spacing w:before="44"/>
        <w:ind w:left="1134" w:right="3499"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52"/>
        <w:ind w:left="1133" w:right="3553"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9"/>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left="1134" w:right="3499"/>
        <w:jc w:val="left"/>
        <w:rPr>
          <w:b w:val="0"/>
          <w:bCs w:val="0"/>
        </w:rPr>
      </w:pPr>
      <w:bookmarkStart w:name="49、专项应付款" w:id="346"/>
      <w:bookmarkEnd w:id="346"/>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3499"/>
        <w:jc w:val="left"/>
        <w:rPr>
          <w:b w:val="0"/>
          <w:bCs w:val="0"/>
        </w:rPr>
      </w:pPr>
      <w:bookmarkStart w:name="50、预计负债" w:id="347"/>
      <w:bookmarkEnd w:id="347"/>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spacing w:before="44"/>
        <w:ind w:left="1133" w:right="3499"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10"/>
        <w:rPr>
          <w:rFonts w:ascii="宋体" w:hAnsi="宋体" w:cs="宋体" w:eastAsia="宋体" w:hint="default"/>
          <w:sz w:val="26"/>
          <w:szCs w:val="26"/>
        </w:rPr>
      </w:pPr>
    </w:p>
    <w:p>
      <w:pPr>
        <w:pStyle w:val="Heading3"/>
        <w:spacing w:line="240" w:lineRule="auto"/>
        <w:ind w:right="3499"/>
        <w:jc w:val="left"/>
        <w:rPr>
          <w:b w:val="0"/>
          <w:bCs w:val="0"/>
        </w:rPr>
      </w:pPr>
      <w:bookmarkStart w:name="51、递延收益" w:id="348"/>
      <w:bookmarkEnd w:id="348"/>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22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年工业转型 升级智能制造和 </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行动 支撑保障能力工 程</w:t>
            </w:r>
            <w:r>
              <w:rPr>
                <w:rFonts w:ascii="Times New Roman" w:hAnsi="Times New Roman" w:cs="Times New Roman" w:eastAsia="Times New Roman" w:hint="default"/>
                <w:sz w:val="18"/>
                <w:szCs w:val="18"/>
              </w:rPr>
              <w:t>--</w:t>
            </w:r>
            <w:r>
              <w:rPr>
                <w:rFonts w:ascii="宋体" w:hAnsi="宋体" w:cs="宋体" w:eastAsia="宋体" w:hint="default"/>
                <w:sz w:val="18"/>
                <w:szCs w:val="18"/>
              </w:rPr>
              <w:t>安全芯片能 力提升机应用方 向专项资金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海淀园</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年产 业发展专项资金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3499"/>
        <w:jc w:val="left"/>
        <w:rPr>
          <w:b w:val="0"/>
          <w:bCs w:val="0"/>
        </w:rPr>
      </w:pPr>
      <w:bookmarkStart w:name="52、其他非流动负债" w:id="349"/>
      <w:bookmarkEnd w:id="349"/>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3499"/>
        <w:jc w:val="left"/>
        <w:rPr>
          <w:b w:val="0"/>
          <w:bCs w:val="0"/>
        </w:rPr>
      </w:pPr>
      <w:bookmarkStart w:name="53、股本" w:id="350"/>
      <w:bookmarkEnd w:id="350"/>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75,000,000.00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25,000,000.00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25,000,000.00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100,000,000.00</w:t>
            </w:r>
          </w:p>
        </w:tc>
      </w:tr>
    </w:tbl>
    <w:p>
      <w:pPr>
        <w:pStyle w:val="BodyText"/>
        <w:spacing w:line="240" w:lineRule="auto" w:before="26"/>
        <w:ind w:left="1134" w:right="3499"/>
        <w:jc w:val="left"/>
      </w:pPr>
      <w:r>
        <w:rPr/>
        <w:t>其他说明：</w:t>
      </w:r>
    </w:p>
    <w:p>
      <w:pPr>
        <w:pStyle w:val="BodyText"/>
        <w:spacing w:line="273" w:lineRule="auto" w:before="76"/>
        <w:ind w:right="0" w:firstLine="420"/>
        <w:jc w:val="left"/>
      </w:pPr>
      <w:r>
        <w:rPr/>
        <w:t>经中国证券监督管理委员会证监许可</w:t>
      </w:r>
      <w:r>
        <w:rPr>
          <w:rFonts w:ascii="宋体" w:hAnsi="宋体" w:cs="宋体" w:eastAsia="宋体" w:hint="default"/>
        </w:rPr>
        <w:t>[2015]1372</w:t>
      </w:r>
      <w:r>
        <w:rPr/>
        <w:t>号文核准，本公司向社会公众发行人民币普通股（</w:t>
      </w:r>
      <w:r>
        <w:rPr>
          <w:rFonts w:ascii="宋体" w:hAnsi="宋体" w:cs="宋体" w:eastAsia="宋体" w:hint="default"/>
        </w:rPr>
        <w:t>A </w:t>
      </w:r>
      <w:r>
        <w:rPr/>
        <w:t>股）</w:t>
      </w:r>
      <w:r>
        <w:rPr>
          <w:rFonts w:ascii="宋体" w:hAnsi="宋体" w:cs="宋体" w:eastAsia="宋体" w:hint="default"/>
        </w:rPr>
        <w:t>25,000,000</w:t>
      </w:r>
      <w:r>
        <w:rPr/>
        <w:t>股（每股面值</w:t>
      </w:r>
      <w:r>
        <w:rPr>
          <w:rFonts w:ascii="宋体" w:hAnsi="宋体" w:cs="宋体" w:eastAsia="宋体" w:hint="default"/>
        </w:rPr>
        <w:t>1</w:t>
      </w:r>
      <w:r>
        <w:rPr/>
        <w:t>元），变更后的注册资本为人民币</w:t>
      </w:r>
      <w:r>
        <w:rPr>
          <w:rFonts w:ascii="宋体" w:hAnsi="宋体" w:cs="宋体" w:eastAsia="宋体" w:hint="default"/>
        </w:rPr>
        <w:t>100,000,000.00</w:t>
      </w:r>
      <w:r>
        <w:rPr/>
        <w:t>元。上述变更业经致同 </w:t>
      </w:r>
      <w:r>
        <w:rPr>
          <w:spacing w:val="-3"/>
        </w:rPr>
        <w:t>会计师事务所（特殊普通合伙）于</w:t>
      </w: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7</w:t>
      </w:r>
      <w:r>
        <w:rPr>
          <w:spacing w:val="-3"/>
        </w:rPr>
        <w:t>日出具的致同验字</w:t>
      </w:r>
      <w:r>
        <w:rPr>
          <w:rFonts w:ascii="宋体" w:hAnsi="宋体" w:cs="宋体" w:eastAsia="宋体" w:hint="default"/>
          <w:spacing w:val="-3"/>
        </w:rPr>
        <w:t>(2015)</w:t>
      </w:r>
      <w:r>
        <w:rPr>
          <w:spacing w:val="-3"/>
        </w:rPr>
        <w:t>第</w:t>
      </w:r>
      <w:r>
        <w:rPr>
          <w:rFonts w:ascii="宋体" w:hAnsi="宋体" w:cs="宋体" w:eastAsia="宋体" w:hint="default"/>
          <w:spacing w:val="-3"/>
        </w:rPr>
        <w:t>110ZA0595</w:t>
      </w:r>
      <w:r>
        <w:rPr>
          <w:spacing w:val="-3"/>
        </w:rPr>
        <w:t>号验资报告予以验证。</w:t>
      </w:r>
    </w:p>
    <w:p>
      <w:pPr>
        <w:spacing w:after="0" w:line="273" w:lineRule="auto"/>
        <w:jc w:val="left"/>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3499"/>
        <w:jc w:val="left"/>
        <w:rPr>
          <w:b w:val="0"/>
          <w:bCs w:val="0"/>
        </w:rPr>
      </w:pPr>
      <w:bookmarkStart w:name="54、其他权益工具" w:id="351"/>
      <w:bookmarkEnd w:id="351"/>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3499"/>
        <w:jc w:val="left"/>
        <w:rPr>
          <w:b w:val="0"/>
          <w:bCs w:val="0"/>
        </w:rPr>
      </w:pPr>
      <w:bookmarkStart w:name="（1）期末发行在外的优先股、永续债等其他金融工具基本情况" w:id="352"/>
      <w:bookmarkEnd w:id="352"/>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3499"/>
        <w:jc w:val="left"/>
        <w:rPr>
          <w:b w:val="0"/>
          <w:bCs w:val="0"/>
        </w:rPr>
      </w:pPr>
      <w:bookmarkStart w:name="（2）期末发行在外的优先股、永续债等金融工具变动情况表" w:id="353"/>
      <w:bookmarkEnd w:id="353"/>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133" w:right="4633"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3"/>
        <w:spacing w:line="240" w:lineRule="auto"/>
        <w:ind w:right="3499"/>
        <w:jc w:val="left"/>
        <w:rPr>
          <w:b w:val="0"/>
          <w:bCs w:val="0"/>
        </w:rPr>
      </w:pPr>
      <w:bookmarkStart w:name="55、资本公积" w:id="354"/>
      <w:bookmarkEnd w:id="354"/>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71,459,248.24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509,922,982.82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581,382,231.06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14,638,315.99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14,638,315.99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71,459,248.24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524,561,298.81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596,020,547.05</w:t>
            </w:r>
          </w:p>
        </w:tc>
      </w:tr>
    </w:tbl>
    <w:p>
      <w:pPr>
        <w:pStyle w:val="BodyText"/>
        <w:spacing w:line="260" w:lineRule="exact"/>
        <w:ind w:left="1134" w:right="3499"/>
        <w:jc w:val="left"/>
      </w:pPr>
      <w:r>
        <w:rPr/>
        <w:t>说明：</w:t>
      </w:r>
    </w:p>
    <w:p>
      <w:pPr>
        <w:pStyle w:val="BodyText"/>
        <w:spacing w:line="240" w:lineRule="auto" w:before="37"/>
        <w:ind w:left="1134" w:right="3499"/>
        <w:jc w:val="left"/>
      </w:pPr>
      <w:r>
        <w:rPr/>
        <w:t>（</w:t>
      </w:r>
      <w:r>
        <w:rPr>
          <w:rFonts w:ascii="宋体" w:hAnsi="宋体" w:cs="宋体" w:eastAsia="宋体" w:hint="default"/>
        </w:rPr>
        <w:t>1</w:t>
      </w:r>
      <w:r>
        <w:rPr/>
        <w:t>）股本溢价增减变动：</w:t>
      </w:r>
    </w:p>
    <w:p>
      <w:pPr>
        <w:pStyle w:val="BodyText"/>
        <w:spacing w:line="273" w:lineRule="auto" w:before="37"/>
        <w:ind w:left="1134" w:right="1188"/>
        <w:jc w:val="left"/>
      </w:pPr>
      <w:r>
        <w:rPr>
          <w:rFonts w:ascii="宋体" w:hAnsi="宋体" w:cs="宋体" w:eastAsia="宋体" w:hint="default"/>
        </w:rPr>
        <w:t>A.</w:t>
      </w:r>
      <w:r>
        <w:rPr>
          <w:rFonts w:ascii="宋体" w:hAnsi="宋体" w:cs="宋体" w:eastAsia="宋体" w:hint="default"/>
          <w:spacing w:val="9"/>
        </w:rPr>
        <w:t> </w:t>
      </w:r>
      <w:r>
        <w:rPr/>
        <w:t>本公司本期公开发行人民币普通股（</w:t>
      </w:r>
      <w:r>
        <w:rPr>
          <w:rFonts w:ascii="宋体" w:hAnsi="宋体" w:cs="宋体" w:eastAsia="宋体" w:hint="default"/>
        </w:rPr>
        <w:t>A</w:t>
      </w:r>
      <w:r>
        <w:rPr/>
        <w:t>股）</w:t>
      </w:r>
      <w:r>
        <w:rPr>
          <w:rFonts w:ascii="宋体" w:hAnsi="宋体" w:cs="宋体" w:eastAsia="宋体" w:hint="default"/>
        </w:rPr>
        <w:t>25,000,000</w:t>
      </w:r>
      <w:r>
        <w:rPr/>
        <w:t>股（每股面值</w:t>
      </w:r>
      <w:r>
        <w:rPr>
          <w:rFonts w:ascii="宋体" w:hAnsi="宋体" w:cs="宋体" w:eastAsia="宋体" w:hint="default"/>
        </w:rPr>
        <w:t>1</w:t>
      </w:r>
      <w:r>
        <w:rPr/>
        <w:t>元），发行价格为</w:t>
      </w:r>
      <w:r>
        <w:rPr>
          <w:rFonts w:ascii="宋体" w:hAnsi="宋体" w:cs="宋体" w:eastAsia="宋体" w:hint="default"/>
        </w:rPr>
        <w:t>23.27</w:t>
      </w:r>
      <w:r>
        <w:rPr/>
        <w:t>元</w:t>
      </w:r>
      <w:r>
        <w:rPr>
          <w:rFonts w:ascii="宋体" w:hAnsi="宋体" w:cs="宋体" w:eastAsia="宋体" w:hint="default"/>
        </w:rPr>
        <w:t>/</w:t>
      </w:r>
      <w:r>
        <w:rPr/>
        <w:t>股， 扣除承销及保荐费用人民币</w:t>
      </w:r>
      <w:r>
        <w:rPr>
          <w:rFonts w:ascii="宋体" w:hAnsi="宋体" w:cs="宋体" w:eastAsia="宋体" w:hint="default"/>
        </w:rPr>
        <w:t>41,310,000.00</w:t>
      </w:r>
      <w:r>
        <w:rPr/>
        <w:t>元，扣除其他发行费用</w:t>
      </w:r>
      <w:r>
        <w:rPr>
          <w:rFonts w:ascii="宋体" w:hAnsi="宋体" w:cs="宋体" w:eastAsia="宋体" w:hint="default"/>
        </w:rPr>
        <w:t>9,358,584.90</w:t>
      </w:r>
      <w:r>
        <w:rPr/>
        <w:t>元，增加股本溢价 </w:t>
      </w:r>
      <w:r>
        <w:rPr>
          <w:rFonts w:ascii="宋体" w:hAnsi="宋体" w:cs="宋体" w:eastAsia="宋体" w:hint="default"/>
        </w:rPr>
        <w:t>506,081,415.10</w:t>
      </w:r>
      <w:r>
        <w:rPr/>
        <w:t>元。</w:t>
      </w:r>
    </w:p>
    <w:p>
      <w:pPr>
        <w:pStyle w:val="BodyText"/>
        <w:spacing w:line="273" w:lineRule="auto" w:before="7"/>
        <w:ind w:right="1017"/>
        <w:jc w:val="left"/>
      </w:pPr>
      <w:r>
        <w:rPr>
          <w:rFonts w:ascii="宋体" w:hAnsi="宋体" w:cs="宋体" w:eastAsia="宋体" w:hint="default"/>
        </w:rPr>
        <w:t>B.</w:t>
      </w:r>
      <w:r>
        <w:rPr/>
        <w:t>本公司之全资子公司香港天集有限公司原持股</w:t>
      </w:r>
      <w:r>
        <w:rPr>
          <w:rFonts w:ascii="宋体" w:hAnsi="宋体" w:cs="宋体" w:eastAsia="宋体" w:hint="default"/>
        </w:rPr>
        <w:t>Longtrans Holding</w:t>
      </w:r>
      <w:r>
        <w:rPr>
          <w:rFonts w:ascii="宋体" w:hAnsi="宋体" w:cs="宋体" w:eastAsia="宋体" w:hint="default"/>
          <w:spacing w:val="-4"/>
        </w:rPr>
        <w:t> </w:t>
      </w:r>
      <w:r>
        <w:rPr>
          <w:rFonts w:ascii="宋体" w:hAnsi="宋体" w:cs="宋体" w:eastAsia="宋体" w:hint="default"/>
        </w:rPr>
        <w:t>Ltd.</w:t>
      </w:r>
      <w:r>
        <w:rPr/>
        <w:t>股权</w:t>
      </w:r>
      <w:r>
        <w:rPr>
          <w:rFonts w:ascii="宋体" w:hAnsi="宋体" w:cs="宋体" w:eastAsia="宋体" w:hint="default"/>
        </w:rPr>
        <w:t>100.00%</w:t>
      </w:r>
      <w:r>
        <w:rPr/>
        <w:t>，根据香港天集与 </w:t>
      </w:r>
      <w:r>
        <w:rPr>
          <w:rFonts w:ascii="宋体" w:hAnsi="宋体" w:cs="宋体" w:eastAsia="宋体" w:hint="default"/>
        </w:rPr>
        <w:t>Intel</w:t>
      </w:r>
      <w:r>
        <w:rPr>
          <w:rFonts w:ascii="宋体" w:hAnsi="宋体" w:cs="宋体" w:eastAsia="宋体" w:hint="default"/>
          <w:spacing w:val="-51"/>
        </w:rPr>
        <w:t> </w:t>
      </w:r>
      <w:r>
        <w:rPr>
          <w:rFonts w:ascii="宋体" w:hAnsi="宋体" w:cs="宋体" w:eastAsia="宋体" w:hint="default"/>
        </w:rPr>
        <w:t>Capital</w:t>
      </w:r>
      <w:r>
        <w:rPr>
          <w:rFonts w:ascii="宋体" w:hAnsi="宋体" w:cs="宋体" w:eastAsia="宋体" w:hint="default"/>
          <w:spacing w:val="-51"/>
        </w:rPr>
        <w:t> </w:t>
      </w:r>
      <w:r>
        <w:rPr>
          <w:rFonts w:ascii="宋体" w:hAnsi="宋体" w:cs="宋体" w:eastAsia="宋体" w:hint="default"/>
          <w:spacing w:val="-4"/>
        </w:rPr>
        <w:t>Corporation</w:t>
      </w:r>
      <w:r>
        <w:rPr>
          <w:spacing w:val="-4"/>
        </w:rPr>
        <w:t>（简称</w:t>
      </w:r>
      <w:r>
        <w:rPr>
          <w:rFonts w:ascii="宋体" w:hAnsi="宋体" w:cs="宋体" w:eastAsia="宋体" w:hint="default"/>
          <w:spacing w:val="-4"/>
        </w:rPr>
        <w:t>Intel</w:t>
      </w:r>
      <w:r>
        <w:rPr>
          <w:spacing w:val="-4"/>
        </w:rPr>
        <w:t>）签订股权购买协议，</w:t>
      </w:r>
      <w:r>
        <w:rPr>
          <w:rFonts w:ascii="宋体" w:hAnsi="宋体" w:cs="宋体" w:eastAsia="宋体" w:hint="default"/>
          <w:spacing w:val="-4"/>
        </w:rPr>
        <w:t>Intel</w:t>
      </w:r>
      <w:r>
        <w:rPr>
          <w:spacing w:val="-4"/>
        </w:rPr>
        <w:t>于</w:t>
      </w:r>
      <w:r>
        <w:rPr>
          <w:rFonts w:ascii="宋体" w:hAnsi="宋体" w:cs="宋体" w:eastAsia="宋体" w:hint="default"/>
          <w:spacing w:val="-4"/>
        </w:rPr>
        <w:t>2015</w:t>
      </w:r>
      <w:r>
        <w:rPr>
          <w:spacing w:val="-4"/>
        </w:rPr>
        <w:t>年</w:t>
      </w:r>
      <w:r>
        <w:rPr>
          <w:rFonts w:ascii="宋体" w:hAnsi="宋体" w:cs="宋体" w:eastAsia="宋体" w:hint="default"/>
          <w:spacing w:val="-4"/>
        </w:rPr>
        <w:t>12</w:t>
      </w:r>
      <w:r>
        <w:rPr>
          <w:spacing w:val="-4"/>
        </w:rPr>
        <w:t>月认购</w:t>
      </w:r>
      <w:r>
        <w:rPr>
          <w:rFonts w:ascii="宋体" w:hAnsi="宋体" w:cs="宋体" w:eastAsia="宋体" w:hint="default"/>
          <w:spacing w:val="-4"/>
        </w:rPr>
        <w:t>Longtrans</w:t>
      </w:r>
      <w:r>
        <w:rPr>
          <w:spacing w:val="-4"/>
        </w:rPr>
        <w:t>公司</w:t>
      </w:r>
      <w:r>
        <w:rPr>
          <w:rFonts w:ascii="宋体" w:hAnsi="宋体" w:cs="宋体" w:eastAsia="宋体" w:hint="default"/>
          <w:spacing w:val="-4"/>
        </w:rPr>
        <w:t>19.9%</w:t>
      </w:r>
      <w:r>
        <w:rPr>
          <w:rFonts w:ascii="宋体" w:hAnsi="宋体" w:cs="宋体" w:eastAsia="宋体" w:hint="default"/>
          <w:spacing w:val="-103"/>
        </w:rPr>
        <w:t> </w:t>
      </w:r>
      <w:r>
        <w:rPr/>
        <w:t>股权，交易对价</w:t>
      </w:r>
      <w:r>
        <w:rPr>
          <w:rFonts w:ascii="宋体" w:hAnsi="宋体" w:cs="宋体" w:eastAsia="宋体" w:hint="default"/>
        </w:rPr>
        <w:t>99</w:t>
      </w:r>
      <w:r>
        <w:rPr/>
        <w:t>万美元，同时香港天集对</w:t>
      </w:r>
      <w:r>
        <w:rPr>
          <w:rFonts w:ascii="宋体" w:hAnsi="宋体" w:cs="宋体" w:eastAsia="宋体" w:hint="default"/>
        </w:rPr>
        <w:t>Longtrans</w:t>
      </w:r>
      <w:r>
        <w:rPr/>
        <w:t>增资至</w:t>
      </w:r>
      <w:r>
        <w:rPr>
          <w:rFonts w:ascii="宋体" w:hAnsi="宋体" w:cs="宋体" w:eastAsia="宋体" w:hint="default"/>
        </w:rPr>
        <w:t>200</w:t>
      </w:r>
      <w:r>
        <w:rPr/>
        <w:t>万美元，持股比例减至</w:t>
      </w:r>
      <w:r>
        <w:rPr>
          <w:rFonts w:ascii="宋体" w:hAnsi="宋体" w:cs="宋体" w:eastAsia="宋体" w:hint="default"/>
        </w:rPr>
        <w:t>80.1%</w:t>
      </w:r>
      <w:r>
        <w:rPr/>
        <w:t>，该股权交 易未导致香港天集丧失对</w:t>
      </w:r>
      <w:r>
        <w:rPr>
          <w:rFonts w:ascii="宋体" w:hAnsi="宋体" w:cs="宋体" w:eastAsia="宋体" w:hint="default"/>
        </w:rPr>
        <w:t>Longtrans</w:t>
      </w:r>
      <w:r>
        <w:rPr/>
        <w:t>的控制权。相关股权变更手续已于</w:t>
      </w:r>
      <w:r>
        <w:rPr>
          <w:rFonts w:ascii="宋体" w:hAnsi="宋体" w:cs="宋体" w:eastAsia="宋体" w:hint="default"/>
        </w:rPr>
        <w:t>2015</w:t>
      </w:r>
      <w:r>
        <w:rPr/>
        <w:t>年</w:t>
      </w:r>
      <w:r>
        <w:rPr>
          <w:rFonts w:ascii="宋体" w:hAnsi="宋体" w:cs="宋体" w:eastAsia="宋体" w:hint="default"/>
        </w:rPr>
        <w:t>12</w:t>
      </w:r>
      <w:r>
        <w:rPr/>
        <w:t>月办理完毕。此次变更产 </w:t>
      </w:r>
      <w:r>
        <w:rPr>
          <w:spacing w:val="-3"/>
        </w:rPr>
        <w:t>生未丧失控制权的权益性交易</w:t>
      </w:r>
      <w:r>
        <w:rPr>
          <w:rFonts w:ascii="宋体" w:hAnsi="宋体" w:cs="宋体" w:eastAsia="宋体" w:hint="default"/>
          <w:spacing w:val="-3"/>
        </w:rPr>
        <w:t>3,488,634.24</w:t>
      </w:r>
      <w:r>
        <w:rPr>
          <w:spacing w:val="-3"/>
        </w:rPr>
        <w:t>元，计入资本公积，相应增加本集团股本溢价</w:t>
      </w:r>
      <w:r>
        <w:rPr>
          <w:rFonts w:ascii="宋体" w:hAnsi="宋体" w:cs="宋体" w:eastAsia="宋体" w:hint="default"/>
          <w:spacing w:val="-3"/>
        </w:rPr>
        <w:t>3,488,634.24</w:t>
      </w:r>
      <w:r>
        <w:rPr>
          <w:spacing w:val="-3"/>
        </w:rPr>
        <w:t>元。</w:t>
      </w:r>
      <w:r>
        <w:rPr>
          <w:spacing w:val="-56"/>
        </w:rPr>
        <w:t> </w:t>
      </w:r>
      <w:r>
        <w:rPr>
          <w:rFonts w:ascii="宋体" w:hAnsi="宋体" w:cs="宋体" w:eastAsia="宋体" w:hint="default"/>
        </w:rPr>
        <w:t>C.</w:t>
      </w:r>
      <w:r>
        <w:rPr/>
        <w:t>本公司之全资子公司香港天集有限公司原持有联营公司</w:t>
      </w:r>
      <w:r>
        <w:rPr>
          <w:rFonts w:ascii="宋体" w:hAnsi="宋体" w:cs="宋体" w:eastAsia="宋体" w:hint="default"/>
        </w:rPr>
        <w:t>T2Mobile</w:t>
      </w:r>
      <w:r>
        <w:rPr>
          <w:rFonts w:ascii="宋体" w:hAnsi="宋体" w:cs="宋体" w:eastAsia="宋体" w:hint="default"/>
          <w:spacing w:val="-3"/>
        </w:rPr>
        <w:t> </w:t>
      </w:r>
      <w:r>
        <w:rPr>
          <w:rFonts w:ascii="宋体" w:hAnsi="宋体" w:cs="宋体" w:eastAsia="宋体" w:hint="default"/>
        </w:rPr>
        <w:t>Limited</w:t>
      </w:r>
      <w:r>
        <w:rPr/>
        <w:t>（简称</w:t>
      </w:r>
      <w:r>
        <w:rPr>
          <w:rFonts w:ascii="宋体" w:hAnsi="宋体" w:cs="宋体" w:eastAsia="宋体" w:hint="default"/>
        </w:rPr>
        <w:t>T2Mobile</w:t>
      </w:r>
      <w:r>
        <w:rPr/>
        <w:t>）</w:t>
      </w:r>
      <w:r>
        <w:rPr>
          <w:rFonts w:ascii="宋体" w:hAnsi="宋体" w:cs="宋体" w:eastAsia="宋体" w:hint="default"/>
        </w:rPr>
        <w:t>46%</w:t>
      </w:r>
      <w:r>
        <w:rPr/>
        <w:t>股权， </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T2Mobile</w:t>
      </w:r>
      <w:r>
        <w:rPr/>
        <w:t>增发股票，导致香港天集持股比例减至</w:t>
      </w:r>
      <w:r>
        <w:rPr>
          <w:rFonts w:ascii="宋体" w:hAnsi="宋体" w:cs="宋体" w:eastAsia="宋体" w:hint="default"/>
        </w:rPr>
        <w:t>30.37%</w:t>
      </w:r>
      <w:r>
        <w:rPr/>
        <w:t>。此次变更产生权益性交易</w:t>
      </w:r>
      <w:r>
        <w:rPr>
          <w:rFonts w:ascii="宋体" w:hAnsi="宋体" w:cs="宋体" w:eastAsia="宋体" w:hint="default"/>
        </w:rPr>
        <w:t>352,933.48 </w:t>
      </w:r>
      <w:r>
        <w:rPr/>
        <w:t>元，计入资本公积，相应增加本集团股本溢价</w:t>
      </w:r>
      <w:r>
        <w:rPr>
          <w:rFonts w:ascii="宋体" w:hAnsi="宋体" w:cs="宋体" w:eastAsia="宋体" w:hint="default"/>
        </w:rPr>
        <w:t>352,933.48</w:t>
      </w:r>
      <w:r>
        <w:rPr/>
        <w:t>元。</w:t>
      </w:r>
    </w:p>
    <w:p>
      <w:pPr>
        <w:pStyle w:val="BodyText"/>
        <w:spacing w:line="240" w:lineRule="auto" w:before="7"/>
        <w:ind w:right="3499"/>
        <w:jc w:val="left"/>
      </w:pPr>
      <w:r>
        <w:rPr/>
        <w:t>（</w:t>
      </w:r>
      <w:r>
        <w:rPr>
          <w:rFonts w:ascii="宋体" w:hAnsi="宋体" w:cs="宋体" w:eastAsia="宋体" w:hint="default"/>
        </w:rPr>
        <w:t>2</w:t>
      </w:r>
      <w:r>
        <w:rPr/>
        <w:t>）其他资本公积增减变动：</w:t>
      </w:r>
    </w:p>
    <w:p>
      <w:pPr>
        <w:pStyle w:val="BodyText"/>
        <w:spacing w:line="273" w:lineRule="auto" w:before="37"/>
        <w:ind w:right="1191"/>
        <w:jc w:val="left"/>
      </w:pPr>
      <w:r>
        <w:rPr>
          <w:rFonts w:ascii="宋体" w:hAnsi="宋体" w:cs="宋体" w:eastAsia="宋体" w:hint="default"/>
        </w:rPr>
        <w:t>A. </w:t>
      </w:r>
      <w:r>
        <w:rPr/>
        <w:t>本公司之间接控制全资子公司</w:t>
      </w:r>
      <w:r>
        <w:rPr>
          <w:rFonts w:ascii="宋体" w:hAnsi="宋体" w:cs="宋体" w:eastAsia="宋体" w:hint="default"/>
        </w:rPr>
        <w:t>Mobile Focus Holding Ltd.</w:t>
      </w:r>
      <w:r>
        <w:rPr/>
        <w:t>的联营公司</w:t>
      </w:r>
      <w:r>
        <w:rPr>
          <w:rFonts w:ascii="宋体" w:hAnsi="宋体" w:cs="宋体" w:eastAsia="宋体" w:hint="default"/>
        </w:rPr>
        <w:t>Point Mobile Co.</w:t>
      </w:r>
      <w:r>
        <w:rPr>
          <w:rFonts w:ascii="宋体" w:hAnsi="宋体" w:cs="宋体" w:eastAsia="宋体" w:hint="default"/>
          <w:spacing w:val="7"/>
        </w:rPr>
        <w:t> </w:t>
      </w:r>
      <w:r>
        <w:rPr>
          <w:rFonts w:ascii="宋体" w:hAnsi="宋体" w:cs="宋体" w:eastAsia="宋体" w:hint="default"/>
        </w:rPr>
        <w:t>Ltd.</w:t>
      </w:r>
      <w:r>
        <w:rPr/>
        <w:t>因实施 股份支付增加资本公积</w:t>
      </w:r>
      <w:r>
        <w:rPr>
          <w:rFonts w:ascii="宋体" w:hAnsi="宋体" w:cs="宋体" w:eastAsia="宋体" w:hint="default"/>
        </w:rPr>
        <w:t>9,057,441.09</w:t>
      </w:r>
      <w:r>
        <w:rPr/>
        <w:t>元，相应增加长期股权投资</w:t>
      </w:r>
      <w:r>
        <w:rPr>
          <w:rFonts w:ascii="宋体" w:hAnsi="宋体" w:cs="宋体" w:eastAsia="宋体" w:hint="default"/>
        </w:rPr>
        <w:t>9,057,441.09</w:t>
      </w:r>
      <w:r>
        <w:rPr/>
        <w:t>元。</w:t>
      </w:r>
    </w:p>
    <w:p>
      <w:pPr>
        <w:pStyle w:val="BodyText"/>
        <w:spacing w:line="240" w:lineRule="auto" w:before="7"/>
        <w:ind w:right="3499"/>
        <w:jc w:val="left"/>
      </w:pPr>
      <w:r>
        <w:rPr>
          <w:rFonts w:ascii="宋体" w:hAnsi="宋体" w:cs="宋体" w:eastAsia="宋体" w:hint="default"/>
        </w:rPr>
        <w:t>B.</w:t>
      </w:r>
      <w:r>
        <w:rPr>
          <w:rFonts w:ascii="宋体" w:hAnsi="宋体" w:cs="宋体" w:eastAsia="宋体" w:hint="default"/>
          <w:spacing w:val="11"/>
        </w:rPr>
        <w:t> </w:t>
      </w:r>
      <w:r>
        <w:rPr/>
        <w:t>上述股份支付权益法核算增加其他资本公积</w:t>
      </w:r>
      <w:r>
        <w:rPr>
          <w:rFonts w:ascii="宋体" w:hAnsi="宋体" w:cs="宋体" w:eastAsia="宋体" w:hint="default"/>
        </w:rPr>
        <w:t>5,580,874.90</w:t>
      </w:r>
      <w:r>
        <w:rPr/>
        <w:t>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3"/>
        <w:spacing w:line="240" w:lineRule="auto"/>
        <w:ind w:right="3499"/>
        <w:jc w:val="left"/>
        <w:rPr>
          <w:b w:val="0"/>
          <w:bCs w:val="0"/>
        </w:rPr>
      </w:pPr>
      <w:bookmarkStart w:name="56、库存股" w:id="355"/>
      <w:bookmarkEnd w:id="355"/>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spacing w:before="44"/>
        <w:ind w:left="1133" w:right="3499"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right="3499"/>
        <w:jc w:val="left"/>
        <w:rPr>
          <w:b w:val="0"/>
          <w:bCs w:val="0"/>
        </w:rPr>
      </w:pPr>
      <w:bookmarkStart w:name="57、其他综合收益" w:id="356"/>
      <w:bookmarkEnd w:id="356"/>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-3,562,645.21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1,079,460.9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1,079,460.9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-2,483,18</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4.23</w:t>
            </w:r>
          </w:p>
        </w:tc>
      </w:tr>
      <w:tr>
        <w:trPr>
          <w:trHeight w:val="1026"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1,058,045.8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1,058,045.8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1,058,045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-3,562,645.21</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21,415.15</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21,415.15</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-3,541,23</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0.06</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-3,562,645.21</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1,079,460.9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1,079,460.9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-2,483,18</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4.23</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2"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pStyle w:val="BodyText"/>
        <w:spacing w:line="256" w:lineRule="auto" w:before="89"/>
        <w:ind w:right="0"/>
        <w:jc w:val="left"/>
      </w:pPr>
      <w:r>
        <w:rPr>
          <w:spacing w:val="-2"/>
        </w:rPr>
        <w:t>其他综合收益的税后净额本期发生额为</w:t>
      </w:r>
      <w:r>
        <w:rPr>
          <w:rFonts w:ascii="Times New Roman" w:hAnsi="Times New Roman" w:cs="Times New Roman" w:eastAsia="Times New Roman" w:hint="default"/>
          <w:spacing w:val="-2"/>
        </w:rPr>
        <w:t>1,079,460.98</w:t>
      </w:r>
      <w:r>
        <w:rPr>
          <w:spacing w:val="-2"/>
        </w:rPr>
        <w:t>。其中，归属于母公司股东的其他综合收益的税后净额</w:t>
      </w:r>
      <w:r>
        <w:rPr>
          <w:spacing w:val="-78"/>
        </w:rPr>
        <w:t> </w:t>
      </w:r>
      <w:r>
        <w:rPr>
          <w:spacing w:val="-78"/>
        </w:rPr>
      </w:r>
      <w:r>
        <w:rPr/>
        <w:t>本期发生额为</w:t>
      </w:r>
      <w:r>
        <w:rPr>
          <w:rFonts w:ascii="Times New Roman" w:hAnsi="Times New Roman" w:cs="Times New Roman" w:eastAsia="Times New Roman" w:hint="default"/>
        </w:rPr>
        <w:t>1,079,460.98</w:t>
      </w:r>
      <w:r>
        <w:rPr/>
        <w:t>；归属于少数股东的其他综合收益的税后净额的本期发生额为</w:t>
      </w:r>
      <w:r>
        <w:rPr>
          <w:rFonts w:ascii="Times New Roman" w:hAnsi="Times New Roman" w:cs="Times New Roman" w:eastAsia="Times New Roman" w:hint="default"/>
        </w:rPr>
        <w:t>0.00</w:t>
      </w:r>
      <w:r>
        <w:rPr/>
        <w:t>。</w:t>
      </w:r>
    </w:p>
    <w:p>
      <w:pPr>
        <w:spacing w:line="240" w:lineRule="auto" w:before="5"/>
        <w:rPr>
          <w:rFonts w:ascii="宋体" w:hAnsi="宋体" w:cs="宋体" w:eastAsia="宋体" w:hint="default"/>
          <w:sz w:val="23"/>
          <w:szCs w:val="23"/>
        </w:rPr>
      </w:pPr>
    </w:p>
    <w:p>
      <w:pPr>
        <w:pStyle w:val="Heading3"/>
        <w:spacing w:line="240" w:lineRule="auto"/>
        <w:ind w:left="1134" w:right="3499"/>
        <w:jc w:val="left"/>
        <w:rPr>
          <w:b w:val="0"/>
          <w:bCs w:val="0"/>
        </w:rPr>
      </w:pPr>
      <w:bookmarkStart w:name="58、专项储备" w:id="357"/>
      <w:bookmarkEnd w:id="357"/>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134" w:right="3499"/>
        <w:jc w:val="left"/>
        <w:rPr>
          <w:b w:val="0"/>
          <w:bCs w:val="0"/>
        </w:rPr>
      </w:pPr>
      <w:bookmarkStart w:name="59、盈余公积" w:id="358"/>
      <w:bookmarkEnd w:id="358"/>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22,572,694.33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11,289,675.44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33,862,369.77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22,572,694.33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11,289,675.44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33,862,369.77</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134" w:right="3499"/>
        <w:jc w:val="left"/>
        <w:rPr>
          <w:b w:val="0"/>
          <w:bCs w:val="0"/>
        </w:rPr>
      </w:pPr>
      <w:bookmarkStart w:name="60、未分配利润" w:id="359"/>
      <w:bookmarkEnd w:id="359"/>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725"/>
        <w:gridCol w:w="2925"/>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174,603,498.28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97,166,709.72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174,603,498.28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97,166,709.72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116,609,383.31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112,311,779.00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11,289,675.44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8,624,990.44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26,250,000.00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242,423,206.15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174,603,498.28</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2"/>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3"/>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2"/>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2"/>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10"/>
        <w:rPr>
          <w:rFonts w:ascii="宋体" w:hAnsi="宋体" w:cs="宋体" w:eastAsia="宋体" w:hint="default"/>
          <w:sz w:val="25"/>
          <w:szCs w:val="25"/>
        </w:rPr>
      </w:pPr>
    </w:p>
    <w:p>
      <w:pPr>
        <w:pStyle w:val="Heading3"/>
        <w:spacing w:line="240" w:lineRule="auto"/>
        <w:ind w:right="3499"/>
        <w:jc w:val="left"/>
        <w:rPr>
          <w:b w:val="0"/>
          <w:bCs w:val="0"/>
        </w:rPr>
      </w:pPr>
      <w:bookmarkStart w:name="61、营业收入和营业成本" w:id="360"/>
      <w:bookmarkEnd w:id="360"/>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614,909,790.72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297,692,318.02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451,601,063.21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206,517,687.36</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553,549.25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421,658.61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608,530.88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886,423.77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615,463,339.97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298,113,976.63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452,209,594.09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207,404,111.13</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62、营业税金及附加" w:id="361"/>
      <w:bookmarkEnd w:id="361"/>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42,620.92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29,660.79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1,455,861.79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1,180,395.62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1,039,720.43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851,765.96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9,591.28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2,547,794.42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2,061,822.37</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3499"/>
        <w:jc w:val="left"/>
        <w:rPr>
          <w:b w:val="0"/>
          <w:bCs w:val="0"/>
        </w:rPr>
      </w:pPr>
      <w:bookmarkStart w:name="63、销售费用" w:id="362"/>
      <w:bookmarkEnd w:id="362"/>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15,285,737.07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8,160,587.83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2,117,671.55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1,817,817.01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咨询及服务费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112,046.37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250,142.39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1,225,045.15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1,697,581.40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折旧及日常办公费用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2,022,223.05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1,167,901.05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20,762,723.19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13,094,029.68</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3499"/>
        <w:jc w:val="left"/>
        <w:rPr>
          <w:b w:val="0"/>
          <w:bCs w:val="0"/>
        </w:rPr>
      </w:pPr>
      <w:bookmarkStart w:name="64、管理费用" w:id="363"/>
      <w:bookmarkEnd w:id="363"/>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138,094,773.59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95,021,226.86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6,205,602.68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5,389,061.95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5,752,406.10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3,374,907.34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咨询及服务费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12,978,945.84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4,705,746.23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房租及物业维护费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9,644,954.15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4,374,513.53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日常办公费用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15,182,075.40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13,664,007.91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187,858,757.76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126,529,463.82</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3499"/>
        <w:jc w:val="left"/>
        <w:rPr>
          <w:b w:val="0"/>
          <w:bCs w:val="0"/>
        </w:rPr>
      </w:pPr>
      <w:bookmarkStart w:name="65、财务费用" w:id="364"/>
      <w:bookmarkEnd w:id="364"/>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2,228,992.51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17,803.06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-2,120,275.74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-1,409,534.45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-5,408,805.93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3,866,609.56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1,450,419.77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954,330.43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-3,849,669.39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3,429,208.60</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3499"/>
        <w:jc w:val="left"/>
        <w:rPr>
          <w:b w:val="0"/>
          <w:bCs w:val="0"/>
        </w:rPr>
      </w:pPr>
      <w:bookmarkStart w:name="66、资产减值损失" w:id="365"/>
      <w:bookmarkEnd w:id="365"/>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2,334,065.61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732,748.71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2,334,065.61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732,748.71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spacing w:before="44"/>
        <w:ind w:left="1133"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3499"/>
        <w:jc w:val="left"/>
        <w:rPr>
          <w:b w:val="0"/>
          <w:bCs w:val="0"/>
        </w:rPr>
      </w:pPr>
      <w:bookmarkStart w:name="67、公允价值变动收益" w:id="366"/>
      <w:bookmarkEnd w:id="366"/>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3499"/>
        <w:jc w:val="left"/>
        <w:rPr>
          <w:b w:val="0"/>
          <w:bCs w:val="0"/>
        </w:rPr>
      </w:pPr>
      <w:bookmarkStart w:name="68、投资收益" w:id="367"/>
      <w:bookmarkEnd w:id="367"/>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-2,108,186.91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85,753.52</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187,300.00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量产生的利得</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450,595.47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-1,470,291.44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85,753.52</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3499"/>
        <w:jc w:val="left"/>
        <w:rPr>
          <w:b w:val="0"/>
          <w:bCs w:val="0"/>
        </w:rPr>
      </w:pPr>
      <w:bookmarkStart w:name="69、营业外收入" w:id="368"/>
      <w:bookmarkEnd w:id="368"/>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22,962,150.72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21,566,300.53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7,321,494.49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2,829.14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2,829.14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22,964,979.86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21,566,300.53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7,324,323.63</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566"/>
        <w:gridCol w:w="2268"/>
        <w:gridCol w:w="850"/>
        <w:gridCol w:w="569"/>
        <w:gridCol w:w="1133"/>
        <w:gridCol w:w="1134"/>
        <w:gridCol w:w="922"/>
      </w:tblGrid>
      <w:tr>
        <w:trPr>
          <w:trHeight w:val="1026"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4"/>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8" w:right="96"/>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 w:right="59"/>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9" w:right="97"/>
              <w:jc w:val="both"/>
              <w:rPr>
                <w:rFonts w:ascii="宋体" w:hAnsi="宋体" w:cs="宋体" w:eastAsia="宋体" w:hint="default"/>
                <w:sz w:val="18"/>
                <w:szCs w:val="18"/>
              </w:rPr>
            </w:pPr>
            <w:r>
              <w:rPr>
                <w:rFonts w:ascii="宋体" w:hAnsi="宋体" w:cs="宋体" w:eastAsia="宋体" w:hint="default"/>
                <w:sz w:val="18"/>
                <w:szCs w:val="18"/>
              </w:rPr>
              <w:t>是否 特殊 补贴</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71" w:right="111"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71" w:right="110"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增值税即征 即退</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7"/>
              <w:jc w:val="right"/>
              <w:rPr>
                <w:rFonts w:ascii="宋体" w:hAnsi="宋体" w:cs="宋体" w:eastAsia="宋体" w:hint="default"/>
                <w:sz w:val="18"/>
                <w:szCs w:val="18"/>
              </w:rPr>
            </w:pPr>
            <w:r>
              <w:rPr>
                <w:rFonts w:ascii="宋体" w:hAnsi="宋体" w:cs="宋体" w:eastAsia="宋体" w:hint="default"/>
                <w:sz w:val="18"/>
                <w:szCs w:val="18"/>
              </w:rPr>
              <w:t>国家税务局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15,640,656.23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9,546,709.52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成都高新区 移动互联网 产业发展支 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成都高新区 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5"/>
              <w:jc w:val="both"/>
              <w:rPr>
                <w:rFonts w:ascii="宋体" w:hAnsi="宋体" w:cs="宋体" w:eastAsia="宋体" w:hint="default"/>
                <w:sz w:val="18"/>
                <w:szCs w:val="18"/>
              </w:rPr>
            </w:pPr>
            <w:r>
              <w:rPr>
                <w:rFonts w:ascii="宋体" w:hAnsi="宋体" w:cs="宋体" w:eastAsia="宋体" w:hint="default"/>
                <w:sz w:val="18"/>
                <w:szCs w:val="18"/>
              </w:rPr>
              <w:t>因符合地方政府招商引资等 地方性扶持政策而获得的补 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9"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r>
        <w:rPr/>
        <w:pict>
          <v:group style="position:absolute;margin-left:163.339996pt;margin-top:241.999985pt;width:27.85pt;height:23.4pt;mso-position-horizontal-relative:page;mso-position-vertical-relative:page;z-index:-925144" coordorigin="3267,4840" coordsize="557,468">
            <v:shape style="position:absolute;left:3267;top:4840;width:557;height:468" coordorigin="3267,4840" coordsize="557,468" path="m3267,5308l3824,5308,3824,4840,3267,4840,3267,5308xe" filled="true" fillcolor="#ffffff" stroked="false">
              <v:path arrowok="t"/>
              <v:fill type="solid"/>
            </v:shape>
            <w10:wrap type="none"/>
          </v:group>
        </w:pict>
      </w:r>
      <w:r>
        <w:rPr/>
        <w:pict>
          <v:group style="position:absolute;margin-left:163.339996pt;margin-top:442.719971pt;width:27.85pt;height:23.4pt;mso-position-horizontal-relative:page;mso-position-vertical-relative:page;z-index:-925120" coordorigin="3267,8854" coordsize="557,468">
            <v:shape style="position:absolute;left:3267;top:8854;width:557;height:468" coordorigin="3267,8854" coordsize="557,468" path="m3267,9322l3824,9322,3824,8854,3267,8854,3267,9322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1066"/>
        <w:gridCol w:w="1062"/>
        <w:gridCol w:w="566"/>
        <w:gridCol w:w="2268"/>
        <w:gridCol w:w="850"/>
        <w:gridCol w:w="569"/>
        <w:gridCol w:w="1133"/>
        <w:gridCol w:w="1134"/>
        <w:gridCol w:w="922"/>
      </w:tblGrid>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国家信息安 全专项补助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中国科学院 信息工程研 究所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0"/>
              <w:jc w:val="right"/>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成都高新区 人才补贴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成都高新区 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0"/>
              <w:jc w:val="right"/>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因符合地方政府招商引资等 地方性扶持政策而获得的补 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844,000.00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356,000.00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中关村国际 化发展专项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北京中关村 海外科技园 有限责任公 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70"/>
              <w:jc w:val="right"/>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5"/>
              <w:jc w:val="left"/>
              <w:rPr>
                <w:rFonts w:ascii="宋体" w:hAnsi="宋体" w:cs="宋体" w:eastAsia="宋体" w:hint="default"/>
                <w:sz w:val="18"/>
                <w:szCs w:val="18"/>
              </w:rPr>
            </w:pPr>
            <w:r>
              <w:rPr>
                <w:rFonts w:ascii="宋体" w:hAnsi="宋体" w:cs="宋体" w:eastAsia="宋体" w:hint="default"/>
                <w:sz w:val="18"/>
                <w:szCs w:val="18"/>
              </w:rPr>
              <w:t>因研究开发、技术更新及改 造等获得的补助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583,760.00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671,187.29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雨花台区软 件产业综合 发展专项资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中国（南京 软件谷管委 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5"/>
              <w:jc w:val="both"/>
              <w:rPr>
                <w:rFonts w:ascii="宋体" w:hAnsi="宋体" w:cs="宋体" w:eastAsia="宋体" w:hint="default"/>
                <w:sz w:val="18"/>
                <w:szCs w:val="18"/>
              </w:rPr>
            </w:pPr>
            <w:r>
              <w:rPr>
                <w:rFonts w:ascii="宋体" w:hAnsi="宋体" w:cs="宋体" w:eastAsia="宋体" w:hint="default"/>
                <w:sz w:val="18"/>
                <w:szCs w:val="18"/>
              </w:rPr>
              <w:t>因符合地方政府招商引资等 地方性扶持政策而获得的补 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450,550.00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成都市服务 外包发展项 目支持资金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成都市财政 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0"/>
              <w:jc w:val="right"/>
              <w:rPr>
                <w:rFonts w:ascii="宋体" w:hAnsi="宋体" w:cs="宋体" w:eastAsia="宋体" w:hint="default"/>
                <w:sz w:val="18"/>
                <w:szCs w:val="18"/>
              </w:rPr>
            </w:pPr>
            <w:r>
              <w:rPr>
                <w:rFonts w:ascii="宋体" w:hAnsi="宋体" w:cs="宋体" w:eastAsia="宋体" w:hint="default"/>
                <w:sz w:val="18"/>
                <w:szCs w:val="18"/>
              </w:rPr>
              <w:t>奖励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中国（南京） 软件谷管委 会江苏省双 创人才扶持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65pt;height:23.4pt;mso-position-horizontal-relative:char;mso-position-vertical-relative:line" coordorigin="0,0" coordsize="1053,468">
                  <v:group style="position:absolute;left:0;top:0;width:1053;height:468" coordorigin="0,0" coordsize="1053,468">
                    <v:shape style="position:absolute;left:0;top:0;width:1053;height:468" coordorigin="0,0" coordsize="1053,468" path="m0,468l1052,468,1052,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319"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雨花台区财 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5"/>
              <w:jc w:val="both"/>
              <w:rPr>
                <w:rFonts w:ascii="宋体" w:hAnsi="宋体" w:cs="宋体" w:eastAsia="宋体" w:hint="default"/>
                <w:sz w:val="18"/>
                <w:szCs w:val="18"/>
              </w:rPr>
            </w:pPr>
            <w:r>
              <w:rPr>
                <w:rFonts w:ascii="宋体" w:hAnsi="宋体" w:cs="宋体" w:eastAsia="宋体" w:hint="default"/>
                <w:sz w:val="18"/>
                <w:szCs w:val="18"/>
              </w:rPr>
              <w:t>因符合地方政府招商引资等 地方性扶持政策而获得的补 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软件谷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年南京市国 际服务贸易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中国（南京 软件谷管委 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5"/>
              <w:jc w:val="both"/>
              <w:rPr>
                <w:rFonts w:ascii="宋体" w:hAnsi="宋体" w:cs="宋体" w:eastAsia="宋体" w:hint="default"/>
                <w:sz w:val="18"/>
                <w:szCs w:val="18"/>
              </w:rPr>
            </w:pPr>
            <w:r>
              <w:rPr>
                <w:rFonts w:ascii="宋体" w:hAnsi="宋体" w:cs="宋体" w:eastAsia="宋体" w:hint="default"/>
                <w:sz w:val="18"/>
                <w:szCs w:val="18"/>
              </w:rPr>
              <w:t>因符合地方政府招商引资等 地方性扶持政策而获得的补 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中关村产业 技术联盟重 大应用示范 项目支持资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园区管理委 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高新区鼓励 企业壮大规 模资金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成都高新区 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0"/>
              <w:jc w:val="right"/>
              <w:rPr>
                <w:rFonts w:ascii="宋体" w:hAnsi="宋体" w:cs="宋体" w:eastAsia="宋体" w:hint="default"/>
                <w:sz w:val="18"/>
                <w:szCs w:val="18"/>
              </w:rPr>
            </w:pPr>
            <w:r>
              <w:rPr>
                <w:rFonts w:ascii="宋体" w:hAnsi="宋体" w:cs="宋体" w:eastAsia="宋体" w:hint="default"/>
                <w:sz w:val="18"/>
                <w:szCs w:val="18"/>
              </w:rPr>
              <w:t>奖励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因符合地方政府招商引资等 地方性扶持政策而获得的补 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四川省企业 技术创新专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四川省财政 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0"/>
              <w:jc w:val="right"/>
              <w:rPr>
                <w:rFonts w:ascii="宋体" w:hAnsi="宋体" w:cs="宋体" w:eastAsia="宋体" w:hint="default"/>
                <w:sz w:val="18"/>
                <w:szCs w:val="18"/>
              </w:rPr>
            </w:pPr>
            <w:r>
              <w:rPr>
                <w:rFonts w:ascii="宋体" w:hAnsi="宋体" w:cs="宋体" w:eastAsia="宋体" w:hint="default"/>
                <w:sz w:val="18"/>
                <w:szCs w:val="18"/>
              </w:rPr>
              <w:t>奖励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5"/>
              <w:jc w:val="left"/>
              <w:rPr>
                <w:rFonts w:ascii="宋体" w:hAnsi="宋体" w:cs="宋体" w:eastAsia="宋体" w:hint="default"/>
                <w:sz w:val="18"/>
                <w:szCs w:val="18"/>
              </w:rPr>
            </w:pPr>
            <w:r>
              <w:rPr>
                <w:rFonts w:ascii="宋体" w:hAnsi="宋体" w:cs="宋体" w:eastAsia="宋体" w:hint="default"/>
                <w:sz w:val="18"/>
                <w:szCs w:val="18"/>
              </w:rPr>
              <w:t>因研究开发、技术更新及改 造等获得的补助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外经贸发展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北京市商务 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0"/>
              <w:jc w:val="right"/>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332,000.00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南京软件谷</w:t>
            </w:r>
          </w:p>
        </w:tc>
        <w:tc>
          <w:tcPr>
            <w:tcW w:w="1062"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566"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51"/>
              <w:ind w:left="-147" w:right="170"/>
              <w:jc w:val="right"/>
              <w:rPr>
                <w:rFonts w:ascii="宋体" w:hAnsi="宋体" w:cs="宋体" w:eastAsia="宋体" w:hint="default"/>
                <w:sz w:val="18"/>
                <w:szCs w:val="18"/>
              </w:rPr>
            </w:pPr>
            <w:r>
              <w:rPr>
                <w:rFonts w:ascii="宋体" w:hAnsi="宋体" w:cs="宋体" w:eastAsia="宋体" w:hint="default"/>
                <w:spacing w:val="-6"/>
                <w:position w:val="-1"/>
                <w:sz w:val="18"/>
                <w:szCs w:val="18"/>
              </w:rPr>
              <w:t>）</w:t>
            </w:r>
            <w:r>
              <w:rPr>
                <w:rFonts w:ascii="宋体" w:hAnsi="宋体" w:cs="宋体" w:eastAsia="宋体" w:hint="default"/>
                <w:spacing w:val="-6"/>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因符合地方政府招商引资等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123,600.00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与收益相</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r>
        <w:rPr/>
        <w:pict>
          <v:group style="position:absolute;margin-left:163.339996pt;margin-top:106.199982pt;width:27.85pt;height:23.4pt;mso-position-horizontal-relative:page;mso-position-vertical-relative:page;z-index:-925096" coordorigin="3267,2124" coordsize="557,468">
            <v:shape style="position:absolute;left:3267;top:2124;width:557;height:468" coordorigin="3267,2124" coordsize="557,468" path="m3267,2592l3824,2592,3824,2124,3267,2124,3267,2592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1066"/>
        <w:gridCol w:w="1062"/>
        <w:gridCol w:w="566"/>
        <w:gridCol w:w="2268"/>
        <w:gridCol w:w="850"/>
        <w:gridCol w:w="569"/>
        <w:gridCol w:w="1133"/>
        <w:gridCol w:w="1134"/>
        <w:gridCol w:w="922"/>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科技创业扶 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7"/>
              <w:jc w:val="left"/>
              <w:rPr>
                <w:rFonts w:ascii="宋体" w:hAnsi="宋体" w:cs="宋体" w:eastAsia="宋体" w:hint="default"/>
                <w:sz w:val="18"/>
                <w:szCs w:val="18"/>
              </w:rPr>
            </w:pPr>
            <w:r>
              <w:rPr>
                <w:rFonts w:ascii="宋体" w:hAnsi="宋体" w:cs="宋体" w:eastAsia="宋体" w:hint="default"/>
                <w:sz w:val="18"/>
                <w:szCs w:val="18"/>
              </w:rPr>
              <w:t>软件谷管委 会</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5"/>
              <w:jc w:val="left"/>
              <w:rPr>
                <w:rFonts w:ascii="宋体" w:hAnsi="宋体" w:cs="宋体" w:eastAsia="宋体" w:hint="default"/>
                <w:sz w:val="18"/>
                <w:szCs w:val="18"/>
              </w:rPr>
            </w:pPr>
            <w:r>
              <w:rPr>
                <w:rFonts w:ascii="宋体" w:hAnsi="宋体" w:cs="宋体" w:eastAsia="宋体" w:hint="default"/>
                <w:sz w:val="18"/>
                <w:szCs w:val="18"/>
              </w:rPr>
              <w:t>地方性扶持政策而获得的补 助</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南京市</w:t>
            </w:r>
            <w:r>
              <w:rPr>
                <w:rFonts w:ascii="Times New Roman" w:hAnsi="Times New Roman" w:cs="Times New Roman" w:eastAsia="Times New Roman" w:hint="default"/>
                <w:sz w:val="18"/>
                <w:szCs w:val="18"/>
              </w:rPr>
              <w:t>"321</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计划</w:t>
            </w:r>
            <w:r>
              <w:rPr>
                <w:rFonts w:ascii="Times New Roman" w:hAnsi="Times New Roman" w:cs="Times New Roman" w:eastAsia="Times New Roman" w:hint="default"/>
                <w:sz w:val="18"/>
                <w:szCs w:val="18"/>
              </w:rPr>
              <w:t>"</w:t>
            </w:r>
            <w:r>
              <w:rPr>
                <w:rFonts w:ascii="宋体" w:hAnsi="宋体" w:cs="宋体" w:eastAsia="宋体" w:hint="default"/>
                <w:sz w:val="18"/>
                <w:szCs w:val="18"/>
              </w:rPr>
              <w:t>人才引 进专项资金 补助款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中国（南京 软件谷管委 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5"/>
              <w:jc w:val="both"/>
              <w:rPr>
                <w:rFonts w:ascii="宋体" w:hAnsi="宋体" w:cs="宋体" w:eastAsia="宋体" w:hint="default"/>
                <w:sz w:val="18"/>
                <w:szCs w:val="18"/>
              </w:rPr>
            </w:pPr>
            <w:r>
              <w:rPr>
                <w:rFonts w:ascii="宋体" w:hAnsi="宋体" w:cs="宋体" w:eastAsia="宋体" w:hint="default"/>
                <w:sz w:val="18"/>
                <w:szCs w:val="18"/>
              </w:rPr>
              <w:t>因符合地方政府招商引资等 地方性扶持政策而获得的补 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120,000.00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高新区鼓励 企业上规入 库资金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成都高新区 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因符合地方政府招商引资等 地方性扶持政策而获得的补 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上海市科技 型中小企业 创新资金补 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徐汇区财政 </w:t>
            </w:r>
            <w:r>
              <w:rPr>
                <w:rFonts w:ascii="宋体" w:hAnsi="宋体" w:cs="宋体" w:eastAsia="宋体" w:hint="default"/>
                <w:spacing w:val="-13"/>
                <w:sz w:val="18"/>
                <w:szCs w:val="18"/>
              </w:rPr>
              <w:t>局（上海市科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学技术委员 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5"/>
              <w:jc w:val="left"/>
              <w:rPr>
                <w:rFonts w:ascii="宋体" w:hAnsi="宋体" w:cs="宋体" w:eastAsia="宋体" w:hint="default"/>
                <w:sz w:val="18"/>
                <w:szCs w:val="18"/>
              </w:rPr>
            </w:pPr>
            <w:r>
              <w:rPr>
                <w:rFonts w:ascii="宋体" w:hAnsi="宋体" w:cs="宋体" w:eastAsia="宋体" w:hint="default"/>
                <w:sz w:val="18"/>
                <w:szCs w:val="18"/>
              </w:rPr>
              <w:t>因研究开发、技术更新及改 造等获得的补助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年度北 京市服务外 包发展配套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北京市商务 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4,059,700.00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骨干型服务 外包企业增 长奖励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北京市海淀 区商务委员 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公共研发服 务平台奖励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 关村示范区 产业技术联 盟重大应用 示范项目补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园区管理委 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成都高新区 房租补贴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成都高新区 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因符合地方政府招商引资等 地方性扶持政策而获得的补 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637,700.00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年海英 人才</w:t>
            </w:r>
            <w:r>
              <w:rPr>
                <w:rFonts w:ascii="Times New Roman" w:hAnsi="Times New Roman" w:cs="Times New Roman" w:eastAsia="Times New Roman" w:hint="default"/>
                <w:sz w:val="18"/>
                <w:szCs w:val="18"/>
              </w:rPr>
              <w:t>-</w:t>
            </w:r>
            <w:r>
              <w:rPr>
                <w:rFonts w:ascii="宋体" w:hAnsi="宋体" w:cs="宋体" w:eastAsia="宋体" w:hint="default"/>
                <w:sz w:val="18"/>
                <w:szCs w:val="18"/>
              </w:rPr>
              <w:t>已入选 人才后续资 助专项资金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543,000.00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中关村国家 自主创新示 范区支持企 业改制上市 公司资助资</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园区管理委 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75"/>
              <w:jc w:val="both"/>
              <w:rPr>
                <w:rFonts w:ascii="宋体" w:hAnsi="宋体" w:cs="宋体" w:eastAsia="宋体" w:hint="default"/>
                <w:sz w:val="18"/>
                <w:szCs w:val="18"/>
              </w:rPr>
            </w:pPr>
            <w:r>
              <w:rPr>
                <w:rFonts w:ascii="宋体" w:hAnsi="宋体" w:cs="宋体" w:eastAsia="宋体" w:hint="default"/>
                <w:sz w:val="18"/>
                <w:szCs w:val="18"/>
              </w:rPr>
              <w:t>因符合地方政府招商引资等 地方性扶持政策而获得的补 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9"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r>
        <w:rPr/>
        <w:pict>
          <v:group style="position:absolute;margin-left:163.339996pt;margin-top:141.919983pt;width:27.85pt;height:15.6pt;mso-position-horizontal-relative:page;mso-position-vertical-relative:page;z-index:-925072" coordorigin="3267,2838" coordsize="557,312">
            <v:shape style="position:absolute;left:3267;top:2838;width:557;height:312" coordorigin="3267,2838" coordsize="557,312" path="m3267,3150l3824,3150,3824,2838,3267,2838,3267,3150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1066"/>
        <w:gridCol w:w="1062"/>
        <w:gridCol w:w="566"/>
        <w:gridCol w:w="2268"/>
        <w:gridCol w:w="850"/>
        <w:gridCol w:w="569"/>
        <w:gridCol w:w="1133"/>
        <w:gridCol w:w="1134"/>
        <w:gridCol w:w="922"/>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成都高新区 软件产业发 展专项资金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成都高新区 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0"/>
              <w:jc w:val="right"/>
              <w:rPr>
                <w:rFonts w:ascii="宋体" w:hAnsi="宋体" w:cs="宋体" w:eastAsia="宋体" w:hint="default"/>
                <w:sz w:val="18"/>
                <w:szCs w:val="18"/>
              </w:rPr>
            </w:pPr>
            <w:r>
              <w:rPr>
                <w:rFonts w:ascii="宋体" w:hAnsi="宋体" w:cs="宋体" w:eastAsia="宋体" w:hint="default"/>
                <w:sz w:val="18"/>
                <w:szCs w:val="18"/>
              </w:rPr>
              <w:t>奖励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5"/>
              <w:jc w:val="left"/>
              <w:rPr>
                <w:rFonts w:ascii="宋体" w:hAnsi="宋体" w:cs="宋体" w:eastAsia="宋体" w:hint="default"/>
                <w:sz w:val="18"/>
                <w:szCs w:val="18"/>
              </w:rPr>
            </w:pPr>
            <w:r>
              <w:rPr>
                <w:rFonts w:ascii="宋体" w:hAnsi="宋体" w:cs="宋体" w:eastAsia="宋体" w:hint="default"/>
                <w:sz w:val="18"/>
                <w:szCs w:val="18"/>
              </w:rPr>
              <w:t>因研究开发、技术更新及改 造等获得的补助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科技创业扶 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中国（南京 软件谷管委 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因符合地方政府招商引资等 地方性扶持政策而获得的补 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260,838.00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232,584.49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114,165.72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22,962,150.72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21,566,300.53</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78"/>
        <w:ind w:left="1134" w:right="3499"/>
        <w:jc w:val="left"/>
        <w:rPr>
          <w:b w:val="0"/>
          <w:bCs w:val="0"/>
        </w:rPr>
      </w:pPr>
      <w:bookmarkStart w:name="70、营业外支出" w:id="369"/>
      <w:bookmarkEnd w:id="369"/>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1,034,644.66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24,207.67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24,207.67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1,058,852.33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10,826.32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24,207.67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1134" w:right="3499"/>
        <w:jc w:val="left"/>
        <w:rPr>
          <w:b w:val="0"/>
          <w:bCs w:val="0"/>
        </w:rPr>
      </w:pPr>
      <w:bookmarkStart w:name="71、所得税费用" w:id="370"/>
      <w:bookmarkEnd w:id="370"/>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3499"/>
        <w:jc w:val="left"/>
        <w:rPr>
          <w:b w:val="0"/>
          <w:bCs w:val="0"/>
        </w:rPr>
      </w:pPr>
      <w:bookmarkStart w:name="（1）所得税费用表" w:id="371"/>
      <w:bookmarkEnd w:id="37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13,649,878.81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8,634,003.20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-1,901,134.19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-346,344.69</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11,748,744.62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8,287,658.51</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2）会计利润与所得税费用调整过程" w:id="372"/>
      <w:bookmarkEnd w:id="37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128,131,527.84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19,107,831.67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-2,454,196.96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352,544.89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-2,297,001.78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2,489,990.63</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2,934,292.97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权益法核算的合营企业和联营企业损益</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394,670.23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-1,319,324.49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-7,389,483.28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-70,579.26</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11,748,744.62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1134" w:right="3499"/>
        <w:jc w:val="left"/>
        <w:rPr>
          <w:b w:val="0"/>
          <w:bCs w:val="0"/>
        </w:rPr>
      </w:pPr>
      <w:bookmarkStart w:name="72、其他综合收益" w:id="373"/>
      <w:bookmarkEnd w:id="373"/>
      <w:r>
        <w:rPr>
          <w:b w:val="0"/>
          <w:bCs w:val="0"/>
        </w:rPr>
      </w:r>
      <w:r>
        <w:rPr>
          <w:rFonts w:ascii="Times New Roman" w:hAnsi="Times New Roman" w:cs="Times New Roman" w:eastAsia="Times New Roman" w:hint="default"/>
        </w:rPr>
        <w:t>72</w:t>
      </w:r>
      <w:r>
        <w:rPr/>
        <w:t>、其他综合收益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3499"/>
        <w:jc w:val="left"/>
        <w:rPr>
          <w:b w:val="0"/>
          <w:bCs w:val="0"/>
        </w:rPr>
      </w:pPr>
      <w:bookmarkStart w:name="73、现金流量表项目" w:id="374"/>
      <w:bookmarkEnd w:id="374"/>
      <w:r>
        <w:rPr>
          <w:b w:val="0"/>
          <w:bCs w:val="0"/>
        </w:rPr>
      </w:r>
      <w:r>
        <w:rPr>
          <w:rFonts w:ascii="Times New Roman" w:hAnsi="Times New Roman" w:cs="Times New Roman" w:eastAsia="Times New Roman" w:hint="default"/>
        </w:rPr>
        <w:t>73</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499"/>
        <w:jc w:val="left"/>
        <w:rPr>
          <w:b w:val="0"/>
          <w:bCs w:val="0"/>
        </w:rPr>
      </w:pPr>
      <w:bookmarkStart w:name="（1）收到的其他与经营活动有关的现金" w:id="375"/>
      <w:bookmarkEnd w:id="37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7,321,494.49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12,019,591.01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保证金及其他往来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737,224.68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1,346,314.84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2,120,275.74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1,409,483.63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所得税汇算退税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6,140,867.56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16,319,862.47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14,775,389.48</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left="1134" w:right="3499"/>
        <w:jc w:val="left"/>
        <w:rPr>
          <w:b w:val="0"/>
          <w:bCs w:val="0"/>
        </w:rPr>
      </w:pPr>
      <w:bookmarkStart w:name="（2）支付的其他与经营活动有关的现金" w:id="376"/>
      <w:bookmarkEnd w:id="37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48,336,569.14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30,762,831.31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保证金及其他往来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4,922,401.36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2,626,355.54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员工购房借款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3,266,666.71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24,193.80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10,105.32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56,549,831.01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33,399,292.17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1134" w:right="3499"/>
        <w:jc w:val="left"/>
        <w:rPr>
          <w:b w:val="0"/>
          <w:bCs w:val="0"/>
        </w:rPr>
      </w:pPr>
      <w:bookmarkStart w:name="（3）收到的其他与投资活动有关的现金" w:id="377"/>
      <w:bookmarkEnd w:id="377"/>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4）支付的其他与投资活动有关的现金" w:id="378"/>
      <w:bookmarkEnd w:id="378"/>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被动稀释处置子公司支付的现金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28,987,200.51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28,987,200.51</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5）收到的其他与筹资活动有关的现金" w:id="379"/>
      <w:bookmarkEnd w:id="379"/>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6）支付的其他与筹资活动有关的现金" w:id="380"/>
      <w:bookmarkEnd w:id="380"/>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受到限制的存款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50,588,570.68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20,920,900.00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支付贷款手续费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287,048.00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274,661.00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预付上市款项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5,306,073.00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56,181,691.68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22,195,561.00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74、现金流量表补充资料" w:id="381"/>
      <w:bookmarkEnd w:id="381"/>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499"/>
        <w:jc w:val="left"/>
        <w:rPr>
          <w:b w:val="0"/>
          <w:bCs w:val="0"/>
        </w:rPr>
      </w:pPr>
      <w:bookmarkStart w:name="（1）现金流量表补充资料" w:id="382"/>
      <w:bookmarkEnd w:id="382"/>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16"/>
        <w:gridCol w:w="3057"/>
        <w:gridCol w:w="3173"/>
      </w:tblGrid>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9"/>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4" w:right="0"/>
              <w:jc w:val="left"/>
              <w:rPr>
                <w:rFonts w:ascii="Times New Roman" w:hAnsi="Times New Roman" w:cs="Times New Roman" w:eastAsia="Times New Roman" w:hint="default"/>
                <w:sz w:val="18"/>
                <w:szCs w:val="18"/>
              </w:rPr>
            </w:pPr>
            <w:r>
              <w:rPr>
                <w:rFonts w:ascii="Times New Roman"/>
                <w:sz w:val="18"/>
              </w:rPr>
              <w:t>116,382,783.22</w:t>
            </w: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0" w:right="0"/>
              <w:jc w:val="left"/>
              <w:rPr>
                <w:rFonts w:ascii="Times New Roman" w:hAnsi="Times New Roman" w:cs="Times New Roman" w:eastAsia="Times New Roman" w:hint="default"/>
                <w:sz w:val="18"/>
                <w:szCs w:val="18"/>
              </w:rPr>
            </w:pPr>
            <w:r>
              <w:rPr>
                <w:rFonts w:ascii="Times New Roman"/>
                <w:spacing w:val="-2"/>
                <w:sz w:val="18"/>
              </w:rPr>
              <w:t>112,311,779.00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r>
        <w:rPr/>
        <w:pict>
          <v:group style="position:absolute;margin-left:223.339996pt;margin-top:208.12999pt;width:151.25pt;height:20.8pt;mso-position-horizontal-relative:page;mso-position-vertical-relative:page;z-index:-925048" coordorigin="4467,4163" coordsize="3025,416">
            <v:group style="position:absolute;left:4478;top:4174;width:2;height:393" coordorigin="4478,4174" coordsize="2,393">
              <v:shape style="position:absolute;left:4478;top:4174;width:2;height:393" coordorigin="4478,4174" coordsize="0,393" path="m4478,4174l4478,4566e" filled="false" stroked="true" strokeweight="1.140pt" strokecolor="#ffffff">
                <v:path arrowok="t"/>
              </v:shape>
            </v:group>
            <v:group style="position:absolute;left:4490;top:4174;width:3002;height:393" coordorigin="4490,4174" coordsize="3002,393">
              <v:shape style="position:absolute;left:4490;top:4174;width:3002;height:393" coordorigin="4490,4174" coordsize="3002,393" path="m4490,4566l7491,4566,7491,4174,4490,4174,4490,4566xe" filled="true" fillcolor="#ffffff" stroked="false">
                <v:path arrowok="t"/>
                <v:fill type="solid"/>
              </v:shape>
            </v:group>
            <w10:wrap type="none"/>
          </v:group>
        </w:pict>
      </w:r>
    </w:p>
    <w:tbl>
      <w:tblPr>
        <w:tblW w:w="0" w:type="auto"/>
        <w:jc w:val="left"/>
        <w:tblInd w:w="114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2,334,065.61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732,748.71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6,865,632.14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4,820,428.58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971,783.48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688,224.09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2,196,574.24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2,464,532.02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1,186,630.99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1,205,726.75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1,470,291.44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-85,753.52</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1" w:right="0"/>
              <w:jc w:val="left"/>
              <w:rPr>
                <w:rFonts w:ascii="Times New Roman" w:hAnsi="Times New Roman" w:cs="Times New Roman" w:eastAsia="Times New Roman" w:hint="default"/>
                <w:sz w:val="18"/>
                <w:szCs w:val="18"/>
              </w:rPr>
            </w:pPr>
            <w:r>
              <w:rPr>
                <w:rFonts w:ascii="Times New Roman"/>
                <w:sz w:val="18"/>
              </w:rPr>
              <w:t>-1,901,134.19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-346,344.69</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-1,179,750.32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-3,242,161.77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-120,771,433.45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-59,317,370.67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24,073,555.55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11,172,309.87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31,628,998.71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70,404,118.37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667,435,328.68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179,775,296.61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179,775,296.61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166,507,159.82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487,660,032.07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13,268,136.79</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2）本期支付的取得子公司的现金净额" w:id="383"/>
      <w:bookmarkEnd w:id="383"/>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1134" w:right="3499"/>
        <w:jc w:val="left"/>
        <w:rPr>
          <w:b w:val="0"/>
          <w:bCs w:val="0"/>
        </w:rPr>
      </w:pPr>
      <w:bookmarkStart w:name="（3）本期收到的处置子公司的现金净额" w:id="384"/>
      <w:bookmarkEnd w:id="384"/>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北京安创空间科技有限公司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28,987,200.51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北京安创空间科技有限公司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28,987,200.51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-28,987,200.51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1134" w:right="3499"/>
        <w:jc w:val="left"/>
        <w:rPr>
          <w:b w:val="0"/>
          <w:bCs w:val="0"/>
        </w:rPr>
      </w:pPr>
      <w:bookmarkStart w:name="（4）现金和现金等价物的构成" w:id="385"/>
      <w:bookmarkEnd w:id="385"/>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667,435,328.68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179,775,296.61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414,885.13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284,996.12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650,722,770.02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179,231,018.12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16,297,673.53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259,282.37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667,435,328.68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179,775,296.61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line="547" w:lineRule="auto" w:before="35"/>
        <w:ind w:left="1133" w:right="5373" w:firstLine="0"/>
        <w:jc w:val="left"/>
        <w:rPr>
          <w:rFonts w:ascii="宋体" w:hAnsi="宋体" w:cs="宋体" w:eastAsia="宋体" w:hint="default"/>
          <w:sz w:val="21"/>
          <w:szCs w:val="21"/>
        </w:rPr>
      </w:pPr>
      <w:bookmarkStart w:name="75、所有者权益变动表项目注释" w:id="386"/>
      <w:bookmarkEnd w:id="386"/>
      <w:r>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6、所有权或使用权受到限制的资产" w:id="387"/>
      <w:bookmarkEnd w:id="387"/>
      <w:r>
        <w:rPr>
          <w:rFonts w:ascii="宋体" w:hAnsi="宋体" w:cs="宋体" w:eastAsia="宋体" w:hint="default"/>
          <w:sz w:val="18"/>
          <w:szCs w:val="18"/>
        </w:rPr>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71,509,470.68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开立备用信用证质押、短期借款质押</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71,509,470.68</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left="1134" w:right="3499"/>
        <w:jc w:val="left"/>
        <w:rPr>
          <w:b w:val="0"/>
          <w:bCs w:val="0"/>
        </w:rPr>
      </w:pPr>
      <w:bookmarkStart w:name="77、外币货币性项目" w:id="388"/>
      <w:bookmarkEnd w:id="388"/>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499"/>
        <w:jc w:val="left"/>
        <w:rPr>
          <w:b w:val="0"/>
          <w:bCs w:val="0"/>
        </w:rPr>
      </w:pPr>
      <w:bookmarkStart w:name="（1）外币货币性项目" w:id="389"/>
      <w:bookmarkEnd w:id="389"/>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84"/>
        <w:gridCol w:w="2305"/>
        <w:gridCol w:w="2391"/>
        <w:gridCol w:w="2389"/>
      </w:tblGrid>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73,048,314.43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6,397,840.93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41,545,019.86</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24,178.32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20,256.60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521,911,904.00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0.053875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28,118,003.83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14,320,695.00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0.1970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2,821,176.92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98,649,958.73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0.005513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543,857.22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78,967,109.37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9,136,911.34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59,331,447.48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364,467,042.04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0.053875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19,635,661.89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73" w:lineRule="auto" w:before="35"/>
        <w:ind w:right="0"/>
        <w:jc w:val="left"/>
        <w:rPr>
          <w:b w:val="0"/>
          <w:bCs w:val="0"/>
        </w:rPr>
      </w:pPr>
      <w:bookmarkStart w:name="（2）境外经营实体说明，包括对于重要的境外经营实体，应披露其境外主要经营地、记账" w:id="390"/>
      <w:bookmarkEnd w:id="390"/>
      <w:r>
        <w:rPr>
          <w:b w:val="0"/>
          <w:bCs w:val="0"/>
        </w:rPr>
      </w:r>
      <w:r>
        <w:rPr/>
        <w:t>（</w:t>
      </w:r>
      <w:r>
        <w:rPr>
          <w:rFonts w:ascii="宋体" w:hAnsi="宋体" w:cs="宋体" w:eastAsia="宋体" w:hint="default"/>
        </w:rPr>
        <w:t>2</w:t>
      </w:r>
      <w:r>
        <w:rPr/>
        <w:t>）境外经营实体说明，包括对于重要的境外经营实体，应披露其境外主要经营地、记账本位币及选择</w:t>
      </w:r>
      <w:r>
        <w:rPr>
          <w:spacing w:val="-63"/>
        </w:rPr>
        <w:t> </w:t>
      </w:r>
      <w:r>
        <w:rPr>
          <w:spacing w:val="-63"/>
        </w:rPr>
      </w:r>
      <w:r>
        <w:rPr/>
        <w:t>依据，记账本位币发生变化的还应披露原因。</w:t>
      </w:r>
      <w:r>
        <w:rPr>
          <w:b w:val="0"/>
          <w:bCs w:val="0"/>
        </w:rPr>
      </w:r>
    </w:p>
    <w:p>
      <w:pPr>
        <w:spacing w:line="240" w:lineRule="auto" w:before="8"/>
        <w:rPr>
          <w:rFonts w:ascii="宋体" w:hAnsi="宋体" w:cs="宋体" w:eastAsia="宋体" w:hint="default"/>
          <w:b/>
          <w:bCs/>
          <w:sz w:val="23"/>
          <w:szCs w:val="23"/>
        </w:rPr>
      </w:pPr>
    </w:p>
    <w:p>
      <w:pPr>
        <w:pStyle w:val="BodyText"/>
        <w:spacing w:line="290" w:lineRule="auto"/>
        <w:ind w:left="1134" w:right="0"/>
        <w:jc w:val="left"/>
      </w:pPr>
      <w:r>
        <w:rPr/>
        <w:t>√ 适用 □</w:t>
      </w:r>
      <w:r>
        <w:rPr>
          <w:spacing w:val="-1"/>
        </w:rPr>
        <w:t> </w:t>
      </w:r>
      <w:r>
        <w:rPr/>
        <w:t>不适用</w:t>
      </w:r>
      <w:r>
        <w:rPr/>
        <w:t> </w:t>
      </w:r>
      <w:r>
        <w:rPr>
          <w:rFonts w:ascii="宋体" w:hAnsi="宋体" w:cs="宋体" w:eastAsia="宋体" w:hint="default"/>
        </w:rPr>
        <w:t>A</w:t>
      </w:r>
      <w:r>
        <w:rPr/>
        <w:t>本公司重要境外经营实体为中科创达软件科技（日本）有限公司，主要经营地在日本，记账本位币为日 元，本报告期记账本位币未发生变化。选择依据为该公司来源于集团外收入占集团总收入的</w:t>
      </w:r>
      <w:r>
        <w:rPr>
          <w:rFonts w:ascii="宋体" w:hAnsi="宋体" w:cs="宋体" w:eastAsia="宋体" w:hint="default"/>
        </w:rPr>
        <w:t>10%</w:t>
      </w:r>
      <w:r>
        <w:rPr/>
        <w:t>以上。</w:t>
      </w:r>
    </w:p>
    <w:p>
      <w:pPr>
        <w:pStyle w:val="BodyText"/>
        <w:spacing w:line="273" w:lineRule="auto"/>
        <w:ind w:left="1134" w:right="1125"/>
        <w:jc w:val="left"/>
      </w:pPr>
      <w:r>
        <w:rPr>
          <w:rFonts w:ascii="宋体" w:hAnsi="宋体" w:cs="宋体" w:eastAsia="宋体" w:hint="default"/>
          <w:spacing w:val="6"/>
        </w:rPr>
        <w:t>B</w:t>
      </w:r>
      <w:r>
        <w:rPr>
          <w:spacing w:val="6"/>
        </w:rPr>
        <w:t>本公司之全资子公司香港天集有限公司、中科创达香港有限公司、香港天盛有限公司、</w:t>
      </w:r>
      <w:r>
        <w:rPr>
          <w:rFonts w:ascii="宋体" w:hAnsi="宋体" w:cs="宋体" w:eastAsia="宋体" w:hint="default"/>
          <w:spacing w:val="6"/>
        </w:rPr>
        <w:t>Mobile</w:t>
      </w:r>
      <w:r>
        <w:rPr>
          <w:rFonts w:ascii="宋体" w:hAnsi="宋体" w:cs="宋体" w:eastAsia="宋体" w:hint="default"/>
          <w:spacing w:val="12"/>
        </w:rPr>
        <w:t> </w:t>
      </w:r>
      <w:r>
        <w:rPr>
          <w:rFonts w:ascii="宋体" w:hAnsi="宋体" w:cs="宋体" w:eastAsia="宋体" w:hint="default"/>
        </w:rPr>
        <w:t>Focus</w:t>
      </w:r>
      <w:r>
        <w:rPr>
          <w:rFonts w:ascii="宋体" w:hAnsi="宋体" w:cs="宋体" w:eastAsia="宋体" w:hint="default"/>
        </w:rPr>
        <w:t> Holding</w:t>
      </w:r>
      <w:r>
        <w:rPr>
          <w:rFonts w:ascii="宋体" w:hAnsi="宋体" w:cs="宋体" w:eastAsia="宋体" w:hint="default"/>
          <w:spacing w:val="-2"/>
        </w:rPr>
        <w:t> </w:t>
      </w:r>
      <w:r>
        <w:rPr>
          <w:rFonts w:ascii="宋体" w:hAnsi="宋体" w:cs="宋体" w:eastAsia="宋体" w:hint="default"/>
        </w:rPr>
        <w:t>Ltd.</w:t>
      </w:r>
      <w:r>
        <w:rPr/>
        <w:t>本期变更记账本位币为人民币，原记账本位币为美元。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left="1134" w:right="3499"/>
        <w:jc w:val="left"/>
        <w:rPr>
          <w:b w:val="0"/>
          <w:bCs w:val="0"/>
        </w:rPr>
      </w:pPr>
      <w:bookmarkStart w:name="78、套期" w:id="391"/>
      <w:bookmarkEnd w:id="391"/>
      <w:r>
        <w:rPr>
          <w:b w:val="0"/>
          <w:bCs w:val="0"/>
        </w:rPr>
      </w:r>
      <w:r>
        <w:rPr>
          <w:rFonts w:ascii="Times New Roman" w:hAnsi="Times New Roman" w:cs="Times New Roman" w:eastAsia="Times New Roman" w:hint="default"/>
        </w:rPr>
        <w:t>78</w:t>
      </w:r>
      <w:r>
        <w:rPr/>
        <w:t>、套期</w:t>
      </w:r>
      <w:r>
        <w:rPr>
          <w:b w:val="0"/>
          <w:bCs w:val="0"/>
        </w:rPr>
      </w:r>
    </w:p>
    <w:p>
      <w:pPr>
        <w:spacing w:line="240" w:lineRule="auto" w:before="9"/>
        <w:rPr>
          <w:rFonts w:ascii="宋体" w:hAnsi="宋体" w:cs="宋体" w:eastAsia="宋体" w:hint="default"/>
          <w:b/>
          <w:bCs/>
          <w:sz w:val="24"/>
          <w:szCs w:val="24"/>
        </w:rPr>
      </w:pPr>
    </w:p>
    <w:p>
      <w:pPr>
        <w:spacing w:line="487" w:lineRule="auto" w:before="0"/>
        <w:ind w:left="1133" w:right="8329" w:firstLine="0"/>
        <w:jc w:val="left"/>
        <w:rPr>
          <w:rFonts w:ascii="宋体" w:hAnsi="宋体" w:cs="宋体" w:eastAsia="宋体" w:hint="default"/>
          <w:sz w:val="21"/>
          <w:szCs w:val="21"/>
        </w:rPr>
      </w:pPr>
      <w:bookmarkStart w:name="79、其他" w:id="392"/>
      <w:bookmarkEnd w:id="392"/>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93"/>
      <w:bookmarkEnd w:id="393"/>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4"/>
      <w:bookmarkEnd w:id="39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3499"/>
        <w:jc w:val="left"/>
        <w:rPr>
          <w:b w:val="0"/>
          <w:bCs w:val="0"/>
        </w:rPr>
      </w:pPr>
      <w:bookmarkStart w:name="（1）本期发生的非同一控制下企业合并" w:id="395"/>
      <w:bookmarkEnd w:id="395"/>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1134" w:right="3499"/>
        <w:jc w:val="left"/>
        <w:rPr>
          <w:b w:val="0"/>
          <w:bCs w:val="0"/>
        </w:rPr>
      </w:pPr>
      <w:bookmarkStart w:name="（2）合并成本及商誉" w:id="396"/>
      <w:bookmarkEnd w:id="39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7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7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7e" filled="false" stroked="true" strokeweight=".48pt" strokecolor="#000000">
                <v:path arrowok="t"/>
              </v:shape>
              <v:shape style="position:absolute;left:5;top:10;width:4785;height:403"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5"/>
        <w:ind w:left="1134" w:right="3499"/>
        <w:jc w:val="left"/>
        <w:rPr>
          <w:b w:val="0"/>
          <w:bCs w:val="0"/>
        </w:rPr>
      </w:pPr>
      <w:bookmarkStart w:name="（3）被购买方于购买日可辨认资产、负债" w:id="397"/>
      <w:bookmarkEnd w:id="397"/>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40" w:type="dxa"/>
        <w:tblLayout w:type="fixed"/>
        <w:tblCellMar>
          <w:top w:w="0" w:type="dxa"/>
          <w:left w:w="0" w:type="dxa"/>
          <w:bottom w:w="0" w:type="dxa"/>
          <w:right w:w="0" w:type="dxa"/>
        </w:tblCellMar>
        <w:tblLook w:val="01E0"/>
      </w:tblPr>
      <w:tblGrid>
        <w:gridCol w:w="3179"/>
        <w:gridCol w:w="3190"/>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69"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4）购买日之前持有的股权按照公允价值重新计量产生的利得或损失" w:id="398"/>
      <w:bookmarkEnd w:id="398"/>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spacing w:before="0"/>
        <w:ind w:left="1134" w:right="3499"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购买日或合并当期期末无法合理确定合并对价或被购买方可辨认资产、负债公允价值" w:id="399"/>
      <w:bookmarkEnd w:id="399"/>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499"/>
        <w:jc w:val="left"/>
        <w:rPr>
          <w:b w:val="0"/>
          <w:bCs w:val="0"/>
        </w:rPr>
      </w:pPr>
      <w:bookmarkStart w:name="（6）其他说明" w:id="400"/>
      <w:bookmarkEnd w:id="400"/>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499"/>
        <w:jc w:val="left"/>
        <w:rPr>
          <w:b w:val="0"/>
          <w:bCs w:val="0"/>
        </w:rPr>
      </w:pPr>
      <w:bookmarkStart w:name="2、同一控制下企业合并" w:id="401"/>
      <w:bookmarkEnd w:id="401"/>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499"/>
        <w:jc w:val="left"/>
        <w:rPr>
          <w:b w:val="0"/>
          <w:bCs w:val="0"/>
        </w:rPr>
      </w:pPr>
      <w:bookmarkStart w:name="（1）本期发生的同一控制下企业合并" w:id="402"/>
      <w:bookmarkEnd w:id="402"/>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line="240" w:lineRule="auto" w:before="3"/>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2）合并成本" w:id="403"/>
      <w:bookmarkEnd w:id="403"/>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3"/>
        <w:spacing w:line="240" w:lineRule="auto" w:before="35"/>
        <w:ind w:left="1134" w:right="3499"/>
        <w:jc w:val="left"/>
        <w:rPr>
          <w:b w:val="0"/>
          <w:bCs w:val="0"/>
        </w:rPr>
      </w:pPr>
      <w:bookmarkStart w:name="（3）合并日被合并方资产、负债的账面价值" w:id="404"/>
      <w:bookmarkEnd w:id="404"/>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824" w:lineRule="exact"/>
        <w:ind w:left="112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5pt;mso-position-horizontal-relative:char;mso-position-vertical-relative:line" coordorigin="0,0" coordsize="9581,825">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3179;top:16;width:2;height:392" coordorigin="3179,16" coordsize="2,392">
              <v:shape style="position:absolute;left:3179;top:16;width:2;height:392" coordorigin="3179,16" coordsize="0,392" path="m3179,16l3179,407e" filled="false" stroked="true" strokeweight="1.140pt" strokecolor="#d2d2d2">
                <v:path arrowok="t"/>
              </v:shape>
            </v:group>
            <v:group style="position:absolute;left:32;top:16;width:3135;height:392" coordorigin="32,16" coordsize="3135,392">
              <v:shape style="position:absolute;left:32;top:16;width:3135;height:392" coordorigin="32,16" coordsize="3135,392" path="m32,407l3167,407,3167,16,32,16,32,407xe" filled="true" fillcolor="#d2d2d2" stroked="false">
                <v:path arrowok="t"/>
                <v:fill type="solid"/>
              </v:shape>
            </v:group>
            <v:group style="position:absolute;left:3212;top:16;width:2;height:392" coordorigin="3212,16" coordsize="2,392">
              <v:shape style="position:absolute;left:3212;top:16;width:2;height:392" coordorigin="3212,16" coordsize="0,392" path="m3212,16l3212,407e" filled="false" stroked="true" strokeweight="1.2pt" strokecolor="#e0ffff">
                <v:path arrowok="t"/>
              </v:shape>
            </v:group>
            <v:group style="position:absolute;left:9560;top:16;width:2;height:392" coordorigin="9560,16" coordsize="2,392">
              <v:shape style="position:absolute;left:9560;top:16;width:2;height:392" coordorigin="9560,16" coordsize="0,392" path="m9560,16l9560,407e" filled="false" stroked="true" strokeweight="1.140pt" strokecolor="#e0ffff">
                <v:path arrowok="t"/>
              </v:shape>
            </v:group>
            <v:group style="position:absolute;left:3224;top:16;width:6325;height:392" coordorigin="3224,16" coordsize="6325,392">
              <v:shape style="position:absolute;left:3224;top:16;width:6325;height:392" coordorigin="3224,16" coordsize="6325,392" path="m3224,407l9548,407,9548,16,3224,16,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8;width:2;height:392" coordorigin="21,418" coordsize="2,392">
              <v:shape style="position:absolute;left:21;top:418;width:2;height:392" coordorigin="21,418" coordsize="0,392" path="m21,418l21,809e" filled="false" stroked="true" strokeweight="1.140pt" strokecolor="#d2d2d2">
                <v:path arrowok="t"/>
              </v:shape>
            </v:group>
            <v:group style="position:absolute;left:3179;top:418;width:2;height:392" coordorigin="3179,418" coordsize="2,392">
              <v:shape style="position:absolute;left:3179;top:418;width:2;height:392" coordorigin="3179,418" coordsize="0,392" path="m3179,418l3179,809e" filled="false" stroked="true" strokeweight="1.140pt" strokecolor="#d2d2d2">
                <v:path arrowok="t"/>
              </v:shape>
            </v:group>
            <v:group style="position:absolute;left:32;top:418;width:3135;height:392" coordorigin="32,418" coordsize="3135,392">
              <v:shape style="position:absolute;left:32;top:418;width:3135;height:392" coordorigin="32,418" coordsize="3135,392" path="m32,809l3167,809,3167,418,32,418,32,809xe" filled="true" fillcolor="#d2d2d2" stroked="false">
                <v:path arrowok="t"/>
                <v:fill type="solid"/>
              </v:shape>
            </v:group>
            <v:group style="position:absolute;left:3212;top:418;width:2;height:392" coordorigin="3212,418" coordsize="2,392">
              <v:shape style="position:absolute;left:3212;top:418;width:2;height:392" coordorigin="3212,418" coordsize="0,392" path="m3212,418l3212,809e" filled="false" stroked="true" strokeweight="1.2pt" strokecolor="#d2d2d2">
                <v:path arrowok="t"/>
              </v:shape>
            </v:group>
            <v:group style="position:absolute;left:6369;top:418;width:2;height:392" coordorigin="6369,418" coordsize="2,392">
              <v:shape style="position:absolute;left:6369;top:418;width:2;height:392" coordorigin="6369,418" coordsize="0,392" path="m6369,418l6369,809e" filled="false" stroked="true" strokeweight="1.140pt" strokecolor="#d2d2d2">
                <v:path arrowok="t"/>
              </v:shape>
            </v:group>
            <v:group style="position:absolute;left:3224;top:418;width:3134;height:392" coordorigin="3224,418" coordsize="3134,392">
              <v:shape style="position:absolute;left:3224;top:418;width:3134;height:392" coordorigin="3224,418" coordsize="3134,392" path="m3224,809l6357,809,6357,418,3224,418,3224,809xe" filled="true" fillcolor="#d2d2d2" stroked="false">
                <v:path arrowok="t"/>
                <v:fill type="solid"/>
              </v:shape>
            </v:group>
            <v:group style="position:absolute;left:6402;top:418;width:2;height:392" coordorigin="6402,418" coordsize="2,392">
              <v:shape style="position:absolute;left:6402;top:418;width:2;height:392" coordorigin="6402,418" coordsize="0,392" path="m6402,418l6402,809e" filled="false" stroked="true" strokeweight="1.140pt" strokecolor="#d2d2d2">
                <v:path arrowok="t"/>
              </v:shape>
            </v:group>
            <v:group style="position:absolute;left:9560;top:418;width:2;height:392" coordorigin="9560,418" coordsize="2,392">
              <v:shape style="position:absolute;left:9560;top:418;width:2;height:392" coordorigin="9560,418" coordsize="0,392" path="m9560,418l9560,809e" filled="false" stroked="true" strokeweight="1.140pt" strokecolor="#d2d2d2">
                <v:path arrowok="t"/>
              </v:shape>
            </v:group>
            <v:group style="position:absolute;left:6414;top:418;width:3135;height:392" coordorigin="6414,418" coordsize="3135,392">
              <v:shape style="position:absolute;left:6414;top:418;width:3135;height:392" coordorigin="6414,418" coordsize="3135,392" path="m6414,809l9548,809,9548,418,6414,418,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5" coordorigin="5,5" coordsize="2,815">
              <v:shape style="position:absolute;left:5;top:5;width:2;height:815" coordorigin="5,5" coordsize="0,815" path="m5,5l5,820e" filled="false" stroked="true" strokeweight=".48pt" strokecolor="#000000">
                <v:path arrowok="t"/>
              </v:shape>
            </v:group>
            <v:group style="position:absolute;left:10;top:815;width:3181;height:2" coordorigin="10,815" coordsize="3181,2">
              <v:shape style="position:absolute;left:10;top:815;width:3181;height:2" coordorigin="10,815" coordsize="3181,0" path="m10,815l3190,815e" filled="false" stroked="true" strokeweight=".48pt" strokecolor="#000000">
                <v:path arrowok="t"/>
              </v:shape>
            </v:group>
            <v:group style="position:absolute;left:3195;top:5;width:2;height:815" coordorigin="3195,5" coordsize="2,815">
              <v:shape style="position:absolute;left:3195;top:5;width:2;height:815" coordorigin="3195,5" coordsize="0,815" path="m3195,5l3195,820e" filled="false" stroked="true" strokeweight=".48pt" strokecolor="#000000">
                <v:path arrowok="t"/>
              </v:shape>
            </v:group>
            <v:group style="position:absolute;left:3200;top:815;width:3182;height:2" coordorigin="3200,815" coordsize="3182,2">
              <v:shape style="position:absolute;left:3200;top:815;width:3182;height:2" coordorigin="3200,815" coordsize="3182,0" path="m3200,815l6381,815e" filled="false" stroked="true" strokeweight=".48pt" strokecolor="#000000">
                <v:path arrowok="t"/>
              </v:shape>
            </v:group>
            <v:group style="position:absolute;left:6386;top:407;width:2;height:413" coordorigin="6386,407" coordsize="2,413">
              <v:shape style="position:absolute;left:6386;top:407;width:2;height:413" coordorigin="6386,407" coordsize="0,413" path="m6386,407l6386,820e" filled="false" stroked="true" strokeweight=".48pt" strokecolor="#000000">
                <v:path arrowok="t"/>
              </v:shape>
            </v:group>
            <v:group style="position:absolute;left:6391;top:815;width:3181;height:2" coordorigin="6391,815" coordsize="3181,2">
              <v:shape style="position:absolute;left:6391;top:815;width:3181;height:2" coordorigin="6391,815" coordsize="3181,0" path="m6391,815l9571,815e" filled="false" stroked="true" strokeweight=".48pt" strokecolor="#000000">
                <v:path arrowok="t"/>
              </v:shape>
            </v:group>
            <v:group style="position:absolute;left:9576;top:5;width:2;height:815" coordorigin="9576,5" coordsize="2,815">
              <v:shape style="position:absolute;left:9576;top:5;width:2;height:815" coordorigin="9576,5" coordsize="0,815" path="m9576,5l9576,820e" filled="false" stroked="true" strokeweight=".48pt" strokecolor="#000000">
                <v:path arrowok="t"/>
              </v:shape>
              <v:shape style="position:absolute;left:3183;top:412;width:3202;height:403"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3"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240" w:lineRule="auto" w:before="11"/>
        <w:rPr>
          <w:rFonts w:ascii="宋体" w:hAnsi="宋体" w:cs="宋体" w:eastAsia="宋体" w:hint="default"/>
          <w:sz w:val="18"/>
          <w:szCs w:val="18"/>
        </w:rPr>
      </w:pPr>
    </w:p>
    <w:p>
      <w:pPr>
        <w:pStyle w:val="Heading3"/>
        <w:spacing w:line="240" w:lineRule="auto" w:before="35"/>
        <w:ind w:left="1134" w:right="3499"/>
        <w:jc w:val="left"/>
        <w:rPr>
          <w:b w:val="0"/>
          <w:bCs w:val="0"/>
        </w:rPr>
      </w:pPr>
      <w:bookmarkStart w:name="3、反向购买" w:id="405"/>
      <w:bookmarkEnd w:id="405"/>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3499"/>
        <w:jc w:val="left"/>
        <w:rPr>
          <w:b w:val="0"/>
          <w:bCs w:val="0"/>
        </w:rPr>
      </w:pPr>
      <w:bookmarkStart w:name="4、处置子公司" w:id="406"/>
      <w:bookmarkEnd w:id="406"/>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0" w:right="0"/>
        </w:sectPr>
      </w:pPr>
    </w:p>
    <w:p>
      <w:pPr>
        <w:spacing w:before="44"/>
        <w:ind w:left="1134"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6"/>
        <w:ind w:left="113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24"/>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股权处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股权处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股权处</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丧失控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丧失控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处置价</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丧失控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丧失控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丧失控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按照公</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丧失控</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与原子</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483"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2" w:right="90" w:hanging="90"/>
              <w:jc w:val="left"/>
              <w:rPr>
                <w:rFonts w:ascii="宋体" w:hAnsi="宋体" w:cs="宋体" w:eastAsia="宋体" w:hint="default"/>
                <w:sz w:val="18"/>
                <w:szCs w:val="18"/>
              </w:rPr>
            </w:pPr>
            <w:r>
              <w:rPr>
                <w:rFonts w:ascii="宋体" w:hAnsi="宋体" w:cs="宋体" w:eastAsia="宋体" w:hint="default"/>
                <w:sz w:val="18"/>
                <w:szCs w:val="18"/>
              </w:rPr>
              <w:t>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0"/>
              <w:jc w:val="center"/>
              <w:rPr>
                <w:rFonts w:ascii="宋体" w:hAnsi="宋体" w:cs="宋体" w:eastAsia="宋体" w:hint="default"/>
                <w:sz w:val="18"/>
                <w:szCs w:val="18"/>
              </w:rPr>
            </w:pPr>
            <w:r>
              <w:rPr>
                <w:rFonts w:ascii="宋体" w:hAnsi="宋体" w:cs="宋体" w:eastAsia="宋体" w:hint="default"/>
                <w:sz w:val="18"/>
                <w:szCs w:val="18"/>
              </w:rPr>
              <w:t>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3" w:right="91"/>
              <w:jc w:val="center"/>
              <w:rPr>
                <w:rFonts w:ascii="宋体" w:hAnsi="宋体" w:cs="宋体" w:eastAsia="宋体" w:hint="default"/>
                <w:sz w:val="18"/>
                <w:szCs w:val="18"/>
              </w:rPr>
            </w:pPr>
            <w:r>
              <w:rPr>
                <w:rFonts w:ascii="宋体" w:hAnsi="宋体" w:cs="宋体" w:eastAsia="宋体" w:hint="default"/>
                <w:sz w:val="18"/>
                <w:szCs w:val="18"/>
              </w:rPr>
              <w:t>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3"/>
              <w:jc w:val="center"/>
              <w:rPr>
                <w:rFonts w:ascii="宋体" w:hAnsi="宋体" w:cs="宋体" w:eastAsia="宋体" w:hint="default"/>
                <w:sz w:val="18"/>
                <w:szCs w:val="18"/>
              </w:rPr>
            </w:pPr>
            <w:r>
              <w:rPr>
                <w:rFonts w:ascii="宋体" w:hAnsi="宋体" w:cs="宋体" w:eastAsia="宋体" w:hint="default"/>
                <w:sz w:val="18"/>
                <w:szCs w:val="18"/>
              </w:rPr>
              <w:t>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center"/>
              <w:rPr>
                <w:rFonts w:ascii="宋体" w:hAnsi="宋体" w:cs="宋体" w:eastAsia="宋体" w:hint="default"/>
                <w:sz w:val="18"/>
                <w:szCs w:val="18"/>
              </w:rPr>
            </w:pPr>
            <w:r>
              <w:rPr>
                <w:rFonts w:ascii="宋体" w:hAnsi="宋体" w:cs="宋体" w:eastAsia="宋体" w:hint="default"/>
                <w:sz w:val="18"/>
                <w:szCs w:val="18"/>
              </w:rPr>
              <w:t>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3" w:right="91"/>
              <w:jc w:val="center"/>
              <w:rPr>
                <w:rFonts w:ascii="宋体" w:hAnsi="宋体" w:cs="宋体" w:eastAsia="宋体" w:hint="default"/>
                <w:sz w:val="18"/>
                <w:szCs w:val="18"/>
              </w:rPr>
            </w:pPr>
            <w:r>
              <w:rPr>
                <w:rFonts w:ascii="宋体" w:hAnsi="宋体" w:cs="宋体" w:eastAsia="宋体" w:hint="default"/>
                <w:sz w:val="18"/>
                <w:szCs w:val="18"/>
              </w:rPr>
              <w:t>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公司股 权投资 相关的 其他综 合收益 转入投 资损益 的金额</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北京安 创空间 科技有 限公司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49.90%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视作出 售子公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50.10%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15,502,1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04.53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15,952,7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450,595.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参考股 权增资 协议</w:t>
            </w: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90" w:lineRule="auto" w:before="26"/>
        <w:ind w:right="1118"/>
        <w:jc w:val="left"/>
      </w:pPr>
      <w:r>
        <w:rPr/>
        <w:t>其他说明： </w:t>
      </w:r>
      <w:r>
        <w:rPr>
          <w:rFonts w:ascii="宋体" w:hAnsi="宋体" w:cs="宋体" w:eastAsia="宋体" w:hint="default"/>
          <w:spacing w:val="-1"/>
        </w:rPr>
        <w:t>2015</w:t>
      </w:r>
      <w:r>
        <w:rPr>
          <w:spacing w:val="-1"/>
        </w:rPr>
        <w:t>年</w:t>
      </w:r>
      <w:r>
        <w:rPr>
          <w:rFonts w:ascii="宋体" w:hAnsi="宋体" w:cs="宋体" w:eastAsia="宋体" w:hint="default"/>
          <w:spacing w:val="-1"/>
        </w:rPr>
        <w:t>8</w:t>
      </w:r>
      <w:r>
        <w:rPr>
          <w:spacing w:val="-1"/>
        </w:rPr>
        <w:t>月，本公司设立北京安创空间科技有限公司（简称安创空间），注册资本</w:t>
      </w:r>
      <w:r>
        <w:rPr>
          <w:rFonts w:ascii="宋体" w:hAnsi="宋体" w:cs="宋体" w:eastAsia="宋体" w:hint="default"/>
          <w:spacing w:val="-1"/>
        </w:rPr>
        <w:t>100</w:t>
      </w:r>
      <w:r>
        <w:rPr>
          <w:spacing w:val="-1"/>
        </w:rPr>
        <w:t>万元，为本公司全资</w:t>
      </w:r>
      <w:r>
        <w:rPr>
          <w:spacing w:val="-82"/>
        </w:rPr>
        <w:t> </w:t>
      </w:r>
      <w:r>
        <w:rPr>
          <w:spacing w:val="-82"/>
        </w:rPr>
      </w:r>
      <w:r>
        <w:rPr>
          <w:spacing w:val="-1"/>
        </w:rPr>
        <w:t>子公司。</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月本公司与安谋电子科技（上海）有限公司（安谋电子）签订投资协议书，协议约定安</w:t>
      </w:r>
    </w:p>
    <w:p>
      <w:pPr>
        <w:pStyle w:val="BodyText"/>
        <w:spacing w:line="285" w:lineRule="auto"/>
        <w:ind w:right="0"/>
        <w:jc w:val="left"/>
      </w:pPr>
      <w:r>
        <w:rPr>
          <w:spacing w:val="-1"/>
        </w:rPr>
        <w:t>谋电子增资本公司之全资子公司安创空间</w:t>
      </w:r>
      <w:r>
        <w:rPr>
          <w:rFonts w:ascii="宋体" w:hAnsi="宋体" w:cs="宋体" w:eastAsia="宋体" w:hint="default"/>
          <w:spacing w:val="-1"/>
        </w:rPr>
        <w:t>15,889,017.00</w:t>
      </w:r>
      <w:r>
        <w:rPr>
          <w:spacing w:val="-1"/>
        </w:rPr>
        <w:t>元，认缴注册资本占总注册资本的</w:t>
      </w:r>
      <w:r>
        <w:rPr>
          <w:rFonts w:ascii="宋体" w:hAnsi="宋体" w:cs="宋体" w:eastAsia="宋体" w:hint="default"/>
          <w:spacing w:val="-1"/>
        </w:rPr>
        <w:t>49.9%</w:t>
      </w:r>
      <w:r>
        <w:rPr>
          <w:spacing w:val="-1"/>
        </w:rPr>
        <w:t>，同时本</w:t>
      </w:r>
      <w:r>
        <w:rPr>
          <w:spacing w:val="-74"/>
        </w:rPr>
        <w:t> </w:t>
      </w:r>
      <w:r>
        <w:rPr>
          <w:spacing w:val="-74"/>
        </w:rPr>
      </w:r>
      <w:r>
        <w:rPr>
          <w:spacing w:val="-1"/>
        </w:rPr>
        <w:t>公司对安创空间增资至</w:t>
      </w:r>
      <w:r>
        <w:rPr>
          <w:rFonts w:ascii="宋体" w:hAnsi="宋体" w:cs="宋体" w:eastAsia="宋体" w:hint="default"/>
          <w:spacing w:val="-1"/>
        </w:rPr>
        <w:t>15,952,700.00</w:t>
      </w:r>
      <w:r>
        <w:rPr>
          <w:spacing w:val="-1"/>
        </w:rPr>
        <w:t>元，增资后认缴注册资本占总注册资本的</w:t>
      </w:r>
      <w:r>
        <w:rPr>
          <w:rFonts w:ascii="宋体" w:hAnsi="宋体" w:cs="宋体" w:eastAsia="宋体" w:hint="default"/>
          <w:spacing w:val="-1"/>
        </w:rPr>
        <w:t>50.1%</w:t>
      </w:r>
      <w:r>
        <w:rPr>
          <w:spacing w:val="-1"/>
        </w:rPr>
        <w:t>，所有增资款到安创</w:t>
      </w:r>
      <w:r>
        <w:rPr>
          <w:spacing w:val="-76"/>
        </w:rPr>
        <w:t> </w:t>
      </w:r>
      <w:r>
        <w:rPr>
          <w:spacing w:val="-76"/>
        </w:rPr>
      </w:r>
      <w:r>
        <w:rPr/>
        <w:t>空间账户之日起，双方合法拥有安创空间相应股权，本公司丧失对安创空间控制权。 是否存在通过多次交易分步处置对子公司投资且在本期丧失控制权的情形</w:t>
      </w:r>
    </w:p>
    <w:p>
      <w:pPr>
        <w:pStyle w:val="BodyText"/>
        <w:spacing w:line="240" w:lineRule="auto" w:before="37"/>
        <w:ind w:right="3499"/>
        <w:jc w:val="left"/>
      </w:pPr>
      <w:r>
        <w:rPr/>
        <w:t>□ 是 √ 否</w:t>
      </w:r>
    </w:p>
    <w:p>
      <w:pPr>
        <w:spacing w:line="240" w:lineRule="auto" w:before="10"/>
        <w:rPr>
          <w:rFonts w:ascii="宋体" w:hAnsi="宋体" w:cs="宋体" w:eastAsia="宋体" w:hint="default"/>
          <w:sz w:val="25"/>
          <w:szCs w:val="25"/>
        </w:rPr>
      </w:pPr>
    </w:p>
    <w:p>
      <w:pPr>
        <w:pStyle w:val="Heading3"/>
        <w:spacing w:line="240" w:lineRule="auto"/>
        <w:ind w:right="3499"/>
        <w:jc w:val="left"/>
        <w:rPr>
          <w:b w:val="0"/>
          <w:bCs w:val="0"/>
        </w:rPr>
      </w:pPr>
      <w:bookmarkStart w:name="5、其他原因的合并范围变动" w:id="407"/>
      <w:bookmarkEnd w:id="407"/>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
        <w:rPr>
          <w:rFonts w:ascii="宋体" w:hAnsi="宋体" w:cs="宋体" w:eastAsia="宋体" w:hint="default"/>
          <w:sz w:val="13"/>
          <w:szCs w:val="13"/>
        </w:rPr>
      </w:pPr>
    </w:p>
    <w:p>
      <w:pPr>
        <w:pStyle w:val="BodyText"/>
        <w:spacing w:line="240" w:lineRule="auto"/>
        <w:ind w:right="3499"/>
        <w:jc w:val="left"/>
      </w:pPr>
      <w:r>
        <w:rPr>
          <w:rFonts w:ascii="宋体" w:hAnsi="宋体" w:cs="宋体" w:eastAsia="宋体" w:hint="default"/>
        </w:rPr>
        <w:t>2015</w:t>
      </w:r>
      <w:r>
        <w:rPr/>
        <w:t>年度因新设子公司合并范围变动情况如下：</w:t>
      </w:r>
    </w:p>
    <w:p>
      <w:pPr>
        <w:spacing w:line="240" w:lineRule="auto" w:before="0"/>
        <w:rPr>
          <w:rFonts w:ascii="宋体" w:hAnsi="宋体" w:cs="宋体" w:eastAsia="宋体" w:hint="default"/>
          <w:sz w:val="25"/>
          <w:szCs w:val="25"/>
        </w:rPr>
      </w:pPr>
    </w:p>
    <w:tbl>
      <w:tblPr>
        <w:tblW w:w="0" w:type="auto"/>
        <w:jc w:val="left"/>
        <w:tblInd w:w="1134" w:type="dxa"/>
        <w:tblLayout w:type="fixed"/>
        <w:tblCellMar>
          <w:top w:w="0" w:type="dxa"/>
          <w:left w:w="0" w:type="dxa"/>
          <w:bottom w:w="0" w:type="dxa"/>
          <w:right w:w="0" w:type="dxa"/>
        </w:tblCellMar>
        <w:tblLook w:val="01E0"/>
      </w:tblPr>
      <w:tblGrid>
        <w:gridCol w:w="9282"/>
      </w:tblGrid>
      <w:tr>
        <w:trPr>
          <w:trHeight w:val="281" w:hRule="exact"/>
        </w:trPr>
        <w:tc>
          <w:tcPr>
            <w:tcW w:w="9282" w:type="dxa"/>
            <w:tcBorders>
              <w:top w:val="nil" w:sz="6" w:space="0" w:color="auto"/>
              <w:left w:val="nil" w:sz="6" w:space="0" w:color="auto"/>
              <w:bottom w:val="single" w:sz="8" w:space="0" w:color="000000"/>
              <w:right w:val="nil" w:sz="6" w:space="0" w:color="auto"/>
            </w:tcBorders>
          </w:tcPr>
          <w:p>
            <w:pPr>
              <w:pStyle w:val="TableParagraph"/>
              <w:spacing w:line="210"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r>
      <w:tr>
        <w:trPr>
          <w:trHeight w:val="342" w:hRule="exact"/>
        </w:trPr>
        <w:tc>
          <w:tcPr>
            <w:tcW w:w="928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z w:val="21"/>
                <w:szCs w:val="21"/>
              </w:rPr>
              <w:t>西安中科创达软件有限公司</w:t>
            </w:r>
          </w:p>
        </w:tc>
      </w:tr>
      <w:tr>
        <w:trPr>
          <w:trHeight w:val="342" w:hRule="exact"/>
        </w:trPr>
        <w:tc>
          <w:tcPr>
            <w:tcW w:w="928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z w:val="21"/>
                <w:szCs w:val="21"/>
              </w:rPr>
              <w:t>深圳市创达天盛智能科技有限公司</w:t>
            </w:r>
          </w:p>
        </w:tc>
      </w:tr>
      <w:tr>
        <w:trPr>
          <w:trHeight w:val="342" w:hRule="exact"/>
        </w:trPr>
        <w:tc>
          <w:tcPr>
            <w:tcW w:w="928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z w:val="21"/>
                <w:szCs w:val="21"/>
              </w:rPr>
              <w:t>日本天集有限公司</w:t>
            </w:r>
          </w:p>
        </w:tc>
      </w:tr>
      <w:tr>
        <w:trPr>
          <w:trHeight w:val="342" w:hRule="exact"/>
        </w:trPr>
        <w:tc>
          <w:tcPr>
            <w:tcW w:w="928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z w:val="21"/>
                <w:szCs w:val="21"/>
              </w:rPr>
              <w:t>大连中科创达软件有限公司</w:t>
            </w:r>
          </w:p>
        </w:tc>
      </w:tr>
      <w:tr>
        <w:trPr>
          <w:trHeight w:val="342" w:hRule="exact"/>
        </w:trPr>
        <w:tc>
          <w:tcPr>
            <w:tcW w:w="928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z w:val="21"/>
                <w:szCs w:val="21"/>
              </w:rPr>
              <w:t>沈阳中科创达软件有限公司</w:t>
            </w:r>
          </w:p>
        </w:tc>
      </w:tr>
      <w:tr>
        <w:trPr>
          <w:trHeight w:val="342" w:hRule="exact"/>
        </w:trPr>
        <w:tc>
          <w:tcPr>
            <w:tcW w:w="928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z w:val="21"/>
                <w:szCs w:val="21"/>
              </w:rPr>
              <w:t>深圳互连科技有限公司</w:t>
            </w:r>
          </w:p>
        </w:tc>
      </w:tr>
      <w:tr>
        <w:trPr>
          <w:trHeight w:val="342" w:hRule="exact"/>
        </w:trPr>
        <w:tc>
          <w:tcPr>
            <w:tcW w:w="928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z w:val="21"/>
                <w:szCs w:val="21"/>
              </w:rPr>
              <w:t>青柠优视科技（北京）有限公司</w:t>
            </w:r>
          </w:p>
        </w:tc>
      </w:tr>
      <w:tr>
        <w:trPr>
          <w:trHeight w:val="342" w:hRule="exact"/>
        </w:trPr>
        <w:tc>
          <w:tcPr>
            <w:tcW w:w="928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sz w:val="21"/>
              </w:rPr>
              <w:t>Longtrans Holding Ltd.</w:t>
            </w:r>
          </w:p>
        </w:tc>
      </w:tr>
      <w:tr>
        <w:trPr>
          <w:trHeight w:val="344" w:hRule="exact"/>
        </w:trPr>
        <w:tc>
          <w:tcPr>
            <w:tcW w:w="9282"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北京安创空间科技有限公司</w:t>
            </w:r>
          </w:p>
        </w:tc>
      </w:tr>
    </w:tbl>
    <w:p>
      <w:pPr>
        <w:spacing w:after="0" w:line="262" w:lineRule="exact"/>
        <w:jc w:val="left"/>
        <w:rPr>
          <w:rFonts w:ascii="宋体" w:hAnsi="宋体" w:cs="宋体" w:eastAsia="宋体" w:hint="default"/>
          <w:sz w:val="21"/>
          <w:szCs w:val="21"/>
        </w:rPr>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spacing w:line="487" w:lineRule="auto" w:before="35"/>
        <w:ind w:left="1133" w:right="7693" w:firstLine="0"/>
        <w:jc w:val="left"/>
        <w:rPr>
          <w:rFonts w:ascii="宋体" w:hAnsi="宋体" w:cs="宋体" w:eastAsia="宋体" w:hint="default"/>
          <w:sz w:val="21"/>
          <w:szCs w:val="21"/>
        </w:rPr>
      </w:pPr>
      <w:bookmarkStart w:name="6、其他" w:id="408"/>
      <w:bookmarkEnd w:id="40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09"/>
      <w:bookmarkEnd w:id="409"/>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10"/>
      <w:bookmarkEnd w:id="410"/>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3499"/>
        <w:jc w:val="left"/>
        <w:rPr>
          <w:b w:val="0"/>
          <w:bCs w:val="0"/>
        </w:rPr>
      </w:pPr>
      <w:bookmarkStart w:name="（1）企业集团的构成" w:id="411"/>
      <w:bookmarkEnd w:id="411"/>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中科创达软件科 技（日本）有限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畅索软件科技</w:t>
            </w:r>
          </w:p>
          <w:p>
            <w:pPr>
              <w:pStyle w:val="TableParagraph"/>
              <w:spacing w:line="319" w:lineRule="auto" w:before="75"/>
              <w:ind w:left="22" w:right="77"/>
              <w:jc w:val="left"/>
              <w:rPr>
                <w:rFonts w:ascii="宋体" w:hAnsi="宋体" w:cs="宋体" w:eastAsia="宋体" w:hint="default"/>
                <w:sz w:val="18"/>
                <w:szCs w:val="18"/>
              </w:rPr>
            </w:pPr>
            <w:r>
              <w:rPr>
                <w:rFonts w:ascii="宋体" w:hAnsi="宋体" w:cs="宋体" w:eastAsia="宋体" w:hint="default"/>
                <w:sz w:val="18"/>
                <w:szCs w:val="18"/>
              </w:rPr>
              <w:t>（上海）有限公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中科创达软件科 技（深圳）有限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南京中科创达软 件科技有限公司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成都中科创达软 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北京信恒创科技 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香港天集有限公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企业管理服务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中科创达香港有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移动操作系统解 决方案</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中科创达美国有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市场调研</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香港天盛有限公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移动智能终端解 决方案</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41"/>
              <w:jc w:val="left"/>
              <w:rPr>
                <w:rFonts w:ascii="Times New Roman" w:hAnsi="Times New Roman" w:cs="Times New Roman" w:eastAsia="Times New Roman" w:hint="default"/>
                <w:sz w:val="18"/>
                <w:szCs w:val="18"/>
              </w:rPr>
            </w:pPr>
            <w:r>
              <w:rPr>
                <w:rFonts w:ascii="Times New Roman"/>
                <w:sz w:val="18"/>
              </w:rPr>
              <w:t>Mobile Focus</w:t>
            </w:r>
            <w:r>
              <w:rPr>
                <w:rFonts w:ascii="Times New Roman"/>
                <w:w w:val="99"/>
                <w:sz w:val="18"/>
              </w:rPr>
              <w:t> </w:t>
            </w:r>
            <w:r>
              <w:rPr>
                <w:rFonts w:ascii="Times New Roman"/>
                <w:sz w:val="18"/>
              </w:rPr>
              <w:t>Holding</w:t>
            </w:r>
            <w:r>
              <w:rPr>
                <w:rFonts w:ascii="Times New Roman"/>
                <w:spacing w:val="-2"/>
                <w:sz w:val="18"/>
              </w:rPr>
              <w:t> </w:t>
            </w:r>
            <w:r>
              <w:rPr>
                <w:rFonts w:ascii="Times New Roman"/>
                <w:sz w:val="18"/>
              </w:rPr>
              <w:t>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英属维尔京群岛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台湾聚引移动有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台湾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台湾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移动智能终端解 决方案</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西安中科创达软 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深圳市创达天盛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b/>
          <w:bCs/>
          <w:sz w:val="24"/>
          <w:szCs w:val="24"/>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智能科技有限公 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日本天集有限公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大连中科创达软 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沈阳中科创达软 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深圳互连科技有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青柠优视科技</w:t>
            </w:r>
          </w:p>
          <w:p>
            <w:pPr>
              <w:pStyle w:val="TableParagraph"/>
              <w:spacing w:line="319" w:lineRule="auto" w:before="75"/>
              <w:ind w:left="22" w:right="77"/>
              <w:jc w:val="left"/>
              <w:rPr>
                <w:rFonts w:ascii="宋体" w:hAnsi="宋体" w:cs="宋体" w:eastAsia="宋体" w:hint="default"/>
                <w:sz w:val="18"/>
                <w:szCs w:val="18"/>
              </w:rPr>
            </w:pPr>
            <w:r>
              <w:rPr>
                <w:rFonts w:ascii="宋体" w:hAnsi="宋体" w:cs="宋体" w:eastAsia="宋体" w:hint="default"/>
                <w:sz w:val="18"/>
                <w:szCs w:val="18"/>
              </w:rPr>
              <w:t>（北京）有限公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07"/>
              <w:jc w:val="left"/>
              <w:rPr>
                <w:rFonts w:ascii="Times New Roman" w:hAnsi="Times New Roman" w:cs="Times New Roman" w:eastAsia="Times New Roman" w:hint="default"/>
                <w:sz w:val="18"/>
                <w:szCs w:val="18"/>
              </w:rPr>
            </w:pPr>
            <w:r>
              <w:rPr>
                <w:rFonts w:ascii="Times New Roman"/>
                <w:sz w:val="18"/>
              </w:rPr>
              <w:t>Longtrans</w:t>
            </w:r>
            <w:r>
              <w:rPr>
                <w:rFonts w:ascii="Times New Roman"/>
                <w:w w:val="99"/>
                <w:sz w:val="18"/>
              </w:rPr>
              <w:t> </w:t>
            </w:r>
            <w:r>
              <w:rPr>
                <w:rFonts w:ascii="Times New Roman"/>
                <w:sz w:val="18"/>
              </w:rPr>
              <w:t>Holding</w:t>
            </w:r>
            <w:r>
              <w:rPr>
                <w:rFonts w:ascii="Times New Roman"/>
                <w:spacing w:val="-2"/>
                <w:sz w:val="18"/>
              </w:rPr>
              <w:t> </w:t>
            </w:r>
            <w:r>
              <w:rPr>
                <w:rFonts w:ascii="Times New Roman"/>
                <w:sz w:val="18"/>
              </w:rPr>
              <w:t>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英属维尔京群岛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英属维尔京群岛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w:t>
      </w:r>
    </w:p>
    <w:p>
      <w:pPr>
        <w:pStyle w:val="BodyText"/>
        <w:spacing w:line="256" w:lineRule="auto" w:before="90"/>
        <w:ind w:right="1124"/>
        <w:jc w:val="left"/>
      </w:pPr>
      <w:r>
        <w:rPr>
          <w:spacing w:val="-1"/>
        </w:rPr>
        <w:t>本公司期末持有北京安创空间科技有限公司</w:t>
      </w:r>
      <w:r>
        <w:rPr>
          <w:rFonts w:ascii="Times New Roman" w:hAnsi="Times New Roman" w:cs="Times New Roman" w:eastAsia="Times New Roman" w:hint="default"/>
          <w:spacing w:val="-1"/>
        </w:rPr>
        <w:t>50.10%</w:t>
      </w:r>
      <w:r>
        <w:rPr>
          <w:spacing w:val="-1"/>
        </w:rPr>
        <w:t>的股权，根据合资经营合同及章程，本公司与另一股东</w:t>
      </w:r>
      <w:r>
        <w:rPr>
          <w:spacing w:val="-97"/>
        </w:rPr>
        <w:t> </w:t>
      </w:r>
      <w:r>
        <w:rPr>
          <w:spacing w:val="-97"/>
        </w:rPr>
      </w:r>
      <w:r>
        <w:rPr/>
        <w:t>共同控制被投资单位。</w:t>
      </w:r>
    </w:p>
    <w:p>
      <w:pPr>
        <w:spacing w:line="240" w:lineRule="auto" w:before="10"/>
        <w:rPr>
          <w:rFonts w:ascii="宋体" w:hAnsi="宋体" w:cs="宋体" w:eastAsia="宋体" w:hint="default"/>
          <w:sz w:val="24"/>
          <w:szCs w:val="24"/>
        </w:rPr>
      </w:pPr>
    </w:p>
    <w:p>
      <w:pPr>
        <w:pStyle w:val="Heading3"/>
        <w:spacing w:line="240" w:lineRule="auto"/>
        <w:ind w:right="3499"/>
        <w:jc w:val="left"/>
        <w:rPr>
          <w:b w:val="0"/>
          <w:bCs w:val="0"/>
        </w:rPr>
      </w:pPr>
      <w:bookmarkStart w:name="（2）重要的非全资子公司" w:id="412"/>
      <w:bookmarkEnd w:id="412"/>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line="360" w:lineRule="auto" w:before="51"/>
        <w:ind w:left="113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left="1134" w:right="3499"/>
        <w:jc w:val="left"/>
        <w:rPr>
          <w:b w:val="0"/>
          <w:bCs w:val="0"/>
        </w:rPr>
      </w:pPr>
      <w:bookmarkStart w:name="（3）重要非全资子公司的主要财务信息" w:id="413"/>
      <w:bookmarkEnd w:id="413"/>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3499"/>
        <w:jc w:val="left"/>
        <w:rPr>
          <w:b w:val="0"/>
          <w:bCs w:val="0"/>
        </w:rPr>
      </w:pPr>
      <w:bookmarkStart w:name="（4）使用企业集团资产和清偿企业集团债务的重大限制" w:id="414"/>
      <w:bookmarkEnd w:id="414"/>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499"/>
        <w:jc w:val="left"/>
        <w:rPr>
          <w:b w:val="0"/>
          <w:bCs w:val="0"/>
        </w:rPr>
      </w:pPr>
      <w:bookmarkStart w:name="（5）向纳入合并财务报表范围的结构化主体提供的财务支持或其他支持" w:id="415"/>
      <w:bookmarkEnd w:id="415"/>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3499"/>
        <w:jc w:val="left"/>
        <w:rPr>
          <w:b w:val="0"/>
          <w:bCs w:val="0"/>
        </w:rPr>
      </w:pPr>
      <w:bookmarkStart w:name="2、在子公司的所有者权益份额发生变化且仍控制子公司的交易" w:id="416"/>
      <w:bookmarkEnd w:id="416"/>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3499"/>
        <w:jc w:val="left"/>
        <w:rPr>
          <w:b w:val="0"/>
          <w:bCs w:val="0"/>
        </w:rPr>
      </w:pPr>
      <w:bookmarkStart w:name="（1）在子公司所有者权益份额发生变化的情况说明" w:id="417"/>
      <w:bookmarkEnd w:id="417"/>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35"/>
        <w:ind w:left="1134" w:right="0"/>
        <w:jc w:val="left"/>
      </w:pPr>
      <w:r>
        <w:rPr/>
        <w:t>本公司之全资子公司香港天集有限公</w:t>
      </w:r>
      <w:r>
        <w:rPr>
          <w:spacing w:val="-72"/>
        </w:rPr>
        <w:t>司</w:t>
      </w:r>
      <w:r>
        <w:rPr/>
        <w:t>（简称香港天集</w:t>
      </w:r>
      <w:r>
        <w:rPr>
          <w:spacing w:val="-73"/>
        </w:rPr>
        <w:t>）</w:t>
      </w:r>
      <w:r>
        <w:rPr/>
        <w:t>原直接持有</w:t>
      </w:r>
      <w:r>
        <w:rPr>
          <w:rFonts w:ascii="Times New Roman" w:hAnsi="Times New Roman" w:cs="Times New Roman" w:eastAsia="Times New Roman" w:hint="default"/>
        </w:rPr>
        <w:t>Longt</w:t>
      </w:r>
      <w:r>
        <w:rPr>
          <w:rFonts w:ascii="Times New Roman" w:hAnsi="Times New Roman" w:cs="Times New Roman" w:eastAsia="Times New Roman" w:hint="default"/>
          <w:spacing w:val="-1"/>
        </w:rPr>
        <w:t>r</w:t>
      </w:r>
      <w:r>
        <w:rPr>
          <w:rFonts w:ascii="Times New Roman" w:hAnsi="Times New Roman" w:cs="Times New Roman" w:eastAsia="Times New Roman" w:hint="default"/>
        </w:rPr>
        <w:t>an</w:t>
      </w:r>
      <w:r>
        <w:rPr>
          <w:rFonts w:ascii="Times New Roman" w:hAnsi="Times New Roman" w:cs="Times New Roman" w:eastAsia="Times New Roman" w:hint="default"/>
          <w:w w:val="99"/>
        </w:rPr>
        <w:t>s</w:t>
      </w:r>
      <w:r>
        <w:rPr>
          <w:rFonts w:ascii="Times New Roman" w:hAnsi="Times New Roman" w:cs="Times New Roman" w:eastAsia="Times New Roman" w:hint="default"/>
          <w:spacing w:val="-11"/>
        </w:rPr>
        <w:t> </w:t>
      </w:r>
      <w:r>
        <w:rPr>
          <w:rFonts w:ascii="Times New Roman" w:hAnsi="Times New Roman" w:cs="Times New Roman" w:eastAsia="Times New Roman" w:hint="default"/>
        </w:rPr>
        <w:t>Hold</w:t>
      </w:r>
      <w:r>
        <w:rPr>
          <w:rFonts w:ascii="Times New Roman" w:hAnsi="Times New Roman" w:cs="Times New Roman" w:eastAsia="Times New Roman" w:hint="default"/>
          <w:spacing w:val="-1"/>
        </w:rPr>
        <w:t>i</w:t>
      </w:r>
      <w:r>
        <w:rPr>
          <w:rFonts w:ascii="Times New Roman" w:hAnsi="Times New Roman" w:cs="Times New Roman" w:eastAsia="Times New Roman" w:hint="default"/>
        </w:rPr>
        <w:t>ng</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
        </w:rPr>
        <w:t>L</w:t>
      </w:r>
      <w:r>
        <w:rPr>
          <w:rFonts w:ascii="Times New Roman" w:hAnsi="Times New Roman" w:cs="Times New Roman" w:eastAsia="Times New Roman" w:hint="default"/>
        </w:rPr>
        <w:t>t</w:t>
      </w:r>
      <w:r>
        <w:rPr>
          <w:rFonts w:ascii="Times New Roman" w:hAnsi="Times New Roman" w:cs="Times New Roman" w:eastAsia="Times New Roman" w:hint="default"/>
          <w:spacing w:val="-18"/>
        </w:rPr>
        <w:t>d</w:t>
      </w:r>
      <w:r>
        <w:rPr>
          <w:spacing w:val="-192"/>
        </w:rPr>
        <w:t>（</w:t>
      </w:r>
      <w:r>
        <w:rPr>
          <w:rFonts w:ascii="Times New Roman" w:hAnsi="Times New Roman" w:cs="Times New Roman" w:eastAsia="Times New Roman" w:hint="default"/>
        </w:rPr>
        <w:t>.  </w:t>
      </w:r>
      <w:r>
        <w:rPr>
          <w:rFonts w:ascii="Times New Roman" w:hAnsi="Times New Roman" w:cs="Times New Roman" w:eastAsia="Times New Roman" w:hint="default"/>
          <w:spacing w:val="-19"/>
        </w:rPr>
        <w:t> </w:t>
      </w:r>
      <w:r>
        <w:rPr/>
        <w:t>简称</w:t>
      </w:r>
      <w:r>
        <w:rPr>
          <w:rFonts w:ascii="Times New Roman" w:hAnsi="Times New Roman" w:cs="Times New Roman" w:eastAsia="Times New Roman" w:hint="default"/>
          <w:spacing w:val="-1"/>
        </w:rPr>
        <w:t>L</w:t>
      </w:r>
      <w:r>
        <w:rPr>
          <w:rFonts w:ascii="Times New Roman" w:hAnsi="Times New Roman" w:cs="Times New Roman" w:eastAsia="Times New Roman" w:hint="default"/>
        </w:rPr>
        <w:t>ongtrans</w:t>
      </w:r>
      <w:r>
        <w:rPr/>
        <w:t>）</w:t>
      </w:r>
    </w:p>
    <w:p>
      <w:pPr>
        <w:pStyle w:val="BodyText"/>
        <w:spacing w:line="256" w:lineRule="auto" w:before="21"/>
        <w:ind w:right="1133"/>
        <w:jc w:val="both"/>
      </w:pP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月香港天集与</w:t>
      </w:r>
      <w:r>
        <w:rPr>
          <w:rFonts w:ascii="Times New Roman" w:hAnsi="Times New Roman" w:cs="Times New Roman" w:eastAsia="Times New Roman" w:hint="default"/>
        </w:rPr>
        <w:t>Intel</w:t>
      </w:r>
      <w:r>
        <w:rPr>
          <w:rFonts w:ascii="Times New Roman" w:hAnsi="Times New Roman" w:cs="Times New Roman" w:eastAsia="Times New Roman" w:hint="default"/>
          <w:spacing w:val="-22"/>
        </w:rPr>
        <w:t> </w:t>
      </w:r>
      <w:r>
        <w:rPr>
          <w:rFonts w:ascii="Times New Roman" w:hAnsi="Times New Roman" w:cs="Times New Roman" w:eastAsia="Times New Roman" w:hint="default"/>
        </w:rPr>
        <w:t>Capital</w:t>
      </w:r>
      <w:r>
        <w:rPr>
          <w:rFonts w:ascii="Times New Roman" w:hAnsi="Times New Roman" w:cs="Times New Roman" w:eastAsia="Times New Roman" w:hint="default"/>
          <w:spacing w:val="-22"/>
        </w:rPr>
        <w:t> </w:t>
      </w:r>
      <w:r>
        <w:rPr>
          <w:rFonts w:ascii="Times New Roman" w:hAnsi="Times New Roman" w:cs="Times New Roman" w:eastAsia="Times New Roman" w:hint="default"/>
        </w:rPr>
        <w:t>Corporation</w:t>
      </w:r>
      <w:r>
        <w:rPr/>
        <w:t>（简称</w:t>
      </w:r>
      <w:r>
        <w:rPr>
          <w:rFonts w:ascii="Times New Roman" w:hAnsi="Times New Roman" w:cs="Times New Roman" w:eastAsia="Times New Roman" w:hint="default"/>
        </w:rPr>
        <w:t>Intel</w:t>
      </w:r>
      <w:r>
        <w:rPr/>
        <w:t>）签订股权购买协议，</w:t>
      </w:r>
      <w:r>
        <w:rPr>
          <w:rFonts w:ascii="Times New Roman" w:hAnsi="Times New Roman" w:cs="Times New Roman" w:eastAsia="Times New Roman" w:hint="default"/>
        </w:rPr>
        <w:t>Intel</w:t>
      </w:r>
      <w:r>
        <w:rPr/>
        <w:t>以</w:t>
      </w:r>
      <w:r>
        <w:rPr>
          <w:rFonts w:ascii="Times New Roman" w:hAnsi="Times New Roman" w:cs="Times New Roman" w:eastAsia="Times New Roman" w:hint="default"/>
        </w:rPr>
        <w:t>99</w:t>
      </w:r>
      <w:r>
        <w:rPr/>
        <w:t>万美</w:t>
      </w:r>
      <w:r>
        <w:rPr>
          <w:spacing w:val="-2"/>
          <w:w w:val="99"/>
        </w:rPr>
        <w:t> </w:t>
      </w:r>
      <w:r>
        <w:rPr/>
        <w:t>元认购</w:t>
      </w:r>
      <w:r>
        <w:rPr>
          <w:rFonts w:ascii="Times New Roman" w:hAnsi="Times New Roman" w:cs="Times New Roman" w:eastAsia="Times New Roman" w:hint="default"/>
        </w:rPr>
        <w:t>Longtrans</w:t>
      </w:r>
      <w:r>
        <w:rPr/>
        <w:t>公司</w:t>
      </w:r>
      <w:r>
        <w:rPr>
          <w:rFonts w:ascii="Times New Roman" w:hAnsi="Times New Roman" w:cs="Times New Roman" w:eastAsia="Times New Roman" w:hint="default"/>
        </w:rPr>
        <w:t>19.9%</w:t>
      </w:r>
      <w:r>
        <w:rPr/>
        <w:t>股权，该股权出售交易未导致香港天集丧失对</w:t>
      </w:r>
      <w:r>
        <w:rPr>
          <w:rFonts w:ascii="Times New Roman" w:hAnsi="Times New Roman" w:cs="Times New Roman" w:eastAsia="Times New Roman" w:hint="default"/>
        </w:rPr>
        <w:t>Longtrans</w:t>
      </w:r>
      <w:r>
        <w:rPr/>
        <w:t>的控制权。变更后，香 港天集持股比例降至</w:t>
      </w:r>
      <w:r>
        <w:rPr>
          <w:rFonts w:ascii="Times New Roman" w:hAnsi="Times New Roman" w:cs="Times New Roman" w:eastAsia="Times New Roman" w:hint="default"/>
        </w:rPr>
        <w:t>80.1%</w:t>
      </w:r>
      <w:r>
        <w:rPr/>
        <w:t>。此处变更产生未丧失控制权的权益性交易</w:t>
      </w:r>
      <w:r>
        <w:rPr>
          <w:rFonts w:ascii="Times New Roman" w:hAnsi="Times New Roman" w:cs="Times New Roman" w:eastAsia="Times New Roman" w:hint="default"/>
        </w:rPr>
        <w:t>3,488,634.24</w:t>
      </w:r>
      <w:r>
        <w:rPr/>
        <w:t>元，相应增加本集团股 本溢价</w:t>
      </w:r>
      <w:r>
        <w:rPr>
          <w:rFonts w:ascii="Times New Roman" w:hAnsi="Times New Roman" w:cs="Times New Roman" w:eastAsia="Times New Roman" w:hint="default"/>
        </w:rPr>
        <w:t>3,488,634.24</w:t>
      </w:r>
      <w:r>
        <w:rPr/>
        <w:t>元。截至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日，股权增资协议已履行完毕。</w:t>
      </w:r>
    </w:p>
    <w:p>
      <w:pPr>
        <w:spacing w:line="240" w:lineRule="auto" w:before="5"/>
        <w:rPr>
          <w:rFonts w:ascii="宋体" w:hAnsi="宋体" w:cs="宋体" w:eastAsia="宋体" w:hint="default"/>
          <w:sz w:val="23"/>
          <w:szCs w:val="23"/>
        </w:rPr>
      </w:pPr>
    </w:p>
    <w:p>
      <w:pPr>
        <w:pStyle w:val="Heading3"/>
        <w:spacing w:line="240" w:lineRule="auto"/>
        <w:ind w:right="0"/>
        <w:jc w:val="both"/>
        <w:rPr>
          <w:b w:val="0"/>
          <w:bCs w:val="0"/>
        </w:rPr>
      </w:pPr>
      <w:bookmarkStart w:name="（2）交易对于少数股东权益及归属于母公司所有者权益的影响" w:id="418"/>
      <w:bookmarkEnd w:id="418"/>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-3,488,634.24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3,488,634.24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3,488,634.24</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3499"/>
        <w:jc w:val="left"/>
        <w:rPr>
          <w:b w:val="0"/>
          <w:bCs w:val="0"/>
        </w:rPr>
      </w:pPr>
      <w:bookmarkStart w:name="3、在合营安排或联营企业中的权益" w:id="419"/>
      <w:bookmarkEnd w:id="419"/>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499"/>
        <w:jc w:val="left"/>
        <w:rPr>
          <w:b w:val="0"/>
          <w:bCs w:val="0"/>
        </w:rPr>
      </w:pPr>
      <w:bookmarkStart w:name="（1）重要的合营企业或联营企业" w:id="420"/>
      <w:bookmarkEnd w:id="420"/>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7"/>
        <w:ind w:left="1134"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9"/>
        <w:rPr>
          <w:rFonts w:ascii="宋体" w:hAnsi="宋体" w:cs="宋体" w:eastAsia="宋体" w:hint="default"/>
          <w:sz w:val="25"/>
          <w:szCs w:val="25"/>
        </w:rPr>
      </w:pPr>
    </w:p>
    <w:p>
      <w:pPr>
        <w:pStyle w:val="Heading3"/>
        <w:spacing w:line="240" w:lineRule="auto"/>
        <w:ind w:left="1134" w:right="3499"/>
        <w:jc w:val="left"/>
        <w:rPr>
          <w:b w:val="0"/>
          <w:bCs w:val="0"/>
        </w:rPr>
      </w:pPr>
      <w:bookmarkStart w:name="（2）重要合营企业的主要财务信息" w:id="421"/>
      <w:bookmarkEnd w:id="421"/>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3499"/>
        <w:jc w:val="left"/>
        <w:rPr>
          <w:b w:val="0"/>
          <w:bCs w:val="0"/>
        </w:rPr>
      </w:pPr>
      <w:bookmarkStart w:name="（3）重要联营企业的主要财务信息" w:id="422"/>
      <w:bookmarkEnd w:id="422"/>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79"/>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2"/>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3499"/>
        <w:jc w:val="left"/>
        <w:rPr>
          <w:b w:val="0"/>
          <w:bCs w:val="0"/>
        </w:rPr>
      </w:pPr>
      <w:bookmarkStart w:name="（4）不重要的合营企业和联营企业的汇总财务信息" w:id="423"/>
      <w:bookmarkEnd w:id="423"/>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21,038,175.48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996,125.00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-10,649.52</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-3,875.00</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-10,649.52</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-3,875.00</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61,214,772.89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7,636,508.63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-2,097,537.39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89,628.52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1,058,045.83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-1,039,491.56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89,628.52</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3499"/>
        <w:jc w:val="left"/>
        <w:rPr>
          <w:b w:val="0"/>
          <w:bCs w:val="0"/>
        </w:rPr>
      </w:pPr>
      <w:bookmarkStart w:name="（5）合营企业或联营企业向本公司转移资金的能力存在重大限制的说明" w:id="424"/>
      <w:bookmarkEnd w:id="424"/>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499"/>
        <w:jc w:val="left"/>
        <w:rPr>
          <w:b w:val="0"/>
          <w:bCs w:val="0"/>
        </w:rPr>
      </w:pPr>
      <w:bookmarkStart w:name="（6）合营企业或联营企业发生的超额亏损" w:id="425"/>
      <w:bookmarkEnd w:id="425"/>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3499"/>
        <w:jc w:val="left"/>
        <w:rPr>
          <w:b w:val="0"/>
          <w:bCs w:val="0"/>
        </w:rPr>
      </w:pPr>
      <w:bookmarkStart w:name="（7）与合营企业投资相关的未确认承诺" w:id="426"/>
      <w:bookmarkEnd w:id="426"/>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499"/>
        <w:jc w:val="left"/>
        <w:rPr>
          <w:b w:val="0"/>
          <w:bCs w:val="0"/>
        </w:rPr>
      </w:pPr>
      <w:bookmarkStart w:name="（8）与合营企业或联营企业投资相关的或有负债" w:id="427"/>
      <w:bookmarkEnd w:id="427"/>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499"/>
        <w:jc w:val="left"/>
        <w:rPr>
          <w:b w:val="0"/>
          <w:bCs w:val="0"/>
        </w:rPr>
      </w:pPr>
      <w:bookmarkStart w:name="4、重要的共同经营" w:id="428"/>
      <w:bookmarkEnd w:id="428"/>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57" w:lineRule="auto" w:before="52"/>
        <w:ind w:left="1133" w:right="5533"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9"/>
        <w:ind w:left="113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left="1134" w:right="0"/>
        <w:jc w:val="both"/>
        <w:rPr>
          <w:b w:val="0"/>
          <w:bCs w:val="0"/>
        </w:rPr>
      </w:pPr>
      <w:bookmarkStart w:name="5、在未纳入合并财务报表范围的结构化主体中的权益" w:id="429"/>
      <w:bookmarkEnd w:id="429"/>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both"/>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10"/>
        <w:rPr>
          <w:rFonts w:ascii="宋体" w:hAnsi="宋体" w:cs="宋体" w:eastAsia="宋体" w:hint="default"/>
          <w:sz w:val="26"/>
          <w:szCs w:val="26"/>
        </w:rPr>
      </w:pPr>
    </w:p>
    <w:p>
      <w:pPr>
        <w:pStyle w:val="Heading3"/>
        <w:spacing w:line="240" w:lineRule="auto"/>
        <w:ind w:left="1134" w:right="0"/>
        <w:jc w:val="both"/>
        <w:rPr>
          <w:b w:val="0"/>
          <w:bCs w:val="0"/>
        </w:rPr>
      </w:pPr>
      <w:bookmarkStart w:name="6、其他" w:id="430"/>
      <w:bookmarkEnd w:id="430"/>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left="1134" w:right="0"/>
        <w:jc w:val="both"/>
        <w:rPr>
          <w:b w:val="0"/>
          <w:bCs w:val="0"/>
        </w:rPr>
      </w:pPr>
      <w:bookmarkStart w:name="十、与金融工具相关的风险" w:id="431"/>
      <w:bookmarkEnd w:id="431"/>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134" w:right="1110"/>
        <w:jc w:val="both"/>
      </w:pPr>
      <w:r>
        <w:rPr/>
        <w:t>本集团的主要金融工具包括货币资金、应收账款、其他应收款、其他流动资产、长期应收款、应付账款、 </w:t>
      </w:r>
      <w:r>
        <w:rPr>
          <w:spacing w:val="-1"/>
        </w:rPr>
        <w:t>应付股利、其他应付款、短期借款。各项金融工具的详细情况已于相关附注内披露。与这些金融工具有关</w:t>
      </w:r>
      <w:r>
        <w:rPr>
          <w:spacing w:val="-86"/>
        </w:rPr>
        <w:t> </w:t>
      </w:r>
      <w:r>
        <w:rPr>
          <w:spacing w:val="-86"/>
        </w:rPr>
      </w:r>
      <w:r>
        <w:rPr>
          <w:spacing w:val="-1"/>
        </w:rPr>
        <w:t>的风险，以及本集团为降低这些风险所采取的风险管理政策如下所述。本集团管理层对这些风险敞口进行</w:t>
      </w:r>
      <w:r>
        <w:rPr>
          <w:spacing w:val="-81"/>
        </w:rPr>
        <w:t> </w:t>
      </w:r>
      <w:r>
        <w:rPr>
          <w:spacing w:val="-81"/>
        </w:rPr>
      </w:r>
      <w:r>
        <w:rPr/>
        <w:t>管理和监控以确保将上述风险控制在限定的范围之内。</w:t>
      </w:r>
    </w:p>
    <w:p>
      <w:pPr>
        <w:spacing w:line="240" w:lineRule="auto" w:before="1"/>
        <w:rPr>
          <w:rFonts w:ascii="宋体" w:hAnsi="宋体" w:cs="宋体" w:eastAsia="宋体" w:hint="default"/>
          <w:sz w:val="17"/>
          <w:szCs w:val="17"/>
        </w:rPr>
      </w:pPr>
    </w:p>
    <w:p>
      <w:pPr>
        <w:pStyle w:val="BodyText"/>
        <w:spacing w:line="240" w:lineRule="auto"/>
        <w:ind w:left="1134" w:right="0"/>
        <w:jc w:val="both"/>
      </w:pPr>
      <w:r>
        <w:rPr>
          <w:rFonts w:ascii="宋体" w:hAnsi="宋体" w:cs="宋体" w:eastAsia="宋体" w:hint="default"/>
        </w:rPr>
        <w:t>1</w:t>
      </w:r>
      <w:r>
        <w:rPr/>
        <w:t>、风险管理目标和政策</w:t>
      </w:r>
    </w:p>
    <w:p>
      <w:pPr>
        <w:spacing w:line="240" w:lineRule="auto" w:before="5"/>
        <w:rPr>
          <w:rFonts w:ascii="宋体" w:hAnsi="宋体" w:cs="宋体" w:eastAsia="宋体" w:hint="default"/>
          <w:sz w:val="19"/>
          <w:szCs w:val="19"/>
        </w:rPr>
      </w:pPr>
    </w:p>
    <w:p>
      <w:pPr>
        <w:pStyle w:val="BodyText"/>
        <w:spacing w:line="273" w:lineRule="auto"/>
        <w:ind w:right="1131"/>
        <w:jc w:val="both"/>
      </w:pPr>
      <w:r>
        <w:rPr>
          <w:spacing w:val="-1"/>
        </w:rPr>
        <w:t>本集团从事风险管理的目标是在风险和收益之间取得适当的平衡，力求降低金融风险对本集团财务业绩的</w:t>
      </w:r>
      <w:r>
        <w:rPr>
          <w:spacing w:val="-81"/>
        </w:rPr>
        <w:t> </w:t>
      </w:r>
      <w:r>
        <w:rPr>
          <w:spacing w:val="-81"/>
        </w:rPr>
      </w:r>
      <w:r>
        <w:rPr>
          <w:spacing w:val="-1"/>
        </w:rPr>
        <w:t>不利影响。基于该风险管理目标，本集团已制定风险管理政策以辨别和分析本集团所面临的风险，设定适</w:t>
      </w:r>
      <w:r>
        <w:rPr>
          <w:spacing w:val="-83"/>
        </w:rPr>
        <w:t> </w:t>
      </w:r>
      <w:r>
        <w:rPr>
          <w:spacing w:val="-83"/>
        </w:rPr>
      </w:r>
      <w:r>
        <w:rPr>
          <w:spacing w:val="-1"/>
        </w:rPr>
        <w:t>当的风险可接受水平并设计相应的内部控制程序，以监控本集团的风险水平。本集团会定期审阅这些风险</w:t>
      </w:r>
      <w:r>
        <w:rPr>
          <w:spacing w:val="-81"/>
        </w:rPr>
        <w:t> </w:t>
      </w:r>
      <w:r>
        <w:rPr>
          <w:spacing w:val="-81"/>
        </w:rPr>
      </w:r>
      <w:r>
        <w:rPr>
          <w:spacing w:val="-1"/>
        </w:rPr>
        <w:t>管理政策及有关内部控制系统，以适应市场情况或本集团经营活动的改变。本集团的内部审计部门也定期</w:t>
      </w:r>
      <w:r>
        <w:rPr>
          <w:spacing w:val="-81"/>
        </w:rPr>
        <w:t> </w:t>
      </w:r>
      <w:r>
        <w:rPr>
          <w:spacing w:val="-81"/>
        </w:rPr>
      </w:r>
      <w:r>
        <w:rPr/>
        <w:t>或随机检查内部控制系统的执行是否符合风险管理政策。</w:t>
      </w:r>
    </w:p>
    <w:p>
      <w:pPr>
        <w:spacing w:line="240" w:lineRule="auto" w:before="1"/>
        <w:rPr>
          <w:rFonts w:ascii="宋体" w:hAnsi="宋体" w:cs="宋体" w:eastAsia="宋体" w:hint="default"/>
          <w:sz w:val="17"/>
          <w:szCs w:val="17"/>
        </w:rPr>
      </w:pPr>
    </w:p>
    <w:p>
      <w:pPr>
        <w:pStyle w:val="BodyText"/>
        <w:spacing w:line="273" w:lineRule="auto"/>
        <w:ind w:right="1132"/>
        <w:jc w:val="both"/>
      </w:pPr>
      <w:r>
        <w:rPr>
          <w:spacing w:val="-1"/>
        </w:rPr>
        <w:t>本集团的金融工具导致的主要风险是信用风险、流动性风险、市场风险（包括利率风险、汇率风险和商品</w:t>
      </w:r>
      <w:r>
        <w:rPr>
          <w:spacing w:val="-85"/>
        </w:rPr>
        <w:t> </w:t>
      </w:r>
      <w:r>
        <w:rPr>
          <w:spacing w:val="-85"/>
        </w:rPr>
      </w:r>
      <w:r>
        <w:rPr/>
        <w:t>价格风险</w:t>
      </w:r>
      <w:r>
        <w:rPr>
          <w:rFonts w:ascii="宋体" w:hAnsi="宋体" w:cs="宋体" w:eastAsia="宋体" w:hint="default"/>
        </w:rPr>
        <w:t>/</w:t>
      </w:r>
      <w:r>
        <w:rPr/>
        <w:t>权益工具价格风险）。</w:t>
      </w:r>
    </w:p>
    <w:p>
      <w:pPr>
        <w:spacing w:line="240" w:lineRule="auto" w:before="1"/>
        <w:rPr>
          <w:rFonts w:ascii="宋体" w:hAnsi="宋体" w:cs="宋体" w:eastAsia="宋体" w:hint="default"/>
          <w:sz w:val="17"/>
          <w:szCs w:val="17"/>
        </w:rPr>
      </w:pPr>
    </w:p>
    <w:p>
      <w:pPr>
        <w:pStyle w:val="BodyText"/>
        <w:spacing w:line="273" w:lineRule="auto"/>
        <w:ind w:right="1130"/>
        <w:jc w:val="both"/>
      </w:pPr>
      <w:r>
        <w:rPr>
          <w:spacing w:val="-1"/>
        </w:rPr>
        <w:t>董事会负责规划并建立本集团的风险管理架构，指定本集团的风险管理政策和相关指引并监督风险管理措</w:t>
      </w:r>
      <w:r>
        <w:rPr>
          <w:spacing w:val="-81"/>
        </w:rPr>
        <w:t> </w:t>
      </w:r>
      <w:r>
        <w:rPr>
          <w:spacing w:val="-81"/>
        </w:rPr>
      </w:r>
      <w:r>
        <w:rPr>
          <w:spacing w:val="-1"/>
        </w:rPr>
        <w:t>施的执行情况。本集团已制定风险管理政策以识别和分析本集团所面临的风险，这些风险管理政策对特定</w:t>
      </w:r>
      <w:r>
        <w:rPr>
          <w:spacing w:val="-81"/>
        </w:rPr>
        <w:t> </w:t>
      </w:r>
      <w:r>
        <w:rPr>
          <w:spacing w:val="-81"/>
        </w:rPr>
      </w:r>
      <w:r>
        <w:rPr>
          <w:spacing w:val="-1"/>
        </w:rPr>
        <w:t>风险进行了明确规定，涵盖了信用风险、流动性风险和市场风险管理等诸多方面。本集团定期评估市场环</w:t>
      </w:r>
      <w:r>
        <w:rPr>
          <w:spacing w:val="-83"/>
        </w:rPr>
        <w:t> </w:t>
      </w:r>
      <w:r>
        <w:rPr>
          <w:spacing w:val="-83"/>
        </w:rPr>
      </w:r>
      <w:r>
        <w:rPr>
          <w:spacing w:val="-1"/>
        </w:rPr>
        <w:t>境及本集团经营活动的变化以决定是否对风险管理政策及系统进行更新。本集团的风险管理由风险管理委</w:t>
      </w:r>
      <w:r>
        <w:rPr>
          <w:spacing w:val="-81"/>
        </w:rPr>
        <w:t> </w:t>
      </w:r>
      <w:r>
        <w:rPr>
          <w:spacing w:val="-81"/>
        </w:rPr>
      </w:r>
      <w:r>
        <w:rPr>
          <w:spacing w:val="-1"/>
        </w:rPr>
        <w:t>员会按照董事会批准的政策开展。风险管理委员会通过与本集团其他业务部门的紧密合作来识别、评价和</w:t>
      </w:r>
      <w:r>
        <w:rPr>
          <w:spacing w:val="-80"/>
        </w:rPr>
        <w:t> </w:t>
      </w:r>
      <w:r>
        <w:rPr>
          <w:spacing w:val="-80"/>
        </w:rPr>
      </w:r>
      <w:r>
        <w:rPr>
          <w:spacing w:val="-1"/>
        </w:rPr>
        <w:t>规避相关风险。本集团内部审计部门就风险管理控制及程序进行定期的审核，并将审核结果上报本集团的</w:t>
      </w:r>
      <w:r>
        <w:rPr>
          <w:spacing w:val="-81"/>
        </w:rPr>
        <w:t> </w:t>
      </w:r>
      <w:r>
        <w:rPr>
          <w:spacing w:val="-81"/>
        </w:rPr>
      </w:r>
      <w:r>
        <w:rPr/>
        <w:t>审计委员会。</w:t>
      </w:r>
    </w:p>
    <w:p>
      <w:pPr>
        <w:spacing w:line="240" w:lineRule="auto" w:before="1"/>
        <w:rPr>
          <w:rFonts w:ascii="宋体" w:hAnsi="宋体" w:cs="宋体" w:eastAsia="宋体" w:hint="default"/>
          <w:sz w:val="17"/>
          <w:szCs w:val="17"/>
        </w:rPr>
      </w:pPr>
    </w:p>
    <w:p>
      <w:pPr>
        <w:pStyle w:val="BodyText"/>
        <w:spacing w:line="240" w:lineRule="auto"/>
        <w:ind w:right="0"/>
        <w:jc w:val="both"/>
      </w:pPr>
      <w:r>
        <w:rPr/>
        <w:t>本集团通过适当的多样化投资及业务组合来分散金融工具风险，并通过制定相应的风险管理政策减少集中</w:t>
      </w:r>
    </w:p>
    <w:p>
      <w:pPr>
        <w:spacing w:after="0" w:line="240" w:lineRule="auto"/>
        <w:jc w:val="both"/>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BodyText"/>
        <w:spacing w:line="240" w:lineRule="auto" w:before="35"/>
        <w:ind w:right="0"/>
        <w:jc w:val="both"/>
      </w:pPr>
      <w:r>
        <w:rPr/>
        <w:t>于任何单一行业、特定地区或特定交易对手方的风险。</w:t>
      </w:r>
    </w:p>
    <w:p>
      <w:pPr>
        <w:spacing w:line="240" w:lineRule="auto" w:before="5"/>
        <w:rPr>
          <w:rFonts w:ascii="宋体" w:hAnsi="宋体" w:cs="宋体" w:eastAsia="宋体" w:hint="default"/>
          <w:sz w:val="19"/>
          <w:szCs w:val="19"/>
        </w:rPr>
      </w:pPr>
    </w:p>
    <w:p>
      <w:pPr>
        <w:pStyle w:val="BodyText"/>
        <w:spacing w:line="460" w:lineRule="auto"/>
        <w:ind w:left="1134" w:right="3192"/>
        <w:jc w:val="left"/>
      </w:pPr>
      <w:r>
        <w:rPr/>
        <w:t>（</w:t>
      </w:r>
      <w:r>
        <w:rPr>
          <w:rFonts w:ascii="宋体" w:hAnsi="宋体" w:cs="宋体" w:eastAsia="宋体" w:hint="default"/>
        </w:rPr>
        <w:t>1</w:t>
      </w:r>
      <w:r>
        <w:rPr/>
        <w:t>）信用风险 信用风险，是指交易对手方未能履行合同义务而导致本集团产生财务损失的风险。</w:t>
      </w:r>
    </w:p>
    <w:p>
      <w:pPr>
        <w:pStyle w:val="BodyText"/>
        <w:spacing w:line="240" w:lineRule="auto" w:before="60"/>
        <w:ind w:right="0"/>
        <w:jc w:val="both"/>
      </w:pPr>
      <w:r>
        <w:rPr/>
        <w:t>本集团对信用风险按组合分类进行管理。信用风险主要产生于银行存款、衍生金融工具和应收款项等。</w:t>
      </w:r>
    </w:p>
    <w:p>
      <w:pPr>
        <w:spacing w:line="240" w:lineRule="auto" w:before="5"/>
        <w:rPr>
          <w:rFonts w:ascii="宋体" w:hAnsi="宋体" w:cs="宋体" w:eastAsia="宋体" w:hint="default"/>
          <w:sz w:val="19"/>
          <w:szCs w:val="19"/>
        </w:rPr>
      </w:pPr>
    </w:p>
    <w:p>
      <w:pPr>
        <w:pStyle w:val="BodyText"/>
        <w:spacing w:line="273" w:lineRule="auto"/>
        <w:ind w:right="1110"/>
        <w:jc w:val="both"/>
      </w:pPr>
      <w:r>
        <w:rPr>
          <w:spacing w:val="3"/>
        </w:rPr>
        <w:t>本集团银行存款主要存放于国有银行和其它大中型上市银行，本集团预期银行存款不存在重大的信用风</w:t>
      </w:r>
      <w:r>
        <w:rPr>
          <w:spacing w:val="-73"/>
        </w:rPr>
        <w:t> </w:t>
      </w:r>
      <w:r>
        <w:rPr>
          <w:spacing w:val="-73"/>
        </w:rPr>
      </w:r>
      <w:r>
        <w:rPr/>
        <w:t>险。</w:t>
      </w:r>
    </w:p>
    <w:p>
      <w:pPr>
        <w:spacing w:line="240" w:lineRule="auto" w:before="1"/>
        <w:rPr>
          <w:rFonts w:ascii="宋体" w:hAnsi="宋体" w:cs="宋体" w:eastAsia="宋体" w:hint="default"/>
          <w:sz w:val="17"/>
          <w:szCs w:val="17"/>
        </w:rPr>
      </w:pPr>
    </w:p>
    <w:p>
      <w:pPr>
        <w:pStyle w:val="BodyText"/>
        <w:spacing w:line="273" w:lineRule="auto"/>
        <w:ind w:left="1134" w:right="1110"/>
        <w:jc w:val="both"/>
      </w:pPr>
      <w:r>
        <w:rPr/>
        <w:t>对于应收款项，本集团设定相关政策以控制信用风险敞口。本集团基于对债务人的财务状况、外部评级、 </w:t>
      </w:r>
      <w:r>
        <w:rPr>
          <w:spacing w:val="-1"/>
        </w:rPr>
        <w:t>从第三方获取担保的可能性、信用记录及其它因素诸如目前市场状况等评估债务人的信用资质并设置相应</w:t>
      </w:r>
      <w:r>
        <w:rPr>
          <w:spacing w:val="-81"/>
        </w:rPr>
        <w:t> </w:t>
      </w:r>
      <w:r>
        <w:rPr>
          <w:spacing w:val="-81"/>
        </w:rPr>
      </w:r>
      <w:r>
        <w:rPr>
          <w:spacing w:val="3"/>
        </w:rPr>
        <w:t>欠款额度与信用期限。本集团已采取政策只与信用良好的交易对手方合作并在有必要时获取足够的抵押</w:t>
      </w:r>
      <w:r>
        <w:rPr>
          <w:spacing w:val="-82"/>
        </w:rPr>
        <w:t> </w:t>
      </w:r>
      <w:r>
        <w:rPr>
          <w:spacing w:val="-82"/>
        </w:rPr>
      </w:r>
      <w:r>
        <w:rPr>
          <w:spacing w:val="-1"/>
        </w:rPr>
        <w:t>品，以此缓解因交易对手方未能履行合同义务而产生财务损失的风险。本集团会定期对债务人信用记录进</w:t>
      </w:r>
      <w:r>
        <w:rPr>
          <w:spacing w:val="-81"/>
        </w:rPr>
        <w:t> </w:t>
      </w:r>
      <w:r>
        <w:rPr>
          <w:spacing w:val="-81"/>
        </w:rPr>
      </w:r>
      <w:r>
        <w:rPr>
          <w:spacing w:val="-1"/>
        </w:rPr>
        <w:t>行监控，对于信用记录不良的债务人，本集团会采用书面催款、缩短信用期或取消信用期等方式，以确保</w:t>
      </w:r>
      <w:r>
        <w:rPr>
          <w:spacing w:val="-86"/>
        </w:rPr>
        <w:t> </w:t>
      </w:r>
      <w:r>
        <w:rPr>
          <w:spacing w:val="-86"/>
        </w:rPr>
      </w:r>
      <w:r>
        <w:rPr/>
        <w:t>本集团的整体信用风险在可控的范围内。</w:t>
      </w:r>
    </w:p>
    <w:p>
      <w:pPr>
        <w:spacing w:line="240" w:lineRule="auto" w:before="1"/>
        <w:rPr>
          <w:rFonts w:ascii="宋体" w:hAnsi="宋体" w:cs="宋体" w:eastAsia="宋体" w:hint="default"/>
          <w:sz w:val="17"/>
          <w:szCs w:val="17"/>
        </w:rPr>
      </w:pPr>
    </w:p>
    <w:p>
      <w:pPr>
        <w:pStyle w:val="BodyText"/>
        <w:spacing w:line="273" w:lineRule="auto"/>
        <w:ind w:left="1134" w:right="1132"/>
        <w:jc w:val="both"/>
      </w:pPr>
      <w:r>
        <w:rPr>
          <w:spacing w:val="-1"/>
        </w:rPr>
        <w:t>本集团应收账款的债务人为分布于不同行业和地区的客户。本集团持续对应收账款的财务状况实施信用评</w:t>
      </w:r>
      <w:r>
        <w:rPr>
          <w:spacing w:val="-81"/>
        </w:rPr>
        <w:t> </w:t>
      </w:r>
      <w:r>
        <w:rPr>
          <w:spacing w:val="-81"/>
        </w:rPr>
      </w:r>
      <w:r>
        <w:rPr/>
        <w:t>估，并在适当时购买信用担保保险。</w:t>
      </w:r>
    </w:p>
    <w:p>
      <w:pPr>
        <w:spacing w:line="240" w:lineRule="auto" w:before="1"/>
        <w:rPr>
          <w:rFonts w:ascii="宋体" w:hAnsi="宋体" w:cs="宋体" w:eastAsia="宋体" w:hint="default"/>
          <w:sz w:val="17"/>
          <w:szCs w:val="17"/>
        </w:rPr>
      </w:pPr>
    </w:p>
    <w:p>
      <w:pPr>
        <w:pStyle w:val="BodyText"/>
        <w:spacing w:line="273" w:lineRule="auto"/>
        <w:ind w:left="1134" w:right="1057"/>
        <w:jc w:val="both"/>
      </w:pPr>
      <w:r>
        <w:rPr/>
        <w:t>本集团所承受的最大信用风险敞口为资产负债表中每项金融资产的账面金额。本集团没有提供任何其他可 能令本集团承受信用风险的担保。</w:t>
      </w:r>
    </w:p>
    <w:p>
      <w:pPr>
        <w:spacing w:line="240" w:lineRule="auto" w:before="1"/>
        <w:rPr>
          <w:rFonts w:ascii="宋体" w:hAnsi="宋体" w:cs="宋体" w:eastAsia="宋体" w:hint="default"/>
          <w:sz w:val="17"/>
          <w:szCs w:val="17"/>
        </w:rPr>
      </w:pPr>
    </w:p>
    <w:p>
      <w:pPr>
        <w:pStyle w:val="BodyText"/>
        <w:spacing w:line="273" w:lineRule="auto"/>
        <w:ind w:right="1057"/>
        <w:jc w:val="both"/>
      </w:pPr>
      <w:r>
        <w:rPr>
          <w:spacing w:val="-3"/>
        </w:rPr>
        <w:t>本集团应收账款中，欠款金额前五大客户的应收账款占本集团应收账款总额的</w:t>
      </w:r>
      <w:r>
        <w:rPr>
          <w:rFonts w:ascii="宋体" w:hAnsi="宋体" w:cs="宋体" w:eastAsia="宋体" w:hint="default"/>
          <w:spacing w:val="-3"/>
        </w:rPr>
        <w:t>55.71%</w:t>
      </w:r>
      <w:r>
        <w:rPr>
          <w:spacing w:val="-3"/>
        </w:rPr>
        <w:t>（</w:t>
      </w:r>
      <w:r>
        <w:rPr>
          <w:rFonts w:ascii="宋体" w:hAnsi="宋体" w:cs="宋体" w:eastAsia="宋体" w:hint="default"/>
          <w:spacing w:val="-3"/>
        </w:rPr>
        <w:t>2014</w:t>
      </w:r>
      <w:r>
        <w:rPr>
          <w:spacing w:val="-3"/>
        </w:rPr>
        <w:t>年：</w:t>
      </w:r>
      <w:r>
        <w:rPr>
          <w:rFonts w:ascii="宋体" w:hAnsi="宋体" w:cs="宋体" w:eastAsia="宋体" w:hint="default"/>
          <w:spacing w:val="-3"/>
        </w:rPr>
        <w:t>44.52%</w:t>
      </w:r>
      <w:r>
        <w:rPr>
          <w:spacing w:val="-3"/>
        </w:rPr>
        <w:t>）；</w:t>
      </w:r>
      <w:r>
        <w:rPr>
          <w:spacing w:val="-102"/>
        </w:rPr>
        <w:t> </w:t>
      </w:r>
      <w:r>
        <w:rPr>
          <w:spacing w:val="3"/>
        </w:rPr>
        <w:t>本集团其他应收款中，欠款金额前五大公司的其他应收款占本集团其他应收款总额的</w:t>
      </w:r>
      <w:r>
        <w:rPr>
          <w:rFonts w:ascii="宋体" w:hAnsi="宋体" w:cs="宋体" w:eastAsia="宋体" w:hint="default"/>
          <w:spacing w:val="3"/>
        </w:rPr>
        <w:t>50.12%</w:t>
      </w:r>
      <w:r>
        <w:rPr>
          <w:spacing w:val="3"/>
        </w:rPr>
        <w:t>（</w:t>
      </w:r>
      <w:r>
        <w:rPr>
          <w:rFonts w:ascii="宋体" w:hAnsi="宋体" w:cs="宋体" w:eastAsia="宋体" w:hint="default"/>
          <w:spacing w:val="3"/>
        </w:rPr>
        <w:t>2014</w:t>
      </w:r>
      <w:r>
        <w:rPr>
          <w:spacing w:val="3"/>
        </w:rPr>
        <w:t>年：</w:t>
      </w:r>
      <w:r>
        <w:rPr>
          <w:spacing w:val="-84"/>
        </w:rPr>
        <w:t> </w:t>
      </w:r>
      <w:r>
        <w:rPr>
          <w:rFonts w:ascii="宋体" w:hAnsi="宋体" w:cs="宋体" w:eastAsia="宋体" w:hint="default"/>
        </w:rPr>
        <w:t>65.86%</w:t>
      </w:r>
      <w:r>
        <w:rPr/>
        <w:t>）。</w:t>
      </w:r>
    </w:p>
    <w:p>
      <w:pPr>
        <w:spacing w:line="240" w:lineRule="auto" w:before="1"/>
        <w:rPr>
          <w:rFonts w:ascii="宋体" w:hAnsi="宋体" w:cs="宋体" w:eastAsia="宋体" w:hint="default"/>
          <w:sz w:val="17"/>
          <w:szCs w:val="17"/>
        </w:rPr>
      </w:pPr>
    </w:p>
    <w:p>
      <w:pPr>
        <w:pStyle w:val="BodyText"/>
        <w:spacing w:line="460" w:lineRule="auto"/>
        <w:ind w:right="1131"/>
        <w:jc w:val="both"/>
      </w:pPr>
      <w:r>
        <w:rPr/>
        <w:t>（</w:t>
      </w:r>
      <w:r>
        <w:rPr>
          <w:rFonts w:ascii="宋体" w:hAnsi="宋体" w:cs="宋体" w:eastAsia="宋体" w:hint="default"/>
        </w:rPr>
        <w:t>2</w:t>
      </w:r>
      <w:r>
        <w:rPr/>
        <w:t>）流动性风险 流动性风险，是指本集团在履行以交付现金或其他金融资产的方式结算的义务时发生资金短缺的风险。</w:t>
      </w:r>
    </w:p>
    <w:p>
      <w:pPr>
        <w:pStyle w:val="BodyText"/>
        <w:spacing w:line="273" w:lineRule="auto" w:before="60"/>
        <w:ind w:right="1131"/>
        <w:jc w:val="both"/>
      </w:pPr>
      <w:r>
        <w:rPr>
          <w:spacing w:val="-1"/>
        </w:rPr>
        <w:t>管理流动风险时，本集团保持管理层认为充分的现金及现金等价物并对其进行监控，以满足本集团经营需</w:t>
      </w:r>
      <w:r>
        <w:rPr>
          <w:spacing w:val="-81"/>
        </w:rPr>
        <w:t> </w:t>
      </w:r>
      <w:r>
        <w:rPr>
          <w:spacing w:val="-81"/>
        </w:rPr>
      </w:r>
      <w:r>
        <w:rPr>
          <w:spacing w:val="-1"/>
        </w:rPr>
        <w:t>要，并降低现金流量波动的影响。本集团管理层对银行借款的使用情况进行监控并确保遵守借款协议。同</w:t>
      </w:r>
      <w:r>
        <w:rPr>
          <w:spacing w:val="-83"/>
        </w:rPr>
        <w:t> </w:t>
      </w:r>
      <w:r>
        <w:rPr>
          <w:spacing w:val="-83"/>
        </w:rPr>
      </w:r>
      <w:r>
        <w:rPr/>
        <w:t>时从主要金融机构获得提供足够备用资金的承诺，以满足短期和长期的资金需求。</w:t>
      </w:r>
    </w:p>
    <w:p>
      <w:pPr>
        <w:spacing w:line="240" w:lineRule="auto" w:before="1"/>
        <w:rPr>
          <w:rFonts w:ascii="宋体" w:hAnsi="宋体" w:cs="宋体" w:eastAsia="宋体" w:hint="default"/>
          <w:sz w:val="17"/>
          <w:szCs w:val="17"/>
        </w:rPr>
      </w:pPr>
    </w:p>
    <w:p>
      <w:pPr>
        <w:pStyle w:val="BodyText"/>
        <w:spacing w:line="240" w:lineRule="auto"/>
        <w:ind w:right="0"/>
        <w:jc w:val="both"/>
      </w:pPr>
      <w:r>
        <w:rPr/>
        <w:t>（</w:t>
      </w:r>
      <w:r>
        <w:rPr>
          <w:rFonts w:ascii="宋体" w:hAnsi="宋体" w:cs="宋体" w:eastAsia="宋体" w:hint="default"/>
        </w:rPr>
        <w:t>3</w:t>
      </w:r>
      <w:r>
        <w:rPr/>
        <w:t>）市场风险</w:t>
      </w:r>
    </w:p>
    <w:p>
      <w:pPr>
        <w:spacing w:line="240" w:lineRule="auto" w:before="5"/>
        <w:rPr>
          <w:rFonts w:ascii="宋体" w:hAnsi="宋体" w:cs="宋体" w:eastAsia="宋体" w:hint="default"/>
          <w:sz w:val="19"/>
          <w:szCs w:val="19"/>
        </w:rPr>
      </w:pPr>
    </w:p>
    <w:p>
      <w:pPr>
        <w:pStyle w:val="BodyText"/>
        <w:spacing w:line="273" w:lineRule="auto"/>
        <w:ind w:left="1134" w:right="1131"/>
        <w:jc w:val="both"/>
      </w:pPr>
      <w:r>
        <w:rPr>
          <w:spacing w:val="-1"/>
        </w:rPr>
        <w:t>金融工具的市场风险，是指金融工具的公允价值或未来现金流量因市场价格变动而发生波动的风险，包括</w:t>
      </w:r>
      <w:r>
        <w:rPr>
          <w:spacing w:val="-81"/>
        </w:rPr>
        <w:t> </w:t>
      </w:r>
      <w:r>
        <w:rPr>
          <w:spacing w:val="-81"/>
        </w:rPr>
      </w:r>
      <w:r>
        <w:rPr/>
        <w:t>利率风险、汇率风险和其他价格风险。</w:t>
      </w:r>
    </w:p>
    <w:p>
      <w:pPr>
        <w:spacing w:line="240" w:lineRule="auto" w:before="1"/>
        <w:rPr>
          <w:rFonts w:ascii="宋体" w:hAnsi="宋体" w:cs="宋体" w:eastAsia="宋体" w:hint="default"/>
          <w:sz w:val="17"/>
          <w:szCs w:val="17"/>
        </w:rPr>
      </w:pPr>
    </w:p>
    <w:p>
      <w:pPr>
        <w:pStyle w:val="BodyText"/>
        <w:spacing w:line="240" w:lineRule="auto"/>
        <w:ind w:left="1134" w:right="0"/>
        <w:jc w:val="both"/>
      </w:pPr>
      <w:r>
        <w:rPr/>
        <w:t>利率风险</w:t>
      </w:r>
    </w:p>
    <w:p>
      <w:pPr>
        <w:spacing w:line="240" w:lineRule="auto" w:before="5"/>
        <w:rPr>
          <w:rFonts w:ascii="宋体" w:hAnsi="宋体" w:cs="宋体" w:eastAsia="宋体" w:hint="default"/>
          <w:sz w:val="19"/>
          <w:szCs w:val="19"/>
        </w:rPr>
      </w:pPr>
    </w:p>
    <w:p>
      <w:pPr>
        <w:pStyle w:val="BodyText"/>
        <w:spacing w:line="273" w:lineRule="auto"/>
        <w:ind w:left="1134" w:right="1131"/>
        <w:jc w:val="both"/>
      </w:pPr>
      <w:r>
        <w:rPr>
          <w:spacing w:val="-1"/>
        </w:rPr>
        <w:t>利率风险，是指金融工具的公允价值或未来现金流量因市场利率变动而发生波动的风险。利率风险可源于</w:t>
      </w:r>
      <w:r>
        <w:rPr>
          <w:spacing w:val="-81"/>
        </w:rPr>
        <w:t> </w:t>
      </w:r>
      <w:r>
        <w:rPr>
          <w:spacing w:val="-81"/>
        </w:rPr>
      </w:r>
      <w:r>
        <w:rPr/>
        <w:t>已确认的计息金融工具和未确认的金融工具（如某些贷款承诺）。</w:t>
      </w:r>
    </w:p>
    <w:p>
      <w:pPr>
        <w:spacing w:line="240" w:lineRule="auto" w:before="2"/>
        <w:rPr>
          <w:rFonts w:ascii="宋体" w:hAnsi="宋体" w:cs="宋体" w:eastAsia="宋体" w:hint="default"/>
          <w:sz w:val="17"/>
          <w:szCs w:val="17"/>
        </w:rPr>
      </w:pPr>
    </w:p>
    <w:p>
      <w:pPr>
        <w:pStyle w:val="BodyText"/>
        <w:spacing w:line="273" w:lineRule="auto"/>
        <w:ind w:left="1134" w:right="1131"/>
        <w:jc w:val="both"/>
      </w:pPr>
      <w:r>
        <w:rPr>
          <w:spacing w:val="-1"/>
        </w:rPr>
        <w:t>本集团的利率风险主要产生于长期银行借款及应付债券等长期带息债务。浮动利率的金融负债使本集团面</w:t>
      </w:r>
      <w:r>
        <w:rPr>
          <w:spacing w:val="-81"/>
        </w:rPr>
        <w:t> </w:t>
      </w:r>
      <w:r>
        <w:rPr>
          <w:spacing w:val="-81"/>
        </w:rPr>
      </w:r>
      <w:r>
        <w:rPr>
          <w:spacing w:val="-1"/>
        </w:rPr>
        <w:t>临现金流量利率风险，固定利率的金融负债使本集团面临公允价值利率风险。本集团根据当时的市场环境</w:t>
      </w:r>
      <w:r>
        <w:rPr>
          <w:spacing w:val="-81"/>
        </w:rPr>
        <w:t> </w:t>
      </w:r>
      <w:r>
        <w:rPr>
          <w:spacing w:val="-81"/>
        </w:rPr>
      </w:r>
      <w:r>
        <w:rPr>
          <w:spacing w:val="3"/>
        </w:rPr>
        <w:t>来决定固定利率及浮动利率合同的相对比例，并通过定期审阅与监察维持适当的固定和浮动利率工具组</w:t>
      </w:r>
    </w:p>
    <w:p>
      <w:pPr>
        <w:spacing w:after="0" w:line="273" w:lineRule="auto"/>
        <w:jc w:val="both"/>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BodyText"/>
        <w:spacing w:line="240" w:lineRule="auto" w:before="35"/>
        <w:ind w:right="0"/>
        <w:jc w:val="both"/>
      </w:pPr>
      <w:r>
        <w:rPr/>
        <w:t>合。</w:t>
      </w:r>
    </w:p>
    <w:p>
      <w:pPr>
        <w:spacing w:line="240" w:lineRule="auto" w:before="5"/>
        <w:rPr>
          <w:rFonts w:ascii="宋体" w:hAnsi="宋体" w:cs="宋体" w:eastAsia="宋体" w:hint="default"/>
          <w:sz w:val="19"/>
          <w:szCs w:val="19"/>
        </w:rPr>
      </w:pPr>
    </w:p>
    <w:p>
      <w:pPr>
        <w:pStyle w:val="BodyText"/>
        <w:spacing w:line="273" w:lineRule="auto"/>
        <w:ind w:left="1134" w:right="1131"/>
        <w:jc w:val="both"/>
      </w:pPr>
      <w:r>
        <w:rPr>
          <w:spacing w:val="-1"/>
        </w:rPr>
        <w:t>本集团密切关注利率变动对本集团利率风险的影响。本集团目前并未采取利率对冲政策。但管理层负责监</w:t>
      </w:r>
      <w:r>
        <w:rPr>
          <w:spacing w:val="-81"/>
        </w:rPr>
        <w:t> </w:t>
      </w:r>
      <w:r>
        <w:rPr>
          <w:spacing w:val="-81"/>
        </w:rPr>
      </w:r>
      <w:r>
        <w:rPr>
          <w:spacing w:val="-1"/>
        </w:rPr>
        <w:t>控利率风险，并将于需要时考虑对冲重大利率风险。由于定期存款为短期存款，故银行存款的公允价值利</w:t>
      </w:r>
      <w:r>
        <w:rPr>
          <w:spacing w:val="-83"/>
        </w:rPr>
        <w:t> </w:t>
      </w:r>
      <w:r>
        <w:rPr>
          <w:spacing w:val="-83"/>
        </w:rPr>
      </w:r>
      <w:r>
        <w:rPr/>
        <w:t>率风险并不重大。</w:t>
      </w:r>
    </w:p>
    <w:p>
      <w:pPr>
        <w:spacing w:line="240" w:lineRule="auto" w:before="1"/>
        <w:rPr>
          <w:rFonts w:ascii="宋体" w:hAnsi="宋体" w:cs="宋体" w:eastAsia="宋体" w:hint="default"/>
          <w:sz w:val="17"/>
          <w:szCs w:val="17"/>
        </w:rPr>
      </w:pPr>
    </w:p>
    <w:p>
      <w:pPr>
        <w:pStyle w:val="BodyText"/>
        <w:spacing w:line="240" w:lineRule="auto"/>
        <w:ind w:left="1134" w:right="0"/>
        <w:jc w:val="both"/>
      </w:pPr>
      <w:r>
        <w:rPr/>
        <w:t>本集团持有的计息金融工具如下（单位：人民币万元）：</w:t>
      </w:r>
    </w:p>
    <w:p>
      <w:pPr>
        <w:spacing w:line="240" w:lineRule="auto" w:before="6"/>
        <w:rPr>
          <w:rFonts w:ascii="宋体" w:hAnsi="宋体" w:cs="宋体" w:eastAsia="宋体" w:hint="default"/>
          <w:sz w:val="20"/>
          <w:szCs w:val="20"/>
        </w:rPr>
      </w:pPr>
    </w:p>
    <w:tbl>
      <w:tblPr>
        <w:tblW w:w="0" w:type="auto"/>
        <w:jc w:val="left"/>
        <w:tblInd w:w="1119" w:type="dxa"/>
        <w:tblLayout w:type="fixed"/>
        <w:tblCellMar>
          <w:top w:w="0" w:type="dxa"/>
          <w:left w:w="0" w:type="dxa"/>
          <w:bottom w:w="0" w:type="dxa"/>
          <w:right w:w="0" w:type="dxa"/>
        </w:tblCellMar>
        <w:tblLook w:val="01E0"/>
      </w:tblPr>
      <w:tblGrid>
        <w:gridCol w:w="3756"/>
        <w:gridCol w:w="3391"/>
        <w:gridCol w:w="2098"/>
      </w:tblGrid>
      <w:tr>
        <w:trPr>
          <w:trHeight w:val="349" w:hRule="exact"/>
        </w:trPr>
        <w:tc>
          <w:tcPr>
            <w:tcW w:w="3756"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391"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1030"/>
              <w:jc w:val="right"/>
              <w:rPr>
                <w:rFonts w:ascii="宋体" w:hAnsi="宋体" w:cs="宋体" w:eastAsia="宋体" w:hint="default"/>
                <w:sz w:val="21"/>
                <w:szCs w:val="21"/>
              </w:rPr>
            </w:pPr>
            <w:r>
              <w:rPr>
                <w:rFonts w:ascii="宋体"/>
                <w:b/>
                <w:w w:val="95"/>
                <w:sz w:val="21"/>
              </w:rPr>
              <w:t>2015.12.31</w:t>
            </w:r>
            <w:r>
              <w:rPr>
                <w:rFonts w:ascii="宋体"/>
                <w:sz w:val="21"/>
              </w:rPr>
            </w:r>
          </w:p>
        </w:tc>
        <w:tc>
          <w:tcPr>
            <w:tcW w:w="2098"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9"/>
              <w:jc w:val="right"/>
              <w:rPr>
                <w:rFonts w:ascii="宋体" w:hAnsi="宋体" w:cs="宋体" w:eastAsia="宋体" w:hint="default"/>
                <w:sz w:val="21"/>
                <w:szCs w:val="21"/>
              </w:rPr>
            </w:pPr>
            <w:r>
              <w:rPr>
                <w:rFonts w:ascii="宋体"/>
                <w:b/>
                <w:w w:val="95"/>
                <w:sz w:val="21"/>
              </w:rPr>
              <w:t>2014.12.31</w:t>
            </w:r>
            <w:r>
              <w:rPr>
                <w:rFonts w:ascii="宋体"/>
                <w:sz w:val="21"/>
              </w:rPr>
            </w:r>
          </w:p>
        </w:tc>
      </w:tr>
      <w:tr>
        <w:trPr>
          <w:trHeight w:val="347" w:hRule="exact"/>
        </w:trPr>
        <w:tc>
          <w:tcPr>
            <w:tcW w:w="3756"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浮动利率金融工具</w:t>
            </w:r>
          </w:p>
        </w:tc>
        <w:tc>
          <w:tcPr>
            <w:tcW w:w="3391" w:type="dxa"/>
            <w:tcBorders>
              <w:top w:val="single" w:sz="8" w:space="0" w:color="000000"/>
              <w:left w:val="nil" w:sz="6" w:space="0" w:color="auto"/>
              <w:bottom w:val="single" w:sz="8" w:space="0" w:color="000000"/>
              <w:right w:val="nil" w:sz="6" w:space="0" w:color="auto"/>
            </w:tcBorders>
          </w:tcPr>
          <w:p>
            <w:pPr/>
          </w:p>
        </w:tc>
        <w:tc>
          <w:tcPr>
            <w:tcW w:w="2098" w:type="dxa"/>
            <w:tcBorders>
              <w:top w:val="single" w:sz="8" w:space="0" w:color="000000"/>
              <w:left w:val="nil" w:sz="6" w:space="0" w:color="auto"/>
              <w:bottom w:val="single" w:sz="8" w:space="0" w:color="000000"/>
              <w:right w:val="nil" w:sz="6" w:space="0" w:color="auto"/>
            </w:tcBorders>
          </w:tcPr>
          <w:p>
            <w:pPr/>
          </w:p>
        </w:tc>
      </w:tr>
      <w:tr>
        <w:trPr>
          <w:trHeight w:val="347" w:hRule="exact"/>
        </w:trPr>
        <w:tc>
          <w:tcPr>
            <w:tcW w:w="3756"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3391"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1028"/>
              <w:jc w:val="right"/>
              <w:rPr>
                <w:rFonts w:ascii="宋体" w:hAnsi="宋体" w:cs="宋体" w:eastAsia="宋体" w:hint="default"/>
                <w:sz w:val="21"/>
                <w:szCs w:val="21"/>
              </w:rPr>
            </w:pPr>
            <w:r>
              <w:rPr>
                <w:rFonts w:ascii="宋体"/>
                <w:sz w:val="21"/>
              </w:rPr>
              <w:t>73,894.48</w:t>
            </w:r>
          </w:p>
        </w:tc>
        <w:tc>
          <w:tcPr>
            <w:tcW w:w="2098"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20,069.62</w:t>
            </w:r>
          </w:p>
        </w:tc>
      </w:tr>
      <w:tr>
        <w:trPr>
          <w:trHeight w:val="348" w:hRule="exact"/>
        </w:trPr>
        <w:tc>
          <w:tcPr>
            <w:tcW w:w="3756"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其中：货币资金</w:t>
            </w:r>
          </w:p>
        </w:tc>
        <w:tc>
          <w:tcPr>
            <w:tcW w:w="3391"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1028"/>
              <w:jc w:val="right"/>
              <w:rPr>
                <w:rFonts w:ascii="宋体" w:hAnsi="宋体" w:cs="宋体" w:eastAsia="宋体" w:hint="default"/>
                <w:sz w:val="21"/>
                <w:szCs w:val="21"/>
              </w:rPr>
            </w:pPr>
            <w:r>
              <w:rPr>
                <w:rFonts w:ascii="宋体"/>
                <w:sz w:val="21"/>
              </w:rPr>
              <w:t>73,894.48</w:t>
            </w:r>
          </w:p>
        </w:tc>
        <w:tc>
          <w:tcPr>
            <w:tcW w:w="2098"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20,069.62</w:t>
            </w:r>
          </w:p>
        </w:tc>
      </w:tr>
      <w:tr>
        <w:trPr>
          <w:trHeight w:val="347" w:hRule="exact"/>
        </w:trPr>
        <w:tc>
          <w:tcPr>
            <w:tcW w:w="3756"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3391"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1028"/>
              <w:jc w:val="right"/>
              <w:rPr>
                <w:rFonts w:ascii="宋体" w:hAnsi="宋体" w:cs="宋体" w:eastAsia="宋体" w:hint="default"/>
                <w:sz w:val="21"/>
                <w:szCs w:val="21"/>
              </w:rPr>
            </w:pPr>
            <w:r>
              <w:rPr>
                <w:rFonts w:ascii="宋体"/>
                <w:sz w:val="21"/>
              </w:rPr>
              <w:t>12,399.80</w:t>
            </w:r>
          </w:p>
        </w:tc>
        <w:tc>
          <w:tcPr>
            <w:tcW w:w="2098"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7"/>
              <w:jc w:val="right"/>
              <w:rPr>
                <w:rFonts w:ascii="宋体" w:hAnsi="宋体" w:cs="宋体" w:eastAsia="宋体" w:hint="default"/>
                <w:sz w:val="21"/>
                <w:szCs w:val="21"/>
              </w:rPr>
            </w:pPr>
            <w:r>
              <w:rPr>
                <w:rFonts w:ascii="宋体"/>
                <w:sz w:val="21"/>
              </w:rPr>
              <w:t>2,692.36</w:t>
            </w:r>
          </w:p>
        </w:tc>
      </w:tr>
      <w:tr>
        <w:trPr>
          <w:trHeight w:val="347" w:hRule="exact"/>
        </w:trPr>
        <w:tc>
          <w:tcPr>
            <w:tcW w:w="3756"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其中：短期借款</w:t>
            </w:r>
          </w:p>
        </w:tc>
        <w:tc>
          <w:tcPr>
            <w:tcW w:w="3391"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1028"/>
              <w:jc w:val="right"/>
              <w:rPr>
                <w:rFonts w:ascii="宋体" w:hAnsi="宋体" w:cs="宋体" w:eastAsia="宋体" w:hint="default"/>
                <w:sz w:val="21"/>
                <w:szCs w:val="21"/>
              </w:rPr>
            </w:pPr>
            <w:r>
              <w:rPr>
                <w:rFonts w:ascii="宋体"/>
                <w:sz w:val="21"/>
              </w:rPr>
              <w:t>11,065.05</w:t>
            </w:r>
          </w:p>
        </w:tc>
        <w:tc>
          <w:tcPr>
            <w:tcW w:w="2098"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2,692.36</w:t>
            </w:r>
          </w:p>
        </w:tc>
      </w:tr>
      <w:tr>
        <w:trPr>
          <w:trHeight w:val="347" w:hRule="exact"/>
        </w:trPr>
        <w:tc>
          <w:tcPr>
            <w:tcW w:w="3756"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91"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1028"/>
              <w:jc w:val="right"/>
              <w:rPr>
                <w:rFonts w:ascii="宋体" w:hAnsi="宋体" w:cs="宋体" w:eastAsia="宋体" w:hint="default"/>
                <w:sz w:val="21"/>
                <w:szCs w:val="21"/>
              </w:rPr>
            </w:pPr>
            <w:r>
              <w:rPr>
                <w:rFonts w:ascii="宋体"/>
                <w:sz w:val="21"/>
              </w:rPr>
              <w:t>1,225.92</w:t>
            </w:r>
          </w:p>
        </w:tc>
        <w:tc>
          <w:tcPr>
            <w:tcW w:w="2098"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w:t>
            </w:r>
          </w:p>
        </w:tc>
      </w:tr>
      <w:tr>
        <w:trPr>
          <w:trHeight w:val="347" w:hRule="exact"/>
        </w:trPr>
        <w:tc>
          <w:tcPr>
            <w:tcW w:w="3756"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14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91"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1028"/>
              <w:jc w:val="right"/>
              <w:rPr>
                <w:rFonts w:ascii="宋体" w:hAnsi="宋体" w:cs="宋体" w:eastAsia="宋体" w:hint="default"/>
                <w:sz w:val="21"/>
                <w:szCs w:val="21"/>
              </w:rPr>
            </w:pPr>
            <w:r>
              <w:rPr>
                <w:rFonts w:ascii="宋体"/>
                <w:sz w:val="21"/>
              </w:rPr>
              <w:t>108.83</w:t>
            </w:r>
          </w:p>
        </w:tc>
        <w:tc>
          <w:tcPr>
            <w:tcW w:w="2098"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w:t>
            </w:r>
          </w:p>
        </w:tc>
      </w:tr>
      <w:tr>
        <w:trPr>
          <w:trHeight w:val="348" w:hRule="exact"/>
        </w:trPr>
        <w:tc>
          <w:tcPr>
            <w:tcW w:w="3756"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391"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1030"/>
              <w:jc w:val="right"/>
              <w:rPr>
                <w:rFonts w:ascii="宋体" w:hAnsi="宋体" w:cs="宋体" w:eastAsia="宋体" w:hint="default"/>
                <w:sz w:val="21"/>
                <w:szCs w:val="21"/>
              </w:rPr>
            </w:pPr>
            <w:r>
              <w:rPr>
                <w:rFonts w:ascii="宋体"/>
                <w:b/>
                <w:w w:val="95"/>
                <w:sz w:val="21"/>
              </w:rPr>
              <w:t>86,294.28</w:t>
            </w:r>
            <w:r>
              <w:rPr>
                <w:rFonts w:ascii="宋体"/>
                <w:sz w:val="21"/>
              </w:rPr>
            </w:r>
          </w:p>
        </w:tc>
        <w:tc>
          <w:tcPr>
            <w:tcW w:w="2098"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9"/>
              <w:jc w:val="right"/>
              <w:rPr>
                <w:rFonts w:ascii="宋体" w:hAnsi="宋体" w:cs="宋体" w:eastAsia="宋体" w:hint="default"/>
                <w:sz w:val="21"/>
                <w:szCs w:val="21"/>
              </w:rPr>
            </w:pPr>
            <w:r>
              <w:rPr>
                <w:rFonts w:ascii="宋体"/>
                <w:b/>
                <w:w w:val="95"/>
                <w:sz w:val="21"/>
              </w:rPr>
              <w:t>22,761.98</w:t>
            </w:r>
            <w:r>
              <w:rPr>
                <w:rFonts w:ascii="宋体"/>
                <w:sz w:val="21"/>
              </w:rPr>
            </w:r>
          </w:p>
        </w:tc>
      </w:tr>
    </w:tbl>
    <w:p>
      <w:pPr>
        <w:spacing w:line="240" w:lineRule="auto" w:before="5"/>
        <w:rPr>
          <w:rFonts w:ascii="宋体" w:hAnsi="宋体" w:cs="宋体" w:eastAsia="宋体" w:hint="default"/>
          <w:sz w:val="5"/>
          <w:szCs w:val="5"/>
        </w:rPr>
      </w:pPr>
    </w:p>
    <w:p>
      <w:pPr>
        <w:pStyle w:val="BodyText"/>
        <w:spacing w:line="240" w:lineRule="auto" w:before="35"/>
        <w:ind w:left="1134" w:right="3499"/>
        <w:jc w:val="left"/>
      </w:pPr>
      <w:r>
        <w:rPr/>
        <w:t>汇率风险</w:t>
      </w:r>
    </w:p>
    <w:p>
      <w:pPr>
        <w:spacing w:line="240" w:lineRule="auto" w:before="5"/>
        <w:rPr>
          <w:rFonts w:ascii="宋体" w:hAnsi="宋体" w:cs="宋体" w:eastAsia="宋体" w:hint="default"/>
          <w:sz w:val="19"/>
          <w:szCs w:val="19"/>
        </w:rPr>
      </w:pPr>
    </w:p>
    <w:p>
      <w:pPr>
        <w:pStyle w:val="BodyText"/>
        <w:spacing w:line="273" w:lineRule="auto"/>
        <w:ind w:right="0"/>
        <w:jc w:val="left"/>
      </w:pPr>
      <w:r>
        <w:rPr/>
        <w:t>汇率风险，是指金融工具的公允价值或未来现金流量因外汇汇率变动而发生波动的风险。汇率风险可源于 以记账本位币之外的外币进行计价的金融工具。</w:t>
      </w:r>
    </w:p>
    <w:p>
      <w:pPr>
        <w:spacing w:line="240" w:lineRule="auto" w:before="2"/>
        <w:rPr>
          <w:rFonts w:ascii="宋体" w:hAnsi="宋体" w:cs="宋体" w:eastAsia="宋体" w:hint="default"/>
          <w:sz w:val="17"/>
          <w:szCs w:val="17"/>
        </w:rPr>
      </w:pPr>
    </w:p>
    <w:p>
      <w:pPr>
        <w:pStyle w:val="BodyText"/>
        <w:spacing w:line="273" w:lineRule="auto"/>
        <w:ind w:right="1024"/>
        <w:jc w:val="left"/>
      </w:pPr>
      <w:r>
        <w:rPr>
          <w:spacing w:val="-3"/>
        </w:rPr>
        <w:t>本集团的主要经营位于中国境内、日本、香港，国内业务以人民币结算、出口业务主要以美元、日元结算，</w:t>
      </w:r>
      <w:r>
        <w:rPr>
          <w:spacing w:val="-94"/>
        </w:rPr>
        <w:t> </w:t>
      </w:r>
      <w:r>
        <w:rPr>
          <w:spacing w:val="-94"/>
        </w:rPr>
      </w:r>
      <w:r>
        <w:rPr/>
        <w:t>境外经营公司以美元、日元结算。但本集团已确认的外币资产和负债及未来的外币交易（外币资产和负债</w:t>
      </w:r>
      <w:r>
        <w:rPr/>
        <w:t> 及外币交易的计价货币主要为美元、日元）依然存在外汇风险。</w:t>
      </w:r>
    </w:p>
    <w:p>
      <w:pPr>
        <w:spacing w:line="240" w:lineRule="auto" w:before="1"/>
        <w:rPr>
          <w:rFonts w:ascii="宋体" w:hAnsi="宋体" w:cs="宋体" w:eastAsia="宋体" w:hint="default"/>
          <w:sz w:val="17"/>
          <w:szCs w:val="17"/>
        </w:rPr>
      </w:pPr>
    </w:p>
    <w:p>
      <w:pPr>
        <w:pStyle w:val="BodyText"/>
        <w:spacing w:line="273" w:lineRule="auto"/>
        <w:ind w:right="1024"/>
        <w:jc w:val="left"/>
      </w:pPr>
      <w:r>
        <w:rPr>
          <w:spacing w:val="-3"/>
        </w:rPr>
        <w:t>相关外币资产及外币负债包括：以外币计价的货币资金、应收账款、其他应收款、长期应收款、应付账款、</w:t>
      </w:r>
      <w:r>
        <w:rPr>
          <w:spacing w:val="-94"/>
        </w:rPr>
        <w:t> </w:t>
      </w:r>
      <w:r>
        <w:rPr>
          <w:spacing w:val="-94"/>
        </w:rPr>
      </w:r>
      <w:r>
        <w:rPr/>
        <w:t>其他应付款、短期借款。</w:t>
      </w:r>
    </w:p>
    <w:p>
      <w:pPr>
        <w:spacing w:line="240" w:lineRule="auto" w:before="1"/>
        <w:rPr>
          <w:rFonts w:ascii="宋体" w:hAnsi="宋体" w:cs="宋体" w:eastAsia="宋体" w:hint="default"/>
          <w:sz w:val="17"/>
          <w:szCs w:val="17"/>
        </w:rPr>
      </w:pPr>
    </w:p>
    <w:p>
      <w:pPr>
        <w:pStyle w:val="BodyText"/>
        <w:spacing w:line="273" w:lineRule="auto"/>
        <w:ind w:left="1134" w:right="0"/>
        <w:jc w:val="left"/>
      </w:pPr>
      <w:r>
        <w:rPr>
          <w:spacing w:val="-1"/>
        </w:rPr>
        <w:t>于</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日，本集团持有的外币金融资产和外币金融负债折算成人民币的金额列示如下（单位：人</w:t>
      </w:r>
      <w:r>
        <w:rPr>
          <w:spacing w:val="-83"/>
        </w:rPr>
        <w:t> </w:t>
      </w:r>
      <w:r>
        <w:rPr>
          <w:spacing w:val="-83"/>
        </w:rPr>
      </w:r>
      <w:r>
        <w:rPr/>
        <w:t>民币万元）：</w:t>
      </w:r>
    </w:p>
    <w:p>
      <w:pPr>
        <w:spacing w:line="240" w:lineRule="auto" w:before="3"/>
        <w:rPr>
          <w:rFonts w:ascii="宋体" w:hAnsi="宋体" w:cs="宋体" w:eastAsia="宋体" w:hint="default"/>
          <w:sz w:val="18"/>
          <w:szCs w:val="18"/>
        </w:rPr>
      </w:pPr>
    </w:p>
    <w:tbl>
      <w:tblPr>
        <w:tblW w:w="0" w:type="auto"/>
        <w:jc w:val="left"/>
        <w:tblInd w:w="1134" w:type="dxa"/>
        <w:tblLayout w:type="fixed"/>
        <w:tblCellMar>
          <w:top w:w="0" w:type="dxa"/>
          <w:left w:w="0" w:type="dxa"/>
          <w:bottom w:w="0" w:type="dxa"/>
          <w:right w:w="0" w:type="dxa"/>
        </w:tblCellMar>
        <w:tblLook w:val="01E0"/>
      </w:tblPr>
      <w:tblGrid>
        <w:gridCol w:w="1828"/>
        <w:gridCol w:w="2523"/>
        <w:gridCol w:w="1558"/>
        <w:gridCol w:w="1827"/>
        <w:gridCol w:w="1400"/>
      </w:tblGrid>
      <w:tr>
        <w:trPr>
          <w:trHeight w:val="349" w:hRule="exact"/>
        </w:trPr>
        <w:tc>
          <w:tcPr>
            <w:tcW w:w="1828" w:type="dxa"/>
            <w:tcBorders>
              <w:top w:val="single" w:sz="6" w:space="0" w:color="000000"/>
              <w:left w:val="nil" w:sz="6" w:space="0" w:color="auto"/>
              <w:bottom w:val="nil" w:sz="6" w:space="0" w:color="auto"/>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23"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1404" w:right="0"/>
              <w:jc w:val="left"/>
              <w:rPr>
                <w:rFonts w:ascii="宋体" w:hAnsi="宋体" w:cs="宋体" w:eastAsia="宋体" w:hint="default"/>
                <w:sz w:val="21"/>
                <w:szCs w:val="21"/>
              </w:rPr>
            </w:pPr>
            <w:r>
              <w:rPr>
                <w:rFonts w:ascii="宋体" w:hAnsi="宋体" w:cs="宋体" w:eastAsia="宋体" w:hint="default"/>
                <w:b/>
                <w:bCs/>
                <w:sz w:val="21"/>
                <w:szCs w:val="21"/>
              </w:rPr>
              <w:t>外币负债</w:t>
            </w:r>
            <w:r>
              <w:rPr>
                <w:rFonts w:ascii="宋体" w:hAnsi="宋体" w:cs="宋体" w:eastAsia="宋体" w:hint="default"/>
                <w:sz w:val="21"/>
                <w:szCs w:val="21"/>
              </w:rPr>
            </w:r>
          </w:p>
        </w:tc>
        <w:tc>
          <w:tcPr>
            <w:tcW w:w="1558" w:type="dxa"/>
            <w:tcBorders>
              <w:top w:val="single" w:sz="6" w:space="0" w:color="000000"/>
              <w:left w:val="nil" w:sz="6" w:space="0" w:color="auto"/>
              <w:bottom w:val="single" w:sz="8" w:space="0" w:color="000000"/>
              <w:right w:val="nil" w:sz="6" w:space="0" w:color="auto"/>
            </w:tcBorders>
          </w:tcPr>
          <w:p>
            <w:pPr/>
          </w:p>
        </w:tc>
        <w:tc>
          <w:tcPr>
            <w:tcW w:w="1827"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976" w:right="0"/>
              <w:jc w:val="left"/>
              <w:rPr>
                <w:rFonts w:ascii="宋体" w:hAnsi="宋体" w:cs="宋体" w:eastAsia="宋体" w:hint="default"/>
                <w:sz w:val="21"/>
                <w:szCs w:val="21"/>
              </w:rPr>
            </w:pPr>
            <w:r>
              <w:rPr>
                <w:rFonts w:ascii="宋体" w:hAnsi="宋体" w:cs="宋体" w:eastAsia="宋体" w:hint="default"/>
                <w:b/>
                <w:bCs/>
                <w:sz w:val="21"/>
                <w:szCs w:val="21"/>
              </w:rPr>
              <w:t>外币资产</w:t>
            </w:r>
            <w:r>
              <w:rPr>
                <w:rFonts w:ascii="宋体" w:hAnsi="宋体" w:cs="宋体" w:eastAsia="宋体" w:hint="default"/>
                <w:sz w:val="21"/>
                <w:szCs w:val="21"/>
              </w:rPr>
            </w:r>
          </w:p>
        </w:tc>
        <w:tc>
          <w:tcPr>
            <w:tcW w:w="1400" w:type="dxa"/>
            <w:tcBorders>
              <w:top w:val="single" w:sz="6" w:space="0" w:color="000000"/>
              <w:left w:val="nil" w:sz="6" w:space="0" w:color="auto"/>
              <w:bottom w:val="single" w:sz="8" w:space="0" w:color="000000"/>
              <w:right w:val="nil" w:sz="6" w:space="0" w:color="auto"/>
            </w:tcBorders>
          </w:tcPr>
          <w:p>
            <w:pPr/>
          </w:p>
        </w:tc>
      </w:tr>
      <w:tr>
        <w:trPr>
          <w:trHeight w:val="347" w:hRule="exact"/>
        </w:trPr>
        <w:tc>
          <w:tcPr>
            <w:tcW w:w="1828" w:type="dxa"/>
            <w:tcBorders>
              <w:top w:val="nil" w:sz="6" w:space="0" w:color="auto"/>
              <w:left w:val="nil" w:sz="6" w:space="0" w:color="auto"/>
              <w:bottom w:val="single" w:sz="8" w:space="0" w:color="000000"/>
              <w:right w:val="nil" w:sz="6" w:space="0" w:color="auto"/>
            </w:tcBorders>
          </w:tcPr>
          <w:p>
            <w:pPr/>
          </w:p>
        </w:tc>
        <w:tc>
          <w:tcPr>
            <w:tcW w:w="2523"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1184"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558"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434"/>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827"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757"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40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48" w:hRule="exact"/>
        </w:trPr>
        <w:tc>
          <w:tcPr>
            <w:tcW w:w="1828"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523"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76" w:right="0"/>
              <w:jc w:val="left"/>
              <w:rPr>
                <w:rFonts w:ascii="宋体" w:hAnsi="宋体" w:cs="宋体" w:eastAsia="宋体" w:hint="default"/>
                <w:sz w:val="21"/>
                <w:szCs w:val="21"/>
              </w:rPr>
            </w:pPr>
            <w:r>
              <w:rPr>
                <w:rFonts w:ascii="宋体"/>
                <w:sz w:val="21"/>
              </w:rPr>
              <w:t>8,252.73</w:t>
            </w:r>
          </w:p>
        </w:tc>
        <w:tc>
          <w:tcPr>
            <w:tcW w:w="1558"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437"/>
              <w:jc w:val="right"/>
              <w:rPr>
                <w:rFonts w:ascii="宋体" w:hAnsi="宋体" w:cs="宋体" w:eastAsia="宋体" w:hint="default"/>
                <w:sz w:val="21"/>
                <w:szCs w:val="21"/>
              </w:rPr>
            </w:pPr>
            <w:r>
              <w:rPr>
                <w:rFonts w:ascii="宋体"/>
                <w:sz w:val="21"/>
              </w:rPr>
              <w:t>2,726.63</w:t>
            </w:r>
          </w:p>
        </w:tc>
        <w:tc>
          <w:tcPr>
            <w:tcW w:w="1827"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445" w:right="0"/>
              <w:jc w:val="left"/>
              <w:rPr>
                <w:rFonts w:ascii="宋体" w:hAnsi="宋体" w:cs="宋体" w:eastAsia="宋体" w:hint="default"/>
                <w:sz w:val="21"/>
                <w:szCs w:val="21"/>
              </w:rPr>
            </w:pPr>
            <w:r>
              <w:rPr>
                <w:rFonts w:ascii="宋体"/>
                <w:sz w:val="21"/>
              </w:rPr>
              <w:t>10,692.21</w:t>
            </w:r>
          </w:p>
        </w:tc>
        <w:tc>
          <w:tcPr>
            <w:tcW w:w="140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5,838.41</w:t>
            </w:r>
          </w:p>
        </w:tc>
      </w:tr>
      <w:tr>
        <w:trPr>
          <w:trHeight w:val="347" w:hRule="exact"/>
        </w:trPr>
        <w:tc>
          <w:tcPr>
            <w:tcW w:w="1828"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523"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1292" w:right="0"/>
              <w:jc w:val="left"/>
              <w:rPr>
                <w:rFonts w:ascii="宋体" w:hAnsi="宋体" w:cs="宋体" w:eastAsia="宋体" w:hint="default"/>
                <w:sz w:val="21"/>
                <w:szCs w:val="21"/>
              </w:rPr>
            </w:pPr>
            <w:r>
              <w:rPr>
                <w:rFonts w:ascii="宋体"/>
                <w:sz w:val="21"/>
              </w:rPr>
              <w:t>45.80</w:t>
            </w:r>
          </w:p>
        </w:tc>
        <w:tc>
          <w:tcPr>
            <w:tcW w:w="1558"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435"/>
              <w:jc w:val="right"/>
              <w:rPr>
                <w:rFonts w:ascii="宋体" w:hAnsi="宋体" w:cs="宋体" w:eastAsia="宋体" w:hint="default"/>
                <w:sz w:val="21"/>
                <w:szCs w:val="21"/>
              </w:rPr>
            </w:pPr>
            <w:r>
              <w:rPr>
                <w:rFonts w:ascii="宋体"/>
                <w:sz w:val="21"/>
              </w:rPr>
              <w:t>22.84</w:t>
            </w:r>
          </w:p>
        </w:tc>
        <w:tc>
          <w:tcPr>
            <w:tcW w:w="1827"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549" w:right="0"/>
              <w:jc w:val="left"/>
              <w:rPr>
                <w:rFonts w:ascii="宋体" w:hAnsi="宋体" w:cs="宋体" w:eastAsia="宋体" w:hint="default"/>
                <w:sz w:val="21"/>
                <w:szCs w:val="21"/>
              </w:rPr>
            </w:pPr>
            <w:r>
              <w:rPr>
                <w:rFonts w:ascii="宋体"/>
                <w:sz w:val="21"/>
              </w:rPr>
              <w:t>4,888.23</w:t>
            </w:r>
          </w:p>
        </w:tc>
        <w:tc>
          <w:tcPr>
            <w:tcW w:w="1400"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8"/>
              <w:jc w:val="right"/>
              <w:rPr>
                <w:rFonts w:ascii="宋体" w:hAnsi="宋体" w:cs="宋体" w:eastAsia="宋体" w:hint="default"/>
                <w:sz w:val="21"/>
                <w:szCs w:val="21"/>
              </w:rPr>
            </w:pPr>
            <w:r>
              <w:rPr>
                <w:rFonts w:ascii="宋体"/>
                <w:sz w:val="21"/>
              </w:rPr>
              <w:t>3,675.40</w:t>
            </w:r>
          </w:p>
        </w:tc>
      </w:tr>
      <w:tr>
        <w:trPr>
          <w:trHeight w:val="347" w:hRule="exact"/>
        </w:trPr>
        <w:tc>
          <w:tcPr>
            <w:tcW w:w="1828"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新台币</w:t>
            </w:r>
          </w:p>
        </w:tc>
        <w:tc>
          <w:tcPr>
            <w:tcW w:w="2523"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1292" w:right="0"/>
              <w:jc w:val="left"/>
              <w:rPr>
                <w:rFonts w:ascii="宋体" w:hAnsi="宋体" w:cs="宋体" w:eastAsia="宋体" w:hint="default"/>
                <w:sz w:val="21"/>
                <w:szCs w:val="21"/>
              </w:rPr>
            </w:pPr>
            <w:r>
              <w:rPr>
                <w:rFonts w:ascii="宋体"/>
                <w:sz w:val="21"/>
              </w:rPr>
              <w:t>12.25</w:t>
            </w:r>
          </w:p>
        </w:tc>
        <w:tc>
          <w:tcPr>
            <w:tcW w:w="1558"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437"/>
              <w:jc w:val="right"/>
              <w:rPr>
                <w:rFonts w:ascii="宋体" w:hAnsi="宋体" w:cs="宋体" w:eastAsia="宋体" w:hint="default"/>
                <w:sz w:val="21"/>
                <w:szCs w:val="21"/>
              </w:rPr>
            </w:pPr>
            <w:r>
              <w:rPr>
                <w:rFonts w:ascii="宋体"/>
                <w:sz w:val="21"/>
              </w:rPr>
              <w:t>0.02</w:t>
            </w:r>
          </w:p>
        </w:tc>
        <w:tc>
          <w:tcPr>
            <w:tcW w:w="1827"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759" w:right="0"/>
              <w:jc w:val="left"/>
              <w:rPr>
                <w:rFonts w:ascii="宋体" w:hAnsi="宋体" w:cs="宋体" w:eastAsia="宋体" w:hint="default"/>
                <w:sz w:val="21"/>
                <w:szCs w:val="21"/>
              </w:rPr>
            </w:pPr>
            <w:r>
              <w:rPr>
                <w:rFonts w:ascii="宋体"/>
                <w:sz w:val="21"/>
              </w:rPr>
              <w:t>315.72</w:t>
            </w:r>
          </w:p>
        </w:tc>
        <w:tc>
          <w:tcPr>
            <w:tcW w:w="140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816.47</w:t>
            </w:r>
          </w:p>
        </w:tc>
      </w:tr>
      <w:tr>
        <w:trPr>
          <w:trHeight w:val="347" w:hRule="exact"/>
        </w:trPr>
        <w:tc>
          <w:tcPr>
            <w:tcW w:w="1828"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523"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1292" w:right="0"/>
              <w:jc w:val="left"/>
              <w:rPr>
                <w:rFonts w:ascii="宋体" w:hAnsi="宋体" w:cs="宋体" w:eastAsia="宋体" w:hint="default"/>
                <w:sz w:val="21"/>
                <w:szCs w:val="21"/>
              </w:rPr>
            </w:pPr>
            <w:r>
              <w:rPr>
                <w:rFonts w:ascii="宋体"/>
                <w:sz w:val="21"/>
              </w:rPr>
              <w:t>14.84</w:t>
            </w:r>
          </w:p>
        </w:tc>
        <w:tc>
          <w:tcPr>
            <w:tcW w:w="1558"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437"/>
              <w:jc w:val="right"/>
              <w:rPr>
                <w:rFonts w:ascii="宋体" w:hAnsi="宋体" w:cs="宋体" w:eastAsia="宋体" w:hint="default"/>
                <w:sz w:val="21"/>
                <w:szCs w:val="21"/>
              </w:rPr>
            </w:pPr>
            <w:r>
              <w:rPr>
                <w:rFonts w:ascii="宋体"/>
                <w:sz w:val="21"/>
              </w:rPr>
              <w:t>0.22</w:t>
            </w:r>
          </w:p>
        </w:tc>
        <w:tc>
          <w:tcPr>
            <w:tcW w:w="1827"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865" w:right="0"/>
              <w:jc w:val="left"/>
              <w:rPr>
                <w:rFonts w:ascii="宋体" w:hAnsi="宋体" w:cs="宋体" w:eastAsia="宋体" w:hint="default"/>
                <w:sz w:val="21"/>
                <w:szCs w:val="21"/>
              </w:rPr>
            </w:pPr>
            <w:r>
              <w:rPr>
                <w:rFonts w:ascii="宋体"/>
                <w:sz w:val="21"/>
              </w:rPr>
              <w:t>75.04</w:t>
            </w:r>
          </w:p>
        </w:tc>
        <w:tc>
          <w:tcPr>
            <w:tcW w:w="140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52.27</w:t>
            </w:r>
          </w:p>
        </w:tc>
      </w:tr>
      <w:tr>
        <w:trPr>
          <w:trHeight w:val="347" w:hRule="exact"/>
        </w:trPr>
        <w:tc>
          <w:tcPr>
            <w:tcW w:w="1828"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52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03"/>
              <w:jc w:val="right"/>
              <w:rPr>
                <w:rFonts w:ascii="宋体" w:hAnsi="宋体" w:cs="宋体" w:eastAsia="宋体" w:hint="default"/>
                <w:sz w:val="21"/>
                <w:szCs w:val="21"/>
              </w:rPr>
            </w:pPr>
            <w:r>
              <w:rPr>
                <w:rFonts w:ascii="宋体"/>
                <w:sz w:val="21"/>
              </w:rPr>
              <w:t>-</w:t>
            </w:r>
          </w:p>
        </w:tc>
        <w:tc>
          <w:tcPr>
            <w:tcW w:w="1558"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435"/>
              <w:jc w:val="right"/>
              <w:rPr>
                <w:rFonts w:ascii="宋体" w:hAnsi="宋体" w:cs="宋体" w:eastAsia="宋体" w:hint="default"/>
                <w:sz w:val="21"/>
                <w:szCs w:val="21"/>
              </w:rPr>
            </w:pPr>
            <w:r>
              <w:rPr>
                <w:rFonts w:ascii="宋体"/>
                <w:sz w:val="21"/>
              </w:rPr>
              <w:t>-</w:t>
            </w:r>
          </w:p>
        </w:tc>
        <w:tc>
          <w:tcPr>
            <w:tcW w:w="1827"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69" w:right="0"/>
              <w:jc w:val="left"/>
              <w:rPr>
                <w:rFonts w:ascii="宋体" w:hAnsi="宋体" w:cs="宋体" w:eastAsia="宋体" w:hint="default"/>
                <w:sz w:val="21"/>
                <w:szCs w:val="21"/>
              </w:rPr>
            </w:pPr>
            <w:r>
              <w:rPr>
                <w:rFonts w:ascii="宋体"/>
                <w:sz w:val="21"/>
              </w:rPr>
              <w:t>2.03</w:t>
            </w:r>
          </w:p>
        </w:tc>
        <w:tc>
          <w:tcPr>
            <w:tcW w:w="140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0.01</w:t>
            </w:r>
          </w:p>
        </w:tc>
      </w:tr>
      <w:tr>
        <w:trPr>
          <w:trHeight w:val="348" w:hRule="exact"/>
        </w:trPr>
        <w:tc>
          <w:tcPr>
            <w:tcW w:w="1828"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23"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70" w:right="0"/>
              <w:jc w:val="left"/>
              <w:rPr>
                <w:rFonts w:ascii="宋体" w:hAnsi="宋体" w:cs="宋体" w:eastAsia="宋体" w:hint="default"/>
                <w:sz w:val="21"/>
                <w:szCs w:val="21"/>
              </w:rPr>
            </w:pPr>
            <w:r>
              <w:rPr>
                <w:rFonts w:ascii="宋体"/>
                <w:b/>
                <w:sz w:val="21"/>
              </w:rPr>
              <w:t>8,325.62</w:t>
            </w:r>
            <w:r>
              <w:rPr>
                <w:rFonts w:ascii="宋体"/>
                <w:sz w:val="21"/>
              </w:rPr>
            </w:r>
          </w:p>
        </w:tc>
        <w:tc>
          <w:tcPr>
            <w:tcW w:w="1558"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437"/>
              <w:jc w:val="right"/>
              <w:rPr>
                <w:rFonts w:ascii="宋体" w:hAnsi="宋体" w:cs="宋体" w:eastAsia="宋体" w:hint="default"/>
                <w:sz w:val="21"/>
                <w:szCs w:val="21"/>
              </w:rPr>
            </w:pPr>
            <w:r>
              <w:rPr>
                <w:rFonts w:ascii="宋体"/>
                <w:b/>
                <w:w w:val="95"/>
                <w:sz w:val="21"/>
              </w:rPr>
              <w:t>2,749.71</w:t>
            </w:r>
            <w:r>
              <w:rPr>
                <w:rFonts w:ascii="宋体"/>
                <w:sz w:val="21"/>
              </w:rPr>
            </w:r>
          </w:p>
        </w:tc>
        <w:tc>
          <w:tcPr>
            <w:tcW w:w="1827"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436" w:right="0"/>
              <w:jc w:val="left"/>
              <w:rPr>
                <w:rFonts w:ascii="宋体" w:hAnsi="宋体" w:cs="宋体" w:eastAsia="宋体" w:hint="default"/>
                <w:sz w:val="21"/>
                <w:szCs w:val="21"/>
              </w:rPr>
            </w:pPr>
            <w:r>
              <w:rPr>
                <w:rFonts w:ascii="宋体"/>
                <w:b/>
                <w:sz w:val="21"/>
              </w:rPr>
              <w:t>15,973.23</w:t>
            </w:r>
            <w:r>
              <w:rPr>
                <w:rFonts w:ascii="宋体"/>
                <w:sz w:val="21"/>
              </w:rPr>
            </w:r>
          </w:p>
        </w:tc>
        <w:tc>
          <w:tcPr>
            <w:tcW w:w="140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10"/>
              <w:jc w:val="right"/>
              <w:rPr>
                <w:rFonts w:ascii="宋体" w:hAnsi="宋体" w:cs="宋体" w:eastAsia="宋体" w:hint="default"/>
                <w:sz w:val="21"/>
                <w:szCs w:val="21"/>
              </w:rPr>
            </w:pPr>
            <w:r>
              <w:rPr>
                <w:rFonts w:ascii="宋体"/>
                <w:b/>
                <w:w w:val="95"/>
                <w:sz w:val="21"/>
              </w:rPr>
              <w:t>10,382.56</w:t>
            </w:r>
            <w:r>
              <w:rPr>
                <w:rFonts w:ascii="宋体"/>
                <w:sz w:val="21"/>
              </w:rPr>
            </w:r>
          </w:p>
        </w:tc>
      </w:tr>
    </w:tbl>
    <w:p>
      <w:pPr>
        <w:spacing w:line="240" w:lineRule="auto" w:before="5"/>
        <w:rPr>
          <w:rFonts w:ascii="宋体" w:hAnsi="宋体" w:cs="宋体" w:eastAsia="宋体" w:hint="default"/>
          <w:sz w:val="5"/>
          <w:szCs w:val="5"/>
        </w:rPr>
      </w:pPr>
    </w:p>
    <w:p>
      <w:pPr>
        <w:pStyle w:val="BodyText"/>
        <w:spacing w:line="273" w:lineRule="auto" w:before="35"/>
        <w:ind w:left="1134" w:right="0"/>
        <w:jc w:val="left"/>
      </w:pPr>
      <w:r>
        <w:rPr>
          <w:spacing w:val="-1"/>
        </w:rPr>
        <w:t>本集团密切关注汇率变动对本集团汇率风险的影响。本集团目前并未采取任何措施规避汇率风险，但管理</w:t>
      </w:r>
      <w:r>
        <w:rPr>
          <w:spacing w:val="-81"/>
        </w:rPr>
        <w:t> </w:t>
      </w:r>
      <w:r>
        <w:rPr>
          <w:spacing w:val="-81"/>
        </w:rPr>
      </w:r>
      <w:r>
        <w:rPr/>
        <w:t>层负责监控汇率风险，并将于需要时考虑对冲重大汇率风险。</w:t>
      </w:r>
    </w:p>
    <w:p>
      <w:pPr>
        <w:spacing w:line="240" w:lineRule="auto" w:before="1"/>
        <w:rPr>
          <w:rFonts w:ascii="宋体" w:hAnsi="宋体" w:cs="宋体" w:eastAsia="宋体" w:hint="default"/>
          <w:sz w:val="17"/>
          <w:szCs w:val="17"/>
        </w:rPr>
      </w:pPr>
    </w:p>
    <w:p>
      <w:pPr>
        <w:pStyle w:val="BodyText"/>
        <w:spacing w:line="240" w:lineRule="auto"/>
        <w:ind w:right="3499"/>
        <w:jc w:val="left"/>
      </w:pPr>
      <w:r>
        <w:rPr>
          <w:rFonts w:ascii="宋体" w:hAnsi="宋体" w:cs="宋体" w:eastAsia="宋体" w:hint="default"/>
        </w:rPr>
        <w:t>2</w:t>
      </w:r>
      <w:r>
        <w:rPr/>
        <w:t>、资本管理</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BodyText"/>
        <w:spacing w:line="273" w:lineRule="auto" w:before="35"/>
        <w:ind w:right="0"/>
        <w:jc w:val="left"/>
      </w:pPr>
      <w:r>
        <w:rPr>
          <w:spacing w:val="-1"/>
        </w:rPr>
        <w:t>本集团资本管理政策的目标是为了保障本集团能够持续经营，从而为股东提供回报，并使其他利益相关者</w:t>
      </w:r>
      <w:r>
        <w:rPr>
          <w:spacing w:val="-81"/>
        </w:rPr>
        <w:t> </w:t>
      </w:r>
      <w:r>
        <w:rPr>
          <w:spacing w:val="-81"/>
        </w:rPr>
      </w:r>
      <w:r>
        <w:rPr/>
        <w:t>获益，同时维持最佳的资本结构以降低资本成本。</w:t>
      </w:r>
    </w:p>
    <w:p>
      <w:pPr>
        <w:spacing w:line="240" w:lineRule="auto" w:before="1"/>
        <w:rPr>
          <w:rFonts w:ascii="宋体" w:hAnsi="宋体" w:cs="宋体" w:eastAsia="宋体" w:hint="default"/>
          <w:sz w:val="17"/>
          <w:szCs w:val="17"/>
        </w:rPr>
      </w:pPr>
    </w:p>
    <w:p>
      <w:pPr>
        <w:pStyle w:val="BodyText"/>
        <w:spacing w:line="273" w:lineRule="auto"/>
        <w:ind w:right="0"/>
        <w:jc w:val="left"/>
      </w:pPr>
      <w:r>
        <w:rPr>
          <w:spacing w:val="-1"/>
        </w:rPr>
        <w:t>为了维持或调整资本结构，本集团可能会调整支付给股东的股利金额、向股东返还资本、发行新股或出售</w:t>
      </w:r>
      <w:r>
        <w:rPr>
          <w:spacing w:val="-83"/>
        </w:rPr>
        <w:t> </w:t>
      </w:r>
      <w:r>
        <w:rPr>
          <w:spacing w:val="-83"/>
        </w:rPr>
      </w:r>
      <w:r>
        <w:rPr/>
        <w:t>资产以减低债务。</w:t>
      </w:r>
    </w:p>
    <w:p>
      <w:pPr>
        <w:spacing w:line="240" w:lineRule="auto" w:before="1"/>
        <w:rPr>
          <w:rFonts w:ascii="宋体" w:hAnsi="宋体" w:cs="宋体" w:eastAsia="宋体" w:hint="default"/>
          <w:sz w:val="17"/>
          <w:szCs w:val="17"/>
        </w:rPr>
      </w:pPr>
    </w:p>
    <w:p>
      <w:pPr>
        <w:pStyle w:val="BodyText"/>
        <w:spacing w:line="273" w:lineRule="auto"/>
        <w:ind w:right="0"/>
        <w:jc w:val="left"/>
      </w:pPr>
      <w:r>
        <w:rPr>
          <w:spacing w:val="-1"/>
        </w:rPr>
        <w:t>本集团以资产负债率（即总负债除以总资产）为基础对资本结构进行监控。于</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日，本集团的</w:t>
      </w:r>
      <w:r>
        <w:rPr>
          <w:spacing w:val="-84"/>
        </w:rPr>
        <w:t> </w:t>
      </w:r>
      <w:r>
        <w:rPr>
          <w:spacing w:val="-84"/>
        </w:rPr>
      </w:r>
      <w:r>
        <w:rPr/>
        <w:t>资产负债率为</w:t>
      </w:r>
      <w:r>
        <w:rPr>
          <w:rFonts w:ascii="宋体" w:hAnsi="宋体" w:cs="宋体" w:eastAsia="宋体" w:hint="default"/>
        </w:rPr>
        <w:t>18.65%</w:t>
      </w:r>
      <w:r>
        <w:rPr/>
        <w:t>（</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19.19%</w:t>
      </w:r>
      <w:r>
        <w:rPr/>
        <w:t>）。</w:t>
      </w:r>
    </w:p>
    <w:p>
      <w:pPr>
        <w:spacing w:line="240" w:lineRule="auto" w:before="11"/>
        <w:rPr>
          <w:rFonts w:ascii="宋体" w:hAnsi="宋体" w:cs="宋体" w:eastAsia="宋体" w:hint="default"/>
          <w:sz w:val="21"/>
          <w:szCs w:val="21"/>
        </w:rPr>
      </w:pPr>
    </w:p>
    <w:p>
      <w:pPr>
        <w:pStyle w:val="Heading2"/>
        <w:spacing w:line="240" w:lineRule="auto"/>
        <w:ind w:left="1134" w:right="3499"/>
        <w:jc w:val="left"/>
        <w:rPr>
          <w:b w:val="0"/>
          <w:bCs w:val="0"/>
        </w:rPr>
      </w:pPr>
      <w:bookmarkStart w:name="十一、公允价值的披露" w:id="432"/>
      <w:bookmarkEnd w:id="432"/>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3499"/>
        <w:jc w:val="left"/>
        <w:rPr>
          <w:b w:val="0"/>
          <w:bCs w:val="0"/>
        </w:rPr>
      </w:pPr>
      <w:bookmarkStart w:name="1、以公允价值计量的资产和负债的期末公允价值" w:id="433"/>
      <w:bookmarkEnd w:id="433"/>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2、持续和非持续第一层次公允价值计量项目市价的确定依据" w:id="434"/>
      <w:bookmarkEnd w:id="434"/>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3、持续和非持续第二层次公允价值计量项目，采用的估值技术和重要参数的定性及定量信" w:id="435"/>
      <w:bookmarkEnd w:id="435"/>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持续和非持续第三层次公允价值计量项目，采用的估值技术和重要参数的定性及定量信" w:id="436"/>
      <w:bookmarkEnd w:id="436"/>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5、持续的第三层次公允价值计量项目，期初与期末账面价值间的调节信息及不可观察参数" w:id="437"/>
      <w:bookmarkEnd w:id="437"/>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6、持续的公允价值计量项目，本期内发生各层级之间转换的，转换的原因及确定转换时点" w:id="438"/>
      <w:bookmarkEnd w:id="438"/>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3499"/>
        <w:jc w:val="left"/>
        <w:rPr>
          <w:b w:val="0"/>
          <w:bCs w:val="0"/>
        </w:rPr>
      </w:pPr>
      <w:bookmarkStart w:name="7、本期内发生的估值技术变更及变更原因" w:id="439"/>
      <w:bookmarkEnd w:id="439"/>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3499"/>
        <w:jc w:val="left"/>
        <w:rPr>
          <w:b w:val="0"/>
          <w:bCs w:val="0"/>
        </w:rPr>
      </w:pPr>
      <w:bookmarkStart w:name="8、不以公允价值计量的金融资产和金融负债的公允价值情况" w:id="440"/>
      <w:bookmarkEnd w:id="440"/>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134" w:right="7693" w:firstLine="0"/>
        <w:jc w:val="left"/>
        <w:rPr>
          <w:rFonts w:ascii="宋体" w:hAnsi="宋体" w:cs="宋体" w:eastAsia="宋体" w:hint="default"/>
          <w:sz w:val="21"/>
          <w:szCs w:val="21"/>
        </w:rPr>
      </w:pPr>
      <w:bookmarkStart w:name="9、其他" w:id="441"/>
      <w:bookmarkEnd w:id="441"/>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42"/>
      <w:bookmarkEnd w:id="442"/>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43"/>
      <w:bookmarkEnd w:id="443"/>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spacing w:before="44"/>
        <w:ind w:left="1133" w:right="3499" w:firstLine="0"/>
        <w:jc w:val="left"/>
        <w:rPr>
          <w:rFonts w:ascii="宋体" w:hAnsi="宋体" w:cs="宋体" w:eastAsia="宋体" w:hint="default"/>
          <w:sz w:val="18"/>
          <w:szCs w:val="18"/>
        </w:rPr>
      </w:pPr>
      <w:r>
        <w:rPr>
          <w:rFonts w:ascii="宋体" w:hAnsi="宋体" w:cs="宋体" w:eastAsia="宋体" w:hint="default"/>
          <w:sz w:val="18"/>
          <w:szCs w:val="18"/>
        </w:rPr>
        <w:t>本企业最终控制方是赵鸿飞。</w:t>
      </w:r>
    </w:p>
    <w:p>
      <w:pPr>
        <w:spacing w:line="240" w:lineRule="auto" w:before="10"/>
        <w:rPr>
          <w:rFonts w:ascii="宋体" w:hAnsi="宋体" w:cs="宋体" w:eastAsia="宋体" w:hint="default"/>
          <w:sz w:val="26"/>
          <w:szCs w:val="26"/>
        </w:rPr>
      </w:pPr>
    </w:p>
    <w:p>
      <w:pPr>
        <w:spacing w:line="547" w:lineRule="auto" w:before="0"/>
        <w:ind w:left="1133" w:right="5503" w:firstLine="0"/>
        <w:jc w:val="left"/>
        <w:rPr>
          <w:rFonts w:ascii="宋体" w:hAnsi="宋体" w:cs="宋体" w:eastAsia="宋体" w:hint="default"/>
          <w:sz w:val="21"/>
          <w:szCs w:val="21"/>
        </w:rPr>
      </w:pPr>
      <w:bookmarkStart w:name="2、本企业的子公司情况" w:id="444"/>
      <w:bookmarkEnd w:id="44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本企业子公司的情况详见附注详见第十节九、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445"/>
      <w:bookmarkEnd w:id="445"/>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38" w:lineRule="auto" w:before="51"/>
        <w:ind w:left="1134" w:right="2292"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本企业重要的合营或联营企业详见附注详见第十节九、</w:t>
      </w:r>
      <w:r>
        <w:rPr>
          <w:rFonts w:ascii="Times New Roman" w:hAnsi="Times New Roman" w:cs="Times New Roman" w:eastAsia="Times New Roman" w:hint="default"/>
          <w:sz w:val="18"/>
          <w:szCs w:val="18"/>
        </w:rPr>
        <w:t>2</w:t>
      </w:r>
      <w:r>
        <w:rPr>
          <w:rFonts w:ascii="宋体" w:hAnsi="宋体" w:cs="宋体" w:eastAsia="宋体" w:hint="default"/>
          <w:sz w:val="18"/>
          <w:szCs w:val="18"/>
        </w:rPr>
        <w:t>。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4、其他关联方情况" w:id="446"/>
      <w:bookmarkEnd w:id="446"/>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上海畅联智融通讯科技有限公司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本公司联营公司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T2</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Mobile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之子公司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T2 Mobile International</w:t>
            </w:r>
            <w:r>
              <w:rPr>
                <w:rFonts w:ascii="Times New Roman"/>
                <w:spacing w:val="-5"/>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本公司联营公司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T2</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Mobile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之子公司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柚子（北京）科技有限公司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受本集团重大影响</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柚子（北京）移动技术有限公司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受本集团重大影响</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Point Mobile</w:t>
            </w:r>
            <w:r>
              <w:rPr>
                <w:rFonts w:ascii="Times New Roman"/>
                <w:spacing w:val="-4"/>
                <w:sz w:val="18"/>
              </w:rPr>
              <w:t> </w:t>
            </w:r>
            <w:r>
              <w:rPr>
                <w:rFonts w:ascii="Times New Roman"/>
                <w:sz w:val="18"/>
              </w:rPr>
              <w:t>Co.,Ltd.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受本集团重大影响</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中天智慧科技有限公司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受本集团重大影响</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陈晓华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以上股份股东</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8"/>
              <w:jc w:val="left"/>
              <w:rPr>
                <w:rFonts w:ascii="宋体" w:hAnsi="宋体" w:cs="宋体" w:eastAsia="宋体" w:hint="default"/>
                <w:sz w:val="18"/>
                <w:szCs w:val="18"/>
              </w:rPr>
            </w:pPr>
            <w:r>
              <w:rPr>
                <w:rFonts w:ascii="宋体" w:hAnsi="宋体" w:cs="宋体" w:eastAsia="宋体" w:hint="default"/>
                <w:sz w:val="18"/>
                <w:szCs w:val="18"/>
              </w:rPr>
              <w:t>赵鸿飞、耿增强、吴安华、陈晓华、武楠、杨瑞荣、王涌、 唐林林、许亮、王琰、刘学徽、王晶、邹鹏程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董事、监事及高级管理人员</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胡事民、</w:t>
            </w:r>
            <w:r>
              <w:rPr>
                <w:rFonts w:ascii="Times New Roman" w:hAnsi="Times New Roman" w:cs="Times New Roman" w:eastAsia="Times New Roman" w:hint="default"/>
                <w:sz w:val="18"/>
                <w:szCs w:val="18"/>
              </w:rPr>
              <w:t>John Peter</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Cipolla</w:t>
            </w:r>
            <w:r>
              <w:rPr>
                <w:rFonts w:ascii="宋体" w:hAnsi="宋体" w:cs="宋体" w:eastAsia="宋体" w:hint="default"/>
                <w:sz w:val="18"/>
                <w:szCs w:val="18"/>
              </w:rPr>
              <w:t>、段志强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报告期内曾任董事、监事及高级管理人员</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3499"/>
        <w:jc w:val="left"/>
        <w:rPr>
          <w:b w:val="0"/>
          <w:bCs w:val="0"/>
        </w:rPr>
      </w:pPr>
      <w:bookmarkStart w:name="5、关联交易情况" w:id="447"/>
      <w:bookmarkEnd w:id="447"/>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3499"/>
        <w:jc w:val="left"/>
        <w:rPr>
          <w:b w:val="0"/>
          <w:bCs w:val="0"/>
        </w:rPr>
      </w:pPr>
      <w:bookmarkStart w:name="（1）购销商品、提供和接受劳务的关联交易" w:id="448"/>
      <w:bookmarkEnd w:id="448"/>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134" w:right="3499"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柚子（北京）科技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1,098,203.03</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853,560.49</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上海畅联智融通讯 科技有限公司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11,238,100.00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上海畅联智融通讯 科技有限公司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硬件采购</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185,290.25</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445,000.00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柚子（北京）移动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柚子（北京）移动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中天智慧科技有限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硬件采购</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879,724.82</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86"/>
              <w:jc w:val="left"/>
              <w:rPr>
                <w:rFonts w:ascii="Times New Roman" w:hAnsi="Times New Roman" w:cs="Times New Roman" w:eastAsia="Times New Roman" w:hint="default"/>
                <w:sz w:val="18"/>
                <w:szCs w:val="18"/>
              </w:rPr>
            </w:pPr>
            <w:r>
              <w:rPr>
                <w:rFonts w:ascii="Times New Roman"/>
                <w:sz w:val="18"/>
              </w:rPr>
              <w:t>T2</w:t>
            </w:r>
            <w:r>
              <w:rPr>
                <w:rFonts w:ascii="Times New Roman"/>
                <w:spacing w:val="-1"/>
                <w:sz w:val="18"/>
              </w:rPr>
              <w:t> </w:t>
            </w:r>
            <w:r>
              <w:rPr>
                <w:rFonts w:ascii="Times New Roman"/>
                <w:sz w:val="18"/>
              </w:rPr>
              <w:t>Mobile</w:t>
            </w:r>
            <w:r>
              <w:rPr>
                <w:rFonts w:ascii="Times New Roman"/>
                <w:sz w:val="18"/>
              </w:rPr>
              <w:t> International Limited</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5,448,177.59</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3,825,019.64</w:t>
            </w: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86"/>
              <w:jc w:val="left"/>
              <w:rPr>
                <w:rFonts w:ascii="Times New Roman" w:hAnsi="Times New Roman" w:cs="Times New Roman" w:eastAsia="Times New Roman" w:hint="default"/>
                <w:sz w:val="18"/>
                <w:szCs w:val="18"/>
              </w:rPr>
            </w:pPr>
            <w:r>
              <w:rPr>
                <w:rFonts w:ascii="Times New Roman"/>
                <w:sz w:val="18"/>
              </w:rPr>
              <w:t>T2</w:t>
            </w:r>
            <w:r>
              <w:rPr>
                <w:rFonts w:ascii="Times New Roman"/>
                <w:spacing w:val="-1"/>
                <w:sz w:val="18"/>
              </w:rPr>
              <w:t> </w:t>
            </w:r>
            <w:r>
              <w:rPr>
                <w:rFonts w:ascii="Times New Roman"/>
                <w:sz w:val="18"/>
              </w:rPr>
              <w:t>Mobile</w:t>
            </w:r>
            <w:r>
              <w:rPr>
                <w:rFonts w:ascii="Times New Roman"/>
                <w:sz w:val="18"/>
              </w:rPr>
              <w:t> International Limited</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硬件采购</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18,946.20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4,996,797.54</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Point Mobile</w:t>
            </w:r>
            <w:r>
              <w:rPr>
                <w:rFonts w:ascii="Times New Roman"/>
                <w:spacing w:val="-4"/>
                <w:sz w:val="18"/>
              </w:rPr>
              <w:t> </w:t>
            </w:r>
            <w:r>
              <w:rPr>
                <w:rFonts w:ascii="Times New Roman"/>
                <w:sz w:val="18"/>
              </w:rPr>
              <w:t>Co.,Ltd.</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软件开发收入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7,662,592.13</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中天智慧科技有限公司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软件开发收入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2,270,312.75</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柚子</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移动技术有限公司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软件开发收入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56,603.77</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上海畅联智融通讯科技有限公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969,899.40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675" w:right="0"/>
              <w:jc w:val="left"/>
              <w:rPr>
                <w:rFonts w:ascii="Times New Roman" w:hAnsi="Times New Roman" w:cs="Times New Roman" w:eastAsia="Times New Roman" w:hint="default"/>
                <w:sz w:val="18"/>
                <w:szCs w:val="18"/>
              </w:rPr>
            </w:pPr>
            <w:r>
              <w:rPr>
                <w:rFonts w:ascii="Times New Roman"/>
                <w:sz w:val="18"/>
              </w:rPr>
              <w:t>1,880,601.33</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0"/>
        <w:rPr>
          <w:rFonts w:ascii="宋体" w:hAnsi="宋体" w:cs="宋体" w:eastAsia="宋体" w:hint="default"/>
          <w:sz w:val="26"/>
          <w:szCs w:val="26"/>
        </w:rPr>
      </w:pPr>
    </w:p>
    <w:p>
      <w:pPr>
        <w:pStyle w:val="Heading3"/>
        <w:spacing w:line="240" w:lineRule="auto"/>
        <w:ind w:left="1134" w:right="3499"/>
        <w:jc w:val="left"/>
        <w:rPr>
          <w:b w:val="0"/>
          <w:bCs w:val="0"/>
        </w:rPr>
      </w:pPr>
      <w:bookmarkStart w:name="（2）关联受托管理/承包及委托管理/出包情况" w:id="449"/>
      <w:bookmarkEnd w:id="449"/>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spacing w:before="44"/>
        <w:ind w:left="1134" w:right="3499"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877" w:footer="979" w:top="1100" w:bottom="1160" w:left="0" w:right="0"/>
        </w:sectPr>
      </w:pPr>
    </w:p>
    <w:p>
      <w:pPr>
        <w:spacing w:line="340" w:lineRule="auto"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3525" w:space="5304"/>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2"/>
        <w:ind w:left="1134" w:right="3499"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9"/>
        <w:rPr>
          <w:rFonts w:ascii="宋体" w:hAnsi="宋体" w:cs="宋体" w:eastAsia="宋体" w:hint="default"/>
          <w:sz w:val="25"/>
          <w:szCs w:val="25"/>
        </w:rPr>
      </w:pPr>
    </w:p>
    <w:p>
      <w:pPr>
        <w:pStyle w:val="Heading3"/>
        <w:spacing w:line="240" w:lineRule="auto"/>
        <w:ind w:left="1134" w:right="3499"/>
        <w:jc w:val="left"/>
        <w:rPr>
          <w:b w:val="0"/>
          <w:bCs w:val="0"/>
        </w:rPr>
      </w:pPr>
      <w:bookmarkStart w:name="（3）关联租赁情况" w:id="450"/>
      <w:bookmarkEnd w:id="450"/>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spacing w:before="44"/>
        <w:ind w:left="1134" w:right="3499"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2"/>
        <w:ind w:left="1134" w:right="3499"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0"/>
        <w:rPr>
          <w:rFonts w:ascii="宋体" w:hAnsi="宋体" w:cs="宋体" w:eastAsia="宋体" w:hint="default"/>
          <w:sz w:val="26"/>
          <w:szCs w:val="26"/>
        </w:rPr>
      </w:pPr>
    </w:p>
    <w:p>
      <w:pPr>
        <w:pStyle w:val="Heading3"/>
        <w:spacing w:line="240" w:lineRule="auto"/>
        <w:ind w:left="1134" w:right="3499"/>
        <w:jc w:val="left"/>
        <w:rPr>
          <w:b w:val="0"/>
          <w:bCs w:val="0"/>
        </w:rPr>
      </w:pPr>
      <w:bookmarkStart w:name="（4）关联担保情况" w:id="451"/>
      <w:bookmarkEnd w:id="451"/>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spacing w:before="44"/>
        <w:ind w:left="1134" w:right="3499"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香港天集</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香港天集</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香港天集</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香港天盛</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1"/>
        <w:rPr>
          <w:rFonts w:ascii="宋体" w:hAnsi="宋体" w:cs="宋体" w:eastAsia="宋体" w:hint="default"/>
          <w:sz w:val="26"/>
          <w:szCs w:val="26"/>
        </w:rPr>
      </w:pPr>
    </w:p>
    <w:p>
      <w:pPr>
        <w:pStyle w:val="Heading3"/>
        <w:spacing w:line="240" w:lineRule="auto"/>
        <w:ind w:left="1134" w:right="3499"/>
        <w:jc w:val="left"/>
        <w:rPr>
          <w:b w:val="0"/>
          <w:bCs w:val="0"/>
        </w:rPr>
      </w:pPr>
      <w:bookmarkStart w:name="（5）关联方资金拆借" w:id="452"/>
      <w:bookmarkEnd w:id="452"/>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6）关联方资产转让、债务重组情况" w:id="453"/>
      <w:bookmarkEnd w:id="453"/>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7）关键管理人员报酬" w:id="454"/>
      <w:bookmarkEnd w:id="454"/>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3,459,400.00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3,761,900.00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3499"/>
        <w:jc w:val="left"/>
        <w:rPr>
          <w:b w:val="0"/>
          <w:bCs w:val="0"/>
        </w:rPr>
      </w:pPr>
      <w:bookmarkStart w:name="（8）其他关联交易" w:id="455"/>
      <w:bookmarkEnd w:id="455"/>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499"/>
        <w:jc w:val="left"/>
        <w:rPr>
          <w:b w:val="0"/>
          <w:bCs w:val="0"/>
        </w:rPr>
      </w:pPr>
      <w:bookmarkStart w:name="6、关联方应收应付款项" w:id="456"/>
      <w:bookmarkEnd w:id="456"/>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499"/>
        <w:jc w:val="left"/>
        <w:rPr>
          <w:b w:val="0"/>
          <w:bCs w:val="0"/>
        </w:rPr>
      </w:pPr>
      <w:bookmarkStart w:name="（1）应收项目" w:id="457"/>
      <w:bookmarkEnd w:id="457"/>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上海畅联智融通讯 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71,872.81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718.73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0"/>
                <w:sz w:val="18"/>
                <w:szCs w:val="18"/>
              </w:rPr>
              <w:t>柚子（北京）移动技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中天智慧科技有限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3,173,764.60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31,737.65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14"/>
              <w:jc w:val="left"/>
              <w:rPr>
                <w:rFonts w:ascii="Times New Roman" w:hAnsi="Times New Roman" w:cs="Times New Roman" w:eastAsia="Times New Roman" w:hint="default"/>
                <w:sz w:val="18"/>
                <w:szCs w:val="18"/>
              </w:rPr>
            </w:pPr>
            <w:r>
              <w:rPr>
                <w:rFonts w:ascii="Times New Roman"/>
                <w:sz w:val="18"/>
              </w:rPr>
              <w:t>Point</w:t>
            </w:r>
            <w:r>
              <w:rPr>
                <w:rFonts w:ascii="Times New Roman"/>
                <w:spacing w:val="-1"/>
                <w:sz w:val="18"/>
              </w:rPr>
              <w:t> </w:t>
            </w:r>
            <w:r>
              <w:rPr>
                <w:rFonts w:ascii="Times New Roman"/>
                <w:sz w:val="18"/>
              </w:rPr>
              <w:t>Mobile</w:t>
            </w:r>
            <w:r>
              <w:rPr>
                <w:rFonts w:ascii="Times New Roman"/>
                <w:w w:val="99"/>
                <w:sz w:val="18"/>
              </w:rPr>
              <w:t> </w:t>
            </w:r>
            <w:r>
              <w:rPr>
                <w:rFonts w:ascii="Times New Roman"/>
                <w:sz w:val="18"/>
              </w:rPr>
              <w:t>Co.,Ltd.</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1,077,860.98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10,778.61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邹鹏程</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2）应付项目" w:id="458"/>
      <w:bookmarkEnd w:id="458"/>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中天智慧科技有限公司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103,175.01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中天智慧科技有限公司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854,827.05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柚子（北京）移动技术有限公 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柚子（北京）科技有限公司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381,600.37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629"/>
              <w:jc w:val="left"/>
              <w:rPr>
                <w:rFonts w:ascii="Times New Roman" w:hAnsi="Times New Roman" w:cs="Times New Roman" w:eastAsia="Times New Roman" w:hint="default"/>
                <w:sz w:val="18"/>
                <w:szCs w:val="18"/>
              </w:rPr>
            </w:pPr>
            <w:r>
              <w:rPr>
                <w:rFonts w:ascii="Times New Roman"/>
                <w:sz w:val="18"/>
              </w:rPr>
              <w:t>T2 Mobile</w:t>
            </w:r>
            <w:r>
              <w:rPr>
                <w:rFonts w:ascii="Times New Roman"/>
                <w:spacing w:val="-4"/>
                <w:sz w:val="18"/>
              </w:rPr>
              <w:t> </w:t>
            </w:r>
            <w:r>
              <w:rPr>
                <w:rFonts w:ascii="Times New Roman"/>
                <w:sz w:val="18"/>
              </w:rPr>
              <w:t>International</w:t>
            </w:r>
            <w:r>
              <w:rPr>
                <w:rFonts w:ascii="Times New Roman"/>
                <w:sz w:val="18"/>
              </w:rPr>
              <w:t> Limited</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913,736.04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342,664.00</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上海畅联智融通讯科技有限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4,353,590.00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3499"/>
        <w:jc w:val="left"/>
        <w:rPr>
          <w:b w:val="0"/>
          <w:bCs w:val="0"/>
        </w:rPr>
      </w:pPr>
      <w:bookmarkStart w:name="7、关联方承诺" w:id="459"/>
      <w:bookmarkEnd w:id="459"/>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133" w:right="8751" w:firstLine="0"/>
        <w:jc w:val="left"/>
        <w:rPr>
          <w:rFonts w:ascii="宋体" w:hAnsi="宋体" w:cs="宋体" w:eastAsia="宋体" w:hint="default"/>
          <w:sz w:val="21"/>
          <w:szCs w:val="21"/>
        </w:rPr>
      </w:pPr>
      <w:bookmarkStart w:name="8、其他" w:id="460"/>
      <w:bookmarkEnd w:id="46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61"/>
      <w:bookmarkEnd w:id="461"/>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62"/>
      <w:bookmarkEnd w:id="46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8"/>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3499"/>
        <w:jc w:val="left"/>
        <w:rPr>
          <w:b w:val="0"/>
          <w:bCs w:val="0"/>
        </w:rPr>
      </w:pPr>
      <w:bookmarkStart w:name="2、以权益结算的股份支付情况" w:id="463"/>
      <w:bookmarkEnd w:id="463"/>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3499"/>
        <w:jc w:val="left"/>
        <w:rPr>
          <w:b w:val="0"/>
          <w:bCs w:val="0"/>
        </w:rPr>
      </w:pPr>
      <w:bookmarkStart w:name="3、以现金结算的股份支付情况" w:id="464"/>
      <w:bookmarkEnd w:id="464"/>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3499"/>
        <w:jc w:val="left"/>
        <w:rPr>
          <w:b w:val="0"/>
          <w:bCs w:val="0"/>
        </w:rPr>
      </w:pPr>
      <w:bookmarkStart w:name="4、股份支付的修改、终止情况" w:id="465"/>
      <w:bookmarkEnd w:id="465"/>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33" w:right="7693" w:firstLine="0"/>
        <w:jc w:val="left"/>
        <w:rPr>
          <w:rFonts w:ascii="宋体" w:hAnsi="宋体" w:cs="宋体" w:eastAsia="宋体" w:hint="default"/>
          <w:sz w:val="21"/>
          <w:szCs w:val="21"/>
        </w:rPr>
      </w:pPr>
      <w:bookmarkStart w:name="5、其他" w:id="466"/>
      <w:bookmarkEnd w:id="46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67"/>
      <w:bookmarkEnd w:id="467"/>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68"/>
      <w:bookmarkEnd w:id="468"/>
      <w:r>
        <w:rPr>
          <w:rFonts w:ascii="宋体" w:hAnsi="宋体" w:cs="宋体" w:eastAsia="宋体" w:hint="default"/>
          <w:b/>
          <w:bCs/>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07" w:lineRule="auto" w:before="122"/>
        <w:ind w:left="1134" w:right="3192"/>
        <w:jc w:val="left"/>
      </w:pPr>
      <w:r>
        <w:rPr/>
        <w:t>资产负债表日存在的重要承诺 至资产负债表日止，本公司对外签订的重要的不可撤销的经营租赁合约情况如下：</w:t>
      </w:r>
    </w:p>
    <w:p>
      <w:pPr>
        <w:spacing w:line="240" w:lineRule="auto" w:before="13"/>
        <w:rPr>
          <w:rFonts w:ascii="宋体" w:hAnsi="宋体" w:cs="宋体" w:eastAsia="宋体" w:hint="default"/>
          <w:sz w:val="15"/>
          <w:szCs w:val="15"/>
        </w:rPr>
      </w:pPr>
    </w:p>
    <w:tbl>
      <w:tblPr>
        <w:tblW w:w="0" w:type="auto"/>
        <w:jc w:val="left"/>
        <w:tblInd w:w="1134" w:type="dxa"/>
        <w:tblLayout w:type="fixed"/>
        <w:tblCellMar>
          <w:top w:w="0" w:type="dxa"/>
          <w:left w:w="0" w:type="dxa"/>
          <w:bottom w:w="0" w:type="dxa"/>
          <w:right w:w="0" w:type="dxa"/>
        </w:tblCellMar>
        <w:tblLook w:val="01E0"/>
      </w:tblPr>
      <w:tblGrid>
        <w:gridCol w:w="3840"/>
        <w:gridCol w:w="2192"/>
        <w:gridCol w:w="2085"/>
        <w:gridCol w:w="1739"/>
      </w:tblGrid>
      <w:tr>
        <w:trPr>
          <w:trHeight w:val="349" w:hRule="exact"/>
        </w:trPr>
        <w:tc>
          <w:tcPr>
            <w:tcW w:w="3840"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不可撤销经营租赁的最低租赁付款额</w:t>
            </w:r>
            <w:r>
              <w:rPr>
                <w:rFonts w:ascii="宋体" w:hAnsi="宋体" w:cs="宋体" w:eastAsia="宋体" w:hint="default"/>
                <w:sz w:val="21"/>
                <w:szCs w:val="21"/>
              </w:rPr>
            </w:r>
          </w:p>
        </w:tc>
        <w:tc>
          <w:tcPr>
            <w:tcW w:w="2192"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356"/>
              <w:jc w:val="right"/>
              <w:rPr>
                <w:rFonts w:ascii="宋体" w:hAnsi="宋体" w:cs="宋体" w:eastAsia="宋体" w:hint="default"/>
                <w:sz w:val="21"/>
                <w:szCs w:val="21"/>
              </w:rPr>
            </w:pPr>
            <w:r>
              <w:rPr>
                <w:rFonts w:ascii="宋体"/>
                <w:b/>
                <w:w w:val="95"/>
                <w:sz w:val="21"/>
              </w:rPr>
              <w:t>2015.12.31</w:t>
            </w:r>
            <w:r>
              <w:rPr>
                <w:rFonts w:ascii="宋体"/>
                <w:sz w:val="21"/>
              </w:rPr>
            </w:r>
          </w:p>
        </w:tc>
        <w:tc>
          <w:tcPr>
            <w:tcW w:w="2085"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354"/>
              <w:jc w:val="right"/>
              <w:rPr>
                <w:rFonts w:ascii="宋体" w:hAnsi="宋体" w:cs="宋体" w:eastAsia="宋体" w:hint="default"/>
                <w:sz w:val="21"/>
                <w:szCs w:val="21"/>
              </w:rPr>
            </w:pPr>
            <w:r>
              <w:rPr>
                <w:rFonts w:ascii="宋体"/>
                <w:b/>
                <w:w w:val="95"/>
                <w:sz w:val="21"/>
              </w:rPr>
              <w:t>2014.12.31</w:t>
            </w:r>
            <w:r>
              <w:rPr>
                <w:rFonts w:ascii="宋体"/>
                <w:sz w:val="21"/>
              </w:rPr>
            </w:r>
          </w:p>
        </w:tc>
        <w:tc>
          <w:tcPr>
            <w:tcW w:w="1739"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10"/>
              <w:jc w:val="right"/>
              <w:rPr>
                <w:rFonts w:ascii="宋体" w:hAnsi="宋体" w:cs="宋体" w:eastAsia="宋体" w:hint="default"/>
                <w:sz w:val="21"/>
                <w:szCs w:val="21"/>
              </w:rPr>
            </w:pPr>
            <w:r>
              <w:rPr>
                <w:rFonts w:ascii="宋体"/>
                <w:b/>
                <w:w w:val="95"/>
                <w:sz w:val="21"/>
              </w:rPr>
              <w:t>2013.12.31</w:t>
            </w:r>
            <w:r>
              <w:rPr>
                <w:rFonts w:ascii="宋体"/>
                <w:sz w:val="21"/>
              </w:rPr>
            </w:r>
          </w:p>
        </w:tc>
      </w:tr>
      <w:tr>
        <w:trPr>
          <w:trHeight w:val="347" w:hRule="exact"/>
        </w:trPr>
        <w:tc>
          <w:tcPr>
            <w:tcW w:w="384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115"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z w:val="21"/>
                <w:szCs w:val="21"/>
              </w:rPr>
              <w:t>1</w:t>
            </w:r>
            <w:r>
              <w:rPr>
                <w:rFonts w:ascii="宋体" w:hAnsi="宋体" w:cs="宋体" w:eastAsia="宋体" w:hint="default"/>
                <w:sz w:val="21"/>
                <w:szCs w:val="21"/>
              </w:rPr>
              <w:t>年</w:t>
            </w:r>
          </w:p>
        </w:tc>
        <w:tc>
          <w:tcPr>
            <w:tcW w:w="2192"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353"/>
              <w:jc w:val="right"/>
              <w:rPr>
                <w:rFonts w:ascii="宋体" w:hAnsi="宋体" w:cs="宋体" w:eastAsia="宋体" w:hint="default"/>
                <w:sz w:val="21"/>
                <w:szCs w:val="21"/>
              </w:rPr>
            </w:pPr>
            <w:r>
              <w:rPr>
                <w:rFonts w:ascii="宋体"/>
                <w:sz w:val="21"/>
              </w:rPr>
              <w:t>27,325,801.14</w:t>
            </w:r>
          </w:p>
        </w:tc>
        <w:tc>
          <w:tcPr>
            <w:tcW w:w="2085"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351"/>
              <w:jc w:val="right"/>
              <w:rPr>
                <w:rFonts w:ascii="宋体" w:hAnsi="宋体" w:cs="宋体" w:eastAsia="宋体" w:hint="default"/>
                <w:sz w:val="21"/>
                <w:szCs w:val="21"/>
              </w:rPr>
            </w:pPr>
            <w:r>
              <w:rPr>
                <w:rFonts w:ascii="宋体"/>
                <w:sz w:val="21"/>
              </w:rPr>
              <w:t>10,231,879.84</w:t>
            </w:r>
          </w:p>
        </w:tc>
        <w:tc>
          <w:tcPr>
            <w:tcW w:w="1739"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10,757,438.20</w:t>
            </w:r>
          </w:p>
        </w:tc>
      </w:tr>
      <w:tr>
        <w:trPr>
          <w:trHeight w:val="348" w:hRule="exact"/>
        </w:trPr>
        <w:tc>
          <w:tcPr>
            <w:tcW w:w="384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115"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z w:val="21"/>
                <w:szCs w:val="21"/>
              </w:rPr>
              <w:t>2</w:t>
            </w:r>
            <w:r>
              <w:rPr>
                <w:rFonts w:ascii="宋体" w:hAnsi="宋体" w:cs="宋体" w:eastAsia="宋体" w:hint="default"/>
                <w:sz w:val="21"/>
                <w:szCs w:val="21"/>
              </w:rPr>
              <w:t>年</w:t>
            </w:r>
          </w:p>
        </w:tc>
        <w:tc>
          <w:tcPr>
            <w:tcW w:w="2192"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353"/>
              <w:jc w:val="right"/>
              <w:rPr>
                <w:rFonts w:ascii="宋体" w:hAnsi="宋体" w:cs="宋体" w:eastAsia="宋体" w:hint="default"/>
                <w:sz w:val="21"/>
                <w:szCs w:val="21"/>
              </w:rPr>
            </w:pPr>
            <w:r>
              <w:rPr>
                <w:rFonts w:ascii="宋体"/>
                <w:sz w:val="21"/>
              </w:rPr>
              <w:t>9,419,574.31</w:t>
            </w:r>
          </w:p>
        </w:tc>
        <w:tc>
          <w:tcPr>
            <w:tcW w:w="2085"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352"/>
              <w:jc w:val="right"/>
              <w:rPr>
                <w:rFonts w:ascii="宋体" w:hAnsi="宋体" w:cs="宋体" w:eastAsia="宋体" w:hint="default"/>
                <w:sz w:val="21"/>
                <w:szCs w:val="21"/>
              </w:rPr>
            </w:pPr>
            <w:r>
              <w:rPr>
                <w:rFonts w:ascii="宋体"/>
                <w:sz w:val="21"/>
              </w:rPr>
              <w:t>7,777,978.50</w:t>
            </w:r>
          </w:p>
        </w:tc>
        <w:tc>
          <w:tcPr>
            <w:tcW w:w="1739"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3,450,842.51</w:t>
            </w:r>
          </w:p>
        </w:tc>
      </w:tr>
      <w:tr>
        <w:trPr>
          <w:trHeight w:val="347" w:hRule="exact"/>
        </w:trPr>
        <w:tc>
          <w:tcPr>
            <w:tcW w:w="3840"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115"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z w:val="21"/>
                <w:szCs w:val="21"/>
              </w:rPr>
              <w:t>3</w:t>
            </w:r>
            <w:r>
              <w:rPr>
                <w:rFonts w:ascii="宋体" w:hAnsi="宋体" w:cs="宋体" w:eastAsia="宋体" w:hint="default"/>
                <w:sz w:val="21"/>
                <w:szCs w:val="21"/>
              </w:rPr>
              <w:t>年</w:t>
            </w:r>
          </w:p>
        </w:tc>
        <w:tc>
          <w:tcPr>
            <w:tcW w:w="2192"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353"/>
              <w:jc w:val="right"/>
              <w:rPr>
                <w:rFonts w:ascii="宋体" w:hAnsi="宋体" w:cs="宋体" w:eastAsia="宋体" w:hint="default"/>
                <w:sz w:val="21"/>
                <w:szCs w:val="21"/>
              </w:rPr>
            </w:pPr>
            <w:r>
              <w:rPr>
                <w:rFonts w:ascii="宋体"/>
                <w:sz w:val="21"/>
              </w:rPr>
              <w:t>-</w:t>
            </w:r>
          </w:p>
        </w:tc>
        <w:tc>
          <w:tcPr>
            <w:tcW w:w="2085"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352"/>
              <w:jc w:val="right"/>
              <w:rPr>
                <w:rFonts w:ascii="宋体" w:hAnsi="宋体" w:cs="宋体" w:eastAsia="宋体" w:hint="default"/>
                <w:sz w:val="21"/>
                <w:szCs w:val="21"/>
              </w:rPr>
            </w:pPr>
            <w:r>
              <w:rPr>
                <w:rFonts w:ascii="宋体"/>
                <w:sz w:val="21"/>
              </w:rPr>
              <w:t>5,288,641.94</w:t>
            </w:r>
          </w:p>
        </w:tc>
        <w:tc>
          <w:tcPr>
            <w:tcW w:w="1739"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8"/>
              <w:jc w:val="right"/>
              <w:rPr>
                <w:rFonts w:ascii="宋体" w:hAnsi="宋体" w:cs="宋体" w:eastAsia="宋体" w:hint="default"/>
                <w:sz w:val="21"/>
                <w:szCs w:val="21"/>
              </w:rPr>
            </w:pPr>
            <w:r>
              <w:rPr>
                <w:rFonts w:ascii="宋体"/>
                <w:sz w:val="21"/>
              </w:rPr>
              <w:t>-</w:t>
            </w:r>
          </w:p>
        </w:tc>
      </w:tr>
      <w:tr>
        <w:trPr>
          <w:trHeight w:val="348" w:hRule="exact"/>
        </w:trPr>
        <w:tc>
          <w:tcPr>
            <w:tcW w:w="384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92"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356"/>
              <w:jc w:val="right"/>
              <w:rPr>
                <w:rFonts w:ascii="宋体" w:hAnsi="宋体" w:cs="宋体" w:eastAsia="宋体" w:hint="default"/>
                <w:sz w:val="21"/>
                <w:szCs w:val="21"/>
              </w:rPr>
            </w:pPr>
            <w:r>
              <w:rPr>
                <w:rFonts w:ascii="宋体"/>
                <w:b/>
                <w:w w:val="95"/>
                <w:sz w:val="21"/>
              </w:rPr>
              <w:t>36,745,375.45</w:t>
            </w:r>
            <w:r>
              <w:rPr>
                <w:rFonts w:ascii="宋体"/>
                <w:sz w:val="21"/>
              </w:rPr>
            </w:r>
          </w:p>
        </w:tc>
        <w:tc>
          <w:tcPr>
            <w:tcW w:w="2085"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355"/>
              <w:jc w:val="right"/>
              <w:rPr>
                <w:rFonts w:ascii="宋体" w:hAnsi="宋体" w:cs="宋体" w:eastAsia="宋体" w:hint="default"/>
                <w:sz w:val="21"/>
                <w:szCs w:val="21"/>
              </w:rPr>
            </w:pPr>
            <w:r>
              <w:rPr>
                <w:rFonts w:ascii="宋体"/>
                <w:b/>
                <w:w w:val="95"/>
                <w:sz w:val="21"/>
              </w:rPr>
              <w:t>23,298,500.28</w:t>
            </w:r>
            <w:r>
              <w:rPr>
                <w:rFonts w:ascii="宋体"/>
                <w:sz w:val="21"/>
              </w:rPr>
            </w:r>
          </w:p>
        </w:tc>
        <w:tc>
          <w:tcPr>
            <w:tcW w:w="1739"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10"/>
              <w:jc w:val="right"/>
              <w:rPr>
                <w:rFonts w:ascii="宋体" w:hAnsi="宋体" w:cs="宋体" w:eastAsia="宋体" w:hint="default"/>
                <w:sz w:val="21"/>
                <w:szCs w:val="21"/>
              </w:rPr>
            </w:pPr>
            <w:r>
              <w:rPr>
                <w:rFonts w:ascii="宋体"/>
                <w:b/>
                <w:w w:val="95"/>
                <w:sz w:val="21"/>
              </w:rPr>
              <w:t>14,208,280.71</w:t>
            </w:r>
            <w:r>
              <w:rPr>
                <w:rFonts w:ascii="宋体"/>
                <w:sz w:val="21"/>
              </w:rPr>
            </w:r>
          </w:p>
        </w:tc>
      </w:tr>
    </w:tbl>
    <w:p>
      <w:pPr>
        <w:spacing w:line="240" w:lineRule="auto" w:before="5"/>
        <w:rPr>
          <w:rFonts w:ascii="宋体" w:hAnsi="宋体" w:cs="宋体" w:eastAsia="宋体" w:hint="default"/>
          <w:sz w:val="5"/>
          <w:szCs w:val="5"/>
        </w:rPr>
      </w:pPr>
    </w:p>
    <w:p>
      <w:pPr>
        <w:pStyle w:val="BodyText"/>
        <w:spacing w:line="240" w:lineRule="auto" w:before="35"/>
        <w:ind w:left="1134" w:right="3499"/>
        <w:jc w:val="left"/>
      </w:pPr>
      <w:r>
        <w:rPr/>
        <w:t>（</w:t>
      </w:r>
      <w:r>
        <w:rPr>
          <w:rFonts w:ascii="宋体" w:hAnsi="宋体" w:cs="宋体" w:eastAsia="宋体" w:hint="default"/>
        </w:rPr>
        <w:t>2</w:t>
      </w:r>
      <w:r>
        <w:rPr/>
        <w:t>）募集资金使用情况</w:t>
      </w:r>
    </w:p>
    <w:p>
      <w:pPr>
        <w:spacing w:line="240" w:lineRule="auto" w:before="5"/>
        <w:rPr>
          <w:rFonts w:ascii="宋体" w:hAnsi="宋体" w:cs="宋体" w:eastAsia="宋体" w:hint="default"/>
          <w:sz w:val="19"/>
          <w:szCs w:val="19"/>
        </w:rPr>
      </w:pPr>
    </w:p>
    <w:p>
      <w:pPr>
        <w:pStyle w:val="BodyText"/>
        <w:spacing w:line="273" w:lineRule="auto"/>
        <w:ind w:right="0" w:firstLine="420"/>
        <w:jc w:val="left"/>
      </w:pPr>
      <w:r>
        <w:rPr>
          <w:spacing w:val="-1"/>
        </w:rPr>
        <w:t>经中国证券监督管理委员会证监发行字〔</w:t>
      </w:r>
      <w:r>
        <w:rPr>
          <w:rFonts w:ascii="宋体" w:hAnsi="宋体" w:cs="宋体" w:eastAsia="宋体" w:hint="default"/>
          <w:spacing w:val="-1"/>
        </w:rPr>
        <w:t>2015</w:t>
      </w:r>
      <w:r>
        <w:rPr>
          <w:spacing w:val="-1"/>
        </w:rPr>
        <w:t>〕</w:t>
      </w:r>
      <w:r>
        <w:rPr>
          <w:rFonts w:ascii="宋体" w:hAnsi="宋体" w:cs="宋体" w:eastAsia="宋体" w:hint="default"/>
          <w:spacing w:val="-1"/>
        </w:rPr>
        <w:t>1372</w:t>
      </w:r>
      <w:r>
        <w:rPr>
          <w:spacing w:val="-1"/>
        </w:rPr>
        <w:t>号文核准，并经深圳证券交易所同意，本公司由</w:t>
      </w:r>
      <w:r>
        <w:rPr/>
        <w:t> 主承销商中国国际金融股份有限公司采用网下向询价对象配售和网上按市值申购定价发行相结合的方式 发行人民币普通股</w:t>
      </w:r>
      <w:r>
        <w:rPr>
          <w:rFonts w:ascii="宋体" w:hAnsi="宋体" w:cs="宋体" w:eastAsia="宋体" w:hint="default"/>
        </w:rPr>
        <w:t>(A</w:t>
      </w:r>
      <w:r>
        <w:rPr/>
        <w:t>股</w:t>
      </w:r>
      <w:r>
        <w:rPr>
          <w:rFonts w:ascii="宋体" w:hAnsi="宋体" w:cs="宋体" w:eastAsia="宋体" w:hint="default"/>
        </w:rPr>
        <w:t>)2,500</w:t>
      </w:r>
      <w:r>
        <w:rPr/>
        <w:t>万股</w:t>
      </w:r>
      <w:r>
        <w:rPr>
          <w:rFonts w:ascii="宋体" w:hAnsi="宋体" w:cs="宋体" w:eastAsia="宋体" w:hint="default"/>
        </w:rPr>
        <w:t>,</w:t>
      </w:r>
      <w:r>
        <w:rPr/>
        <w:t>每股发行价格为</w:t>
      </w:r>
      <w:r>
        <w:rPr>
          <w:rFonts w:ascii="宋体" w:hAnsi="宋体" w:cs="宋体" w:eastAsia="宋体" w:hint="default"/>
        </w:rPr>
        <w:t>23.27</w:t>
      </w:r>
      <w:r>
        <w:rPr/>
        <w:t>元。截至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7</w:t>
      </w:r>
      <w:r>
        <w:rPr/>
        <w:t>日，本公司共募集资金 </w:t>
      </w:r>
      <w:r>
        <w:rPr>
          <w:rFonts w:ascii="宋体" w:hAnsi="宋体" w:cs="宋体" w:eastAsia="宋体" w:hint="default"/>
        </w:rPr>
        <w:t>58,175</w:t>
      </w:r>
      <w:r>
        <w:rPr/>
        <w:t>万元，扣除发行费用</w:t>
      </w:r>
      <w:r>
        <w:rPr>
          <w:rFonts w:ascii="宋体" w:hAnsi="宋体" w:cs="宋体" w:eastAsia="宋体" w:hint="default"/>
        </w:rPr>
        <w:t>4,131</w:t>
      </w:r>
      <w:r>
        <w:rPr/>
        <w:t>万元后，募集资金净额为</w:t>
      </w:r>
      <w:r>
        <w:rPr>
          <w:rFonts w:ascii="宋体" w:hAnsi="宋体" w:cs="宋体" w:eastAsia="宋体" w:hint="default"/>
        </w:rPr>
        <w:t>54,044</w:t>
      </w:r>
      <w:r>
        <w:rPr/>
        <w:t>万元，另扣减审计费、律师费、法定信 息披露费等其他发行费用</w:t>
      </w:r>
      <w:r>
        <w:rPr>
          <w:rFonts w:ascii="宋体" w:hAnsi="宋体" w:cs="宋体" w:eastAsia="宋体" w:hint="default"/>
        </w:rPr>
        <w:t>990</w:t>
      </w:r>
      <w:r>
        <w:rPr/>
        <w:t>万元后，本公司本次募集资金净额为人民币</w:t>
      </w:r>
      <w:r>
        <w:rPr>
          <w:rFonts w:ascii="宋体" w:hAnsi="宋体" w:cs="宋体" w:eastAsia="宋体" w:hint="default"/>
        </w:rPr>
        <w:t>53,054</w:t>
      </w:r>
      <w:r>
        <w:rPr/>
        <w:t>万元。</w:t>
      </w:r>
    </w:p>
    <w:p>
      <w:pPr>
        <w:spacing w:line="240" w:lineRule="auto" w:before="1"/>
        <w:rPr>
          <w:rFonts w:ascii="宋体" w:hAnsi="宋体" w:cs="宋体" w:eastAsia="宋体" w:hint="default"/>
          <w:sz w:val="17"/>
          <w:szCs w:val="17"/>
        </w:rPr>
      </w:pPr>
    </w:p>
    <w:p>
      <w:pPr>
        <w:pStyle w:val="BodyText"/>
        <w:spacing w:line="240" w:lineRule="auto"/>
        <w:ind w:right="3499"/>
        <w:jc w:val="left"/>
      </w:pPr>
      <w:r>
        <w:rPr/>
        <w:t>募集资金投向使用情况如下：（万元）</w:t>
      </w:r>
    </w:p>
    <w:p>
      <w:pPr>
        <w:spacing w:after="0" w:line="240" w:lineRule="auto"/>
        <w:jc w:val="left"/>
        <w:sectPr>
          <w:pgSz w:w="11910" w:h="16840"/>
          <w:pgMar w:header="877" w:footer="979" w:top="1100" w:bottom="1160" w:left="0" w:right="0"/>
        </w:sectPr>
      </w:pPr>
    </w:p>
    <w:p>
      <w:pPr>
        <w:spacing w:line="240" w:lineRule="auto" w:before="12"/>
        <w:rPr>
          <w:rFonts w:ascii="宋体" w:hAnsi="宋体" w:cs="宋体" w:eastAsia="宋体" w:hint="default"/>
          <w:sz w:val="2"/>
          <w:szCs w:val="2"/>
        </w:rPr>
      </w:pPr>
      <w:r>
        <w:rPr/>
        <w:pict>
          <v:group style="position:absolute;margin-left:55.200001pt;margin-top:55.619984pt;width:485pt;height:.1pt;mso-position-horizontal-relative:page;mso-position-vertical-relative:page;z-index:-924856"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34" w:type="dxa"/>
        <w:tblLayout w:type="fixed"/>
        <w:tblCellMar>
          <w:top w:w="0" w:type="dxa"/>
          <w:left w:w="0" w:type="dxa"/>
          <w:bottom w:w="0" w:type="dxa"/>
          <w:right w:w="0" w:type="dxa"/>
        </w:tblCellMar>
        <w:tblLook w:val="01E0"/>
      </w:tblPr>
      <w:tblGrid>
        <w:gridCol w:w="5623"/>
        <w:gridCol w:w="2713"/>
        <w:gridCol w:w="1520"/>
      </w:tblGrid>
      <w:tr>
        <w:trPr>
          <w:trHeight w:val="884" w:hRule="exact"/>
        </w:trPr>
        <w:tc>
          <w:tcPr>
            <w:tcW w:w="5623"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sz w:val="21"/>
                <w:szCs w:val="21"/>
              </w:rPr>
              <w:t>承诺投资项目</w:t>
            </w:r>
          </w:p>
        </w:tc>
        <w:tc>
          <w:tcPr>
            <w:tcW w:w="2713"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249"/>
              <w:jc w:val="right"/>
              <w:rPr>
                <w:rFonts w:ascii="宋体" w:hAnsi="宋体" w:cs="宋体" w:eastAsia="宋体" w:hint="default"/>
                <w:sz w:val="21"/>
                <w:szCs w:val="21"/>
              </w:rPr>
            </w:pPr>
            <w:r>
              <w:rPr>
                <w:rFonts w:ascii="宋体" w:hAnsi="宋体" w:cs="宋体" w:eastAsia="宋体" w:hint="default"/>
                <w:sz w:val="21"/>
                <w:szCs w:val="21"/>
              </w:rPr>
              <w:t>承诺投资金额</w:t>
            </w:r>
          </w:p>
        </w:tc>
        <w:tc>
          <w:tcPr>
            <w:tcW w:w="1520" w:type="dxa"/>
            <w:tcBorders>
              <w:top w:val="single" w:sz="6" w:space="0" w:color="000000"/>
              <w:left w:val="nil" w:sz="6" w:space="0" w:color="auto"/>
              <w:bottom w:val="single" w:sz="8" w:space="0" w:color="000000"/>
              <w:right w:val="nil" w:sz="6" w:space="0" w:color="auto"/>
            </w:tcBorders>
          </w:tcPr>
          <w:p>
            <w:pPr>
              <w:pStyle w:val="TableParagraph"/>
              <w:spacing w:line="240" w:lineRule="auto" w:before="96"/>
              <w:ind w:right="7"/>
              <w:jc w:val="right"/>
              <w:rPr>
                <w:rFonts w:ascii="宋体" w:hAnsi="宋体" w:cs="宋体" w:eastAsia="宋体" w:hint="default"/>
                <w:sz w:val="21"/>
                <w:szCs w:val="21"/>
              </w:rPr>
            </w:pPr>
            <w:r>
              <w:rPr>
                <w:rFonts w:ascii="宋体" w:hAnsi="宋体" w:cs="宋体" w:eastAsia="宋体" w:hint="default"/>
                <w:sz w:val="21"/>
                <w:szCs w:val="21"/>
              </w:rPr>
              <w:t>实际投资金额</w:t>
            </w:r>
          </w:p>
        </w:tc>
      </w:tr>
      <w:tr>
        <w:trPr>
          <w:trHeight w:val="347" w:hRule="exact"/>
        </w:trPr>
        <w:tc>
          <w:tcPr>
            <w:tcW w:w="5623"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面向多模</w:t>
            </w:r>
            <w:r>
              <w:rPr>
                <w:rFonts w:ascii="宋体" w:hAnsi="宋体" w:cs="宋体" w:eastAsia="宋体" w:hint="default"/>
                <w:sz w:val="21"/>
                <w:szCs w:val="21"/>
              </w:rPr>
              <w:t>LTE</w:t>
            </w:r>
            <w:r>
              <w:rPr>
                <w:rFonts w:ascii="宋体" w:hAnsi="宋体" w:cs="宋体" w:eastAsia="宋体" w:hint="default"/>
                <w:sz w:val="21"/>
                <w:szCs w:val="21"/>
              </w:rPr>
              <w:t>智能手机的操作系统开发项目</w:t>
            </w:r>
          </w:p>
        </w:tc>
        <w:tc>
          <w:tcPr>
            <w:tcW w:w="271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248"/>
              <w:jc w:val="right"/>
              <w:rPr>
                <w:rFonts w:ascii="宋体" w:hAnsi="宋体" w:cs="宋体" w:eastAsia="宋体" w:hint="default"/>
                <w:sz w:val="21"/>
                <w:szCs w:val="21"/>
              </w:rPr>
            </w:pPr>
            <w:r>
              <w:rPr>
                <w:rFonts w:ascii="宋体"/>
                <w:sz w:val="21"/>
              </w:rPr>
              <w:t>159,930,000.00</w:t>
            </w:r>
          </w:p>
        </w:tc>
        <w:tc>
          <w:tcPr>
            <w:tcW w:w="152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w:t>
            </w:r>
          </w:p>
        </w:tc>
      </w:tr>
      <w:tr>
        <w:trPr>
          <w:trHeight w:val="347" w:hRule="exact"/>
        </w:trPr>
        <w:tc>
          <w:tcPr>
            <w:tcW w:w="5623"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IHV</w:t>
            </w:r>
            <w:r>
              <w:rPr>
                <w:rFonts w:ascii="宋体" w:hAnsi="宋体" w:cs="宋体" w:eastAsia="宋体" w:hint="default"/>
                <w:sz w:val="21"/>
                <w:szCs w:val="21"/>
              </w:rPr>
              <w:t>认证实验室建设项目</w:t>
            </w:r>
          </w:p>
        </w:tc>
        <w:tc>
          <w:tcPr>
            <w:tcW w:w="271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248"/>
              <w:jc w:val="right"/>
              <w:rPr>
                <w:rFonts w:ascii="宋体" w:hAnsi="宋体" w:cs="宋体" w:eastAsia="宋体" w:hint="default"/>
                <w:sz w:val="21"/>
                <w:szCs w:val="21"/>
              </w:rPr>
            </w:pPr>
            <w:r>
              <w:rPr>
                <w:rFonts w:ascii="宋体"/>
                <w:sz w:val="21"/>
              </w:rPr>
              <w:t>111,340,000.00</w:t>
            </w:r>
          </w:p>
        </w:tc>
        <w:tc>
          <w:tcPr>
            <w:tcW w:w="152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w:t>
            </w:r>
          </w:p>
        </w:tc>
      </w:tr>
      <w:tr>
        <w:trPr>
          <w:trHeight w:val="347" w:hRule="exact"/>
        </w:trPr>
        <w:tc>
          <w:tcPr>
            <w:tcW w:w="5623"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面向</w:t>
            </w:r>
            <w:r>
              <w:rPr>
                <w:rFonts w:ascii="宋体" w:hAnsi="宋体" w:cs="宋体" w:eastAsia="宋体" w:hint="default"/>
                <w:sz w:val="21"/>
                <w:szCs w:val="21"/>
              </w:rPr>
              <w:t>64</w:t>
            </w:r>
            <w:r>
              <w:rPr>
                <w:rFonts w:ascii="宋体" w:hAnsi="宋体" w:cs="宋体" w:eastAsia="宋体" w:hint="default"/>
                <w:sz w:val="21"/>
                <w:szCs w:val="21"/>
              </w:rPr>
              <w:t>位芯片的下一代平板电脑操作系统开发项目</w:t>
            </w:r>
          </w:p>
        </w:tc>
        <w:tc>
          <w:tcPr>
            <w:tcW w:w="271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248"/>
              <w:jc w:val="right"/>
              <w:rPr>
                <w:rFonts w:ascii="宋体" w:hAnsi="宋体" w:cs="宋体" w:eastAsia="宋体" w:hint="default"/>
                <w:sz w:val="21"/>
                <w:szCs w:val="21"/>
              </w:rPr>
            </w:pPr>
            <w:r>
              <w:rPr>
                <w:rFonts w:ascii="宋体"/>
                <w:sz w:val="21"/>
              </w:rPr>
              <w:t>102,790,000.00</w:t>
            </w:r>
          </w:p>
        </w:tc>
        <w:tc>
          <w:tcPr>
            <w:tcW w:w="152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w:t>
            </w:r>
          </w:p>
        </w:tc>
      </w:tr>
      <w:tr>
        <w:trPr>
          <w:trHeight w:val="347" w:hRule="exact"/>
        </w:trPr>
        <w:tc>
          <w:tcPr>
            <w:tcW w:w="5623"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创新技术研发中心建设项目</w:t>
            </w:r>
          </w:p>
        </w:tc>
        <w:tc>
          <w:tcPr>
            <w:tcW w:w="271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250"/>
              <w:jc w:val="right"/>
              <w:rPr>
                <w:rFonts w:ascii="宋体" w:hAnsi="宋体" w:cs="宋体" w:eastAsia="宋体" w:hint="default"/>
                <w:sz w:val="21"/>
                <w:szCs w:val="21"/>
              </w:rPr>
            </w:pPr>
            <w:r>
              <w:rPr>
                <w:rFonts w:ascii="宋体"/>
                <w:sz w:val="21"/>
              </w:rPr>
              <w:t>64,320,000.00</w:t>
            </w:r>
          </w:p>
        </w:tc>
        <w:tc>
          <w:tcPr>
            <w:tcW w:w="152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w:t>
            </w:r>
          </w:p>
        </w:tc>
      </w:tr>
      <w:tr>
        <w:trPr>
          <w:trHeight w:val="348" w:hRule="exact"/>
        </w:trPr>
        <w:tc>
          <w:tcPr>
            <w:tcW w:w="5623"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企业级移动管理系统开发项目</w:t>
            </w:r>
          </w:p>
        </w:tc>
        <w:tc>
          <w:tcPr>
            <w:tcW w:w="271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250"/>
              <w:jc w:val="right"/>
              <w:rPr>
                <w:rFonts w:ascii="宋体" w:hAnsi="宋体" w:cs="宋体" w:eastAsia="宋体" w:hint="default"/>
                <w:sz w:val="21"/>
                <w:szCs w:val="21"/>
              </w:rPr>
            </w:pPr>
            <w:r>
              <w:rPr>
                <w:rFonts w:ascii="宋体"/>
                <w:sz w:val="21"/>
              </w:rPr>
              <w:t>50,500,000.00</w:t>
            </w:r>
          </w:p>
        </w:tc>
        <w:tc>
          <w:tcPr>
            <w:tcW w:w="152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w:t>
            </w:r>
          </w:p>
        </w:tc>
      </w:tr>
      <w:tr>
        <w:trPr>
          <w:trHeight w:val="347" w:hRule="exact"/>
        </w:trPr>
        <w:tc>
          <w:tcPr>
            <w:tcW w:w="5623"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新一代智能电视操作系统开发项目</w:t>
            </w:r>
          </w:p>
        </w:tc>
        <w:tc>
          <w:tcPr>
            <w:tcW w:w="2713"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250"/>
              <w:jc w:val="right"/>
              <w:rPr>
                <w:rFonts w:ascii="宋体" w:hAnsi="宋体" w:cs="宋体" w:eastAsia="宋体" w:hint="default"/>
                <w:sz w:val="21"/>
                <w:szCs w:val="21"/>
              </w:rPr>
            </w:pPr>
            <w:r>
              <w:rPr>
                <w:rFonts w:ascii="宋体"/>
                <w:sz w:val="21"/>
              </w:rPr>
              <w:t>41,660,000.00</w:t>
            </w:r>
          </w:p>
        </w:tc>
        <w:tc>
          <w:tcPr>
            <w:tcW w:w="1520"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8"/>
              <w:jc w:val="right"/>
              <w:rPr>
                <w:rFonts w:ascii="宋体" w:hAnsi="宋体" w:cs="宋体" w:eastAsia="宋体" w:hint="default"/>
                <w:sz w:val="21"/>
                <w:szCs w:val="21"/>
              </w:rPr>
            </w:pPr>
            <w:r>
              <w:rPr>
                <w:rFonts w:ascii="宋体"/>
                <w:sz w:val="21"/>
              </w:rPr>
              <w:t>-</w:t>
            </w:r>
          </w:p>
        </w:tc>
      </w:tr>
      <w:tr>
        <w:trPr>
          <w:trHeight w:val="348" w:hRule="exact"/>
        </w:trPr>
        <w:tc>
          <w:tcPr>
            <w:tcW w:w="5623" w:type="dxa"/>
            <w:tcBorders>
              <w:top w:val="single" w:sz="8" w:space="0" w:color="000000"/>
              <w:left w:val="nil" w:sz="6" w:space="0" w:color="auto"/>
              <w:bottom w:val="single" w:sz="8" w:space="0" w:color="000000"/>
              <w:right w:val="nil" w:sz="6" w:space="0" w:color="auto"/>
            </w:tcBorders>
          </w:tcPr>
          <w:p>
            <w:pPr>
              <w:pStyle w:val="TableParagraph"/>
              <w:tabs>
                <w:tab w:pos="430" w:val="left" w:leader="none"/>
              </w:tabs>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1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248"/>
              <w:jc w:val="right"/>
              <w:rPr>
                <w:rFonts w:ascii="宋体" w:hAnsi="宋体" w:cs="宋体" w:eastAsia="宋体" w:hint="default"/>
                <w:sz w:val="21"/>
                <w:szCs w:val="21"/>
              </w:rPr>
            </w:pPr>
            <w:r>
              <w:rPr>
                <w:rFonts w:ascii="宋体"/>
                <w:sz w:val="21"/>
              </w:rPr>
              <w:t>530,540,000.00</w:t>
            </w:r>
          </w:p>
        </w:tc>
        <w:tc>
          <w:tcPr>
            <w:tcW w:w="1520"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w:t>
            </w:r>
          </w:p>
        </w:tc>
      </w:tr>
    </w:tbl>
    <w:p>
      <w:pPr>
        <w:spacing w:line="240" w:lineRule="auto" w:before="5"/>
        <w:rPr>
          <w:rFonts w:ascii="宋体" w:hAnsi="宋体" w:cs="宋体" w:eastAsia="宋体" w:hint="default"/>
          <w:sz w:val="5"/>
          <w:szCs w:val="5"/>
        </w:rPr>
      </w:pPr>
    </w:p>
    <w:p>
      <w:pPr>
        <w:pStyle w:val="BodyText"/>
        <w:spacing w:line="273" w:lineRule="auto" w:before="35"/>
        <w:ind w:left="1134" w:right="0"/>
        <w:jc w:val="left"/>
      </w:pPr>
      <w:r>
        <w:rPr/>
        <w:t>说明：本公司</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22</w:t>
      </w:r>
      <w:r>
        <w:rPr/>
        <w:t>日召开的第二届董事会第七次会议审议通过了《关于以公开发行股票募集资金 </w:t>
      </w:r>
      <w:r>
        <w:rPr>
          <w:spacing w:val="-1"/>
        </w:rPr>
        <w:t>置换预先已投入募集资金投资项目的自筹资金的议案》，同意公司以公开发行股票募集资金置换预先已投</w:t>
      </w:r>
      <w:r>
        <w:rPr>
          <w:spacing w:val="-81"/>
        </w:rPr>
        <w:t> </w:t>
      </w:r>
      <w:r>
        <w:rPr>
          <w:spacing w:val="-81"/>
        </w:rPr>
      </w:r>
      <w:r>
        <w:rPr/>
        <w:t>入募集资金投资项目的自筹资金</w:t>
      </w:r>
      <w:r>
        <w:rPr>
          <w:rFonts w:ascii="宋体" w:hAnsi="宋体" w:cs="宋体" w:eastAsia="宋体" w:hint="default"/>
        </w:rPr>
        <w:t>35,217.33</w:t>
      </w:r>
      <w:r>
        <w:rPr/>
        <w:t>万元，相关资金实际投入时间为</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1</w:t>
      </w:r>
      <w:r>
        <w:rPr/>
        <w:t>日至</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30 </w:t>
      </w:r>
      <w:r>
        <w:rPr/>
        <w:t>日。截至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日，本次置换尚未完成，故未计入本年投入中。</w:t>
      </w:r>
    </w:p>
    <w:p>
      <w:pPr>
        <w:spacing w:line="240" w:lineRule="auto" w:before="1"/>
        <w:rPr>
          <w:rFonts w:ascii="宋体" w:hAnsi="宋体" w:cs="宋体" w:eastAsia="宋体" w:hint="default"/>
          <w:sz w:val="17"/>
          <w:szCs w:val="17"/>
        </w:rPr>
      </w:pPr>
    </w:p>
    <w:p>
      <w:pPr>
        <w:pStyle w:val="BodyText"/>
        <w:spacing w:line="460" w:lineRule="auto"/>
        <w:ind w:right="5083"/>
        <w:jc w:val="left"/>
      </w:pPr>
      <w:r>
        <w:rPr/>
        <w:t>（</w:t>
      </w:r>
      <w:r>
        <w:rPr>
          <w:rFonts w:ascii="宋体" w:hAnsi="宋体" w:cs="宋体" w:eastAsia="宋体" w:hint="default"/>
        </w:rPr>
        <w:t>3</w:t>
      </w:r>
      <w:r>
        <w:rPr/>
        <w:t>）其他承诺事项 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日，本集团不存在其他应披露的承诺事项。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3"/>
        <w:spacing w:line="240" w:lineRule="auto"/>
        <w:ind w:right="3499"/>
        <w:jc w:val="left"/>
        <w:rPr>
          <w:b w:val="0"/>
          <w:bCs w:val="0"/>
        </w:rPr>
      </w:pPr>
      <w:bookmarkStart w:name="2、或有事项" w:id="469"/>
      <w:bookmarkEnd w:id="469"/>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499"/>
        <w:jc w:val="left"/>
        <w:rPr>
          <w:b w:val="0"/>
          <w:bCs w:val="0"/>
        </w:rPr>
      </w:pPr>
      <w:bookmarkStart w:name="（1）资产负债表日存在的重要或有事项" w:id="470"/>
      <w:bookmarkEnd w:id="470"/>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left="1343" w:right="0"/>
        <w:jc w:val="left"/>
      </w:pPr>
      <w:r>
        <w:rPr>
          <w:rFonts w:ascii="宋体" w:hAnsi="宋体" w:cs="宋体" w:eastAsia="宋体" w:hint="default"/>
        </w:rPr>
        <w:t>A</w:t>
      </w:r>
      <w:r>
        <w:rPr/>
        <w:t>根据本公司</w:t>
      </w:r>
      <w:r>
        <w:rPr>
          <w:rFonts w:ascii="宋体" w:hAnsi="宋体" w:cs="宋体" w:eastAsia="宋体" w:hint="default"/>
        </w:rPr>
        <w:t>2014</w:t>
      </w:r>
      <w:r>
        <w:rPr/>
        <w:t>年第一届董事会十三次会议决议，本公司使用汇丰银行（中国）有限公司北京分行综</w:t>
      </w:r>
      <w:r>
        <w:rPr>
          <w:spacing w:val="-35"/>
        </w:rPr>
        <w:t> </w:t>
      </w:r>
      <w:r>
        <w:rPr>
          <w:spacing w:val="-35"/>
        </w:rPr>
      </w:r>
      <w:r>
        <w:rPr>
          <w:spacing w:val="3"/>
        </w:rPr>
        <w:t>合信用额度申请开立备用信用证为本公司之全资子公司香港天集有限公司在香港上海汇丰银行股份有</w:t>
      </w:r>
      <w:r>
        <w:rPr>
          <w:spacing w:val="-78"/>
        </w:rPr>
        <w:t> </w:t>
      </w:r>
      <w:r>
        <w:rPr>
          <w:spacing w:val="-78"/>
        </w:rPr>
      </w:r>
      <w:r>
        <w:rPr/>
        <w:t>限公司申请授信提供担保，金额为美元</w:t>
      </w:r>
      <w:r>
        <w:rPr>
          <w:rFonts w:ascii="宋体" w:hAnsi="宋体" w:cs="宋体" w:eastAsia="宋体" w:hint="default"/>
        </w:rPr>
        <w:t>500</w:t>
      </w:r>
      <w:r>
        <w:rPr/>
        <w:t>万元整，担保期限为</w:t>
      </w:r>
      <w:r>
        <w:rPr>
          <w:rFonts w:ascii="宋体" w:hAnsi="宋体" w:cs="宋体" w:eastAsia="宋体" w:hint="default"/>
        </w:rPr>
        <w:t>1</w:t>
      </w:r>
      <w:r>
        <w:rPr/>
        <w:t>年。 </w:t>
      </w:r>
      <w:r>
        <w:rPr>
          <w:rFonts w:ascii="宋体" w:hAnsi="宋体" w:cs="宋体" w:eastAsia="宋体" w:hint="default"/>
        </w:rPr>
        <w:t>B</w:t>
      </w:r>
      <w:r>
        <w:rPr/>
        <w:t>根据本公司</w:t>
      </w:r>
      <w:r>
        <w:rPr>
          <w:rFonts w:ascii="宋体" w:hAnsi="宋体" w:cs="宋体" w:eastAsia="宋体" w:hint="default"/>
        </w:rPr>
        <w:t>2015</w:t>
      </w:r>
      <w:r>
        <w:rPr/>
        <w:t>年第一届董事会十六次会议决议，本公司使用汇丰银行（中国）有限公司北京分行综</w:t>
      </w:r>
      <w:r>
        <w:rPr>
          <w:spacing w:val="-35"/>
        </w:rPr>
        <w:t> </w:t>
      </w:r>
      <w:r>
        <w:rPr>
          <w:spacing w:val="-35"/>
        </w:rPr>
      </w:r>
      <w:r>
        <w:rPr>
          <w:spacing w:val="3"/>
        </w:rPr>
        <w:t>合信用额度申请开立备用信用证为本公司之全资子公司香港天集有限公司在香港上海汇丰银行股份有</w:t>
      </w:r>
      <w:r>
        <w:rPr>
          <w:spacing w:val="-81"/>
        </w:rPr>
        <w:t> </w:t>
      </w:r>
      <w:r>
        <w:rPr>
          <w:spacing w:val="-81"/>
        </w:rPr>
      </w:r>
      <w:r>
        <w:rPr/>
        <w:t>限公司申请授信提供担保，金额为美元</w:t>
      </w:r>
      <w:r>
        <w:rPr>
          <w:rFonts w:ascii="宋体" w:hAnsi="宋体" w:cs="宋体" w:eastAsia="宋体" w:hint="default"/>
        </w:rPr>
        <w:t>490</w:t>
      </w:r>
      <w:r>
        <w:rPr/>
        <w:t>万元整，担保期限为</w:t>
      </w:r>
      <w:r>
        <w:rPr>
          <w:rFonts w:ascii="宋体" w:hAnsi="宋体" w:cs="宋体" w:eastAsia="宋体" w:hint="default"/>
        </w:rPr>
        <w:t>1</w:t>
      </w:r>
      <w:r>
        <w:rPr/>
        <w:t>年。 </w:t>
      </w:r>
      <w:r>
        <w:rPr>
          <w:rFonts w:ascii="宋体" w:hAnsi="宋体" w:cs="宋体" w:eastAsia="宋体" w:hint="default"/>
        </w:rPr>
        <w:t>C</w:t>
      </w:r>
      <w:r>
        <w:rPr/>
        <w:t>根据本公司</w:t>
      </w:r>
      <w:r>
        <w:rPr>
          <w:rFonts w:ascii="宋体" w:hAnsi="宋体" w:cs="宋体" w:eastAsia="宋体" w:hint="default"/>
        </w:rPr>
        <w:t>2015</w:t>
      </w:r>
      <w:r>
        <w:rPr/>
        <w:t>年第一届董事会十六次会议决议，本公司使用汇丰银行（中国）有限公司北京分行综</w:t>
      </w:r>
      <w:r>
        <w:rPr>
          <w:spacing w:val="-35"/>
        </w:rPr>
        <w:t> </w:t>
      </w:r>
      <w:r>
        <w:rPr>
          <w:spacing w:val="-35"/>
        </w:rPr>
      </w:r>
      <w:r>
        <w:rPr>
          <w:spacing w:val="3"/>
        </w:rPr>
        <w:t>合信用额度申请开立备用信用证为本公司之全资子公司香港天集有限公司在香港上海汇丰银行股份有</w:t>
      </w:r>
      <w:r>
        <w:rPr>
          <w:spacing w:val="-75"/>
        </w:rPr>
        <w:t> </w:t>
      </w:r>
      <w:r>
        <w:rPr>
          <w:spacing w:val="-75"/>
        </w:rPr>
      </w:r>
      <w:r>
        <w:rPr/>
        <w:t>限公司申请授信提供担保，金额为美元</w:t>
      </w:r>
      <w:r>
        <w:rPr>
          <w:rFonts w:ascii="宋体" w:hAnsi="宋体" w:cs="宋体" w:eastAsia="宋体" w:hint="default"/>
        </w:rPr>
        <w:t>60</w:t>
      </w:r>
      <w:r>
        <w:rPr/>
        <w:t>万元整，担保期限为</w:t>
      </w:r>
      <w:r>
        <w:rPr>
          <w:rFonts w:ascii="宋体" w:hAnsi="宋体" w:cs="宋体" w:eastAsia="宋体" w:hint="default"/>
        </w:rPr>
        <w:t>1</w:t>
      </w:r>
      <w:r>
        <w:rPr/>
        <w:t>年。 </w:t>
      </w:r>
      <w:r>
        <w:rPr>
          <w:rFonts w:ascii="宋体" w:hAnsi="宋体" w:cs="宋体" w:eastAsia="宋体" w:hint="default"/>
        </w:rPr>
        <w:t>D</w:t>
      </w:r>
      <w:r>
        <w:rPr/>
        <w:t>根据本公司</w:t>
      </w:r>
      <w:r>
        <w:rPr>
          <w:rFonts w:ascii="宋体" w:hAnsi="宋体" w:cs="宋体" w:eastAsia="宋体" w:hint="default"/>
        </w:rPr>
        <w:t>2015</w:t>
      </w:r>
      <w:r>
        <w:rPr/>
        <w:t>年第一届董事会十六次会议决议，本公司使用汇丰银行（中国）有限公司北京分行综</w:t>
      </w:r>
      <w:r>
        <w:rPr>
          <w:spacing w:val="-35"/>
        </w:rPr>
        <w:t> </w:t>
      </w:r>
      <w:r>
        <w:rPr>
          <w:spacing w:val="-35"/>
        </w:rPr>
      </w:r>
      <w:r>
        <w:rPr>
          <w:spacing w:val="3"/>
        </w:rPr>
        <w:t>合信用额度申请开立备用信用证为本公司之全资孙公司香港天盛有限公司在香港上海汇丰银行股份有</w:t>
      </w:r>
      <w:r>
        <w:rPr>
          <w:spacing w:val="-81"/>
        </w:rPr>
        <w:t> </w:t>
      </w:r>
      <w:r>
        <w:rPr>
          <w:spacing w:val="-81"/>
        </w:rPr>
      </w:r>
      <w:r>
        <w:rPr/>
        <w:t>限公司申请授信提供担保，金额为美元</w:t>
      </w:r>
      <w:r>
        <w:rPr>
          <w:rFonts w:ascii="宋体" w:hAnsi="宋体" w:cs="宋体" w:eastAsia="宋体" w:hint="default"/>
        </w:rPr>
        <w:t>100</w:t>
      </w:r>
      <w:r>
        <w:rPr/>
        <w:t>万元整，担保期限为</w:t>
      </w:r>
      <w:r>
        <w:rPr>
          <w:rFonts w:ascii="宋体" w:hAnsi="宋体" w:cs="宋体" w:eastAsia="宋体" w:hint="default"/>
        </w:rPr>
        <w:t>1</w:t>
      </w:r>
      <w:r>
        <w:rPr/>
        <w:t>年。 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日，本集团不存在其他应披露的或有事项。</w:t>
      </w:r>
    </w:p>
    <w:p>
      <w:pPr>
        <w:spacing w:line="240" w:lineRule="auto" w:before="8"/>
        <w:rPr>
          <w:rFonts w:ascii="宋体" w:hAnsi="宋体" w:cs="宋体" w:eastAsia="宋体" w:hint="default"/>
          <w:sz w:val="23"/>
          <w:szCs w:val="23"/>
        </w:rPr>
      </w:pPr>
    </w:p>
    <w:p>
      <w:pPr>
        <w:spacing w:line="506" w:lineRule="auto" w:before="0"/>
        <w:ind w:left="1133" w:right="5588" w:firstLine="0"/>
        <w:jc w:val="left"/>
        <w:rPr>
          <w:rFonts w:ascii="宋体" w:hAnsi="宋体" w:cs="宋体" w:eastAsia="宋体" w:hint="default"/>
          <w:sz w:val="21"/>
          <w:szCs w:val="21"/>
        </w:rPr>
      </w:pPr>
      <w:bookmarkStart w:name="（2）公司没有需要披露的重要或有事项，也应予以说明" w:id="471"/>
      <w:bookmarkEnd w:id="4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b/>
          <w:bCs/>
          <w:w w:val="99"/>
          <w:sz w:val="21"/>
          <w:szCs w:val="21"/>
        </w:rPr>
        <w:t> </w:t>
      </w:r>
      <w:r>
        <w:rPr>
          <w:rFonts w:ascii="宋体" w:hAnsi="宋体" w:cs="宋体" w:eastAsia="宋体" w:hint="default"/>
          <w:sz w:val="21"/>
          <w:szCs w:val="21"/>
        </w:rPr>
        <w:t>公司不存在需要披露的重要或有事项。</w:t>
      </w:r>
    </w:p>
    <w:p>
      <w:pPr>
        <w:spacing w:after="0" w:line="506" w:lineRule="auto"/>
        <w:jc w:val="left"/>
        <w:rPr>
          <w:rFonts w:ascii="宋体" w:hAnsi="宋体" w:cs="宋体" w:eastAsia="宋体" w:hint="default"/>
          <w:sz w:val="21"/>
          <w:szCs w:val="21"/>
        </w:rPr>
        <w:sectPr>
          <w:pgSz w:w="11910" w:h="16840"/>
          <w:pgMar w:header="87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spacing w:line="487" w:lineRule="auto" w:before="35"/>
        <w:ind w:left="1133" w:right="7333" w:firstLine="0"/>
        <w:jc w:val="left"/>
        <w:rPr>
          <w:rFonts w:ascii="宋体" w:hAnsi="宋体" w:cs="宋体" w:eastAsia="宋体" w:hint="default"/>
          <w:sz w:val="21"/>
          <w:szCs w:val="21"/>
        </w:rPr>
      </w:pPr>
      <w:bookmarkStart w:name="3、其他" w:id="472"/>
      <w:bookmarkEnd w:id="47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五、资产负债表日后事项" w:id="473"/>
      <w:bookmarkEnd w:id="473"/>
      <w:r>
        <w:rPr>
          <w:rFonts w:ascii="宋体" w:hAnsi="宋体" w:cs="宋体" w:eastAsia="宋体" w:hint="default"/>
          <w:b/>
          <w:bCs/>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74"/>
      <w:bookmarkEnd w:id="474"/>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2、利润分配情况" w:id="475"/>
      <w:bookmarkEnd w:id="475"/>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both"/>
        <w:rPr>
          <w:b w:val="0"/>
          <w:bCs w:val="0"/>
        </w:rPr>
      </w:pPr>
      <w:bookmarkStart w:name="3、销售退回" w:id="476"/>
      <w:bookmarkEnd w:id="476"/>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both"/>
        <w:rPr>
          <w:b w:val="0"/>
          <w:bCs w:val="0"/>
        </w:rPr>
      </w:pPr>
      <w:bookmarkStart w:name="4、其他资产负债表日后事项说明" w:id="477"/>
      <w:bookmarkEnd w:id="477"/>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134" w:right="1131"/>
        <w:jc w:val="both"/>
      </w:pPr>
      <w:r>
        <w:rPr>
          <w:spacing w:val="-1"/>
        </w:rPr>
        <w:t>（</w:t>
      </w:r>
      <w:r>
        <w:rPr>
          <w:rFonts w:ascii="宋体" w:hAnsi="宋体" w:cs="宋体" w:eastAsia="宋体" w:hint="default"/>
          <w:spacing w:val="-1"/>
        </w:rPr>
        <w:t>1</w:t>
      </w:r>
      <w:r>
        <w:rPr>
          <w:spacing w:val="-1"/>
        </w:rPr>
        <w:t>）本公司</w:t>
      </w:r>
      <w:r>
        <w:rPr>
          <w:rFonts w:ascii="宋体" w:hAnsi="宋体" w:cs="宋体" w:eastAsia="宋体" w:hint="default"/>
          <w:spacing w:val="-1"/>
        </w:rPr>
        <w:t>2016</w:t>
      </w:r>
      <w:r>
        <w:rPr>
          <w:spacing w:val="-1"/>
        </w:rPr>
        <w:t>年第一次临时股东大会决议通过了《关于</w:t>
      </w:r>
      <w:r>
        <w:rPr>
          <w:rFonts w:ascii="宋体" w:hAnsi="宋体" w:cs="宋体" w:eastAsia="宋体" w:hint="default"/>
          <w:spacing w:val="-1"/>
        </w:rPr>
        <w:t>&lt;</w:t>
      </w:r>
      <w:r>
        <w:rPr>
          <w:spacing w:val="-1"/>
        </w:rPr>
        <w:t>中科创达软件股份有限公司限制性股票激励计</w:t>
      </w:r>
      <w:r>
        <w:rPr>
          <w:spacing w:val="-81"/>
        </w:rPr>
        <w:t> </w:t>
      </w:r>
      <w:r>
        <w:rPr/>
        <w:t>划（草案）及其摘要</w:t>
      </w:r>
      <w:r>
        <w:rPr>
          <w:rFonts w:ascii="宋体" w:hAnsi="宋体" w:cs="宋体" w:eastAsia="宋体" w:hint="default"/>
        </w:rPr>
        <w:t>&gt;</w:t>
      </w:r>
      <w:r>
        <w:rPr/>
        <w:t>的议案》及《关于</w:t>
      </w:r>
      <w:r>
        <w:rPr>
          <w:rFonts w:ascii="宋体" w:hAnsi="宋体" w:cs="宋体" w:eastAsia="宋体" w:hint="default"/>
        </w:rPr>
        <w:t>&lt;</w:t>
      </w:r>
      <w:r>
        <w:rPr/>
        <w:t>中科创达软件股份有限公司股票增值权激励计划（草案）摘要</w:t>
      </w:r>
      <w:r>
        <w:rPr>
          <w:rFonts w:ascii="宋体" w:hAnsi="宋体" w:cs="宋体" w:eastAsia="宋体" w:hint="default"/>
        </w:rPr>
        <w:t>&gt;</w:t>
      </w:r>
      <w:r>
        <w:rPr>
          <w:rFonts w:ascii="宋体" w:hAnsi="宋体" w:cs="宋体" w:eastAsia="宋体" w:hint="default"/>
          <w:spacing w:val="-28"/>
        </w:rPr>
        <w:t> </w:t>
      </w:r>
      <w:r>
        <w:rPr/>
        <w:t>的议案》。</w:t>
      </w:r>
    </w:p>
    <w:p>
      <w:pPr>
        <w:spacing w:line="240" w:lineRule="auto" w:before="1"/>
        <w:rPr>
          <w:rFonts w:ascii="宋体" w:hAnsi="宋体" w:cs="宋体" w:eastAsia="宋体" w:hint="default"/>
          <w:sz w:val="17"/>
          <w:szCs w:val="17"/>
        </w:rPr>
      </w:pPr>
    </w:p>
    <w:p>
      <w:pPr>
        <w:pStyle w:val="BodyText"/>
        <w:spacing w:line="240" w:lineRule="auto"/>
        <w:ind w:right="0"/>
        <w:jc w:val="both"/>
        <w:rPr>
          <w:rFonts w:ascii="宋体" w:hAnsi="宋体" w:cs="宋体" w:eastAsia="宋体" w:hint="default"/>
        </w:rPr>
      </w:pPr>
      <w:r>
        <w:rPr>
          <w:spacing w:val="-3"/>
        </w:rPr>
        <w:t>（</w:t>
      </w:r>
      <w:r>
        <w:rPr>
          <w:rFonts w:ascii="宋体" w:hAnsi="宋体" w:cs="宋体" w:eastAsia="宋体" w:hint="default"/>
          <w:spacing w:val="-3"/>
        </w:rPr>
        <w:t>2</w:t>
      </w:r>
      <w:r>
        <w:rPr>
          <w:spacing w:val="-3"/>
        </w:rPr>
        <w:t>）根据本公司</w:t>
      </w:r>
      <w:r>
        <w:rPr>
          <w:rFonts w:ascii="宋体" w:hAnsi="宋体" w:cs="宋体" w:eastAsia="宋体" w:hint="default"/>
          <w:spacing w:val="-3"/>
        </w:rPr>
        <w:t>2016</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16</w:t>
      </w:r>
      <w:r>
        <w:rPr>
          <w:spacing w:val="-3"/>
        </w:rPr>
        <w:t>日第二届董事会第五次会议决议，限制性股票和股票增值权的授予日为</w:t>
      </w:r>
      <w:r>
        <w:rPr>
          <w:spacing w:val="13"/>
        </w:rPr>
        <w:t> </w:t>
      </w:r>
      <w:r>
        <w:rPr>
          <w:rFonts w:ascii="宋体" w:hAnsi="宋体" w:cs="宋体" w:eastAsia="宋体" w:hint="default"/>
        </w:rPr>
        <w:t>2016</w:t>
      </w:r>
    </w:p>
    <w:p>
      <w:pPr>
        <w:pStyle w:val="BodyText"/>
        <w:spacing w:line="240" w:lineRule="auto" w:before="37"/>
        <w:ind w:right="0"/>
        <w:jc w:val="both"/>
      </w:pPr>
      <w:r>
        <w:rPr/>
        <w:t>年 </w:t>
      </w:r>
      <w:r>
        <w:rPr>
          <w:rFonts w:ascii="宋体" w:hAnsi="宋体" w:cs="宋体" w:eastAsia="宋体" w:hint="default"/>
        </w:rPr>
        <w:t>2 </w:t>
      </w:r>
      <w:r>
        <w:rPr/>
        <w:t>月 </w:t>
      </w:r>
      <w:r>
        <w:rPr>
          <w:rFonts w:ascii="宋体" w:hAnsi="宋体" w:cs="宋体" w:eastAsia="宋体" w:hint="default"/>
        </w:rPr>
        <w:t>16 </w:t>
      </w:r>
      <w:r>
        <w:rPr/>
        <w:t>日，数量分别为 </w:t>
      </w:r>
      <w:r>
        <w:rPr>
          <w:rFonts w:ascii="宋体" w:hAnsi="宋体" w:cs="宋体" w:eastAsia="宋体" w:hint="default"/>
        </w:rPr>
        <w:t>315.7354</w:t>
      </w:r>
      <w:r>
        <w:rPr>
          <w:rFonts w:ascii="宋体" w:hAnsi="宋体" w:cs="宋体" w:eastAsia="宋体" w:hint="default"/>
          <w:spacing w:val="-5"/>
        </w:rPr>
        <w:t> </w:t>
      </w:r>
      <w:r>
        <w:rPr/>
        <w:t>万股及</w:t>
      </w:r>
      <w:r>
        <w:rPr>
          <w:rFonts w:ascii="宋体" w:hAnsi="宋体" w:cs="宋体" w:eastAsia="宋体" w:hint="default"/>
        </w:rPr>
        <w:t>28.3</w:t>
      </w:r>
      <w:r>
        <w:rPr/>
        <w:t>万份。</w:t>
      </w:r>
    </w:p>
    <w:p>
      <w:pPr>
        <w:spacing w:line="240" w:lineRule="auto" w:before="5"/>
        <w:rPr>
          <w:rFonts w:ascii="宋体" w:hAnsi="宋体" w:cs="宋体" w:eastAsia="宋体" w:hint="default"/>
          <w:sz w:val="19"/>
          <w:szCs w:val="19"/>
        </w:rPr>
      </w:pPr>
    </w:p>
    <w:p>
      <w:pPr>
        <w:pStyle w:val="BodyText"/>
        <w:spacing w:line="273" w:lineRule="auto"/>
        <w:ind w:right="0"/>
        <w:jc w:val="left"/>
      </w:pPr>
      <w:r>
        <w:rPr/>
        <w:t>（</w:t>
      </w:r>
      <w:r>
        <w:rPr>
          <w:rFonts w:ascii="宋体" w:hAnsi="宋体" w:cs="宋体" w:eastAsia="宋体" w:hint="default"/>
        </w:rPr>
        <w:t>3</w:t>
      </w:r>
      <w:r>
        <w:rPr/>
        <w:t>）本公司与高通（贵州）投资有限公司合资设立重庆创通联达智能技术有限公司（以下简称“合资公</w:t>
      </w:r>
      <w:r>
        <w:rPr>
          <w:spacing w:val="-24"/>
        </w:rPr>
        <w:t> </w:t>
      </w:r>
      <w:r>
        <w:rPr>
          <w:spacing w:val="-24"/>
        </w:rPr>
      </w:r>
      <w:r>
        <w:rPr>
          <w:spacing w:val="-3"/>
        </w:rPr>
        <w:t>司”）。合资公司注册资本人民币</w:t>
      </w:r>
      <w:r>
        <w:rPr>
          <w:rFonts w:ascii="宋体" w:hAnsi="宋体" w:cs="宋体" w:eastAsia="宋体" w:hint="default"/>
          <w:spacing w:val="-3"/>
        </w:rPr>
        <w:t>18,739,200</w:t>
      </w:r>
      <w:r>
        <w:rPr>
          <w:spacing w:val="-3"/>
        </w:rPr>
        <w:t>元。本公司以自有现金出资</w:t>
      </w:r>
      <w:r>
        <w:rPr>
          <w:rFonts w:ascii="宋体" w:hAnsi="宋体" w:cs="宋体" w:eastAsia="宋体" w:hint="default"/>
          <w:spacing w:val="-3"/>
        </w:rPr>
        <w:t>15,360,000</w:t>
      </w:r>
      <w:r>
        <w:rPr>
          <w:spacing w:val="-3"/>
        </w:rPr>
        <w:t>元，持股比例</w:t>
      </w:r>
      <w:r>
        <w:rPr>
          <w:rFonts w:ascii="宋体" w:hAnsi="宋体" w:cs="宋体" w:eastAsia="宋体" w:hint="default"/>
          <w:spacing w:val="-3"/>
        </w:rPr>
        <w:t>81.97%</w:t>
      </w:r>
      <w:r>
        <w:rPr>
          <w:spacing w:val="-3"/>
        </w:rPr>
        <w:t>；</w:t>
      </w:r>
      <w:r>
        <w:rPr>
          <w:spacing w:val="-57"/>
        </w:rPr>
        <w:t> </w:t>
      </w:r>
      <w:r>
        <w:rPr/>
        <w:t>高通（贵州）投资有限公司以自有现金出资</w:t>
      </w:r>
      <w:r>
        <w:rPr>
          <w:rFonts w:ascii="宋体" w:hAnsi="宋体" w:cs="宋体" w:eastAsia="宋体" w:hint="default"/>
        </w:rPr>
        <w:t>3,379,200</w:t>
      </w:r>
      <w:r>
        <w:rPr/>
        <w:t>元，持股比例</w:t>
      </w:r>
      <w:r>
        <w:rPr>
          <w:rFonts w:ascii="宋体" w:hAnsi="宋体" w:cs="宋体" w:eastAsia="宋体" w:hint="default"/>
        </w:rPr>
        <w:t>18.03%</w:t>
      </w:r>
      <w:r>
        <w:rPr/>
        <w:t>。截止</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22</w:t>
      </w:r>
      <w:r>
        <w:rPr/>
        <w:t>日，合资公</w:t>
      </w:r>
      <w:r>
        <w:rPr>
          <w:spacing w:val="1"/>
        </w:rPr>
        <w:t> </w:t>
      </w:r>
      <w:r>
        <w:rPr/>
        <w:t>司已完成工商注册登记，投资款尚未支付。</w:t>
      </w:r>
    </w:p>
    <w:p>
      <w:pPr>
        <w:spacing w:line="240" w:lineRule="auto" w:before="1"/>
        <w:rPr>
          <w:rFonts w:ascii="宋体" w:hAnsi="宋体" w:cs="宋体" w:eastAsia="宋体" w:hint="default"/>
          <w:sz w:val="17"/>
          <w:szCs w:val="17"/>
        </w:rPr>
      </w:pPr>
    </w:p>
    <w:p>
      <w:pPr>
        <w:pStyle w:val="BodyText"/>
        <w:spacing w:line="273" w:lineRule="auto"/>
        <w:ind w:right="1132"/>
        <w:jc w:val="both"/>
      </w:pPr>
      <w:r>
        <w:rPr>
          <w:spacing w:val="-1"/>
        </w:rPr>
        <w:t>（</w:t>
      </w:r>
      <w:r>
        <w:rPr>
          <w:rFonts w:ascii="宋体" w:hAnsi="宋体" w:cs="宋体" w:eastAsia="宋体" w:hint="default"/>
          <w:spacing w:val="-1"/>
        </w:rPr>
        <w:t>4</w:t>
      </w:r>
      <w:r>
        <w:rPr>
          <w:spacing w:val="-1"/>
        </w:rPr>
        <w:t>）本公司于</w:t>
      </w:r>
      <w:r>
        <w:rPr>
          <w:rFonts w:ascii="宋体" w:hAnsi="宋体" w:cs="宋体" w:eastAsia="宋体" w:hint="default"/>
          <w:spacing w:val="-1"/>
        </w:rPr>
        <w:t>2016</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22</w:t>
      </w:r>
      <w:r>
        <w:rPr>
          <w:spacing w:val="-1"/>
        </w:rPr>
        <w:t>日与自然人涂庆红签订股权转让合同，将本公司持有的深圳互连科技有限公司</w:t>
      </w:r>
      <w:r>
        <w:rPr>
          <w:spacing w:val="-84"/>
        </w:rPr>
        <w:t> </w:t>
      </w:r>
      <w:r>
        <w:rPr>
          <w:spacing w:val="-84"/>
        </w:rPr>
      </w:r>
      <w:r>
        <w:rPr/>
        <w:t>的部分股权转让给自然人涂庆红，此次变更后本公司持股比例减至</w:t>
      </w:r>
      <w:r>
        <w:rPr>
          <w:rFonts w:ascii="宋体" w:hAnsi="宋体" w:cs="宋体" w:eastAsia="宋体" w:hint="default"/>
        </w:rPr>
        <w:t>40%</w:t>
      </w:r>
      <w:r>
        <w:rPr/>
        <w:t>，丧失对深圳互连科技有限公司的</w:t>
      </w:r>
      <w:r>
        <w:rPr>
          <w:spacing w:val="-30"/>
        </w:rPr>
        <w:t> </w:t>
      </w:r>
      <w:r>
        <w:rPr>
          <w:spacing w:val="-30"/>
        </w:rPr>
      </w:r>
      <w:r>
        <w:rPr/>
        <w:t>控制权。截止</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22</w:t>
      </w:r>
      <w:r>
        <w:rPr/>
        <w:t>日，上述股权转让已完成工商变更登记。</w:t>
      </w:r>
    </w:p>
    <w:p>
      <w:pPr>
        <w:spacing w:line="240" w:lineRule="auto" w:before="1"/>
        <w:rPr>
          <w:rFonts w:ascii="宋体" w:hAnsi="宋体" w:cs="宋体" w:eastAsia="宋体" w:hint="default"/>
          <w:sz w:val="17"/>
          <w:szCs w:val="17"/>
        </w:rPr>
      </w:pPr>
    </w:p>
    <w:p>
      <w:pPr>
        <w:pStyle w:val="BodyText"/>
        <w:spacing w:line="273" w:lineRule="auto"/>
        <w:ind w:left="1134" w:right="1109"/>
        <w:jc w:val="both"/>
      </w:pPr>
      <w:r>
        <w:rPr/>
        <w:t>（</w:t>
      </w:r>
      <w:r>
        <w:rPr>
          <w:rFonts w:ascii="宋体" w:hAnsi="宋体" w:cs="宋体" w:eastAsia="宋体" w:hint="default"/>
        </w:rPr>
        <w:t>5</w:t>
      </w:r>
      <w:r>
        <w:rPr/>
        <w:t>）本公司使用招商银行综合授信额度申请开立备用信用证，金额为</w:t>
      </w:r>
      <w:r>
        <w:rPr>
          <w:rFonts w:ascii="宋体" w:hAnsi="宋体" w:cs="宋体" w:eastAsia="宋体" w:hint="default"/>
        </w:rPr>
        <w:t>4000</w:t>
      </w:r>
      <w:r>
        <w:rPr/>
        <w:t>万元整为本公司在招商银行卢</w:t>
      </w:r>
      <w:r>
        <w:rPr>
          <w:spacing w:val="-29"/>
        </w:rPr>
        <w:t> </w:t>
      </w:r>
      <w:r>
        <w:rPr>
          <w:spacing w:val="-29"/>
        </w:rPr>
      </w:r>
      <w:r>
        <w:rPr/>
        <w:t>森堡分行提供融资担保，本公司自招商银行卢森堡支行取得借款</w:t>
      </w:r>
      <w:r>
        <w:rPr>
          <w:rFonts w:ascii="宋体" w:hAnsi="宋体" w:cs="宋体" w:eastAsia="宋体" w:hint="default"/>
        </w:rPr>
        <w:t>500</w:t>
      </w:r>
      <w:r>
        <w:rPr/>
        <w:t>万欧元。上述借款于</w:t>
      </w:r>
      <w:r>
        <w:rPr>
          <w:rFonts w:ascii="宋体" w:hAnsi="宋体" w:cs="宋体" w:eastAsia="宋体" w:hint="default"/>
        </w:rPr>
        <w:t>2016</w:t>
      </w:r>
      <w:r>
        <w:rPr/>
        <w:t>年</w:t>
      </w:r>
      <w:r>
        <w:rPr>
          <w:rFonts w:ascii="宋体" w:hAnsi="宋体" w:cs="宋体" w:eastAsia="宋体" w:hint="default"/>
        </w:rPr>
        <w:t>1</w:t>
      </w:r>
      <w:r>
        <w:rPr/>
        <w:t>月到账。</w:t>
      </w:r>
    </w:p>
    <w:p>
      <w:pPr>
        <w:spacing w:line="240" w:lineRule="auto" w:before="1"/>
        <w:rPr>
          <w:rFonts w:ascii="宋体" w:hAnsi="宋体" w:cs="宋体" w:eastAsia="宋体" w:hint="default"/>
          <w:sz w:val="17"/>
          <w:szCs w:val="17"/>
        </w:rPr>
      </w:pPr>
    </w:p>
    <w:p>
      <w:pPr>
        <w:pStyle w:val="BodyText"/>
        <w:spacing w:line="273" w:lineRule="auto"/>
        <w:ind w:right="1130"/>
        <w:jc w:val="both"/>
      </w:pPr>
      <w:r>
        <w:rPr/>
        <w:t>（</w:t>
      </w:r>
      <w:r>
        <w:rPr>
          <w:rFonts w:ascii="宋体" w:hAnsi="宋体" w:cs="宋体" w:eastAsia="宋体" w:hint="default"/>
        </w:rPr>
        <w:t>6</w:t>
      </w:r>
      <w:r>
        <w:rPr/>
        <w:t>）本公司实际控制人赵鸿飞将其持有的本公司股份</w:t>
      </w:r>
      <w:r>
        <w:rPr>
          <w:rFonts w:ascii="宋体" w:hAnsi="宋体" w:cs="宋体" w:eastAsia="宋体" w:hint="default"/>
        </w:rPr>
        <w:t>2400</w:t>
      </w:r>
      <w:r>
        <w:rPr/>
        <w:t>万股质押给中国国际金融股份有限公司获得借</w:t>
      </w:r>
      <w:r>
        <w:rPr>
          <w:spacing w:val="-31"/>
        </w:rPr>
        <w:t> </w:t>
      </w:r>
      <w:r>
        <w:rPr>
          <w:spacing w:val="-31"/>
        </w:rPr>
      </w:r>
      <w:r>
        <w:rPr>
          <w:spacing w:val="-1"/>
        </w:rPr>
        <w:t>款用于为员工股权激励提供借款。本次质押股份占自然人赵鸿飞持有本公司股份的</w:t>
      </w:r>
      <w:r>
        <w:rPr>
          <w:rFonts w:ascii="宋体" w:hAnsi="宋体" w:cs="宋体" w:eastAsia="宋体" w:hint="default"/>
          <w:spacing w:val="-1"/>
        </w:rPr>
        <w:t>36.32%</w:t>
      </w:r>
      <w:r>
        <w:rPr>
          <w:spacing w:val="-1"/>
        </w:rPr>
        <w:t>，占公司总股份</w:t>
      </w:r>
      <w:r>
        <w:rPr>
          <w:spacing w:val="-77"/>
        </w:rPr>
        <w:t> </w:t>
      </w:r>
      <w:r>
        <w:rPr>
          <w:spacing w:val="-77"/>
        </w:rPr>
      </w:r>
      <w:r>
        <w:rPr/>
        <w:t>的</w:t>
      </w:r>
      <w:r>
        <w:rPr>
          <w:rFonts w:ascii="宋体" w:hAnsi="宋体" w:cs="宋体" w:eastAsia="宋体" w:hint="default"/>
        </w:rPr>
        <w:t>24.00%</w:t>
      </w:r>
      <w:r>
        <w:rPr/>
        <w:t>。</w:t>
      </w:r>
    </w:p>
    <w:p>
      <w:pPr>
        <w:spacing w:line="240" w:lineRule="auto" w:before="1"/>
        <w:rPr>
          <w:rFonts w:ascii="宋体" w:hAnsi="宋体" w:cs="宋体" w:eastAsia="宋体" w:hint="default"/>
          <w:sz w:val="17"/>
          <w:szCs w:val="17"/>
        </w:rPr>
      </w:pPr>
    </w:p>
    <w:p>
      <w:pPr>
        <w:pStyle w:val="BodyText"/>
        <w:spacing w:line="273" w:lineRule="auto"/>
        <w:ind w:left="1134" w:right="1127"/>
        <w:jc w:val="both"/>
      </w:pPr>
      <w:r>
        <w:rPr/>
        <w:t>（</w:t>
      </w:r>
      <w:r>
        <w:rPr>
          <w:rFonts w:ascii="宋体" w:hAnsi="宋体" w:cs="宋体" w:eastAsia="宋体" w:hint="default"/>
        </w:rPr>
        <w:t>7</w:t>
      </w:r>
      <w:r>
        <w:rPr/>
        <w:t>）根据本公司</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8</w:t>
      </w:r>
      <w:r>
        <w:rPr/>
        <w:t>日第二届董事会第六次会议决议，本公司拟以总价不超过</w:t>
      </w:r>
      <w:r>
        <w:rPr>
          <w:spacing w:val="42"/>
        </w:rPr>
        <w:t> </w:t>
      </w:r>
      <w:r>
        <w:rPr>
          <w:rFonts w:ascii="宋体" w:hAnsi="宋体" w:cs="宋体" w:eastAsia="宋体" w:hint="default"/>
        </w:rPr>
        <w:t>10,260</w:t>
      </w:r>
      <w:r>
        <w:rPr>
          <w:rFonts w:ascii="宋体" w:hAnsi="宋体" w:cs="宋体" w:eastAsia="宋体" w:hint="default"/>
          <w:spacing w:val="31"/>
        </w:rPr>
        <w:t> </w:t>
      </w:r>
      <w:r>
        <w:rPr/>
        <w:t>万元的价</w:t>
      </w:r>
      <w:r>
        <w:rPr>
          <w:spacing w:val="-101"/>
        </w:rPr>
        <w:t> </w:t>
      </w:r>
      <w:r>
        <w:rPr/>
        <w:t>格购买北京爱普新思电子技术有限公司和北京慧驰科技有限公司各</w:t>
      </w:r>
      <w:r>
        <w:rPr>
          <w:spacing w:val="-27"/>
        </w:rPr>
        <w:t> </w:t>
      </w:r>
      <w:r>
        <w:rPr>
          <w:rFonts w:ascii="宋体" w:hAnsi="宋体" w:cs="宋体" w:eastAsia="宋体" w:hint="default"/>
        </w:rPr>
        <w:t>100%</w:t>
      </w:r>
      <w:r>
        <w:rPr/>
        <w:t>股权。截止</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22</w:t>
      </w:r>
      <w:r>
        <w:rPr/>
        <w:t>日，上述</w:t>
      </w:r>
    </w:p>
    <w:p>
      <w:pPr>
        <w:spacing w:after="0" w:line="273" w:lineRule="auto"/>
        <w:jc w:val="both"/>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spacing w:line="501" w:lineRule="auto" w:before="35"/>
        <w:ind w:left="1133" w:right="8603" w:firstLine="0"/>
        <w:jc w:val="both"/>
        <w:rPr>
          <w:rFonts w:ascii="宋体" w:hAnsi="宋体" w:cs="宋体" w:eastAsia="宋体" w:hint="default"/>
          <w:sz w:val="21"/>
          <w:szCs w:val="21"/>
        </w:rPr>
      </w:pPr>
      <w:r>
        <w:rPr>
          <w:rFonts w:ascii="宋体" w:hAnsi="宋体" w:cs="宋体" w:eastAsia="宋体" w:hint="default"/>
          <w:sz w:val="21"/>
          <w:szCs w:val="21"/>
        </w:rPr>
        <w:t>股权收购款尚未支付。 </w:t>
      </w:r>
      <w:bookmarkStart w:name="十六、其他重要事项" w:id="478"/>
      <w:bookmarkEnd w:id="478"/>
      <w:r>
        <w:rPr>
          <w:rFonts w:ascii="宋体" w:hAnsi="宋体" w:cs="宋体" w:eastAsia="宋体" w:hint="default"/>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79"/>
      <w:bookmarkEnd w:id="47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240" w:lineRule="auto" w:before="69"/>
        <w:ind w:right="0"/>
        <w:jc w:val="both"/>
        <w:rPr>
          <w:b w:val="0"/>
          <w:bCs w:val="0"/>
        </w:rPr>
      </w:pPr>
      <w:bookmarkStart w:name="（1）追溯重述法" w:id="480"/>
      <w:bookmarkEnd w:id="480"/>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2）未来适用法" w:id="481"/>
      <w:bookmarkEnd w:id="481"/>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3499"/>
        <w:jc w:val="left"/>
        <w:rPr>
          <w:b w:val="0"/>
          <w:bCs w:val="0"/>
        </w:rPr>
      </w:pPr>
      <w:bookmarkStart w:name="2、债务重组" w:id="482"/>
      <w:bookmarkEnd w:id="482"/>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3499"/>
        <w:jc w:val="left"/>
        <w:rPr>
          <w:b w:val="0"/>
          <w:bCs w:val="0"/>
        </w:rPr>
      </w:pPr>
      <w:bookmarkStart w:name="3、资产置换" w:id="483"/>
      <w:bookmarkEnd w:id="483"/>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3499"/>
        <w:jc w:val="left"/>
        <w:rPr>
          <w:b w:val="0"/>
          <w:bCs w:val="0"/>
        </w:rPr>
      </w:pPr>
      <w:bookmarkStart w:name="（1）非货币性资产交换" w:id="484"/>
      <w:bookmarkEnd w:id="484"/>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3499"/>
        <w:jc w:val="left"/>
        <w:rPr>
          <w:b w:val="0"/>
          <w:bCs w:val="0"/>
        </w:rPr>
      </w:pPr>
      <w:bookmarkStart w:name="（2）其他资产置换" w:id="485"/>
      <w:bookmarkEnd w:id="485"/>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3499"/>
        <w:jc w:val="left"/>
        <w:rPr>
          <w:b w:val="0"/>
          <w:bCs w:val="0"/>
        </w:rPr>
      </w:pPr>
      <w:bookmarkStart w:name="4、年金计划" w:id="486"/>
      <w:bookmarkEnd w:id="486"/>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3499"/>
        <w:jc w:val="left"/>
        <w:rPr>
          <w:b w:val="0"/>
          <w:bCs w:val="0"/>
        </w:rPr>
      </w:pPr>
      <w:bookmarkStart w:name="5、终止经营" w:id="487"/>
      <w:bookmarkEnd w:id="487"/>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3499"/>
        <w:jc w:val="left"/>
        <w:rPr>
          <w:b w:val="0"/>
          <w:bCs w:val="0"/>
        </w:rPr>
      </w:pPr>
      <w:bookmarkStart w:name="6、分部信息" w:id="488"/>
      <w:bookmarkEnd w:id="488"/>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3499"/>
        <w:jc w:val="left"/>
        <w:rPr>
          <w:b w:val="0"/>
          <w:bCs w:val="0"/>
        </w:rPr>
      </w:pPr>
      <w:bookmarkStart w:name="（1）报告分部的确定依据与会计政策" w:id="489"/>
      <w:bookmarkEnd w:id="489"/>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3499"/>
        <w:jc w:val="left"/>
        <w:rPr>
          <w:b w:val="0"/>
          <w:bCs w:val="0"/>
        </w:rPr>
      </w:pPr>
      <w:bookmarkStart w:name="（2）报告分部的财务信息" w:id="490"/>
      <w:bookmarkEnd w:id="490"/>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04"/>
        <w:gridCol w:w="2381"/>
        <w:gridCol w:w="2392"/>
        <w:gridCol w:w="2392"/>
      </w:tblGrid>
      <w:tr>
        <w:trPr>
          <w:trHeight w:val="403"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公司无报告分部的，或者不能披露各报告分部的资产总额和负债总额的，应说明原因" w:id="491"/>
      <w:bookmarkEnd w:id="491"/>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499"/>
        <w:jc w:val="left"/>
        <w:rPr>
          <w:b w:val="0"/>
          <w:bCs w:val="0"/>
        </w:rPr>
      </w:pPr>
      <w:bookmarkStart w:name="（4）其他说明" w:id="492"/>
      <w:bookmarkEnd w:id="492"/>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499"/>
        <w:jc w:val="left"/>
        <w:rPr>
          <w:b w:val="0"/>
          <w:bCs w:val="0"/>
        </w:rPr>
      </w:pPr>
      <w:bookmarkStart w:name="7、其他对投资者决策有影响的重要交易和事项" w:id="493"/>
      <w:bookmarkEnd w:id="493"/>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pStyle w:val="BodyText"/>
        <w:spacing w:line="506" w:lineRule="auto"/>
        <w:ind w:right="5083"/>
        <w:jc w:val="left"/>
      </w:pPr>
      <w:bookmarkStart w:name="8、其他" w:id="494"/>
      <w:bookmarkEnd w:id="494"/>
      <w:r>
        <w:rPr/>
      </w:r>
      <w:r>
        <w:rPr>
          <w:rFonts w:ascii="Times New Roman" w:hAnsi="Times New Roman" w:cs="Times New Roman" w:eastAsia="Times New Roman" w:hint="default"/>
          <w:b/>
          <w:bCs/>
        </w:rPr>
        <w:t>8</w:t>
      </w:r>
      <w:r>
        <w:rPr>
          <w:rFonts w:ascii="宋体" w:hAnsi="宋体" w:cs="宋体" w:eastAsia="宋体" w:hint="default"/>
          <w:b/>
          <w:bCs/>
        </w:rPr>
        <w:t>、其他</w:t>
      </w:r>
      <w:r>
        <w:rPr>
          <w:rFonts w:ascii="宋体" w:hAnsi="宋体" w:cs="宋体" w:eastAsia="宋体" w:hint="default"/>
          <w:b/>
          <w:bCs/>
          <w:spacing w:val="1"/>
          <w:w w:val="99"/>
        </w:rPr>
        <w:t> </w:t>
      </w:r>
      <w:r>
        <w:rPr/>
        <w:t>与持有公司</w:t>
      </w:r>
      <w:r>
        <w:rPr>
          <w:rFonts w:ascii="宋体" w:hAnsi="宋体" w:cs="宋体" w:eastAsia="宋体" w:hint="default"/>
        </w:rPr>
        <w:t>5%</w:t>
      </w:r>
      <w:r>
        <w:rPr/>
        <w:t>以下股份的股东及其关联方的交易以及往来情况</w:t>
      </w:r>
    </w:p>
    <w:p>
      <w:pPr>
        <w:pStyle w:val="BodyText"/>
        <w:spacing w:line="240" w:lineRule="auto" w:before="20"/>
        <w:ind w:right="3499"/>
        <w:jc w:val="left"/>
      </w:pPr>
      <w:r>
        <w:rPr/>
        <w:t>（</w:t>
      </w:r>
      <w:r>
        <w:rPr>
          <w:rFonts w:ascii="宋体" w:hAnsi="宋体" w:cs="宋体" w:eastAsia="宋体" w:hint="default"/>
        </w:rPr>
        <w:t>1</w:t>
      </w:r>
      <w:r>
        <w:rPr/>
        <w:t>）交易公司基本情况</w:t>
      </w:r>
    </w:p>
    <w:p>
      <w:pPr>
        <w:spacing w:line="240" w:lineRule="auto" w:before="2"/>
        <w:rPr>
          <w:rFonts w:ascii="宋体" w:hAnsi="宋体" w:cs="宋体" w:eastAsia="宋体" w:hint="default"/>
          <w:sz w:val="25"/>
          <w:szCs w:val="25"/>
        </w:rPr>
      </w:pPr>
    </w:p>
    <w:tbl>
      <w:tblPr>
        <w:tblW w:w="0" w:type="auto"/>
        <w:jc w:val="left"/>
        <w:tblInd w:w="1134" w:type="dxa"/>
        <w:tblLayout w:type="fixed"/>
        <w:tblCellMar>
          <w:top w:w="0" w:type="dxa"/>
          <w:left w:w="0" w:type="dxa"/>
          <w:bottom w:w="0" w:type="dxa"/>
          <w:right w:w="0" w:type="dxa"/>
        </w:tblCellMar>
        <w:tblLook w:val="01E0"/>
      </w:tblPr>
      <w:tblGrid>
        <w:gridCol w:w="2802"/>
        <w:gridCol w:w="2856"/>
        <w:gridCol w:w="3696"/>
      </w:tblGrid>
      <w:tr>
        <w:trPr>
          <w:trHeight w:val="281" w:hRule="exact"/>
        </w:trPr>
        <w:tc>
          <w:tcPr>
            <w:tcW w:w="2802" w:type="dxa"/>
            <w:tcBorders>
              <w:top w:val="nil" w:sz="6" w:space="0" w:color="auto"/>
              <w:left w:val="nil" w:sz="6" w:space="0" w:color="auto"/>
              <w:bottom w:val="single" w:sz="8" w:space="0" w:color="000000"/>
              <w:right w:val="nil" w:sz="6" w:space="0" w:color="auto"/>
            </w:tcBorders>
          </w:tcPr>
          <w:p>
            <w:pPr>
              <w:pStyle w:val="TableParagraph"/>
              <w:spacing w:line="210"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交易公司名称</w:t>
            </w:r>
            <w:r>
              <w:rPr>
                <w:rFonts w:ascii="宋体" w:hAnsi="宋体" w:cs="宋体" w:eastAsia="宋体" w:hint="default"/>
                <w:sz w:val="21"/>
                <w:szCs w:val="21"/>
              </w:rPr>
            </w:r>
          </w:p>
        </w:tc>
        <w:tc>
          <w:tcPr>
            <w:tcW w:w="2856" w:type="dxa"/>
            <w:tcBorders>
              <w:top w:val="nil" w:sz="6" w:space="0" w:color="auto"/>
              <w:left w:val="nil" w:sz="6" w:space="0" w:color="auto"/>
              <w:bottom w:val="single" w:sz="8" w:space="0" w:color="000000"/>
              <w:right w:val="nil" w:sz="6" w:space="0" w:color="auto"/>
            </w:tcBorders>
          </w:tcPr>
          <w:p>
            <w:pPr>
              <w:pStyle w:val="TableParagraph"/>
              <w:spacing w:line="210" w:lineRule="exact"/>
              <w:ind w:left="10" w:right="0"/>
              <w:jc w:val="left"/>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3696" w:type="dxa"/>
            <w:tcBorders>
              <w:top w:val="nil" w:sz="6" w:space="0" w:color="auto"/>
              <w:left w:val="nil" w:sz="6" w:space="0" w:color="auto"/>
              <w:bottom w:val="single" w:sz="8" w:space="0" w:color="000000"/>
              <w:right w:val="nil" w:sz="6" w:space="0" w:color="auto"/>
            </w:tcBorders>
          </w:tcPr>
          <w:p>
            <w:pPr>
              <w:pStyle w:val="TableParagraph"/>
              <w:spacing w:line="210" w:lineRule="exact"/>
              <w:ind w:left="11" w:right="0"/>
              <w:jc w:val="left"/>
              <w:rPr>
                <w:rFonts w:ascii="宋体" w:hAnsi="宋体" w:cs="宋体" w:eastAsia="宋体" w:hint="default"/>
                <w:sz w:val="21"/>
                <w:szCs w:val="21"/>
              </w:rPr>
            </w:pPr>
            <w:r>
              <w:rPr>
                <w:rFonts w:ascii="宋体" w:hAnsi="宋体" w:cs="宋体" w:eastAsia="宋体" w:hint="default"/>
                <w:b/>
                <w:bCs/>
                <w:sz w:val="21"/>
                <w:szCs w:val="21"/>
              </w:rPr>
              <w:t>与股东关系</w:t>
            </w:r>
            <w:r>
              <w:rPr>
                <w:rFonts w:ascii="宋体" w:hAnsi="宋体" w:cs="宋体" w:eastAsia="宋体" w:hint="default"/>
                <w:sz w:val="21"/>
                <w:szCs w:val="21"/>
              </w:rPr>
            </w:r>
          </w:p>
        </w:tc>
      </w:tr>
      <w:tr>
        <w:trPr>
          <w:trHeight w:val="342" w:hRule="exact"/>
        </w:trPr>
        <w:tc>
          <w:tcPr>
            <w:tcW w:w="280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sz w:val="21"/>
              </w:rPr>
              <w:t>ARM Limited</w:t>
            </w:r>
          </w:p>
        </w:tc>
        <w:tc>
          <w:tcPr>
            <w:tcW w:w="285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0" w:right="0"/>
              <w:jc w:val="left"/>
              <w:rPr>
                <w:rFonts w:ascii="宋体" w:hAnsi="宋体" w:cs="宋体" w:eastAsia="宋体" w:hint="default"/>
                <w:sz w:val="21"/>
                <w:szCs w:val="21"/>
              </w:rPr>
            </w:pPr>
            <w:r>
              <w:rPr>
                <w:rFonts w:ascii="宋体"/>
                <w:sz w:val="21"/>
              </w:rPr>
              <w:t>ARM Limited</w:t>
            </w:r>
          </w:p>
        </w:tc>
        <w:tc>
          <w:tcPr>
            <w:tcW w:w="3696"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6"/>
              <w:jc w:val="right"/>
              <w:rPr>
                <w:rFonts w:ascii="宋体" w:hAnsi="宋体" w:cs="宋体" w:eastAsia="宋体" w:hint="default"/>
                <w:sz w:val="21"/>
                <w:szCs w:val="21"/>
              </w:rPr>
            </w:pPr>
            <w:r>
              <w:rPr>
                <w:rFonts w:ascii="宋体"/>
                <w:sz w:val="21"/>
              </w:rPr>
              <w:t>--</w:t>
            </w:r>
          </w:p>
        </w:tc>
      </w:tr>
      <w:tr>
        <w:trPr>
          <w:trHeight w:val="654" w:hRule="exact"/>
        </w:trPr>
        <w:tc>
          <w:tcPr>
            <w:tcW w:w="280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sz w:val="21"/>
              </w:rPr>
              <w:t>Qualcomm Incorporated</w:t>
            </w:r>
          </w:p>
        </w:tc>
        <w:tc>
          <w:tcPr>
            <w:tcW w:w="285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0" w:right="0"/>
              <w:jc w:val="left"/>
              <w:rPr>
                <w:rFonts w:ascii="宋体" w:hAnsi="宋体" w:cs="宋体" w:eastAsia="宋体" w:hint="default"/>
                <w:sz w:val="21"/>
                <w:szCs w:val="21"/>
              </w:rPr>
            </w:pPr>
            <w:r>
              <w:rPr>
                <w:rFonts w:ascii="宋体"/>
                <w:sz w:val="21"/>
              </w:rPr>
              <w:t>Qualcomm</w:t>
            </w:r>
            <w:r>
              <w:rPr>
                <w:rFonts w:ascii="宋体"/>
                <w:spacing w:val="-2"/>
                <w:sz w:val="21"/>
              </w:rPr>
              <w:t> </w:t>
            </w:r>
            <w:r>
              <w:rPr>
                <w:rFonts w:ascii="宋体"/>
                <w:sz w:val="21"/>
              </w:rPr>
              <w:t>International,Inc.</w:t>
            </w:r>
          </w:p>
        </w:tc>
        <w:tc>
          <w:tcPr>
            <w:tcW w:w="369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间接控制本公司股东</w:t>
            </w:r>
            <w:r>
              <w:rPr>
                <w:rFonts w:ascii="宋体" w:hAnsi="宋体" w:cs="宋体" w:eastAsia="宋体" w:hint="default"/>
                <w:sz w:val="21"/>
                <w:szCs w:val="21"/>
              </w:rPr>
              <w:t>Qualcomm</w:t>
            </w:r>
          </w:p>
          <w:p>
            <w:pPr>
              <w:pStyle w:val="TableParagraph"/>
              <w:spacing w:line="240" w:lineRule="auto" w:before="37"/>
              <w:ind w:left="11" w:right="0"/>
              <w:jc w:val="left"/>
              <w:rPr>
                <w:rFonts w:ascii="宋体" w:hAnsi="宋体" w:cs="宋体" w:eastAsia="宋体" w:hint="default"/>
                <w:sz w:val="21"/>
                <w:szCs w:val="21"/>
              </w:rPr>
            </w:pPr>
            <w:r>
              <w:rPr>
                <w:rFonts w:ascii="宋体"/>
                <w:sz w:val="21"/>
              </w:rPr>
              <w:t>International,Inc.</w:t>
            </w:r>
          </w:p>
        </w:tc>
      </w:tr>
      <w:tr>
        <w:trPr>
          <w:trHeight w:val="654" w:hRule="exact"/>
        </w:trPr>
        <w:tc>
          <w:tcPr>
            <w:tcW w:w="280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sz w:val="21"/>
              </w:rPr>
              <w:t>Qualcomm</w:t>
            </w:r>
            <w:r>
              <w:rPr>
                <w:rFonts w:ascii="宋体"/>
                <w:spacing w:val="-2"/>
                <w:sz w:val="21"/>
              </w:rPr>
              <w:t> </w:t>
            </w:r>
            <w:r>
              <w:rPr>
                <w:rFonts w:ascii="宋体"/>
                <w:sz w:val="21"/>
              </w:rPr>
              <w:t>Technologies,Inc.</w:t>
            </w:r>
          </w:p>
        </w:tc>
        <w:tc>
          <w:tcPr>
            <w:tcW w:w="285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0" w:right="0"/>
              <w:jc w:val="left"/>
              <w:rPr>
                <w:rFonts w:ascii="宋体" w:hAnsi="宋体" w:cs="宋体" w:eastAsia="宋体" w:hint="default"/>
                <w:sz w:val="21"/>
                <w:szCs w:val="21"/>
              </w:rPr>
            </w:pPr>
            <w:r>
              <w:rPr>
                <w:rFonts w:ascii="宋体"/>
                <w:sz w:val="21"/>
              </w:rPr>
              <w:t>Qualcomm</w:t>
            </w:r>
            <w:r>
              <w:rPr>
                <w:rFonts w:ascii="宋体"/>
                <w:spacing w:val="-2"/>
                <w:sz w:val="21"/>
              </w:rPr>
              <w:t> </w:t>
            </w:r>
            <w:r>
              <w:rPr>
                <w:rFonts w:ascii="宋体"/>
                <w:sz w:val="21"/>
              </w:rPr>
              <w:t>International,Inc.</w:t>
            </w:r>
          </w:p>
        </w:tc>
        <w:tc>
          <w:tcPr>
            <w:tcW w:w="369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直接控制本公司股东</w:t>
            </w:r>
            <w:r>
              <w:rPr>
                <w:rFonts w:ascii="宋体" w:hAnsi="宋体" w:cs="宋体" w:eastAsia="宋体" w:hint="default"/>
                <w:sz w:val="21"/>
                <w:szCs w:val="21"/>
              </w:rPr>
              <w:t>Qualcomm</w:t>
            </w:r>
          </w:p>
          <w:p>
            <w:pPr>
              <w:pStyle w:val="TableParagraph"/>
              <w:spacing w:line="240" w:lineRule="auto" w:before="37"/>
              <w:ind w:left="11" w:right="0"/>
              <w:jc w:val="left"/>
              <w:rPr>
                <w:rFonts w:ascii="宋体" w:hAnsi="宋体" w:cs="宋体" w:eastAsia="宋体" w:hint="default"/>
                <w:sz w:val="21"/>
                <w:szCs w:val="21"/>
              </w:rPr>
            </w:pPr>
            <w:r>
              <w:rPr>
                <w:rFonts w:ascii="宋体"/>
                <w:sz w:val="21"/>
              </w:rPr>
              <w:t>International,Inc.</w:t>
            </w:r>
          </w:p>
        </w:tc>
      </w:tr>
      <w:tr>
        <w:trPr>
          <w:trHeight w:val="654" w:hRule="exact"/>
        </w:trPr>
        <w:tc>
          <w:tcPr>
            <w:tcW w:w="280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sz w:val="21"/>
              </w:rPr>
              <w:t>Qualcomm Atheros,Inc.</w:t>
            </w:r>
          </w:p>
        </w:tc>
        <w:tc>
          <w:tcPr>
            <w:tcW w:w="285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0" w:right="0"/>
              <w:jc w:val="left"/>
              <w:rPr>
                <w:rFonts w:ascii="宋体" w:hAnsi="宋体" w:cs="宋体" w:eastAsia="宋体" w:hint="default"/>
                <w:sz w:val="21"/>
                <w:szCs w:val="21"/>
              </w:rPr>
            </w:pPr>
            <w:r>
              <w:rPr>
                <w:rFonts w:ascii="宋体"/>
                <w:sz w:val="21"/>
              </w:rPr>
              <w:t>Qualcomm</w:t>
            </w:r>
            <w:r>
              <w:rPr>
                <w:rFonts w:ascii="宋体"/>
                <w:spacing w:val="-2"/>
                <w:sz w:val="21"/>
              </w:rPr>
              <w:t> </w:t>
            </w:r>
            <w:r>
              <w:rPr>
                <w:rFonts w:ascii="宋体"/>
                <w:sz w:val="21"/>
              </w:rPr>
              <w:t>International,Inc.</w:t>
            </w:r>
          </w:p>
        </w:tc>
        <w:tc>
          <w:tcPr>
            <w:tcW w:w="369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z w:val="21"/>
                <w:szCs w:val="21"/>
              </w:rPr>
              <w:t>Qualcomm</w:t>
            </w:r>
            <w:r>
              <w:rPr>
                <w:rFonts w:ascii="宋体" w:hAnsi="宋体" w:cs="宋体" w:eastAsia="宋体" w:hint="default"/>
                <w:spacing w:val="-1"/>
                <w:sz w:val="21"/>
                <w:szCs w:val="21"/>
              </w:rPr>
              <w:t> </w:t>
            </w:r>
            <w:r>
              <w:rPr>
                <w:rFonts w:ascii="宋体" w:hAnsi="宋体" w:cs="宋体" w:eastAsia="宋体" w:hint="default"/>
                <w:sz w:val="21"/>
                <w:szCs w:val="21"/>
              </w:rPr>
              <w:t>International,Inc.</w:t>
            </w:r>
            <w:r>
              <w:rPr>
                <w:rFonts w:ascii="宋体" w:hAnsi="宋体" w:cs="宋体" w:eastAsia="宋体" w:hint="default"/>
                <w:sz w:val="21"/>
                <w:szCs w:val="21"/>
              </w:rPr>
              <w:t>同受</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Qualcomm</w:t>
            </w:r>
            <w:r>
              <w:rPr>
                <w:rFonts w:ascii="宋体" w:hAnsi="宋体" w:cs="宋体" w:eastAsia="宋体" w:hint="default"/>
                <w:spacing w:val="-1"/>
                <w:sz w:val="21"/>
                <w:szCs w:val="21"/>
              </w:rPr>
              <w:t> </w:t>
            </w:r>
            <w:r>
              <w:rPr>
                <w:rFonts w:ascii="宋体" w:hAnsi="宋体" w:cs="宋体" w:eastAsia="宋体" w:hint="default"/>
                <w:sz w:val="21"/>
                <w:szCs w:val="21"/>
              </w:rPr>
              <w:t>Incorporated</w:t>
            </w:r>
            <w:r>
              <w:rPr>
                <w:rFonts w:ascii="宋体" w:hAnsi="宋体" w:cs="宋体" w:eastAsia="宋体" w:hint="default"/>
                <w:sz w:val="21"/>
                <w:szCs w:val="21"/>
              </w:rPr>
              <w:t>控制</w:t>
            </w:r>
          </w:p>
        </w:tc>
      </w:tr>
      <w:tr>
        <w:trPr>
          <w:trHeight w:val="654" w:hRule="exact"/>
        </w:trPr>
        <w:tc>
          <w:tcPr>
            <w:tcW w:w="280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z w:val="21"/>
                <w:szCs w:val="21"/>
              </w:rPr>
              <w:t>高通通讯服务公司</w:t>
            </w:r>
          </w:p>
        </w:tc>
        <w:tc>
          <w:tcPr>
            <w:tcW w:w="285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0" w:right="0"/>
              <w:jc w:val="left"/>
              <w:rPr>
                <w:rFonts w:ascii="宋体" w:hAnsi="宋体" w:cs="宋体" w:eastAsia="宋体" w:hint="default"/>
                <w:sz w:val="21"/>
                <w:szCs w:val="21"/>
              </w:rPr>
            </w:pPr>
            <w:r>
              <w:rPr>
                <w:rFonts w:ascii="宋体"/>
                <w:sz w:val="21"/>
              </w:rPr>
              <w:t>Qualcomm</w:t>
            </w:r>
            <w:r>
              <w:rPr>
                <w:rFonts w:ascii="宋体"/>
                <w:spacing w:val="-2"/>
                <w:sz w:val="21"/>
              </w:rPr>
              <w:t> </w:t>
            </w:r>
            <w:r>
              <w:rPr>
                <w:rFonts w:ascii="宋体"/>
                <w:sz w:val="21"/>
              </w:rPr>
              <w:t>International,Inc.</w:t>
            </w:r>
          </w:p>
        </w:tc>
        <w:tc>
          <w:tcPr>
            <w:tcW w:w="369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z w:val="21"/>
                <w:szCs w:val="21"/>
              </w:rPr>
              <w:t>Qualcomm</w:t>
            </w:r>
            <w:r>
              <w:rPr>
                <w:rFonts w:ascii="宋体" w:hAnsi="宋体" w:cs="宋体" w:eastAsia="宋体" w:hint="default"/>
                <w:spacing w:val="-1"/>
                <w:sz w:val="21"/>
                <w:szCs w:val="21"/>
              </w:rPr>
              <w:t> </w:t>
            </w:r>
            <w:r>
              <w:rPr>
                <w:rFonts w:ascii="宋体" w:hAnsi="宋体" w:cs="宋体" w:eastAsia="宋体" w:hint="default"/>
                <w:sz w:val="21"/>
                <w:szCs w:val="21"/>
              </w:rPr>
              <w:t>International,Inc.</w:t>
            </w:r>
            <w:r>
              <w:rPr>
                <w:rFonts w:ascii="宋体" w:hAnsi="宋体" w:cs="宋体" w:eastAsia="宋体" w:hint="default"/>
                <w:sz w:val="21"/>
                <w:szCs w:val="21"/>
              </w:rPr>
              <w:t>同受</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Qualcomm</w:t>
            </w:r>
            <w:r>
              <w:rPr>
                <w:rFonts w:ascii="宋体" w:hAnsi="宋体" w:cs="宋体" w:eastAsia="宋体" w:hint="default"/>
                <w:spacing w:val="-1"/>
                <w:sz w:val="21"/>
                <w:szCs w:val="21"/>
              </w:rPr>
              <w:t> </w:t>
            </w:r>
            <w:r>
              <w:rPr>
                <w:rFonts w:ascii="宋体" w:hAnsi="宋体" w:cs="宋体" w:eastAsia="宋体" w:hint="default"/>
                <w:sz w:val="21"/>
                <w:szCs w:val="21"/>
              </w:rPr>
              <w:t>Incorporated</w:t>
            </w:r>
            <w:r>
              <w:rPr>
                <w:rFonts w:ascii="宋体" w:hAnsi="宋体" w:cs="宋体" w:eastAsia="宋体" w:hint="default"/>
                <w:sz w:val="21"/>
                <w:szCs w:val="21"/>
              </w:rPr>
              <w:t>控制</w:t>
            </w:r>
          </w:p>
        </w:tc>
      </w:tr>
      <w:tr>
        <w:trPr>
          <w:trHeight w:val="966" w:hRule="exact"/>
        </w:trPr>
        <w:tc>
          <w:tcPr>
            <w:tcW w:w="2802"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pacing w:val="3"/>
                <w:sz w:val="21"/>
                <w:szCs w:val="21"/>
              </w:rPr>
              <w:t>高通无线通信技术（中国）有</w:t>
            </w:r>
          </w:p>
          <w:p>
            <w:pPr>
              <w:pStyle w:val="TableParagraph"/>
              <w:spacing w:line="273" w:lineRule="auto" w:before="37"/>
              <w:ind w:left="9" w:right="2370"/>
              <w:jc w:val="left"/>
              <w:rPr>
                <w:rFonts w:ascii="宋体" w:hAnsi="宋体" w:cs="宋体" w:eastAsia="宋体" w:hint="default"/>
                <w:sz w:val="21"/>
                <w:szCs w:val="21"/>
              </w:rPr>
            </w:pPr>
            <w:r>
              <w:rPr>
                <w:rFonts w:ascii="宋体" w:hAnsi="宋体" w:cs="宋体" w:eastAsia="宋体" w:hint="default"/>
                <w:sz w:val="21"/>
                <w:szCs w:val="21"/>
              </w:rPr>
              <w:t>限 公司</w:t>
            </w:r>
          </w:p>
        </w:tc>
        <w:tc>
          <w:tcPr>
            <w:tcW w:w="2856"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0" w:right="0"/>
              <w:jc w:val="left"/>
              <w:rPr>
                <w:rFonts w:ascii="宋体" w:hAnsi="宋体" w:cs="宋体" w:eastAsia="宋体" w:hint="default"/>
                <w:sz w:val="21"/>
                <w:szCs w:val="21"/>
              </w:rPr>
            </w:pPr>
            <w:r>
              <w:rPr>
                <w:rFonts w:ascii="宋体"/>
                <w:sz w:val="21"/>
              </w:rPr>
              <w:t>Qualcomm</w:t>
            </w:r>
            <w:r>
              <w:rPr>
                <w:rFonts w:ascii="宋体"/>
                <w:spacing w:val="-2"/>
                <w:sz w:val="21"/>
              </w:rPr>
              <w:t> </w:t>
            </w:r>
            <w:r>
              <w:rPr>
                <w:rFonts w:ascii="宋体"/>
                <w:sz w:val="21"/>
              </w:rPr>
              <w:t>International,Inc.</w:t>
            </w:r>
          </w:p>
        </w:tc>
        <w:tc>
          <w:tcPr>
            <w:tcW w:w="3696"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z w:val="21"/>
                <w:szCs w:val="21"/>
              </w:rPr>
              <w:t>Qualcomm</w:t>
            </w:r>
            <w:r>
              <w:rPr>
                <w:rFonts w:ascii="宋体" w:hAnsi="宋体" w:cs="宋体" w:eastAsia="宋体" w:hint="default"/>
                <w:spacing w:val="-1"/>
                <w:sz w:val="21"/>
                <w:szCs w:val="21"/>
              </w:rPr>
              <w:t> </w:t>
            </w:r>
            <w:r>
              <w:rPr>
                <w:rFonts w:ascii="宋体" w:hAnsi="宋体" w:cs="宋体" w:eastAsia="宋体" w:hint="default"/>
                <w:sz w:val="21"/>
                <w:szCs w:val="21"/>
              </w:rPr>
              <w:t>International,Inc.</w:t>
            </w:r>
            <w:r>
              <w:rPr>
                <w:rFonts w:ascii="宋体" w:hAnsi="宋体" w:cs="宋体" w:eastAsia="宋体" w:hint="default"/>
                <w:sz w:val="21"/>
                <w:szCs w:val="21"/>
              </w:rPr>
              <w:t>同受</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Qualcomm</w:t>
            </w:r>
            <w:r>
              <w:rPr>
                <w:rFonts w:ascii="宋体" w:hAnsi="宋体" w:cs="宋体" w:eastAsia="宋体" w:hint="default"/>
                <w:spacing w:val="-1"/>
                <w:sz w:val="21"/>
                <w:szCs w:val="21"/>
              </w:rPr>
              <w:t> </w:t>
            </w:r>
            <w:r>
              <w:rPr>
                <w:rFonts w:ascii="宋体" w:hAnsi="宋体" w:cs="宋体" w:eastAsia="宋体" w:hint="default"/>
                <w:sz w:val="21"/>
                <w:szCs w:val="21"/>
              </w:rPr>
              <w:t>Incorporated</w:t>
            </w:r>
            <w:r>
              <w:rPr>
                <w:rFonts w:ascii="宋体" w:hAnsi="宋体" w:cs="宋体" w:eastAsia="宋体" w:hint="default"/>
                <w:sz w:val="21"/>
                <w:szCs w:val="21"/>
              </w:rPr>
              <w:t>控制</w:t>
            </w:r>
          </w:p>
        </w:tc>
      </w:tr>
      <w:tr>
        <w:trPr>
          <w:trHeight w:val="654" w:hRule="exact"/>
        </w:trPr>
        <w:tc>
          <w:tcPr>
            <w:tcW w:w="280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sz w:val="21"/>
              </w:rPr>
              <w:t>TCT Mobile Limited</w:t>
            </w:r>
          </w:p>
        </w:tc>
        <w:tc>
          <w:tcPr>
            <w:tcW w:w="285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0" w:right="0"/>
              <w:jc w:val="left"/>
              <w:rPr>
                <w:rFonts w:ascii="宋体" w:hAnsi="宋体" w:cs="宋体" w:eastAsia="宋体" w:hint="default"/>
                <w:sz w:val="21"/>
                <w:szCs w:val="21"/>
              </w:rPr>
            </w:pPr>
            <w:r>
              <w:rPr>
                <w:rFonts w:ascii="宋体" w:hAnsi="宋体" w:cs="宋体" w:eastAsia="宋体" w:hint="default"/>
                <w:sz w:val="21"/>
                <w:szCs w:val="21"/>
              </w:rPr>
              <w:t>世悦控股有限公司</w:t>
            </w:r>
          </w:p>
        </w:tc>
        <w:tc>
          <w:tcPr>
            <w:tcW w:w="369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同受</w:t>
            </w:r>
            <w:r>
              <w:rPr>
                <w:rFonts w:ascii="宋体" w:hAnsi="宋体" w:cs="宋体" w:eastAsia="宋体" w:hint="default"/>
                <w:sz w:val="21"/>
                <w:szCs w:val="21"/>
              </w:rPr>
              <w:t>TCL Communication</w:t>
            </w:r>
            <w:r>
              <w:rPr>
                <w:rFonts w:ascii="宋体" w:hAnsi="宋体" w:cs="宋体" w:eastAsia="宋体" w:hint="default"/>
                <w:spacing w:val="-2"/>
                <w:sz w:val="21"/>
                <w:szCs w:val="21"/>
              </w:rPr>
              <w:t> </w:t>
            </w:r>
            <w:r>
              <w:rPr>
                <w:rFonts w:ascii="宋体" w:hAnsi="宋体" w:cs="宋体" w:eastAsia="宋体" w:hint="default"/>
                <w:sz w:val="21"/>
                <w:szCs w:val="21"/>
              </w:rPr>
              <w:t>Technology</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Holdings Limited</w:t>
            </w:r>
            <w:r>
              <w:rPr>
                <w:rFonts w:ascii="宋体" w:hAnsi="宋体" w:cs="宋体" w:eastAsia="宋体" w:hint="default"/>
                <w:sz w:val="21"/>
                <w:szCs w:val="21"/>
              </w:rPr>
              <w:t>控制</w:t>
            </w:r>
          </w:p>
        </w:tc>
      </w:tr>
      <w:tr>
        <w:trPr>
          <w:trHeight w:val="654" w:hRule="exact"/>
        </w:trPr>
        <w:tc>
          <w:tcPr>
            <w:tcW w:w="280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pacing w:val="-4"/>
                <w:sz w:val="21"/>
                <w:szCs w:val="21"/>
              </w:rPr>
              <w:t>TCL</w:t>
            </w:r>
            <w:r>
              <w:rPr>
                <w:rFonts w:ascii="宋体" w:hAnsi="宋体" w:cs="宋体" w:eastAsia="宋体" w:hint="default"/>
                <w:spacing w:val="-4"/>
                <w:sz w:val="21"/>
                <w:szCs w:val="21"/>
              </w:rPr>
              <w:t>移动通信科技（宁波）有限</w:t>
            </w:r>
          </w:p>
          <w:p>
            <w:pPr>
              <w:pStyle w:val="TableParagraph"/>
              <w:spacing w:line="240" w:lineRule="auto" w:before="37"/>
              <w:ind w:left="9"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5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0" w:right="0"/>
              <w:jc w:val="left"/>
              <w:rPr>
                <w:rFonts w:ascii="宋体" w:hAnsi="宋体" w:cs="宋体" w:eastAsia="宋体" w:hint="default"/>
                <w:sz w:val="21"/>
                <w:szCs w:val="21"/>
              </w:rPr>
            </w:pPr>
            <w:r>
              <w:rPr>
                <w:rFonts w:ascii="宋体" w:hAnsi="宋体" w:cs="宋体" w:eastAsia="宋体" w:hint="default"/>
                <w:sz w:val="21"/>
                <w:szCs w:val="21"/>
              </w:rPr>
              <w:t>世悦控股有限公司</w:t>
            </w:r>
          </w:p>
        </w:tc>
        <w:tc>
          <w:tcPr>
            <w:tcW w:w="369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同受</w:t>
            </w:r>
            <w:r>
              <w:rPr>
                <w:rFonts w:ascii="宋体" w:hAnsi="宋体" w:cs="宋体" w:eastAsia="宋体" w:hint="default"/>
                <w:sz w:val="21"/>
                <w:szCs w:val="21"/>
              </w:rPr>
              <w:t>TCL Communication</w:t>
            </w:r>
            <w:r>
              <w:rPr>
                <w:rFonts w:ascii="宋体" w:hAnsi="宋体" w:cs="宋体" w:eastAsia="宋体" w:hint="default"/>
                <w:spacing w:val="-2"/>
                <w:sz w:val="21"/>
                <w:szCs w:val="21"/>
              </w:rPr>
              <w:t> </w:t>
            </w:r>
            <w:r>
              <w:rPr>
                <w:rFonts w:ascii="宋体" w:hAnsi="宋体" w:cs="宋体" w:eastAsia="宋体" w:hint="default"/>
                <w:sz w:val="21"/>
                <w:szCs w:val="21"/>
              </w:rPr>
              <w:t>Technology</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Holdings Limited</w:t>
            </w:r>
            <w:r>
              <w:rPr>
                <w:rFonts w:ascii="宋体" w:hAnsi="宋体" w:cs="宋体" w:eastAsia="宋体" w:hint="default"/>
                <w:sz w:val="21"/>
                <w:szCs w:val="21"/>
              </w:rPr>
              <w:t>控制</w:t>
            </w:r>
          </w:p>
        </w:tc>
      </w:tr>
      <w:tr>
        <w:trPr>
          <w:trHeight w:val="654" w:hRule="exact"/>
        </w:trPr>
        <w:tc>
          <w:tcPr>
            <w:tcW w:w="280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z w:val="21"/>
                <w:szCs w:val="21"/>
              </w:rPr>
              <w:t>捷开通讯（深圳）有限公司</w:t>
            </w:r>
          </w:p>
        </w:tc>
        <w:tc>
          <w:tcPr>
            <w:tcW w:w="285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0" w:right="0"/>
              <w:jc w:val="left"/>
              <w:rPr>
                <w:rFonts w:ascii="宋体" w:hAnsi="宋体" w:cs="宋体" w:eastAsia="宋体" w:hint="default"/>
                <w:sz w:val="21"/>
                <w:szCs w:val="21"/>
              </w:rPr>
            </w:pPr>
            <w:r>
              <w:rPr>
                <w:rFonts w:ascii="宋体" w:hAnsi="宋体" w:cs="宋体" w:eastAsia="宋体" w:hint="default"/>
                <w:sz w:val="21"/>
                <w:szCs w:val="21"/>
              </w:rPr>
              <w:t>世悦控股有限公司</w:t>
            </w:r>
          </w:p>
        </w:tc>
        <w:tc>
          <w:tcPr>
            <w:tcW w:w="369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同受</w:t>
            </w:r>
            <w:r>
              <w:rPr>
                <w:rFonts w:ascii="宋体" w:hAnsi="宋体" w:cs="宋体" w:eastAsia="宋体" w:hint="default"/>
                <w:sz w:val="21"/>
                <w:szCs w:val="21"/>
              </w:rPr>
              <w:t>TCL Communication</w:t>
            </w:r>
            <w:r>
              <w:rPr>
                <w:rFonts w:ascii="宋体" w:hAnsi="宋体" w:cs="宋体" w:eastAsia="宋体" w:hint="default"/>
                <w:spacing w:val="-2"/>
                <w:sz w:val="21"/>
                <w:szCs w:val="21"/>
              </w:rPr>
              <w:t> </w:t>
            </w:r>
            <w:r>
              <w:rPr>
                <w:rFonts w:ascii="宋体" w:hAnsi="宋体" w:cs="宋体" w:eastAsia="宋体" w:hint="default"/>
                <w:sz w:val="21"/>
                <w:szCs w:val="21"/>
              </w:rPr>
              <w:t>Technology</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Holdings Limited</w:t>
            </w:r>
            <w:r>
              <w:rPr>
                <w:rFonts w:ascii="宋体" w:hAnsi="宋体" w:cs="宋体" w:eastAsia="宋体" w:hint="default"/>
                <w:sz w:val="21"/>
                <w:szCs w:val="21"/>
              </w:rPr>
              <w:t>控制</w:t>
            </w:r>
          </w:p>
        </w:tc>
      </w:tr>
      <w:tr>
        <w:trPr>
          <w:trHeight w:val="654" w:hRule="exact"/>
        </w:trPr>
        <w:tc>
          <w:tcPr>
            <w:tcW w:w="280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z w:val="21"/>
                <w:szCs w:val="21"/>
              </w:rPr>
              <w:t>深圳么么哒互联通信有限公司</w:t>
            </w:r>
          </w:p>
        </w:tc>
        <w:tc>
          <w:tcPr>
            <w:tcW w:w="285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0" w:right="0"/>
              <w:jc w:val="left"/>
              <w:rPr>
                <w:rFonts w:ascii="宋体" w:hAnsi="宋体" w:cs="宋体" w:eastAsia="宋体" w:hint="default"/>
                <w:sz w:val="21"/>
                <w:szCs w:val="21"/>
              </w:rPr>
            </w:pPr>
            <w:r>
              <w:rPr>
                <w:rFonts w:ascii="宋体" w:hAnsi="宋体" w:cs="宋体" w:eastAsia="宋体" w:hint="default"/>
                <w:sz w:val="21"/>
                <w:szCs w:val="21"/>
              </w:rPr>
              <w:t>世悦控股有限公司</w:t>
            </w:r>
          </w:p>
        </w:tc>
        <w:tc>
          <w:tcPr>
            <w:tcW w:w="369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同受</w:t>
            </w:r>
            <w:r>
              <w:rPr>
                <w:rFonts w:ascii="宋体" w:hAnsi="宋体" w:cs="宋体" w:eastAsia="宋体" w:hint="default"/>
                <w:sz w:val="21"/>
                <w:szCs w:val="21"/>
              </w:rPr>
              <w:t>TCL Communication</w:t>
            </w:r>
            <w:r>
              <w:rPr>
                <w:rFonts w:ascii="宋体" w:hAnsi="宋体" w:cs="宋体" w:eastAsia="宋体" w:hint="default"/>
                <w:spacing w:val="-2"/>
                <w:sz w:val="21"/>
                <w:szCs w:val="21"/>
              </w:rPr>
              <w:t> </w:t>
            </w:r>
            <w:r>
              <w:rPr>
                <w:rFonts w:ascii="宋体" w:hAnsi="宋体" w:cs="宋体" w:eastAsia="宋体" w:hint="default"/>
                <w:sz w:val="21"/>
                <w:szCs w:val="21"/>
              </w:rPr>
              <w:t>Technology</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Holdings Limited</w:t>
            </w:r>
            <w:r>
              <w:rPr>
                <w:rFonts w:ascii="宋体" w:hAnsi="宋体" w:cs="宋体" w:eastAsia="宋体" w:hint="default"/>
                <w:sz w:val="21"/>
                <w:szCs w:val="21"/>
              </w:rPr>
              <w:t>控制</w:t>
            </w:r>
          </w:p>
        </w:tc>
      </w:tr>
      <w:tr>
        <w:trPr>
          <w:trHeight w:val="654" w:hRule="exact"/>
        </w:trPr>
        <w:tc>
          <w:tcPr>
            <w:tcW w:w="280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pacing w:val="-4"/>
                <w:sz w:val="21"/>
                <w:szCs w:val="21"/>
              </w:rPr>
              <w:t>TCL</w:t>
            </w:r>
            <w:r>
              <w:rPr>
                <w:rFonts w:ascii="宋体" w:hAnsi="宋体" w:cs="宋体" w:eastAsia="宋体" w:hint="default"/>
                <w:spacing w:val="-4"/>
                <w:sz w:val="21"/>
                <w:szCs w:val="21"/>
              </w:rPr>
              <w:t>通讯科技（成都）有限公司</w:t>
            </w:r>
          </w:p>
        </w:tc>
        <w:tc>
          <w:tcPr>
            <w:tcW w:w="285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0" w:right="0"/>
              <w:jc w:val="left"/>
              <w:rPr>
                <w:rFonts w:ascii="宋体" w:hAnsi="宋体" w:cs="宋体" w:eastAsia="宋体" w:hint="default"/>
                <w:sz w:val="21"/>
                <w:szCs w:val="21"/>
              </w:rPr>
            </w:pPr>
            <w:r>
              <w:rPr>
                <w:rFonts w:ascii="宋体" w:hAnsi="宋体" w:cs="宋体" w:eastAsia="宋体" w:hint="default"/>
                <w:sz w:val="21"/>
                <w:szCs w:val="21"/>
              </w:rPr>
              <w:t>世悦控股有限公司</w:t>
            </w:r>
          </w:p>
        </w:tc>
        <w:tc>
          <w:tcPr>
            <w:tcW w:w="369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同受</w:t>
            </w:r>
            <w:r>
              <w:rPr>
                <w:rFonts w:ascii="宋体" w:hAnsi="宋体" w:cs="宋体" w:eastAsia="宋体" w:hint="default"/>
                <w:sz w:val="21"/>
                <w:szCs w:val="21"/>
              </w:rPr>
              <w:t>TCL Communication</w:t>
            </w:r>
            <w:r>
              <w:rPr>
                <w:rFonts w:ascii="宋体" w:hAnsi="宋体" w:cs="宋体" w:eastAsia="宋体" w:hint="default"/>
                <w:spacing w:val="-2"/>
                <w:sz w:val="21"/>
                <w:szCs w:val="21"/>
              </w:rPr>
              <w:t> </w:t>
            </w:r>
            <w:r>
              <w:rPr>
                <w:rFonts w:ascii="宋体" w:hAnsi="宋体" w:cs="宋体" w:eastAsia="宋体" w:hint="default"/>
                <w:sz w:val="21"/>
                <w:szCs w:val="21"/>
              </w:rPr>
              <w:t>Technology</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Holdings Limited</w:t>
            </w:r>
            <w:r>
              <w:rPr>
                <w:rFonts w:ascii="宋体" w:hAnsi="宋体" w:cs="宋体" w:eastAsia="宋体" w:hint="default"/>
                <w:sz w:val="21"/>
                <w:szCs w:val="21"/>
              </w:rPr>
              <w:t>控制</w:t>
            </w:r>
          </w:p>
        </w:tc>
      </w:tr>
      <w:tr>
        <w:trPr>
          <w:trHeight w:val="654" w:hRule="exact"/>
        </w:trPr>
        <w:tc>
          <w:tcPr>
            <w:tcW w:w="280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z w:val="21"/>
                <w:szCs w:val="21"/>
              </w:rPr>
              <w:t>展讯通信（上海）有限公司</w:t>
            </w:r>
          </w:p>
        </w:tc>
        <w:tc>
          <w:tcPr>
            <w:tcW w:w="285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0" w:right="0"/>
              <w:jc w:val="left"/>
              <w:rPr>
                <w:rFonts w:ascii="宋体" w:hAnsi="宋体" w:cs="宋体" w:eastAsia="宋体" w:hint="default"/>
                <w:sz w:val="21"/>
                <w:szCs w:val="21"/>
              </w:rPr>
            </w:pPr>
            <w:r>
              <w:rPr>
                <w:rFonts w:ascii="宋体" w:hAnsi="宋体" w:cs="宋体" w:eastAsia="宋体" w:hint="default"/>
                <w:sz w:val="21"/>
                <w:szCs w:val="21"/>
              </w:rPr>
              <w:t>展讯通信（天津）有限公司</w:t>
            </w:r>
          </w:p>
        </w:tc>
        <w:tc>
          <w:tcPr>
            <w:tcW w:w="369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展讯通信（上海）有限公司直接控制展</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讯通信（天津）有限公司</w:t>
            </w:r>
          </w:p>
        </w:tc>
      </w:tr>
      <w:tr>
        <w:trPr>
          <w:trHeight w:val="343" w:hRule="exact"/>
        </w:trPr>
        <w:tc>
          <w:tcPr>
            <w:tcW w:w="280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z w:val="21"/>
                <w:szCs w:val="21"/>
              </w:rPr>
              <w:t>展讯通信（天津）有限公司</w:t>
            </w:r>
          </w:p>
        </w:tc>
        <w:tc>
          <w:tcPr>
            <w:tcW w:w="2856"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10" w:right="0"/>
              <w:jc w:val="left"/>
              <w:rPr>
                <w:rFonts w:ascii="宋体" w:hAnsi="宋体" w:cs="宋体" w:eastAsia="宋体" w:hint="default"/>
                <w:sz w:val="21"/>
                <w:szCs w:val="21"/>
              </w:rPr>
            </w:pPr>
            <w:r>
              <w:rPr>
                <w:rFonts w:ascii="宋体" w:hAnsi="宋体" w:cs="宋体" w:eastAsia="宋体" w:hint="default"/>
                <w:sz w:val="21"/>
                <w:szCs w:val="21"/>
              </w:rPr>
              <w:t>展讯通信（天津）有限公司</w:t>
            </w:r>
          </w:p>
        </w:tc>
        <w:tc>
          <w:tcPr>
            <w:tcW w:w="3696"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6"/>
              <w:jc w:val="right"/>
              <w:rPr>
                <w:rFonts w:ascii="宋体" w:hAnsi="宋体" w:cs="宋体" w:eastAsia="宋体" w:hint="default"/>
                <w:sz w:val="21"/>
                <w:szCs w:val="21"/>
              </w:rPr>
            </w:pPr>
            <w:r>
              <w:rPr>
                <w:rFonts w:ascii="宋体"/>
                <w:sz w:val="21"/>
              </w:rPr>
              <w:t>--</w:t>
            </w:r>
          </w:p>
        </w:tc>
      </w:tr>
    </w:tbl>
    <w:p>
      <w:pPr>
        <w:spacing w:line="240" w:lineRule="auto" w:before="7"/>
        <w:rPr>
          <w:rFonts w:ascii="宋体" w:hAnsi="宋体" w:cs="宋体" w:eastAsia="宋体" w:hint="default"/>
          <w:sz w:val="14"/>
          <w:szCs w:val="14"/>
        </w:rPr>
      </w:pPr>
    </w:p>
    <w:p>
      <w:pPr>
        <w:pStyle w:val="BodyText"/>
        <w:spacing w:line="273" w:lineRule="auto" w:before="35"/>
        <w:ind w:left="1134" w:right="1023"/>
        <w:jc w:val="left"/>
      </w:pPr>
      <w:r>
        <w:rPr>
          <w:spacing w:val="-3"/>
        </w:rPr>
        <w:t>说明：展讯通信（天津）有限公司为展讯通信（上海）有限公司的全资子公司，根据展讯（上海）的通知，</w:t>
      </w:r>
      <w:r>
        <w:rPr>
          <w:spacing w:val="-93"/>
        </w:rPr>
        <w:t> </w:t>
      </w:r>
      <w:r>
        <w:rPr>
          <w:spacing w:val="-93"/>
        </w:rPr>
      </w:r>
      <w:r>
        <w:rPr/>
        <w:t>相关合同的交付和付款、发票开具信息由展讯（天津）执行，合同其余条款不变。</w:t>
      </w:r>
    </w:p>
    <w:p>
      <w:pPr>
        <w:spacing w:line="240" w:lineRule="auto" w:before="1"/>
        <w:rPr>
          <w:rFonts w:ascii="宋体" w:hAnsi="宋体" w:cs="宋体" w:eastAsia="宋体" w:hint="default"/>
          <w:sz w:val="17"/>
          <w:szCs w:val="17"/>
        </w:rPr>
      </w:pPr>
    </w:p>
    <w:p>
      <w:pPr>
        <w:pStyle w:val="BodyText"/>
        <w:spacing w:line="240" w:lineRule="auto"/>
        <w:ind w:right="3499"/>
        <w:jc w:val="left"/>
      </w:pPr>
      <w:r>
        <w:rPr/>
        <w:t>（</w:t>
      </w:r>
      <w:r>
        <w:rPr>
          <w:rFonts w:ascii="宋体" w:hAnsi="宋体" w:cs="宋体" w:eastAsia="宋体" w:hint="default"/>
        </w:rPr>
        <w:t>2</w:t>
      </w:r>
      <w:r>
        <w:rPr/>
        <w:t>）提供劳务、让渡资产使用权情况</w:t>
      </w:r>
    </w:p>
    <w:p>
      <w:pPr>
        <w:spacing w:after="0" w:line="240" w:lineRule="auto"/>
        <w:jc w:val="left"/>
        <w:sectPr>
          <w:pgSz w:w="11910" w:h="16840"/>
          <w:pgMar w:header="877" w:footer="979" w:top="1060" w:bottom="1160" w:left="0" w:right="0"/>
        </w:sectPr>
      </w:pPr>
    </w:p>
    <w:p>
      <w:pPr>
        <w:spacing w:line="240" w:lineRule="auto" w:before="12"/>
        <w:rPr>
          <w:rFonts w:ascii="宋体" w:hAnsi="宋体" w:cs="宋体" w:eastAsia="宋体" w:hint="default"/>
          <w:sz w:val="2"/>
          <w:szCs w:val="2"/>
        </w:rPr>
      </w:pPr>
      <w:r>
        <w:rPr/>
        <w:pict>
          <v:group style="position:absolute;margin-left:55.200001pt;margin-top:55.619984pt;width:485pt;height:.1pt;mso-position-horizontal-relative:page;mso-position-vertical-relative:page;z-index:-924808"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34" w:type="dxa"/>
        <w:tblLayout w:type="fixed"/>
        <w:tblCellMar>
          <w:top w:w="0" w:type="dxa"/>
          <w:left w:w="0" w:type="dxa"/>
          <w:bottom w:w="0" w:type="dxa"/>
          <w:right w:w="0" w:type="dxa"/>
        </w:tblCellMar>
        <w:tblLook w:val="01E0"/>
      </w:tblPr>
      <w:tblGrid>
        <w:gridCol w:w="4158"/>
        <w:gridCol w:w="1840"/>
        <w:gridCol w:w="1917"/>
        <w:gridCol w:w="1553"/>
      </w:tblGrid>
      <w:tr>
        <w:trPr>
          <w:trHeight w:val="684" w:hRule="exact"/>
        </w:trPr>
        <w:tc>
          <w:tcPr>
            <w:tcW w:w="4158"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167"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1840"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622" w:right="0"/>
              <w:jc w:val="left"/>
              <w:rPr>
                <w:rFonts w:ascii="宋体" w:hAnsi="宋体" w:cs="宋体" w:eastAsia="宋体" w:hint="default"/>
                <w:sz w:val="21"/>
                <w:szCs w:val="21"/>
              </w:rPr>
            </w:pPr>
            <w:r>
              <w:rPr>
                <w:rFonts w:ascii="宋体" w:hAnsi="宋体" w:cs="宋体" w:eastAsia="宋体" w:hint="default"/>
                <w:b/>
                <w:bCs/>
                <w:sz w:val="21"/>
                <w:szCs w:val="21"/>
              </w:rPr>
              <w:t>交易内容</w:t>
            </w:r>
            <w:r>
              <w:rPr>
                <w:rFonts w:ascii="宋体" w:hAnsi="宋体" w:cs="宋体" w:eastAsia="宋体" w:hint="default"/>
                <w:sz w:val="21"/>
                <w:szCs w:val="21"/>
              </w:rPr>
            </w:r>
          </w:p>
        </w:tc>
        <w:tc>
          <w:tcPr>
            <w:tcW w:w="1917"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59"/>
              <w:jc w:val="right"/>
              <w:rPr>
                <w:rFonts w:ascii="宋体" w:hAnsi="宋体" w:cs="宋体" w:eastAsia="宋体" w:hint="default"/>
                <w:sz w:val="21"/>
                <w:szCs w:val="21"/>
              </w:rPr>
            </w:pPr>
            <w:r>
              <w:rPr>
                <w:rFonts w:ascii="宋体" w:hAnsi="宋体" w:cs="宋体" w:eastAsia="宋体" w:hint="default"/>
                <w:b/>
                <w:bCs/>
                <w:sz w:val="21"/>
                <w:szCs w:val="21"/>
              </w:rPr>
              <w:t>2015</w:t>
            </w:r>
            <w:r>
              <w:rPr>
                <w:rFonts w:ascii="宋体" w:hAnsi="宋体" w:cs="宋体" w:eastAsia="宋体" w:hint="default"/>
                <w:b/>
                <w:bCs/>
                <w:sz w:val="21"/>
                <w:szCs w:val="21"/>
              </w:rPr>
              <w:t>年度</w:t>
            </w:r>
            <w:r>
              <w:rPr>
                <w:rFonts w:ascii="宋体" w:hAnsi="宋体" w:cs="宋体" w:eastAsia="宋体" w:hint="default"/>
                <w:sz w:val="21"/>
                <w:szCs w:val="21"/>
              </w:rPr>
            </w:r>
          </w:p>
        </w:tc>
        <w:tc>
          <w:tcPr>
            <w:tcW w:w="1553"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6"/>
              <w:jc w:val="right"/>
              <w:rPr>
                <w:rFonts w:ascii="宋体" w:hAnsi="宋体" w:cs="宋体" w:eastAsia="宋体" w:hint="default"/>
                <w:sz w:val="21"/>
                <w:szCs w:val="21"/>
              </w:rPr>
            </w:pPr>
            <w:r>
              <w:rPr>
                <w:rFonts w:ascii="宋体" w:hAnsi="宋体" w:cs="宋体" w:eastAsia="宋体" w:hint="default"/>
                <w:b/>
                <w:bCs/>
                <w:sz w:val="21"/>
                <w:szCs w:val="21"/>
              </w:rPr>
              <w:t>2014</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347" w:hRule="exact"/>
        </w:trPr>
        <w:tc>
          <w:tcPr>
            <w:tcW w:w="4158"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167" w:right="0"/>
              <w:jc w:val="left"/>
              <w:rPr>
                <w:rFonts w:ascii="宋体" w:hAnsi="宋体" w:cs="宋体" w:eastAsia="宋体" w:hint="default"/>
                <w:sz w:val="21"/>
                <w:szCs w:val="21"/>
              </w:rPr>
            </w:pPr>
            <w:r>
              <w:rPr>
                <w:rFonts w:ascii="宋体"/>
                <w:sz w:val="21"/>
              </w:rPr>
              <w:t>ARM Limited</w:t>
            </w:r>
          </w:p>
        </w:tc>
        <w:tc>
          <w:tcPr>
            <w:tcW w:w="184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10" w:right="0"/>
              <w:jc w:val="left"/>
              <w:rPr>
                <w:rFonts w:ascii="宋体" w:hAnsi="宋体" w:cs="宋体" w:eastAsia="宋体" w:hint="default"/>
                <w:sz w:val="21"/>
                <w:szCs w:val="21"/>
              </w:rPr>
            </w:pPr>
            <w:r>
              <w:rPr>
                <w:rFonts w:ascii="宋体" w:hAnsi="宋体" w:cs="宋体" w:eastAsia="宋体" w:hint="default"/>
                <w:sz w:val="21"/>
                <w:szCs w:val="21"/>
              </w:rPr>
              <w:t>软件开发收入</w:t>
            </w:r>
          </w:p>
        </w:tc>
        <w:tc>
          <w:tcPr>
            <w:tcW w:w="1917"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0"/>
              <w:jc w:val="right"/>
              <w:rPr>
                <w:rFonts w:ascii="宋体" w:hAnsi="宋体" w:cs="宋体" w:eastAsia="宋体" w:hint="default"/>
                <w:sz w:val="21"/>
                <w:szCs w:val="21"/>
              </w:rPr>
            </w:pPr>
            <w:r>
              <w:rPr>
                <w:rFonts w:ascii="宋体"/>
                <w:sz w:val="21"/>
              </w:rPr>
              <w:t>699,345.77</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384,451.59</w:t>
            </w:r>
          </w:p>
        </w:tc>
      </w:tr>
      <w:tr>
        <w:trPr>
          <w:trHeight w:val="347" w:hRule="exact"/>
        </w:trPr>
        <w:tc>
          <w:tcPr>
            <w:tcW w:w="4158"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sz w:val="21"/>
              </w:rPr>
              <w:t>Qualcomm Atheros,Inc.</w:t>
            </w:r>
          </w:p>
        </w:tc>
        <w:tc>
          <w:tcPr>
            <w:tcW w:w="184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10"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917"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0"/>
              <w:jc w:val="right"/>
              <w:rPr>
                <w:rFonts w:ascii="宋体" w:hAnsi="宋体" w:cs="宋体" w:eastAsia="宋体" w:hint="default"/>
                <w:sz w:val="21"/>
                <w:szCs w:val="21"/>
              </w:rPr>
            </w:pPr>
            <w:r>
              <w:rPr>
                <w:rFonts w:ascii="宋体"/>
                <w:sz w:val="21"/>
              </w:rPr>
              <w:t>498,918.18</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680,829.93</w:t>
            </w:r>
          </w:p>
        </w:tc>
      </w:tr>
      <w:tr>
        <w:trPr>
          <w:trHeight w:val="348" w:hRule="exact"/>
        </w:trPr>
        <w:tc>
          <w:tcPr>
            <w:tcW w:w="4158"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sz w:val="21"/>
              </w:rPr>
              <w:t>Qualcomm</w:t>
            </w:r>
            <w:r>
              <w:rPr>
                <w:rFonts w:ascii="宋体"/>
                <w:spacing w:val="-2"/>
                <w:sz w:val="21"/>
              </w:rPr>
              <w:t> </w:t>
            </w:r>
            <w:r>
              <w:rPr>
                <w:rFonts w:ascii="宋体"/>
                <w:sz w:val="21"/>
              </w:rPr>
              <w:t>Technologies,Inc</w:t>
            </w:r>
          </w:p>
        </w:tc>
        <w:tc>
          <w:tcPr>
            <w:tcW w:w="184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10" w:right="0"/>
              <w:jc w:val="left"/>
              <w:rPr>
                <w:rFonts w:ascii="宋体" w:hAnsi="宋体" w:cs="宋体" w:eastAsia="宋体" w:hint="default"/>
                <w:sz w:val="21"/>
                <w:szCs w:val="21"/>
              </w:rPr>
            </w:pPr>
            <w:r>
              <w:rPr>
                <w:rFonts w:ascii="宋体" w:hAnsi="宋体" w:cs="宋体" w:eastAsia="宋体" w:hint="default"/>
                <w:sz w:val="21"/>
                <w:szCs w:val="21"/>
              </w:rPr>
              <w:t>软件开发收入</w:t>
            </w:r>
          </w:p>
        </w:tc>
        <w:tc>
          <w:tcPr>
            <w:tcW w:w="1917"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
              <w:jc w:val="right"/>
              <w:rPr>
                <w:rFonts w:ascii="宋体" w:hAnsi="宋体" w:cs="宋体" w:eastAsia="宋体" w:hint="default"/>
                <w:sz w:val="21"/>
                <w:szCs w:val="21"/>
              </w:rPr>
            </w:pPr>
            <w:r>
              <w:rPr>
                <w:rFonts w:ascii="宋体"/>
                <w:sz w:val="21"/>
              </w:rPr>
              <w:t>4,242,744.84</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
              <w:jc w:val="right"/>
              <w:rPr>
                <w:rFonts w:ascii="宋体" w:hAnsi="宋体" w:cs="宋体" w:eastAsia="宋体" w:hint="default"/>
                <w:sz w:val="21"/>
                <w:szCs w:val="21"/>
              </w:rPr>
            </w:pPr>
            <w:r>
              <w:rPr>
                <w:rFonts w:ascii="宋体"/>
                <w:sz w:val="21"/>
              </w:rPr>
              <w:t>1,060,071.82</w:t>
            </w:r>
          </w:p>
        </w:tc>
      </w:tr>
      <w:tr>
        <w:trPr>
          <w:trHeight w:val="347" w:hRule="exact"/>
        </w:trPr>
        <w:tc>
          <w:tcPr>
            <w:tcW w:w="4158"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sz w:val="21"/>
              </w:rPr>
              <w:t>Qualcomm Technologies</w:t>
            </w:r>
          </w:p>
        </w:tc>
        <w:tc>
          <w:tcPr>
            <w:tcW w:w="1840"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10"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917"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60"/>
              <w:jc w:val="right"/>
              <w:rPr>
                <w:rFonts w:ascii="宋体" w:hAnsi="宋体" w:cs="宋体" w:eastAsia="宋体" w:hint="default"/>
                <w:sz w:val="21"/>
                <w:szCs w:val="21"/>
              </w:rPr>
            </w:pPr>
            <w:r>
              <w:rPr>
                <w:rFonts w:ascii="宋体"/>
                <w:sz w:val="21"/>
              </w:rPr>
              <w:t>63,027,116.33</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8"/>
              <w:jc w:val="right"/>
              <w:rPr>
                <w:rFonts w:ascii="宋体" w:hAnsi="宋体" w:cs="宋体" w:eastAsia="宋体" w:hint="default"/>
                <w:sz w:val="21"/>
                <w:szCs w:val="21"/>
              </w:rPr>
            </w:pPr>
            <w:r>
              <w:rPr>
                <w:rFonts w:ascii="宋体"/>
                <w:sz w:val="21"/>
              </w:rPr>
              <w:t>50,841,539.47</w:t>
            </w:r>
          </w:p>
        </w:tc>
      </w:tr>
      <w:tr>
        <w:trPr>
          <w:trHeight w:val="347" w:hRule="exact"/>
        </w:trPr>
        <w:tc>
          <w:tcPr>
            <w:tcW w:w="4158"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sz w:val="21"/>
              </w:rPr>
              <w:t>Qualcomm Technologies</w:t>
            </w:r>
          </w:p>
        </w:tc>
        <w:tc>
          <w:tcPr>
            <w:tcW w:w="184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10" w:right="0"/>
              <w:jc w:val="left"/>
              <w:rPr>
                <w:rFonts w:ascii="宋体" w:hAnsi="宋体" w:cs="宋体" w:eastAsia="宋体" w:hint="default"/>
                <w:sz w:val="21"/>
                <w:szCs w:val="21"/>
              </w:rPr>
            </w:pPr>
            <w:r>
              <w:rPr>
                <w:rFonts w:ascii="宋体" w:hAnsi="宋体" w:cs="宋体" w:eastAsia="宋体" w:hint="default"/>
                <w:sz w:val="21"/>
                <w:szCs w:val="21"/>
              </w:rPr>
              <w:t>商品销售收入</w:t>
            </w:r>
          </w:p>
        </w:tc>
        <w:tc>
          <w:tcPr>
            <w:tcW w:w="1917"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
              <w:jc w:val="right"/>
              <w:rPr>
                <w:rFonts w:ascii="宋体" w:hAnsi="宋体" w:cs="宋体" w:eastAsia="宋体" w:hint="default"/>
                <w:sz w:val="21"/>
                <w:szCs w:val="21"/>
              </w:rPr>
            </w:pPr>
            <w:r>
              <w:rPr>
                <w:rFonts w:ascii="宋体"/>
                <w:sz w:val="21"/>
              </w:rPr>
              <w:t>-</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
              <w:jc w:val="right"/>
              <w:rPr>
                <w:rFonts w:ascii="宋体" w:hAnsi="宋体" w:cs="宋体" w:eastAsia="宋体" w:hint="default"/>
                <w:sz w:val="21"/>
                <w:szCs w:val="21"/>
              </w:rPr>
            </w:pPr>
            <w:r>
              <w:rPr>
                <w:rFonts w:ascii="宋体"/>
                <w:sz w:val="21"/>
              </w:rPr>
              <w:t>1,022,130.58</w:t>
            </w:r>
          </w:p>
        </w:tc>
      </w:tr>
      <w:tr>
        <w:trPr>
          <w:trHeight w:val="347" w:hRule="exact"/>
        </w:trPr>
        <w:tc>
          <w:tcPr>
            <w:tcW w:w="4158"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sz w:val="21"/>
              </w:rPr>
              <w:t>Qualcomm</w:t>
            </w:r>
            <w:r>
              <w:rPr>
                <w:rFonts w:ascii="宋体"/>
                <w:spacing w:val="-2"/>
                <w:sz w:val="21"/>
              </w:rPr>
              <w:t> </w:t>
            </w:r>
            <w:r>
              <w:rPr>
                <w:rFonts w:ascii="宋体"/>
                <w:sz w:val="21"/>
              </w:rPr>
              <w:t>Technologies,Inc.</w:t>
            </w:r>
          </w:p>
        </w:tc>
        <w:tc>
          <w:tcPr>
            <w:tcW w:w="184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10" w:right="0"/>
              <w:jc w:val="left"/>
              <w:rPr>
                <w:rFonts w:ascii="宋体" w:hAnsi="宋体" w:cs="宋体" w:eastAsia="宋体" w:hint="default"/>
                <w:sz w:val="21"/>
                <w:szCs w:val="21"/>
              </w:rPr>
            </w:pPr>
            <w:r>
              <w:rPr>
                <w:rFonts w:ascii="宋体" w:hAnsi="宋体" w:cs="宋体" w:eastAsia="宋体" w:hint="default"/>
                <w:sz w:val="21"/>
                <w:szCs w:val="21"/>
              </w:rPr>
              <w:t>软件许可收入</w:t>
            </w:r>
          </w:p>
        </w:tc>
        <w:tc>
          <w:tcPr>
            <w:tcW w:w="1917"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0"/>
              <w:jc w:val="right"/>
              <w:rPr>
                <w:rFonts w:ascii="宋体" w:hAnsi="宋体" w:cs="宋体" w:eastAsia="宋体" w:hint="default"/>
                <w:sz w:val="21"/>
                <w:szCs w:val="21"/>
              </w:rPr>
            </w:pPr>
            <w:r>
              <w:rPr>
                <w:rFonts w:ascii="宋体"/>
                <w:sz w:val="21"/>
              </w:rPr>
              <w:t>495,962.59</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w:t>
            </w:r>
          </w:p>
        </w:tc>
      </w:tr>
      <w:tr>
        <w:trPr>
          <w:trHeight w:val="347" w:hRule="exact"/>
        </w:trPr>
        <w:tc>
          <w:tcPr>
            <w:tcW w:w="4158"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高通通讯服务公司</w:t>
            </w:r>
          </w:p>
        </w:tc>
        <w:tc>
          <w:tcPr>
            <w:tcW w:w="184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10" w:right="0"/>
              <w:jc w:val="left"/>
              <w:rPr>
                <w:rFonts w:ascii="宋体" w:hAnsi="宋体" w:cs="宋体" w:eastAsia="宋体" w:hint="default"/>
                <w:sz w:val="21"/>
                <w:szCs w:val="21"/>
              </w:rPr>
            </w:pPr>
            <w:r>
              <w:rPr>
                <w:rFonts w:ascii="宋体" w:hAnsi="宋体" w:cs="宋体" w:eastAsia="宋体" w:hint="default"/>
                <w:sz w:val="21"/>
                <w:szCs w:val="21"/>
              </w:rPr>
              <w:t>商品销售收入</w:t>
            </w:r>
          </w:p>
        </w:tc>
        <w:tc>
          <w:tcPr>
            <w:tcW w:w="1917"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
              <w:jc w:val="right"/>
              <w:rPr>
                <w:rFonts w:ascii="宋体" w:hAnsi="宋体" w:cs="宋体" w:eastAsia="宋体" w:hint="default"/>
                <w:sz w:val="21"/>
                <w:szCs w:val="21"/>
              </w:rPr>
            </w:pPr>
            <w:r>
              <w:rPr>
                <w:rFonts w:ascii="宋体"/>
                <w:sz w:val="21"/>
              </w:rPr>
              <w:t>-</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69,411.16</w:t>
            </w:r>
          </w:p>
        </w:tc>
      </w:tr>
      <w:tr>
        <w:trPr>
          <w:trHeight w:val="347" w:hRule="exact"/>
        </w:trPr>
        <w:tc>
          <w:tcPr>
            <w:tcW w:w="4158"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高通无线通信技术</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有限公司</w:t>
            </w:r>
          </w:p>
        </w:tc>
        <w:tc>
          <w:tcPr>
            <w:tcW w:w="184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10"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917"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0"/>
              <w:jc w:val="right"/>
              <w:rPr>
                <w:rFonts w:ascii="宋体" w:hAnsi="宋体" w:cs="宋体" w:eastAsia="宋体" w:hint="default"/>
                <w:sz w:val="21"/>
                <w:szCs w:val="21"/>
              </w:rPr>
            </w:pPr>
            <w:r>
              <w:rPr>
                <w:rFonts w:ascii="宋体"/>
                <w:sz w:val="21"/>
              </w:rPr>
              <w:t>583,842.75</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74,771.70</w:t>
            </w:r>
          </w:p>
        </w:tc>
      </w:tr>
      <w:tr>
        <w:trPr>
          <w:trHeight w:val="348" w:hRule="exact"/>
        </w:trPr>
        <w:tc>
          <w:tcPr>
            <w:tcW w:w="4158"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167" w:right="0"/>
              <w:jc w:val="left"/>
              <w:rPr>
                <w:rFonts w:ascii="宋体" w:hAnsi="宋体" w:cs="宋体" w:eastAsia="宋体" w:hint="default"/>
                <w:sz w:val="21"/>
                <w:szCs w:val="21"/>
              </w:rPr>
            </w:pPr>
            <w:r>
              <w:rPr>
                <w:rFonts w:ascii="宋体" w:hAnsi="宋体" w:cs="宋体" w:eastAsia="宋体" w:hint="default"/>
                <w:sz w:val="21"/>
                <w:szCs w:val="21"/>
              </w:rPr>
              <w:t>展讯通信（上海）有限公司</w:t>
            </w:r>
          </w:p>
        </w:tc>
        <w:tc>
          <w:tcPr>
            <w:tcW w:w="184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10"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917"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0"/>
              <w:jc w:val="right"/>
              <w:rPr>
                <w:rFonts w:ascii="宋体" w:hAnsi="宋体" w:cs="宋体" w:eastAsia="宋体" w:hint="default"/>
                <w:sz w:val="21"/>
                <w:szCs w:val="21"/>
              </w:rPr>
            </w:pPr>
            <w:r>
              <w:rPr>
                <w:rFonts w:ascii="宋体"/>
                <w:sz w:val="21"/>
              </w:rPr>
              <w:t>61,320.75</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33,018.87</w:t>
            </w:r>
          </w:p>
        </w:tc>
      </w:tr>
      <w:tr>
        <w:trPr>
          <w:trHeight w:val="659" w:hRule="exact"/>
        </w:trPr>
        <w:tc>
          <w:tcPr>
            <w:tcW w:w="4158" w:type="dxa"/>
            <w:tcBorders>
              <w:top w:val="single" w:sz="8" w:space="0" w:color="000000"/>
              <w:left w:val="nil" w:sz="6" w:space="0" w:color="auto"/>
              <w:bottom w:val="single" w:sz="8" w:space="0" w:color="000000"/>
              <w:right w:val="nil" w:sz="6" w:space="0" w:color="auto"/>
            </w:tcBorders>
          </w:tcPr>
          <w:p>
            <w:pPr>
              <w:pStyle w:val="TableParagraph"/>
              <w:spacing w:line="273" w:lineRule="auto"/>
              <w:ind w:left="9" w:right="8"/>
              <w:jc w:val="left"/>
              <w:rPr>
                <w:rFonts w:ascii="宋体" w:hAnsi="宋体" w:cs="宋体" w:eastAsia="宋体" w:hint="default"/>
                <w:sz w:val="21"/>
                <w:szCs w:val="21"/>
              </w:rPr>
            </w:pPr>
            <w:r>
              <w:rPr>
                <w:rFonts w:ascii="宋体" w:hAnsi="宋体" w:cs="宋体" w:eastAsia="宋体" w:hint="default"/>
                <w:spacing w:val="-4"/>
                <w:sz w:val="21"/>
                <w:szCs w:val="21"/>
              </w:rPr>
              <w:t>展讯通信（上海）及展讯通信（天津）有限公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司</w:t>
            </w:r>
          </w:p>
        </w:tc>
        <w:tc>
          <w:tcPr>
            <w:tcW w:w="1840"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10" w:right="0"/>
              <w:jc w:val="left"/>
              <w:rPr>
                <w:rFonts w:ascii="宋体" w:hAnsi="宋体" w:cs="宋体" w:eastAsia="宋体" w:hint="default"/>
                <w:sz w:val="21"/>
                <w:szCs w:val="21"/>
              </w:rPr>
            </w:pPr>
            <w:r>
              <w:rPr>
                <w:rFonts w:ascii="宋体" w:hAnsi="宋体" w:cs="宋体" w:eastAsia="宋体" w:hint="default"/>
                <w:sz w:val="21"/>
                <w:szCs w:val="21"/>
              </w:rPr>
              <w:t>软件许可收入</w:t>
            </w:r>
          </w:p>
        </w:tc>
        <w:tc>
          <w:tcPr>
            <w:tcW w:w="1917"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59"/>
              <w:jc w:val="right"/>
              <w:rPr>
                <w:rFonts w:ascii="宋体" w:hAnsi="宋体" w:cs="宋体" w:eastAsia="宋体" w:hint="default"/>
                <w:sz w:val="21"/>
                <w:szCs w:val="21"/>
              </w:rPr>
            </w:pPr>
            <w:r>
              <w:rPr>
                <w:rFonts w:ascii="宋体"/>
                <w:sz w:val="21"/>
              </w:rPr>
              <w:t>101,498,409.55</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8"/>
              <w:jc w:val="right"/>
              <w:rPr>
                <w:rFonts w:ascii="宋体" w:hAnsi="宋体" w:cs="宋体" w:eastAsia="宋体" w:hint="default"/>
                <w:sz w:val="21"/>
                <w:szCs w:val="21"/>
              </w:rPr>
            </w:pPr>
            <w:r>
              <w:rPr>
                <w:rFonts w:ascii="宋体"/>
                <w:sz w:val="21"/>
              </w:rPr>
              <w:t>82,350,294.01</w:t>
            </w:r>
          </w:p>
        </w:tc>
      </w:tr>
      <w:tr>
        <w:trPr>
          <w:trHeight w:val="347" w:hRule="exact"/>
        </w:trPr>
        <w:tc>
          <w:tcPr>
            <w:tcW w:w="4158"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sz w:val="21"/>
              </w:rPr>
              <w:t>TCT Mobile Limited</w:t>
            </w:r>
          </w:p>
        </w:tc>
        <w:tc>
          <w:tcPr>
            <w:tcW w:w="184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10" w:right="0"/>
              <w:jc w:val="left"/>
              <w:rPr>
                <w:rFonts w:ascii="宋体" w:hAnsi="宋体" w:cs="宋体" w:eastAsia="宋体" w:hint="default"/>
                <w:sz w:val="21"/>
                <w:szCs w:val="21"/>
              </w:rPr>
            </w:pPr>
            <w:r>
              <w:rPr>
                <w:rFonts w:ascii="宋体" w:hAnsi="宋体" w:cs="宋体" w:eastAsia="宋体" w:hint="default"/>
                <w:sz w:val="21"/>
                <w:szCs w:val="21"/>
              </w:rPr>
              <w:t>软件许可收入</w:t>
            </w:r>
          </w:p>
        </w:tc>
        <w:tc>
          <w:tcPr>
            <w:tcW w:w="1917"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0"/>
              <w:jc w:val="right"/>
              <w:rPr>
                <w:rFonts w:ascii="宋体" w:hAnsi="宋体" w:cs="宋体" w:eastAsia="宋体" w:hint="default"/>
                <w:sz w:val="21"/>
                <w:szCs w:val="21"/>
              </w:rPr>
            </w:pPr>
            <w:r>
              <w:rPr>
                <w:rFonts w:ascii="宋体"/>
                <w:sz w:val="21"/>
              </w:rPr>
              <w:t>312,266.25</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440,811.55</w:t>
            </w:r>
          </w:p>
        </w:tc>
      </w:tr>
      <w:tr>
        <w:trPr>
          <w:trHeight w:val="347" w:hRule="exact"/>
        </w:trPr>
        <w:tc>
          <w:tcPr>
            <w:tcW w:w="4158"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167" w:right="0"/>
              <w:jc w:val="left"/>
              <w:rPr>
                <w:rFonts w:ascii="宋体" w:hAnsi="宋体" w:cs="宋体" w:eastAsia="宋体" w:hint="default"/>
                <w:sz w:val="21"/>
                <w:szCs w:val="21"/>
              </w:rPr>
            </w:pPr>
            <w:r>
              <w:rPr>
                <w:rFonts w:ascii="宋体"/>
                <w:sz w:val="21"/>
              </w:rPr>
              <w:t>TCT Mobile Limited</w:t>
            </w:r>
          </w:p>
        </w:tc>
        <w:tc>
          <w:tcPr>
            <w:tcW w:w="184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10"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917"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
              <w:jc w:val="right"/>
              <w:rPr>
                <w:rFonts w:ascii="宋体" w:hAnsi="宋体" w:cs="宋体" w:eastAsia="宋体" w:hint="default"/>
                <w:sz w:val="21"/>
                <w:szCs w:val="21"/>
              </w:rPr>
            </w:pPr>
            <w:r>
              <w:rPr>
                <w:rFonts w:ascii="宋体"/>
                <w:sz w:val="21"/>
              </w:rPr>
              <w:t>-</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7"/>
              <w:jc w:val="right"/>
              <w:rPr>
                <w:rFonts w:ascii="宋体" w:hAnsi="宋体" w:cs="宋体" w:eastAsia="宋体" w:hint="default"/>
                <w:sz w:val="21"/>
                <w:szCs w:val="21"/>
              </w:rPr>
            </w:pPr>
            <w:r>
              <w:rPr>
                <w:rFonts w:ascii="宋体"/>
                <w:sz w:val="21"/>
              </w:rPr>
              <w:t>146,766.86</w:t>
            </w:r>
          </w:p>
        </w:tc>
      </w:tr>
      <w:tr>
        <w:trPr>
          <w:trHeight w:val="347" w:hRule="exact"/>
        </w:trPr>
        <w:tc>
          <w:tcPr>
            <w:tcW w:w="4158"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167" w:right="0"/>
              <w:jc w:val="left"/>
              <w:rPr>
                <w:rFonts w:ascii="宋体" w:hAnsi="宋体" w:cs="宋体" w:eastAsia="宋体" w:hint="default"/>
                <w:sz w:val="21"/>
                <w:szCs w:val="21"/>
              </w:rPr>
            </w:pPr>
            <w:r>
              <w:rPr>
                <w:rFonts w:ascii="宋体"/>
                <w:sz w:val="21"/>
              </w:rPr>
              <w:t>TCT Mobile Limited</w:t>
            </w:r>
          </w:p>
        </w:tc>
        <w:tc>
          <w:tcPr>
            <w:tcW w:w="184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1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1917"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
              <w:jc w:val="right"/>
              <w:rPr>
                <w:rFonts w:ascii="宋体" w:hAnsi="宋体" w:cs="宋体" w:eastAsia="宋体" w:hint="default"/>
                <w:sz w:val="21"/>
                <w:szCs w:val="21"/>
              </w:rPr>
            </w:pPr>
            <w:r>
              <w:rPr>
                <w:rFonts w:ascii="宋体"/>
                <w:sz w:val="21"/>
              </w:rPr>
              <w:t>-</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19,929.98</w:t>
            </w:r>
          </w:p>
        </w:tc>
      </w:tr>
      <w:tr>
        <w:trPr>
          <w:trHeight w:val="347" w:hRule="exact"/>
        </w:trPr>
        <w:tc>
          <w:tcPr>
            <w:tcW w:w="4158"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TCL</w:t>
            </w:r>
            <w:r>
              <w:rPr>
                <w:rFonts w:ascii="宋体" w:hAnsi="宋体" w:cs="宋体" w:eastAsia="宋体" w:hint="default"/>
                <w:sz w:val="21"/>
                <w:szCs w:val="21"/>
              </w:rPr>
              <w:t>移动通信科技</w:t>
            </w:r>
            <w:r>
              <w:rPr>
                <w:rFonts w:ascii="宋体" w:hAnsi="宋体" w:cs="宋体" w:eastAsia="宋体" w:hint="default"/>
                <w:sz w:val="21"/>
                <w:szCs w:val="21"/>
              </w:rPr>
              <w:t>(</w:t>
            </w:r>
            <w:r>
              <w:rPr>
                <w:rFonts w:ascii="宋体" w:hAnsi="宋体" w:cs="宋体" w:eastAsia="宋体" w:hint="default"/>
                <w:sz w:val="21"/>
                <w:szCs w:val="21"/>
              </w:rPr>
              <w:t>宁波</w:t>
            </w:r>
            <w:r>
              <w:rPr>
                <w:rFonts w:ascii="宋体" w:hAnsi="宋体" w:cs="宋体" w:eastAsia="宋体" w:hint="default"/>
                <w:sz w:val="21"/>
                <w:szCs w:val="21"/>
              </w:rPr>
              <w:t>)</w:t>
            </w:r>
            <w:r>
              <w:rPr>
                <w:rFonts w:ascii="宋体" w:hAnsi="宋体" w:cs="宋体" w:eastAsia="宋体" w:hint="default"/>
                <w:sz w:val="21"/>
                <w:szCs w:val="21"/>
              </w:rPr>
              <w:t>有限公司</w:t>
            </w:r>
          </w:p>
        </w:tc>
        <w:tc>
          <w:tcPr>
            <w:tcW w:w="184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10"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917"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0"/>
              <w:jc w:val="right"/>
              <w:rPr>
                <w:rFonts w:ascii="宋体" w:hAnsi="宋体" w:cs="宋体" w:eastAsia="宋体" w:hint="default"/>
                <w:sz w:val="21"/>
                <w:szCs w:val="21"/>
              </w:rPr>
            </w:pPr>
            <w:r>
              <w:rPr>
                <w:rFonts w:ascii="宋体"/>
                <w:sz w:val="21"/>
              </w:rPr>
              <w:t>16,642,039.96</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13,903,540.79</w:t>
            </w:r>
          </w:p>
        </w:tc>
      </w:tr>
      <w:tr>
        <w:trPr>
          <w:trHeight w:val="348" w:hRule="exact"/>
        </w:trPr>
        <w:tc>
          <w:tcPr>
            <w:tcW w:w="4158"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TCL</w:t>
            </w:r>
            <w:r>
              <w:rPr>
                <w:rFonts w:ascii="宋体" w:hAnsi="宋体" w:cs="宋体" w:eastAsia="宋体" w:hint="default"/>
                <w:sz w:val="21"/>
                <w:szCs w:val="21"/>
              </w:rPr>
              <w:t>移动通信科技</w:t>
            </w:r>
            <w:r>
              <w:rPr>
                <w:rFonts w:ascii="宋体" w:hAnsi="宋体" w:cs="宋体" w:eastAsia="宋体" w:hint="default"/>
                <w:sz w:val="21"/>
                <w:szCs w:val="21"/>
              </w:rPr>
              <w:t>(</w:t>
            </w:r>
            <w:r>
              <w:rPr>
                <w:rFonts w:ascii="宋体" w:hAnsi="宋体" w:cs="宋体" w:eastAsia="宋体" w:hint="default"/>
                <w:sz w:val="21"/>
                <w:szCs w:val="21"/>
              </w:rPr>
              <w:t>宁波</w:t>
            </w:r>
            <w:r>
              <w:rPr>
                <w:rFonts w:ascii="宋体" w:hAnsi="宋体" w:cs="宋体" w:eastAsia="宋体" w:hint="default"/>
                <w:sz w:val="21"/>
                <w:szCs w:val="21"/>
              </w:rPr>
              <w:t>)</w:t>
            </w:r>
            <w:r>
              <w:rPr>
                <w:rFonts w:ascii="宋体" w:hAnsi="宋体" w:cs="宋体" w:eastAsia="宋体" w:hint="default"/>
                <w:sz w:val="21"/>
                <w:szCs w:val="21"/>
              </w:rPr>
              <w:t>有限公司</w:t>
            </w:r>
          </w:p>
        </w:tc>
        <w:tc>
          <w:tcPr>
            <w:tcW w:w="184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10" w:right="0"/>
              <w:jc w:val="left"/>
              <w:rPr>
                <w:rFonts w:ascii="宋体" w:hAnsi="宋体" w:cs="宋体" w:eastAsia="宋体" w:hint="default"/>
                <w:sz w:val="21"/>
                <w:szCs w:val="21"/>
              </w:rPr>
            </w:pPr>
            <w:r>
              <w:rPr>
                <w:rFonts w:ascii="宋体" w:hAnsi="宋体" w:cs="宋体" w:eastAsia="宋体" w:hint="default"/>
                <w:sz w:val="21"/>
                <w:szCs w:val="21"/>
              </w:rPr>
              <w:t>软件开发收入</w:t>
            </w:r>
          </w:p>
        </w:tc>
        <w:tc>
          <w:tcPr>
            <w:tcW w:w="1917"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0"/>
              <w:jc w:val="right"/>
              <w:rPr>
                <w:rFonts w:ascii="宋体" w:hAnsi="宋体" w:cs="宋体" w:eastAsia="宋体" w:hint="default"/>
                <w:sz w:val="21"/>
                <w:szCs w:val="21"/>
              </w:rPr>
            </w:pPr>
            <w:r>
              <w:rPr>
                <w:rFonts w:ascii="宋体"/>
                <w:sz w:val="21"/>
              </w:rPr>
              <w:t>19,131,853.47</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
              <w:jc w:val="right"/>
              <w:rPr>
                <w:rFonts w:ascii="宋体" w:hAnsi="宋体" w:cs="宋体" w:eastAsia="宋体" w:hint="default"/>
                <w:sz w:val="21"/>
                <w:szCs w:val="21"/>
              </w:rPr>
            </w:pPr>
            <w:r>
              <w:rPr>
                <w:rFonts w:ascii="宋体"/>
                <w:sz w:val="21"/>
              </w:rPr>
              <w:t>3,631,107.53</w:t>
            </w:r>
          </w:p>
        </w:tc>
      </w:tr>
      <w:tr>
        <w:trPr>
          <w:trHeight w:val="347" w:hRule="exact"/>
        </w:trPr>
        <w:tc>
          <w:tcPr>
            <w:tcW w:w="4158"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捷开通讯（深圳）有限公司</w:t>
            </w:r>
          </w:p>
        </w:tc>
        <w:tc>
          <w:tcPr>
            <w:tcW w:w="1840"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10"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917"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60"/>
              <w:jc w:val="right"/>
              <w:rPr>
                <w:rFonts w:ascii="宋体" w:hAnsi="宋体" w:cs="宋体" w:eastAsia="宋体" w:hint="default"/>
                <w:sz w:val="21"/>
                <w:szCs w:val="21"/>
              </w:rPr>
            </w:pPr>
            <w:r>
              <w:rPr>
                <w:rFonts w:ascii="宋体"/>
                <w:sz w:val="21"/>
              </w:rPr>
              <w:t>115,778.30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5" w:lineRule="exact"/>
              <w:ind w:right="6"/>
              <w:jc w:val="right"/>
              <w:rPr>
                <w:rFonts w:ascii="宋体" w:hAnsi="宋体" w:cs="宋体" w:eastAsia="宋体" w:hint="default"/>
                <w:sz w:val="21"/>
                <w:szCs w:val="21"/>
              </w:rPr>
            </w:pPr>
            <w:r>
              <w:rPr>
                <w:rFonts w:ascii="宋体"/>
                <w:sz w:val="21"/>
              </w:rPr>
              <w:t>1,024,549.99</w:t>
            </w:r>
          </w:p>
        </w:tc>
      </w:tr>
      <w:tr>
        <w:trPr>
          <w:trHeight w:val="347" w:hRule="exact"/>
        </w:trPr>
        <w:tc>
          <w:tcPr>
            <w:tcW w:w="4158"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捷开通讯（深圳）有限公司</w:t>
            </w:r>
          </w:p>
        </w:tc>
        <w:tc>
          <w:tcPr>
            <w:tcW w:w="184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10" w:right="0"/>
              <w:jc w:val="left"/>
              <w:rPr>
                <w:rFonts w:ascii="宋体" w:hAnsi="宋体" w:cs="宋体" w:eastAsia="宋体" w:hint="default"/>
                <w:sz w:val="21"/>
                <w:szCs w:val="21"/>
              </w:rPr>
            </w:pPr>
            <w:r>
              <w:rPr>
                <w:rFonts w:ascii="宋体" w:hAnsi="宋体" w:cs="宋体" w:eastAsia="宋体" w:hint="default"/>
                <w:sz w:val="21"/>
                <w:szCs w:val="21"/>
              </w:rPr>
              <w:t>软件开发收入</w:t>
            </w:r>
          </w:p>
        </w:tc>
        <w:tc>
          <w:tcPr>
            <w:tcW w:w="1917"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59"/>
              <w:jc w:val="right"/>
              <w:rPr>
                <w:rFonts w:ascii="宋体" w:hAnsi="宋体" w:cs="宋体" w:eastAsia="宋体" w:hint="default"/>
                <w:sz w:val="21"/>
                <w:szCs w:val="21"/>
              </w:rPr>
            </w:pPr>
            <w:r>
              <w:rPr>
                <w:rFonts w:ascii="宋体"/>
                <w:sz w:val="21"/>
              </w:rPr>
              <w:t>4,700,000.00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
              <w:jc w:val="right"/>
              <w:rPr>
                <w:rFonts w:ascii="宋体" w:hAnsi="宋体" w:cs="宋体" w:eastAsia="宋体" w:hint="default"/>
                <w:sz w:val="21"/>
                <w:szCs w:val="21"/>
              </w:rPr>
            </w:pPr>
            <w:r>
              <w:rPr>
                <w:rFonts w:ascii="宋体"/>
                <w:sz w:val="21"/>
              </w:rPr>
              <w:t>7,547,733.77</w:t>
            </w:r>
          </w:p>
        </w:tc>
      </w:tr>
      <w:tr>
        <w:trPr>
          <w:trHeight w:val="347" w:hRule="exact"/>
        </w:trPr>
        <w:tc>
          <w:tcPr>
            <w:tcW w:w="4158"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深圳么么哒互联通讯有限公司</w:t>
            </w:r>
          </w:p>
        </w:tc>
        <w:tc>
          <w:tcPr>
            <w:tcW w:w="184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10" w:right="0"/>
              <w:jc w:val="left"/>
              <w:rPr>
                <w:rFonts w:ascii="宋体" w:hAnsi="宋体" w:cs="宋体" w:eastAsia="宋体" w:hint="default"/>
                <w:sz w:val="21"/>
                <w:szCs w:val="21"/>
              </w:rPr>
            </w:pPr>
            <w:r>
              <w:rPr>
                <w:rFonts w:ascii="宋体" w:hAnsi="宋体" w:cs="宋体" w:eastAsia="宋体" w:hint="default"/>
                <w:sz w:val="21"/>
                <w:szCs w:val="21"/>
              </w:rPr>
              <w:t>软件开发收入</w:t>
            </w:r>
          </w:p>
        </w:tc>
        <w:tc>
          <w:tcPr>
            <w:tcW w:w="1917"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0"/>
              <w:jc w:val="right"/>
              <w:rPr>
                <w:rFonts w:ascii="宋体" w:hAnsi="宋体" w:cs="宋体" w:eastAsia="宋体" w:hint="default"/>
                <w:sz w:val="21"/>
                <w:szCs w:val="21"/>
              </w:rPr>
            </w:pPr>
            <w:r>
              <w:rPr>
                <w:rFonts w:ascii="宋体"/>
                <w:sz w:val="21"/>
              </w:rPr>
              <w:t>172,823.00</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w:t>
            </w:r>
          </w:p>
        </w:tc>
      </w:tr>
      <w:tr>
        <w:trPr>
          <w:trHeight w:val="347" w:hRule="exact"/>
        </w:trPr>
        <w:tc>
          <w:tcPr>
            <w:tcW w:w="4158"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TCL</w:t>
            </w:r>
            <w:r>
              <w:rPr>
                <w:rFonts w:ascii="宋体" w:hAnsi="宋体" w:cs="宋体" w:eastAsia="宋体" w:hint="default"/>
                <w:sz w:val="21"/>
                <w:szCs w:val="21"/>
              </w:rPr>
              <w:t>通讯科技</w:t>
            </w:r>
            <w:r>
              <w:rPr>
                <w:rFonts w:ascii="宋体" w:hAnsi="宋体" w:cs="宋体" w:eastAsia="宋体" w:hint="default"/>
                <w:sz w:val="21"/>
                <w:szCs w:val="21"/>
              </w:rPr>
              <w:t>(</w:t>
            </w:r>
            <w:r>
              <w:rPr>
                <w:rFonts w:ascii="宋体" w:hAnsi="宋体" w:cs="宋体" w:eastAsia="宋体" w:hint="default"/>
                <w:sz w:val="21"/>
                <w:szCs w:val="21"/>
              </w:rPr>
              <w:t>成都</w:t>
            </w:r>
            <w:r>
              <w:rPr>
                <w:rFonts w:ascii="宋体" w:hAnsi="宋体" w:cs="宋体" w:eastAsia="宋体" w:hint="default"/>
                <w:sz w:val="21"/>
                <w:szCs w:val="21"/>
              </w:rPr>
              <w:t>)</w:t>
            </w:r>
            <w:r>
              <w:rPr>
                <w:rFonts w:ascii="宋体" w:hAnsi="宋体" w:cs="宋体" w:eastAsia="宋体" w:hint="default"/>
                <w:sz w:val="21"/>
                <w:szCs w:val="21"/>
              </w:rPr>
              <w:t>有限公司</w:t>
            </w:r>
          </w:p>
        </w:tc>
        <w:tc>
          <w:tcPr>
            <w:tcW w:w="184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10"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917"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0"/>
              <w:jc w:val="right"/>
              <w:rPr>
                <w:rFonts w:ascii="宋体" w:hAnsi="宋体" w:cs="宋体" w:eastAsia="宋体" w:hint="default"/>
                <w:sz w:val="21"/>
                <w:szCs w:val="21"/>
              </w:rPr>
            </w:pPr>
            <w:r>
              <w:rPr>
                <w:rFonts w:ascii="宋体"/>
                <w:sz w:val="21"/>
              </w:rPr>
              <w:t>17,320,176.09</w:t>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15,631,548.42</w:t>
            </w:r>
          </w:p>
        </w:tc>
      </w:tr>
      <w:tr>
        <w:trPr>
          <w:trHeight w:val="348" w:hRule="exact"/>
        </w:trPr>
        <w:tc>
          <w:tcPr>
            <w:tcW w:w="4158"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40"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10" w:right="0"/>
              <w:jc w:val="left"/>
              <w:rPr>
                <w:rFonts w:ascii="宋体" w:hAnsi="宋体" w:cs="宋体" w:eastAsia="宋体" w:hint="default"/>
                <w:sz w:val="21"/>
                <w:szCs w:val="21"/>
              </w:rPr>
            </w:pPr>
            <w:r>
              <w:rPr>
                <w:rFonts w:ascii="宋体"/>
                <w:b/>
                <w:sz w:val="21"/>
              </w:rPr>
              <w:t>--</w:t>
            </w:r>
            <w:r>
              <w:rPr>
                <w:rFonts w:ascii="宋体"/>
                <w:sz w:val="21"/>
              </w:rPr>
            </w:r>
          </w:p>
        </w:tc>
        <w:tc>
          <w:tcPr>
            <w:tcW w:w="1917"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2"/>
              <w:jc w:val="right"/>
              <w:rPr>
                <w:rFonts w:ascii="宋体" w:hAnsi="宋体" w:cs="宋体" w:eastAsia="宋体" w:hint="default"/>
                <w:sz w:val="21"/>
                <w:szCs w:val="21"/>
              </w:rPr>
            </w:pPr>
            <w:r>
              <w:rPr>
                <w:rFonts w:ascii="宋体"/>
                <w:b/>
                <w:w w:val="95"/>
                <w:sz w:val="21"/>
              </w:rPr>
              <w:t>229,502,597.83</w:t>
            </w:r>
            <w:r>
              <w:rPr>
                <w:rFonts w:ascii="宋体"/>
                <w:sz w:val="21"/>
              </w:rPr>
            </w: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9"/>
              <w:jc w:val="right"/>
              <w:rPr>
                <w:rFonts w:ascii="宋体" w:hAnsi="宋体" w:cs="宋体" w:eastAsia="宋体" w:hint="default"/>
                <w:sz w:val="21"/>
                <w:szCs w:val="21"/>
              </w:rPr>
            </w:pPr>
            <w:r>
              <w:rPr>
                <w:rFonts w:ascii="宋体"/>
                <w:b/>
                <w:w w:val="95"/>
                <w:sz w:val="21"/>
              </w:rPr>
              <w:t>178,862,508.02</w:t>
            </w:r>
            <w:r>
              <w:rPr>
                <w:rFonts w:ascii="宋体"/>
                <w:sz w:val="21"/>
              </w:rPr>
            </w:r>
          </w:p>
        </w:tc>
      </w:tr>
    </w:tbl>
    <w:p>
      <w:pPr>
        <w:spacing w:line="240" w:lineRule="auto" w:before="5"/>
        <w:rPr>
          <w:rFonts w:ascii="宋体" w:hAnsi="宋体" w:cs="宋体" w:eastAsia="宋体" w:hint="default"/>
          <w:sz w:val="5"/>
          <w:szCs w:val="5"/>
        </w:rPr>
      </w:pPr>
    </w:p>
    <w:p>
      <w:pPr>
        <w:pStyle w:val="BodyText"/>
        <w:spacing w:line="240" w:lineRule="auto" w:before="35"/>
        <w:ind w:left="1134" w:right="3499"/>
        <w:jc w:val="left"/>
      </w:pPr>
      <w:r>
        <w:rPr/>
        <w:t>（</w:t>
      </w:r>
      <w:r>
        <w:rPr>
          <w:rFonts w:ascii="宋体" w:hAnsi="宋体" w:cs="宋体" w:eastAsia="宋体" w:hint="default"/>
        </w:rPr>
        <w:t>3</w:t>
      </w:r>
      <w:r>
        <w:rPr/>
        <w:t>）应收款情况</w:t>
      </w:r>
    </w:p>
    <w:p>
      <w:pPr>
        <w:spacing w:line="240" w:lineRule="auto" w:before="0"/>
        <w:rPr>
          <w:rFonts w:ascii="宋体" w:hAnsi="宋体" w:cs="宋体" w:eastAsia="宋体" w:hint="default"/>
          <w:sz w:val="25"/>
          <w:szCs w:val="25"/>
        </w:rPr>
      </w:pPr>
    </w:p>
    <w:tbl>
      <w:tblPr>
        <w:tblW w:w="0" w:type="auto"/>
        <w:jc w:val="left"/>
        <w:tblInd w:w="1134" w:type="dxa"/>
        <w:tblLayout w:type="fixed"/>
        <w:tblCellMar>
          <w:top w:w="0" w:type="dxa"/>
          <w:left w:w="0" w:type="dxa"/>
          <w:bottom w:w="0" w:type="dxa"/>
          <w:right w:w="0" w:type="dxa"/>
        </w:tblCellMar>
        <w:tblLook w:val="01E0"/>
      </w:tblPr>
      <w:tblGrid>
        <w:gridCol w:w="979"/>
        <w:gridCol w:w="3241"/>
        <w:gridCol w:w="1450"/>
        <w:gridCol w:w="1118"/>
        <w:gridCol w:w="1413"/>
        <w:gridCol w:w="1081"/>
      </w:tblGrid>
      <w:tr>
        <w:trPr>
          <w:trHeight w:val="282" w:hRule="exact"/>
        </w:trPr>
        <w:tc>
          <w:tcPr>
            <w:tcW w:w="979" w:type="dxa"/>
            <w:tcBorders>
              <w:top w:val="nil" w:sz="6" w:space="0" w:color="auto"/>
              <w:left w:val="nil" w:sz="6" w:space="0" w:color="auto"/>
              <w:bottom w:val="nil" w:sz="6" w:space="0" w:color="auto"/>
              <w:right w:val="nil" w:sz="6" w:space="0" w:color="auto"/>
            </w:tcBorders>
          </w:tcPr>
          <w:p>
            <w:pPr>
              <w:pStyle w:val="TableParagraph"/>
              <w:spacing w:line="210"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3241" w:type="dxa"/>
            <w:tcBorders>
              <w:top w:val="nil" w:sz="6" w:space="0" w:color="auto"/>
              <w:left w:val="nil" w:sz="6" w:space="0" w:color="auto"/>
              <w:bottom w:val="nil" w:sz="6" w:space="0" w:color="auto"/>
              <w:right w:val="nil" w:sz="6" w:space="0" w:color="auto"/>
            </w:tcBorders>
          </w:tcPr>
          <w:p>
            <w:pPr>
              <w:pStyle w:val="TableParagraph"/>
              <w:spacing w:line="210" w:lineRule="exact"/>
              <w:ind w:left="124"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2569" w:type="dxa"/>
            <w:gridSpan w:val="2"/>
            <w:tcBorders>
              <w:top w:val="nil" w:sz="6" w:space="0" w:color="auto"/>
              <w:left w:val="nil" w:sz="6" w:space="0" w:color="auto"/>
              <w:bottom w:val="single" w:sz="8" w:space="0" w:color="000000"/>
              <w:right w:val="nil" w:sz="6" w:space="0" w:color="auto"/>
            </w:tcBorders>
          </w:tcPr>
          <w:p>
            <w:pPr>
              <w:pStyle w:val="TableParagraph"/>
              <w:spacing w:line="210" w:lineRule="exact"/>
              <w:ind w:right="15"/>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493" w:type="dxa"/>
            <w:gridSpan w:val="2"/>
            <w:tcBorders>
              <w:top w:val="nil" w:sz="6" w:space="0" w:color="auto"/>
              <w:left w:val="nil" w:sz="6" w:space="0" w:color="auto"/>
              <w:bottom w:val="single" w:sz="8" w:space="0" w:color="000000"/>
              <w:right w:val="nil" w:sz="6" w:space="0" w:color="auto"/>
            </w:tcBorders>
          </w:tcPr>
          <w:p>
            <w:pPr>
              <w:pStyle w:val="TableParagraph"/>
              <w:spacing w:line="210" w:lineRule="exact"/>
              <w:ind w:right="12"/>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42" w:hRule="exact"/>
        </w:trPr>
        <w:tc>
          <w:tcPr>
            <w:tcW w:w="979" w:type="dxa"/>
            <w:tcBorders>
              <w:top w:val="nil" w:sz="6" w:space="0" w:color="auto"/>
              <w:left w:val="nil" w:sz="6" w:space="0" w:color="auto"/>
              <w:bottom w:val="single" w:sz="8" w:space="0" w:color="000000"/>
              <w:right w:val="nil" w:sz="6" w:space="0" w:color="auto"/>
            </w:tcBorders>
          </w:tcPr>
          <w:p>
            <w:pPr/>
          </w:p>
        </w:tc>
        <w:tc>
          <w:tcPr>
            <w:tcW w:w="3241" w:type="dxa"/>
            <w:tcBorders>
              <w:top w:val="nil" w:sz="6" w:space="0" w:color="auto"/>
              <w:left w:val="nil" w:sz="6" w:space="0" w:color="auto"/>
              <w:bottom w:val="single" w:sz="8" w:space="0" w:color="000000"/>
              <w:right w:val="nil" w:sz="6" w:space="0" w:color="auto"/>
            </w:tcBorders>
          </w:tcPr>
          <w:p>
            <w:pPr/>
          </w:p>
        </w:tc>
        <w:tc>
          <w:tcPr>
            <w:tcW w:w="1450"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39"/>
              <w:jc w:val="righ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118"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23"/>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413"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20"/>
              <w:jc w:val="righ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081"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6"/>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42" w:hRule="exact"/>
        </w:trPr>
        <w:tc>
          <w:tcPr>
            <w:tcW w:w="979"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241"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124" w:right="0"/>
              <w:jc w:val="left"/>
              <w:rPr>
                <w:rFonts w:ascii="宋体" w:hAnsi="宋体" w:cs="宋体" w:eastAsia="宋体" w:hint="default"/>
                <w:sz w:val="21"/>
                <w:szCs w:val="21"/>
              </w:rPr>
            </w:pPr>
            <w:r>
              <w:rPr>
                <w:rFonts w:ascii="宋体"/>
                <w:sz w:val="21"/>
              </w:rPr>
              <w:t>ARM Limited</w:t>
            </w:r>
          </w:p>
        </w:tc>
        <w:tc>
          <w:tcPr>
            <w:tcW w:w="1450"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40"/>
              <w:jc w:val="right"/>
              <w:rPr>
                <w:rFonts w:ascii="宋体" w:hAnsi="宋体" w:cs="宋体" w:eastAsia="宋体" w:hint="default"/>
                <w:sz w:val="21"/>
                <w:szCs w:val="21"/>
              </w:rPr>
            </w:pPr>
            <w:r>
              <w:rPr>
                <w:rFonts w:ascii="宋体"/>
                <w:sz w:val="21"/>
              </w:rPr>
              <w:t>714,296.00</w:t>
            </w:r>
          </w:p>
        </w:tc>
        <w:tc>
          <w:tcPr>
            <w:tcW w:w="1118"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26"/>
              <w:jc w:val="right"/>
              <w:rPr>
                <w:rFonts w:ascii="宋体" w:hAnsi="宋体" w:cs="宋体" w:eastAsia="宋体" w:hint="default"/>
                <w:sz w:val="21"/>
                <w:szCs w:val="21"/>
              </w:rPr>
            </w:pPr>
            <w:r>
              <w:rPr>
                <w:rFonts w:ascii="宋体"/>
                <w:sz w:val="21"/>
              </w:rPr>
              <w:t>7,142.96</w:t>
            </w:r>
          </w:p>
        </w:tc>
        <w:tc>
          <w:tcPr>
            <w:tcW w:w="1413"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19"/>
              <w:jc w:val="right"/>
              <w:rPr>
                <w:rFonts w:ascii="宋体" w:hAnsi="宋体" w:cs="宋体" w:eastAsia="宋体" w:hint="default"/>
                <w:sz w:val="21"/>
                <w:szCs w:val="21"/>
              </w:rPr>
            </w:pPr>
            <w:r>
              <w:rPr>
                <w:rFonts w:ascii="宋体"/>
                <w:sz w:val="21"/>
              </w:rPr>
              <w:t>-</w:t>
            </w:r>
          </w:p>
        </w:tc>
        <w:tc>
          <w:tcPr>
            <w:tcW w:w="1081"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z w:val="21"/>
              </w:rPr>
              <w:t>-</w:t>
            </w:r>
          </w:p>
        </w:tc>
      </w:tr>
      <w:tr>
        <w:trPr>
          <w:trHeight w:val="342" w:hRule="exact"/>
        </w:trPr>
        <w:tc>
          <w:tcPr>
            <w:tcW w:w="979"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241"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124" w:right="0"/>
              <w:jc w:val="left"/>
              <w:rPr>
                <w:rFonts w:ascii="宋体" w:hAnsi="宋体" w:cs="宋体" w:eastAsia="宋体" w:hint="default"/>
                <w:sz w:val="21"/>
                <w:szCs w:val="21"/>
              </w:rPr>
            </w:pPr>
            <w:r>
              <w:rPr>
                <w:rFonts w:ascii="宋体"/>
                <w:sz w:val="21"/>
              </w:rPr>
              <w:t>Qualcomm</w:t>
            </w:r>
            <w:r>
              <w:rPr>
                <w:rFonts w:ascii="宋体"/>
                <w:spacing w:val="-2"/>
                <w:sz w:val="21"/>
              </w:rPr>
              <w:t> </w:t>
            </w:r>
            <w:r>
              <w:rPr>
                <w:rFonts w:ascii="宋体"/>
                <w:sz w:val="21"/>
              </w:rPr>
              <w:t>Technologies,Inc</w:t>
            </w:r>
          </w:p>
        </w:tc>
        <w:tc>
          <w:tcPr>
            <w:tcW w:w="1450"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41"/>
              <w:jc w:val="right"/>
              <w:rPr>
                <w:rFonts w:ascii="宋体" w:hAnsi="宋体" w:cs="宋体" w:eastAsia="宋体" w:hint="default"/>
                <w:sz w:val="21"/>
                <w:szCs w:val="21"/>
              </w:rPr>
            </w:pPr>
            <w:r>
              <w:rPr>
                <w:rFonts w:ascii="宋体"/>
                <w:sz w:val="21"/>
              </w:rPr>
              <w:t>20,141,658.24</w:t>
            </w:r>
          </w:p>
        </w:tc>
        <w:tc>
          <w:tcPr>
            <w:tcW w:w="1118"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26"/>
              <w:jc w:val="right"/>
              <w:rPr>
                <w:rFonts w:ascii="宋体" w:hAnsi="宋体" w:cs="宋体" w:eastAsia="宋体" w:hint="default"/>
                <w:sz w:val="21"/>
                <w:szCs w:val="21"/>
              </w:rPr>
            </w:pPr>
            <w:r>
              <w:rPr>
                <w:rFonts w:ascii="宋体"/>
                <w:sz w:val="21"/>
              </w:rPr>
              <w:t>201,416.58</w:t>
            </w:r>
          </w:p>
        </w:tc>
        <w:tc>
          <w:tcPr>
            <w:tcW w:w="1413"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19"/>
              <w:jc w:val="right"/>
              <w:rPr>
                <w:rFonts w:ascii="宋体" w:hAnsi="宋体" w:cs="宋体" w:eastAsia="宋体" w:hint="default"/>
                <w:sz w:val="21"/>
                <w:szCs w:val="21"/>
              </w:rPr>
            </w:pPr>
            <w:r>
              <w:rPr>
                <w:rFonts w:ascii="宋体"/>
                <w:sz w:val="21"/>
              </w:rPr>
              <w:t>9,733,136.06</w:t>
            </w:r>
          </w:p>
        </w:tc>
        <w:tc>
          <w:tcPr>
            <w:tcW w:w="1081"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z w:val="21"/>
              </w:rPr>
              <w:t>97,331.36</w:t>
            </w:r>
          </w:p>
        </w:tc>
      </w:tr>
      <w:tr>
        <w:trPr>
          <w:trHeight w:val="342" w:hRule="exact"/>
        </w:trPr>
        <w:tc>
          <w:tcPr>
            <w:tcW w:w="979"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241"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124" w:right="0"/>
              <w:jc w:val="left"/>
              <w:rPr>
                <w:rFonts w:ascii="宋体" w:hAnsi="宋体" w:cs="宋体" w:eastAsia="宋体" w:hint="default"/>
                <w:sz w:val="21"/>
                <w:szCs w:val="21"/>
              </w:rPr>
            </w:pPr>
            <w:r>
              <w:rPr>
                <w:rFonts w:ascii="宋体"/>
                <w:sz w:val="21"/>
              </w:rPr>
              <w:t>Qualcomm Atheros,Inc.</w:t>
            </w:r>
          </w:p>
        </w:tc>
        <w:tc>
          <w:tcPr>
            <w:tcW w:w="1450"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40"/>
              <w:jc w:val="right"/>
              <w:rPr>
                <w:rFonts w:ascii="宋体" w:hAnsi="宋体" w:cs="宋体" w:eastAsia="宋体" w:hint="default"/>
                <w:sz w:val="21"/>
                <w:szCs w:val="21"/>
              </w:rPr>
            </w:pPr>
            <w:r>
              <w:rPr>
                <w:rFonts w:ascii="宋体"/>
                <w:sz w:val="21"/>
              </w:rPr>
              <w:t>130,521.36</w:t>
            </w:r>
          </w:p>
        </w:tc>
        <w:tc>
          <w:tcPr>
            <w:tcW w:w="1118"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26"/>
              <w:jc w:val="right"/>
              <w:rPr>
                <w:rFonts w:ascii="宋体" w:hAnsi="宋体" w:cs="宋体" w:eastAsia="宋体" w:hint="default"/>
                <w:sz w:val="21"/>
                <w:szCs w:val="21"/>
              </w:rPr>
            </w:pPr>
            <w:r>
              <w:rPr>
                <w:rFonts w:ascii="宋体"/>
                <w:sz w:val="21"/>
              </w:rPr>
              <w:t>1,305.21</w:t>
            </w:r>
          </w:p>
        </w:tc>
        <w:tc>
          <w:tcPr>
            <w:tcW w:w="1413"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20"/>
              <w:jc w:val="right"/>
              <w:rPr>
                <w:rFonts w:ascii="宋体" w:hAnsi="宋体" w:cs="宋体" w:eastAsia="宋体" w:hint="default"/>
                <w:sz w:val="21"/>
                <w:szCs w:val="21"/>
              </w:rPr>
            </w:pPr>
            <w:r>
              <w:rPr>
                <w:rFonts w:ascii="宋体"/>
                <w:sz w:val="21"/>
              </w:rPr>
              <w:t>146,856.00</w:t>
            </w:r>
          </w:p>
        </w:tc>
        <w:tc>
          <w:tcPr>
            <w:tcW w:w="1081"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7"/>
              <w:jc w:val="right"/>
              <w:rPr>
                <w:rFonts w:ascii="宋体" w:hAnsi="宋体" w:cs="宋体" w:eastAsia="宋体" w:hint="default"/>
                <w:sz w:val="21"/>
                <w:szCs w:val="21"/>
              </w:rPr>
            </w:pPr>
            <w:r>
              <w:rPr>
                <w:rFonts w:ascii="宋体"/>
                <w:sz w:val="21"/>
              </w:rPr>
              <w:t>1,468.56</w:t>
            </w:r>
          </w:p>
        </w:tc>
      </w:tr>
      <w:tr>
        <w:trPr>
          <w:trHeight w:val="654" w:hRule="exact"/>
        </w:trPr>
        <w:tc>
          <w:tcPr>
            <w:tcW w:w="979"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241"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pacing w:val="-3"/>
                <w:sz w:val="21"/>
                <w:szCs w:val="21"/>
              </w:rPr>
              <w:t>高通无线通信技术（中国）有限公</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50"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40"/>
              <w:jc w:val="right"/>
              <w:rPr>
                <w:rFonts w:ascii="宋体" w:hAnsi="宋体" w:cs="宋体" w:eastAsia="宋体" w:hint="default"/>
                <w:sz w:val="21"/>
                <w:szCs w:val="21"/>
              </w:rPr>
            </w:pPr>
            <w:r>
              <w:rPr>
                <w:rFonts w:ascii="宋体"/>
                <w:sz w:val="21"/>
              </w:rPr>
              <w:t>617,558.00</w:t>
            </w:r>
          </w:p>
        </w:tc>
        <w:tc>
          <w:tcPr>
            <w:tcW w:w="1118"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26"/>
              <w:jc w:val="right"/>
              <w:rPr>
                <w:rFonts w:ascii="宋体" w:hAnsi="宋体" w:cs="宋体" w:eastAsia="宋体" w:hint="default"/>
                <w:sz w:val="21"/>
                <w:szCs w:val="21"/>
              </w:rPr>
            </w:pPr>
            <w:r>
              <w:rPr>
                <w:rFonts w:ascii="宋体"/>
                <w:sz w:val="21"/>
              </w:rPr>
              <w:t>6,175.58</w:t>
            </w:r>
          </w:p>
        </w:tc>
        <w:tc>
          <w:tcPr>
            <w:tcW w:w="1413"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19"/>
              <w:jc w:val="right"/>
              <w:rPr>
                <w:rFonts w:ascii="宋体" w:hAnsi="宋体" w:cs="宋体" w:eastAsia="宋体" w:hint="default"/>
                <w:sz w:val="21"/>
                <w:szCs w:val="21"/>
              </w:rPr>
            </w:pPr>
            <w:r>
              <w:rPr>
                <w:rFonts w:ascii="宋体"/>
                <w:sz w:val="21"/>
              </w:rPr>
              <w:t>79,258.00</w:t>
            </w:r>
          </w:p>
        </w:tc>
        <w:tc>
          <w:tcPr>
            <w:tcW w:w="1081"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7"/>
              <w:jc w:val="right"/>
              <w:rPr>
                <w:rFonts w:ascii="宋体" w:hAnsi="宋体" w:cs="宋体" w:eastAsia="宋体" w:hint="default"/>
                <w:sz w:val="21"/>
                <w:szCs w:val="21"/>
              </w:rPr>
            </w:pPr>
            <w:r>
              <w:rPr>
                <w:rFonts w:ascii="宋体"/>
                <w:sz w:val="21"/>
              </w:rPr>
              <w:t>792.58</w:t>
            </w:r>
          </w:p>
        </w:tc>
      </w:tr>
      <w:tr>
        <w:trPr>
          <w:trHeight w:val="654" w:hRule="exact"/>
        </w:trPr>
        <w:tc>
          <w:tcPr>
            <w:tcW w:w="979"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241"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pacing w:val="-3"/>
                <w:sz w:val="21"/>
                <w:szCs w:val="21"/>
              </w:rPr>
              <w:t>展讯通信（上海）有限公司及展讯</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z w:val="21"/>
                <w:szCs w:val="21"/>
              </w:rPr>
              <w:t>通信（天津）有限公司</w:t>
            </w:r>
          </w:p>
        </w:tc>
        <w:tc>
          <w:tcPr>
            <w:tcW w:w="1450"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41"/>
              <w:jc w:val="right"/>
              <w:rPr>
                <w:rFonts w:ascii="宋体" w:hAnsi="宋体" w:cs="宋体" w:eastAsia="宋体" w:hint="default"/>
                <w:sz w:val="21"/>
                <w:szCs w:val="21"/>
              </w:rPr>
            </w:pPr>
            <w:r>
              <w:rPr>
                <w:rFonts w:ascii="宋体"/>
                <w:sz w:val="21"/>
              </w:rPr>
              <w:t>73,015,790.78</w:t>
            </w:r>
          </w:p>
        </w:tc>
        <w:tc>
          <w:tcPr>
            <w:tcW w:w="1118"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26"/>
              <w:jc w:val="right"/>
              <w:rPr>
                <w:rFonts w:ascii="宋体" w:hAnsi="宋体" w:cs="宋体" w:eastAsia="宋体" w:hint="default"/>
                <w:sz w:val="21"/>
                <w:szCs w:val="21"/>
              </w:rPr>
            </w:pPr>
            <w:r>
              <w:rPr>
                <w:rFonts w:ascii="宋体"/>
                <w:sz w:val="21"/>
              </w:rPr>
              <w:t>730,157.91</w:t>
            </w:r>
          </w:p>
        </w:tc>
        <w:tc>
          <w:tcPr>
            <w:tcW w:w="1413"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21"/>
              <w:jc w:val="right"/>
              <w:rPr>
                <w:rFonts w:ascii="宋体" w:hAnsi="宋体" w:cs="宋体" w:eastAsia="宋体" w:hint="default"/>
                <w:sz w:val="21"/>
                <w:szCs w:val="21"/>
              </w:rPr>
            </w:pPr>
            <w:r>
              <w:rPr>
                <w:rFonts w:ascii="宋体"/>
                <w:sz w:val="21"/>
              </w:rPr>
              <w:t>10,971,566.04</w:t>
            </w:r>
          </w:p>
        </w:tc>
        <w:tc>
          <w:tcPr>
            <w:tcW w:w="1081"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7"/>
              <w:jc w:val="right"/>
              <w:rPr>
                <w:rFonts w:ascii="宋体" w:hAnsi="宋体" w:cs="宋体" w:eastAsia="宋体" w:hint="default"/>
                <w:sz w:val="21"/>
                <w:szCs w:val="21"/>
              </w:rPr>
            </w:pPr>
            <w:r>
              <w:rPr>
                <w:rFonts w:ascii="宋体"/>
                <w:sz w:val="21"/>
              </w:rPr>
              <w:t>109,715.66</w:t>
            </w:r>
          </w:p>
        </w:tc>
      </w:tr>
      <w:tr>
        <w:trPr>
          <w:trHeight w:val="342" w:hRule="exact"/>
        </w:trPr>
        <w:tc>
          <w:tcPr>
            <w:tcW w:w="979"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241"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124" w:right="0"/>
              <w:jc w:val="left"/>
              <w:rPr>
                <w:rFonts w:ascii="宋体" w:hAnsi="宋体" w:cs="宋体" w:eastAsia="宋体" w:hint="default"/>
                <w:sz w:val="21"/>
                <w:szCs w:val="21"/>
              </w:rPr>
            </w:pPr>
            <w:r>
              <w:rPr>
                <w:rFonts w:ascii="宋体"/>
                <w:sz w:val="21"/>
              </w:rPr>
              <w:t>TCT Mobile Limited</w:t>
            </w:r>
          </w:p>
        </w:tc>
        <w:tc>
          <w:tcPr>
            <w:tcW w:w="1450"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41"/>
              <w:jc w:val="right"/>
              <w:rPr>
                <w:rFonts w:ascii="宋体" w:hAnsi="宋体" w:cs="宋体" w:eastAsia="宋体" w:hint="default"/>
                <w:sz w:val="21"/>
                <w:szCs w:val="21"/>
              </w:rPr>
            </w:pPr>
            <w:r>
              <w:rPr>
                <w:rFonts w:ascii="宋体"/>
                <w:sz w:val="21"/>
              </w:rPr>
              <w:t>24,128.14</w:t>
            </w:r>
          </w:p>
        </w:tc>
        <w:tc>
          <w:tcPr>
            <w:tcW w:w="1118"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26"/>
              <w:jc w:val="right"/>
              <w:rPr>
                <w:rFonts w:ascii="宋体" w:hAnsi="宋体" w:cs="宋体" w:eastAsia="宋体" w:hint="default"/>
                <w:sz w:val="21"/>
                <w:szCs w:val="21"/>
              </w:rPr>
            </w:pPr>
            <w:r>
              <w:rPr>
                <w:rFonts w:ascii="宋体"/>
                <w:sz w:val="21"/>
              </w:rPr>
              <w:t>241.28</w:t>
            </w:r>
          </w:p>
        </w:tc>
        <w:tc>
          <w:tcPr>
            <w:tcW w:w="1413"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19"/>
              <w:jc w:val="right"/>
              <w:rPr>
                <w:rFonts w:ascii="宋体" w:hAnsi="宋体" w:cs="宋体" w:eastAsia="宋体" w:hint="default"/>
                <w:sz w:val="21"/>
                <w:szCs w:val="21"/>
              </w:rPr>
            </w:pPr>
            <w:r>
              <w:rPr>
                <w:rFonts w:ascii="宋体"/>
                <w:sz w:val="21"/>
              </w:rPr>
              <w:t>73,678.88</w:t>
            </w:r>
          </w:p>
        </w:tc>
        <w:tc>
          <w:tcPr>
            <w:tcW w:w="1081"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7"/>
              <w:jc w:val="right"/>
              <w:rPr>
                <w:rFonts w:ascii="宋体" w:hAnsi="宋体" w:cs="宋体" w:eastAsia="宋体" w:hint="default"/>
                <w:sz w:val="21"/>
                <w:szCs w:val="21"/>
              </w:rPr>
            </w:pPr>
            <w:r>
              <w:rPr>
                <w:rFonts w:ascii="宋体"/>
                <w:sz w:val="21"/>
              </w:rPr>
              <w:t>736.79</w:t>
            </w:r>
          </w:p>
        </w:tc>
      </w:tr>
      <w:tr>
        <w:trPr>
          <w:trHeight w:val="342" w:hRule="exact"/>
        </w:trPr>
        <w:tc>
          <w:tcPr>
            <w:tcW w:w="979"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241"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捷开通讯科技（上海）有限公司</w:t>
            </w:r>
          </w:p>
        </w:tc>
        <w:tc>
          <w:tcPr>
            <w:tcW w:w="1450"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40"/>
              <w:jc w:val="right"/>
              <w:rPr>
                <w:rFonts w:ascii="宋体" w:hAnsi="宋体" w:cs="宋体" w:eastAsia="宋体" w:hint="default"/>
                <w:sz w:val="21"/>
                <w:szCs w:val="21"/>
              </w:rPr>
            </w:pPr>
            <w:r>
              <w:rPr>
                <w:rFonts w:ascii="宋体"/>
                <w:sz w:val="21"/>
              </w:rPr>
              <w:t>-</w:t>
            </w:r>
          </w:p>
        </w:tc>
        <w:tc>
          <w:tcPr>
            <w:tcW w:w="1118"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24"/>
              <w:jc w:val="right"/>
              <w:rPr>
                <w:rFonts w:ascii="宋体" w:hAnsi="宋体" w:cs="宋体" w:eastAsia="宋体" w:hint="default"/>
                <w:sz w:val="21"/>
                <w:szCs w:val="21"/>
              </w:rPr>
            </w:pPr>
            <w:r>
              <w:rPr>
                <w:rFonts w:ascii="宋体"/>
                <w:sz w:val="21"/>
              </w:rPr>
              <w:t>-</w:t>
            </w:r>
          </w:p>
        </w:tc>
        <w:tc>
          <w:tcPr>
            <w:tcW w:w="1413"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20"/>
              <w:jc w:val="right"/>
              <w:rPr>
                <w:rFonts w:ascii="宋体" w:hAnsi="宋体" w:cs="宋体" w:eastAsia="宋体" w:hint="default"/>
                <w:sz w:val="21"/>
                <w:szCs w:val="21"/>
              </w:rPr>
            </w:pPr>
            <w:r>
              <w:rPr>
                <w:rFonts w:ascii="宋体"/>
                <w:sz w:val="21"/>
              </w:rPr>
              <w:t>234,000.00</w:t>
            </w:r>
          </w:p>
        </w:tc>
        <w:tc>
          <w:tcPr>
            <w:tcW w:w="1081"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7"/>
              <w:jc w:val="right"/>
              <w:rPr>
                <w:rFonts w:ascii="宋体" w:hAnsi="宋体" w:cs="宋体" w:eastAsia="宋体" w:hint="default"/>
                <w:sz w:val="21"/>
                <w:szCs w:val="21"/>
              </w:rPr>
            </w:pPr>
            <w:r>
              <w:rPr>
                <w:rFonts w:ascii="宋体"/>
                <w:sz w:val="21"/>
              </w:rPr>
              <w:t>2,340.00</w:t>
            </w:r>
          </w:p>
        </w:tc>
      </w:tr>
      <w:tr>
        <w:trPr>
          <w:trHeight w:val="654" w:hRule="exact"/>
        </w:trPr>
        <w:tc>
          <w:tcPr>
            <w:tcW w:w="979"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241"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pacing w:val="3"/>
                <w:sz w:val="21"/>
                <w:szCs w:val="21"/>
              </w:rPr>
              <w:t>TCL</w:t>
            </w:r>
            <w:r>
              <w:rPr>
                <w:rFonts w:ascii="宋体" w:hAnsi="宋体" w:cs="宋体" w:eastAsia="宋体" w:hint="default"/>
                <w:spacing w:val="3"/>
                <w:sz w:val="21"/>
                <w:szCs w:val="21"/>
              </w:rPr>
              <w:t>移动通信科技（宁波）有限公</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50"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41"/>
              <w:jc w:val="right"/>
              <w:rPr>
                <w:rFonts w:ascii="宋体" w:hAnsi="宋体" w:cs="宋体" w:eastAsia="宋体" w:hint="default"/>
                <w:sz w:val="21"/>
                <w:szCs w:val="21"/>
              </w:rPr>
            </w:pPr>
            <w:r>
              <w:rPr>
                <w:rFonts w:ascii="宋体"/>
                <w:sz w:val="21"/>
              </w:rPr>
              <w:t>11,714,375.85</w:t>
            </w:r>
          </w:p>
        </w:tc>
        <w:tc>
          <w:tcPr>
            <w:tcW w:w="1118"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26"/>
              <w:jc w:val="right"/>
              <w:rPr>
                <w:rFonts w:ascii="宋体" w:hAnsi="宋体" w:cs="宋体" w:eastAsia="宋体" w:hint="default"/>
                <w:sz w:val="21"/>
                <w:szCs w:val="21"/>
              </w:rPr>
            </w:pPr>
            <w:r>
              <w:rPr>
                <w:rFonts w:ascii="宋体"/>
                <w:sz w:val="21"/>
              </w:rPr>
              <w:t>117,143.76</w:t>
            </w:r>
          </w:p>
        </w:tc>
        <w:tc>
          <w:tcPr>
            <w:tcW w:w="1413"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19"/>
              <w:jc w:val="right"/>
              <w:rPr>
                <w:rFonts w:ascii="宋体" w:hAnsi="宋体" w:cs="宋体" w:eastAsia="宋体" w:hint="default"/>
                <w:sz w:val="21"/>
                <w:szCs w:val="21"/>
              </w:rPr>
            </w:pPr>
            <w:r>
              <w:rPr>
                <w:rFonts w:ascii="宋体"/>
                <w:sz w:val="21"/>
              </w:rPr>
              <w:t>7,275,615.13</w:t>
            </w:r>
          </w:p>
        </w:tc>
        <w:tc>
          <w:tcPr>
            <w:tcW w:w="1081"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z w:val="21"/>
              </w:rPr>
              <w:t>72,756.15</w:t>
            </w:r>
          </w:p>
        </w:tc>
      </w:tr>
      <w:tr>
        <w:trPr>
          <w:trHeight w:val="342" w:hRule="exact"/>
        </w:trPr>
        <w:tc>
          <w:tcPr>
            <w:tcW w:w="979"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241"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捷开通讯（深圳）有限公司</w:t>
            </w:r>
          </w:p>
        </w:tc>
        <w:tc>
          <w:tcPr>
            <w:tcW w:w="1450"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39"/>
              <w:jc w:val="right"/>
              <w:rPr>
                <w:rFonts w:ascii="宋体" w:hAnsi="宋体" w:cs="宋体" w:eastAsia="宋体" w:hint="default"/>
                <w:sz w:val="21"/>
                <w:szCs w:val="21"/>
              </w:rPr>
            </w:pPr>
            <w:r>
              <w:rPr>
                <w:rFonts w:ascii="宋体"/>
                <w:sz w:val="21"/>
              </w:rPr>
              <w:t>4,822,725.00</w:t>
            </w:r>
          </w:p>
        </w:tc>
        <w:tc>
          <w:tcPr>
            <w:tcW w:w="1118"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24"/>
              <w:jc w:val="right"/>
              <w:rPr>
                <w:rFonts w:ascii="宋体" w:hAnsi="宋体" w:cs="宋体" w:eastAsia="宋体" w:hint="default"/>
                <w:sz w:val="21"/>
                <w:szCs w:val="21"/>
              </w:rPr>
            </w:pPr>
            <w:r>
              <w:rPr>
                <w:rFonts w:ascii="宋体"/>
                <w:sz w:val="21"/>
              </w:rPr>
              <w:t>48,227.25</w:t>
            </w:r>
          </w:p>
        </w:tc>
        <w:tc>
          <w:tcPr>
            <w:tcW w:w="1413"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19"/>
              <w:jc w:val="right"/>
              <w:rPr>
                <w:rFonts w:ascii="宋体" w:hAnsi="宋体" w:cs="宋体" w:eastAsia="宋体" w:hint="default"/>
                <w:sz w:val="21"/>
                <w:szCs w:val="21"/>
              </w:rPr>
            </w:pPr>
            <w:r>
              <w:rPr>
                <w:rFonts w:ascii="宋体"/>
                <w:sz w:val="21"/>
              </w:rPr>
              <w:t>7,547,733.77</w:t>
            </w:r>
          </w:p>
        </w:tc>
        <w:tc>
          <w:tcPr>
            <w:tcW w:w="1081"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z w:val="21"/>
              </w:rPr>
              <w:t>75,477.34</w:t>
            </w:r>
          </w:p>
        </w:tc>
      </w:tr>
      <w:tr>
        <w:trPr>
          <w:trHeight w:val="342" w:hRule="exact"/>
        </w:trPr>
        <w:tc>
          <w:tcPr>
            <w:tcW w:w="979"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241"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TCL</w:t>
            </w:r>
            <w:r>
              <w:rPr>
                <w:rFonts w:ascii="宋体" w:hAnsi="宋体" w:cs="宋体" w:eastAsia="宋体" w:hint="default"/>
                <w:sz w:val="21"/>
                <w:szCs w:val="21"/>
              </w:rPr>
              <w:t>通讯科技（成都）有限公司</w:t>
            </w:r>
          </w:p>
        </w:tc>
        <w:tc>
          <w:tcPr>
            <w:tcW w:w="1450"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39"/>
              <w:jc w:val="right"/>
              <w:rPr>
                <w:rFonts w:ascii="宋体" w:hAnsi="宋体" w:cs="宋体" w:eastAsia="宋体" w:hint="default"/>
                <w:sz w:val="21"/>
                <w:szCs w:val="21"/>
              </w:rPr>
            </w:pPr>
            <w:r>
              <w:rPr>
                <w:rFonts w:ascii="宋体"/>
                <w:sz w:val="21"/>
              </w:rPr>
              <w:t>3,432,936.34</w:t>
            </w:r>
          </w:p>
        </w:tc>
        <w:tc>
          <w:tcPr>
            <w:tcW w:w="1118"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24"/>
              <w:jc w:val="right"/>
              <w:rPr>
                <w:rFonts w:ascii="宋体" w:hAnsi="宋体" w:cs="宋体" w:eastAsia="宋体" w:hint="default"/>
                <w:sz w:val="21"/>
                <w:szCs w:val="21"/>
              </w:rPr>
            </w:pPr>
            <w:r>
              <w:rPr>
                <w:rFonts w:ascii="宋体"/>
                <w:sz w:val="21"/>
              </w:rPr>
              <w:t>34,329.36</w:t>
            </w:r>
          </w:p>
        </w:tc>
        <w:tc>
          <w:tcPr>
            <w:tcW w:w="1413"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19"/>
              <w:jc w:val="right"/>
              <w:rPr>
                <w:rFonts w:ascii="宋体" w:hAnsi="宋体" w:cs="宋体" w:eastAsia="宋体" w:hint="default"/>
                <w:sz w:val="21"/>
                <w:szCs w:val="21"/>
              </w:rPr>
            </w:pPr>
            <w:r>
              <w:rPr>
                <w:rFonts w:ascii="宋体"/>
                <w:sz w:val="21"/>
              </w:rPr>
              <w:t>7,036,285.49</w:t>
            </w:r>
          </w:p>
        </w:tc>
        <w:tc>
          <w:tcPr>
            <w:tcW w:w="1081"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z w:val="21"/>
              </w:rPr>
              <w:t>70,362.85</w:t>
            </w:r>
          </w:p>
        </w:tc>
      </w:tr>
    </w:tbl>
    <w:p>
      <w:pPr>
        <w:spacing w:line="240" w:lineRule="auto" w:before="5"/>
        <w:rPr>
          <w:rFonts w:ascii="宋体" w:hAnsi="宋体" w:cs="宋体" w:eastAsia="宋体" w:hint="default"/>
          <w:sz w:val="5"/>
          <w:szCs w:val="5"/>
        </w:rPr>
      </w:pPr>
    </w:p>
    <w:p>
      <w:pPr>
        <w:pStyle w:val="BodyText"/>
        <w:spacing w:line="240" w:lineRule="auto" w:before="35"/>
        <w:ind w:left="1134" w:right="3499"/>
        <w:jc w:val="left"/>
      </w:pPr>
      <w:r>
        <w:rPr/>
        <w:t>（</w:t>
      </w:r>
      <w:r>
        <w:rPr>
          <w:rFonts w:ascii="宋体" w:hAnsi="宋体" w:cs="宋体" w:eastAsia="宋体" w:hint="default"/>
        </w:rPr>
        <w:t>4</w:t>
      </w:r>
      <w:r>
        <w:rPr/>
        <w:t>）预收款情况</w:t>
      </w:r>
    </w:p>
    <w:p>
      <w:pPr>
        <w:spacing w:after="0" w:line="240" w:lineRule="auto"/>
        <w:jc w:val="left"/>
        <w:sectPr>
          <w:pgSz w:w="11910" w:h="16840"/>
          <w:pgMar w:header="877" w:footer="979" w:top="1060" w:bottom="1160" w:left="0" w:right="0"/>
        </w:sectPr>
      </w:pPr>
    </w:p>
    <w:p>
      <w:pPr>
        <w:spacing w:line="240" w:lineRule="auto" w:before="12"/>
        <w:rPr>
          <w:rFonts w:ascii="宋体" w:hAnsi="宋体" w:cs="宋体" w:eastAsia="宋体" w:hint="default"/>
          <w:sz w:val="2"/>
          <w:szCs w:val="2"/>
        </w:rPr>
      </w:pPr>
    </w:p>
    <w:tbl>
      <w:tblPr>
        <w:tblW w:w="0" w:type="auto"/>
        <w:jc w:val="left"/>
        <w:tblInd w:w="1134" w:type="dxa"/>
        <w:tblLayout w:type="fixed"/>
        <w:tblCellMar>
          <w:top w:w="0" w:type="dxa"/>
          <w:left w:w="0" w:type="dxa"/>
          <w:bottom w:w="0" w:type="dxa"/>
          <w:right w:w="0" w:type="dxa"/>
        </w:tblCellMar>
        <w:tblLook w:val="01E0"/>
      </w:tblPr>
      <w:tblGrid>
        <w:gridCol w:w="1188"/>
        <w:gridCol w:w="4155"/>
        <w:gridCol w:w="2667"/>
        <w:gridCol w:w="1272"/>
      </w:tblGrid>
      <w:tr>
        <w:trPr>
          <w:trHeight w:val="684" w:hRule="exact"/>
        </w:trPr>
        <w:tc>
          <w:tcPr>
            <w:tcW w:w="1188"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4155" w:type="dxa"/>
            <w:tcBorders>
              <w:top w:val="single" w:sz="6" w:space="0" w:color="000000"/>
              <w:left w:val="nil" w:sz="6" w:space="0" w:color="auto"/>
              <w:bottom w:val="single" w:sz="8" w:space="0" w:color="000000"/>
              <w:right w:val="nil" w:sz="6" w:space="0" w:color="auto"/>
            </w:tcBorders>
          </w:tcPr>
          <w:p>
            <w:pPr>
              <w:pStyle w:val="TableParagraph"/>
              <w:spacing w:line="271" w:lineRule="exact"/>
              <w:ind w:left="333"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2667"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628"/>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272" w:type="dxa"/>
            <w:tcBorders>
              <w:top w:val="single" w:sz="6" w:space="0" w:color="000000"/>
              <w:left w:val="nil" w:sz="6" w:space="0" w:color="auto"/>
              <w:bottom w:val="single" w:sz="8" w:space="0" w:color="000000"/>
              <w:right w:val="nil" w:sz="6" w:space="0" w:color="auto"/>
            </w:tcBorders>
          </w:tcPr>
          <w:p>
            <w:pPr>
              <w:pStyle w:val="TableParagraph"/>
              <w:spacing w:line="271" w:lineRule="exact"/>
              <w:ind w:right="6"/>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48" w:hRule="exact"/>
        </w:trPr>
        <w:tc>
          <w:tcPr>
            <w:tcW w:w="1188"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9"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155"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333" w:right="0"/>
              <w:jc w:val="left"/>
              <w:rPr>
                <w:rFonts w:ascii="宋体" w:hAnsi="宋体" w:cs="宋体" w:eastAsia="宋体" w:hint="default"/>
                <w:sz w:val="21"/>
                <w:szCs w:val="21"/>
              </w:rPr>
            </w:pPr>
            <w:r>
              <w:rPr>
                <w:rFonts w:ascii="宋体" w:hAnsi="宋体" w:cs="宋体" w:eastAsia="宋体" w:hint="default"/>
                <w:sz w:val="21"/>
                <w:szCs w:val="21"/>
              </w:rPr>
              <w:t>深圳么么哒互联通讯有限公司</w:t>
            </w:r>
          </w:p>
        </w:tc>
        <w:tc>
          <w:tcPr>
            <w:tcW w:w="2667"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628"/>
              <w:jc w:val="right"/>
              <w:rPr>
                <w:rFonts w:ascii="宋体" w:hAnsi="宋体" w:cs="宋体" w:eastAsia="宋体" w:hint="default"/>
                <w:sz w:val="21"/>
                <w:szCs w:val="21"/>
              </w:rPr>
            </w:pPr>
            <w:r>
              <w:rPr>
                <w:rFonts w:ascii="宋体"/>
                <w:sz w:val="21"/>
              </w:rPr>
              <w:t>72,177.00</w:t>
            </w:r>
          </w:p>
        </w:tc>
        <w:tc>
          <w:tcPr>
            <w:tcW w:w="1272" w:type="dxa"/>
            <w:tcBorders>
              <w:top w:val="single" w:sz="8" w:space="0" w:color="000000"/>
              <w:left w:val="nil" w:sz="6" w:space="0" w:color="auto"/>
              <w:bottom w:val="single" w:sz="8" w:space="0" w:color="000000"/>
              <w:right w:val="nil" w:sz="6" w:space="0" w:color="auto"/>
            </w:tcBorders>
          </w:tcPr>
          <w:p>
            <w:pPr>
              <w:pStyle w:val="TableParagraph"/>
              <w:spacing w:line="266" w:lineRule="exact"/>
              <w:ind w:right="8"/>
              <w:jc w:val="right"/>
              <w:rPr>
                <w:rFonts w:ascii="宋体" w:hAnsi="宋体" w:cs="宋体" w:eastAsia="宋体" w:hint="default"/>
                <w:sz w:val="21"/>
                <w:szCs w:val="21"/>
              </w:rPr>
            </w:pPr>
            <w:r>
              <w:rPr>
                <w:rFonts w:ascii="宋体"/>
                <w:sz w:val="21"/>
              </w:rPr>
              <w:t>-</w:t>
            </w:r>
          </w:p>
        </w:tc>
      </w:tr>
    </w:tbl>
    <w:p>
      <w:pPr>
        <w:spacing w:line="240" w:lineRule="auto" w:before="2"/>
        <w:rPr>
          <w:rFonts w:ascii="宋体" w:hAnsi="宋体" w:cs="宋体" w:eastAsia="宋体" w:hint="default"/>
          <w:sz w:val="18"/>
          <w:szCs w:val="18"/>
        </w:rPr>
      </w:pPr>
    </w:p>
    <w:p>
      <w:pPr>
        <w:pStyle w:val="Heading2"/>
        <w:spacing w:line="240" w:lineRule="auto" w:before="26"/>
        <w:ind w:left="1134" w:right="3499"/>
        <w:jc w:val="left"/>
        <w:rPr>
          <w:b w:val="0"/>
          <w:bCs w:val="0"/>
        </w:rPr>
      </w:pPr>
      <w:r>
        <w:rPr/>
        <w:pict>
          <v:group style="position:absolute;margin-left:55.200001pt;margin-top:-63.944397pt;width:485pt;height:.1pt;mso-position-horizontal-relative:page;mso-position-vertical-relative:paragraph;z-index:-924784" coordorigin="1104,-1279" coordsize="9700,2">
            <v:shape style="position:absolute;left:1104;top:-1279;width:9700;height:2" coordorigin="1104,-1279" coordsize="9700,0" path="m1104,-1279l10804,-1279e" filled="false" stroked="true" strokeweight=".72pt" strokecolor="#000000">
              <v:path arrowok="t"/>
            </v:shape>
            <w10:wrap type="none"/>
          </v:group>
        </w:pict>
      </w:r>
      <w:bookmarkStart w:name="十七、母公司财务报表主要项目注释" w:id="495"/>
      <w:bookmarkEnd w:id="495"/>
      <w:r>
        <w:rPr>
          <w:b w:val="0"/>
          <w:bCs w:val="0"/>
        </w:rPr>
      </w: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499"/>
        <w:jc w:val="left"/>
        <w:rPr>
          <w:b w:val="0"/>
          <w:bCs w:val="0"/>
        </w:rPr>
      </w:pPr>
      <w:bookmarkStart w:name="1、应收账款" w:id="496"/>
      <w:bookmarkEnd w:id="496"/>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499"/>
        <w:jc w:val="left"/>
        <w:rPr>
          <w:b w:val="0"/>
          <w:bCs w:val="0"/>
        </w:rPr>
      </w:pPr>
      <w:bookmarkStart w:name="（1）应收账款分类披露" w:id="497"/>
      <w:bookmarkEnd w:id="49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1060"/>
        <w:gridCol w:w="850"/>
        <w:gridCol w:w="993"/>
        <w:gridCol w:w="426"/>
        <w:gridCol w:w="992"/>
        <w:gridCol w:w="991"/>
        <w:gridCol w:w="568"/>
        <w:gridCol w:w="709"/>
        <w:gridCol w:w="41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432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宋体" w:hAnsi="宋体" w:cs="宋体" w:eastAsia="宋体" w:hint="default"/>
                <w:sz w:val="13"/>
                <w:szCs w:val="13"/>
              </w:rPr>
            </w:pPr>
            <w:r>
              <w:rPr>
                <w:rFonts w:ascii="宋体" w:hAnsi="宋体" w:cs="宋体" w:eastAsia="宋体" w:hint="default"/>
                <w:sz w:val="13"/>
                <w:szCs w:val="13"/>
              </w:rPr>
              <w:t>期末余额</w:t>
            </w:r>
          </w:p>
        </w:tc>
        <w:tc>
          <w:tcPr>
            <w:tcW w:w="36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宋体" w:hAnsi="宋体" w:cs="宋体" w:eastAsia="宋体" w:hint="default"/>
                <w:sz w:val="13"/>
                <w:szCs w:val="13"/>
              </w:rPr>
            </w:pPr>
            <w:r>
              <w:rPr>
                <w:rFonts w:ascii="宋体" w:hAnsi="宋体" w:cs="宋体" w:eastAsia="宋体" w:hint="default"/>
                <w:sz w:val="13"/>
                <w:szCs w:val="13"/>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90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5"/>
              <w:ind w:right="1"/>
              <w:jc w:val="center"/>
              <w:rPr>
                <w:rFonts w:ascii="宋体" w:hAnsi="宋体" w:cs="宋体" w:eastAsia="宋体" w:hint="default"/>
                <w:sz w:val="13"/>
                <w:szCs w:val="13"/>
              </w:rPr>
            </w:pPr>
            <w:r>
              <w:rPr>
                <w:rFonts w:ascii="宋体" w:hAnsi="宋体" w:cs="宋体" w:eastAsia="宋体" w:hint="default"/>
                <w:sz w:val="13"/>
                <w:szCs w:val="13"/>
              </w:rPr>
              <w:t>账面余额</w:t>
            </w:r>
          </w:p>
        </w:tc>
        <w:tc>
          <w:tcPr>
            <w:tcW w:w="14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5"/>
              <w:ind w:left="445" w:right="0"/>
              <w:jc w:val="left"/>
              <w:rPr>
                <w:rFonts w:ascii="宋体" w:hAnsi="宋体" w:cs="宋体" w:eastAsia="宋体" w:hint="default"/>
                <w:sz w:val="13"/>
                <w:szCs w:val="13"/>
              </w:rPr>
            </w:pPr>
            <w:r>
              <w:rPr>
                <w:rFonts w:ascii="宋体" w:hAnsi="宋体" w:cs="宋体" w:eastAsia="宋体" w:hint="default"/>
                <w:sz w:val="13"/>
                <w:szCs w:val="13"/>
              </w:rPr>
              <w:t>坏账准备</w:t>
            </w:r>
          </w:p>
        </w:tc>
        <w:tc>
          <w:tcPr>
            <w:tcW w:w="992" w:type="dxa"/>
            <w:vMerge w:val="restart"/>
            <w:tcBorders>
              <w:top w:val="single" w:sz="4" w:space="0" w:color="000000"/>
              <w:left w:val="single" w:sz="4" w:space="0" w:color="000000"/>
              <w:right w:val="single" w:sz="4" w:space="0" w:color="000000"/>
            </w:tcBorders>
            <w:shd w:val="clear" w:color="auto" w:fill="D2D2D2"/>
          </w:tcPr>
          <w:p>
            <w:pPr/>
          </w:p>
        </w:tc>
        <w:tc>
          <w:tcPr>
            <w:tcW w:w="15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5"/>
              <w:ind w:left="513" w:right="0"/>
              <w:jc w:val="left"/>
              <w:rPr>
                <w:rFonts w:ascii="宋体" w:hAnsi="宋体" w:cs="宋体" w:eastAsia="宋体" w:hint="default"/>
                <w:sz w:val="13"/>
                <w:szCs w:val="13"/>
              </w:rPr>
            </w:pPr>
            <w:r>
              <w:rPr>
                <w:rFonts w:ascii="宋体" w:hAnsi="宋体" w:cs="宋体" w:eastAsia="宋体" w:hint="default"/>
                <w:sz w:val="13"/>
                <w:szCs w:val="13"/>
              </w:rPr>
              <w:t>账面余额</w:t>
            </w:r>
          </w:p>
        </w:tc>
        <w:tc>
          <w:tcPr>
            <w:tcW w:w="11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5"/>
              <w:ind w:left="295" w:right="0"/>
              <w:jc w:val="left"/>
              <w:rPr>
                <w:rFonts w:ascii="宋体" w:hAnsi="宋体" w:cs="宋体" w:eastAsia="宋体" w:hint="default"/>
                <w:sz w:val="13"/>
                <w:szCs w:val="13"/>
              </w:rPr>
            </w:pPr>
            <w:r>
              <w:rPr>
                <w:rFonts w:ascii="宋体" w:hAnsi="宋体" w:cs="宋体" w:eastAsia="宋体" w:hint="default"/>
                <w:sz w:val="13"/>
                <w:szCs w:val="13"/>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0"/>
              <w:ind w:right="11"/>
              <w:jc w:val="center"/>
              <w:rPr>
                <w:rFonts w:ascii="宋体" w:hAnsi="宋体" w:cs="宋体" w:eastAsia="宋体" w:hint="default"/>
                <w:sz w:val="13"/>
                <w:szCs w:val="13"/>
              </w:rPr>
            </w:pPr>
            <w:r>
              <w:rPr>
                <w:rFonts w:ascii="宋体" w:hAnsi="宋体" w:cs="宋体" w:eastAsia="宋体" w:hint="default"/>
                <w:sz w:val="13"/>
                <w:szCs w:val="13"/>
              </w:rPr>
              <w:t>类别</w:t>
            </w:r>
          </w:p>
        </w:tc>
        <w:tc>
          <w:tcPr>
            <w:tcW w:w="1909" w:type="dxa"/>
            <w:gridSpan w:val="2"/>
            <w:vMerge/>
            <w:tcBorders>
              <w:left w:val="single" w:sz="4" w:space="0" w:color="000000"/>
              <w:bottom w:val="single" w:sz="4" w:space="0" w:color="000000"/>
              <w:right w:val="single" w:sz="4" w:space="0" w:color="000000"/>
            </w:tcBorders>
            <w:shd w:val="clear" w:color="auto" w:fill="D2D2D2"/>
          </w:tcPr>
          <w:p>
            <w:pPr/>
          </w:p>
        </w:tc>
        <w:tc>
          <w:tcPr>
            <w:tcW w:w="1419" w:type="dxa"/>
            <w:gridSpan w:val="2"/>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559" w:type="dxa"/>
            <w:gridSpan w:val="2"/>
            <w:vMerge/>
            <w:tcBorders>
              <w:left w:val="single" w:sz="4" w:space="0" w:color="000000"/>
              <w:bottom w:val="single" w:sz="4" w:space="0" w:color="000000"/>
              <w:right w:val="single" w:sz="4" w:space="0" w:color="000000"/>
            </w:tcBorders>
            <w:shd w:val="clear" w:color="auto" w:fill="D2D2D2"/>
          </w:tcPr>
          <w:p>
            <w:pPr/>
          </w:p>
        </w:tc>
        <w:tc>
          <w:tcPr>
            <w:tcW w:w="1121"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06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439" w:lineRule="auto" w:before="90"/>
              <w:ind w:left="76" w:right="78"/>
              <w:jc w:val="left"/>
              <w:rPr>
                <w:rFonts w:ascii="宋体" w:hAnsi="宋体" w:cs="宋体" w:eastAsia="宋体" w:hint="default"/>
                <w:sz w:val="13"/>
                <w:szCs w:val="13"/>
              </w:rPr>
            </w:pPr>
            <w:r>
              <w:rPr>
                <w:rFonts w:ascii="宋体" w:hAnsi="宋体" w:cs="宋体" w:eastAsia="宋体" w:hint="default"/>
                <w:sz w:val="13"/>
                <w:szCs w:val="13"/>
              </w:rPr>
              <w:t>计提</w:t>
            </w:r>
            <w:r>
              <w:rPr>
                <w:rFonts w:ascii="宋体" w:hAnsi="宋体" w:cs="宋体" w:eastAsia="宋体" w:hint="default"/>
                <w:w w:val="99"/>
                <w:sz w:val="13"/>
                <w:szCs w:val="13"/>
              </w:rPr>
              <w:t> </w:t>
            </w:r>
            <w:r>
              <w:rPr>
                <w:rFonts w:ascii="宋体" w:hAnsi="宋体" w:cs="宋体" w:eastAsia="宋体" w:hint="default"/>
                <w:sz w:val="13"/>
                <w:szCs w:val="13"/>
              </w:rPr>
              <w:t>比例</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3"/>
                <w:szCs w:val="13"/>
              </w:rPr>
            </w:pPr>
            <w:r>
              <w:rPr>
                <w:rFonts w:ascii="宋体" w:hAnsi="宋体" w:cs="宋体" w:eastAsia="宋体" w:hint="default"/>
                <w:sz w:val="13"/>
                <w:szCs w:val="13"/>
              </w:rPr>
              <w:t>账面价值</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412" w:type="dxa"/>
            <w:vMerge w:val="restart"/>
            <w:tcBorders>
              <w:top w:val="single" w:sz="4" w:space="0" w:color="000000"/>
              <w:left w:val="single" w:sz="4" w:space="0" w:color="000000"/>
              <w:right w:val="single" w:sz="4" w:space="0" w:color="000000"/>
            </w:tcBorders>
            <w:shd w:val="clear" w:color="auto" w:fill="D2D2D2"/>
          </w:tcPr>
          <w:p>
            <w:pPr>
              <w:pStyle w:val="TableParagraph"/>
              <w:spacing w:line="439" w:lineRule="auto" w:before="90"/>
              <w:ind w:left="70" w:right="71"/>
              <w:jc w:val="left"/>
              <w:rPr>
                <w:rFonts w:ascii="宋体" w:hAnsi="宋体" w:cs="宋体" w:eastAsia="宋体" w:hint="default"/>
                <w:sz w:val="13"/>
                <w:szCs w:val="13"/>
              </w:rPr>
            </w:pPr>
            <w:r>
              <w:rPr>
                <w:rFonts w:ascii="宋体" w:hAnsi="宋体" w:cs="宋体" w:eastAsia="宋体" w:hint="default"/>
                <w:sz w:val="13"/>
                <w:szCs w:val="13"/>
              </w:rPr>
              <w:t>计提</w:t>
            </w:r>
            <w:r>
              <w:rPr>
                <w:rFonts w:ascii="宋体" w:hAnsi="宋体" w:cs="宋体" w:eastAsia="宋体" w:hint="default"/>
                <w:w w:val="99"/>
                <w:sz w:val="13"/>
                <w:szCs w:val="13"/>
              </w:rPr>
              <w:t> </w:t>
            </w:r>
            <w:r>
              <w:rPr>
                <w:rFonts w:ascii="宋体" w:hAnsi="宋体" w:cs="宋体" w:eastAsia="宋体" w:hint="default"/>
                <w:sz w:val="13"/>
                <w:szCs w:val="13"/>
              </w:rPr>
              <w:t>比例</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0" w:right="0"/>
              <w:jc w:val="left"/>
              <w:rPr>
                <w:rFonts w:ascii="宋体" w:hAnsi="宋体" w:cs="宋体" w:eastAsia="宋体" w:hint="default"/>
                <w:sz w:val="13"/>
                <w:szCs w:val="13"/>
              </w:rPr>
            </w:pPr>
            <w:r>
              <w:rPr>
                <w:rFonts w:ascii="宋体" w:hAnsi="宋体" w:cs="宋体" w:eastAsia="宋体" w:hint="default"/>
                <w:sz w:val="13"/>
                <w:szCs w:val="13"/>
              </w:rPr>
              <w:t>账面价值</w:t>
            </w:r>
          </w:p>
        </w:tc>
      </w:tr>
      <w:tr>
        <w:trPr>
          <w:trHeight w:val="191" w:hRule="exact"/>
        </w:trPr>
        <w:tc>
          <w:tcPr>
            <w:tcW w:w="1623" w:type="dxa"/>
            <w:vMerge w:val="restart"/>
            <w:tcBorders>
              <w:top w:val="nil" w:sz="6" w:space="0" w:color="auto"/>
              <w:left w:val="single" w:sz="4" w:space="0" w:color="000000"/>
              <w:right w:val="single" w:sz="4" w:space="0" w:color="000000"/>
            </w:tcBorders>
            <w:shd w:val="clear" w:color="auto" w:fill="D2D2D2"/>
          </w:tcPr>
          <w:p>
            <w:pPr/>
          </w:p>
        </w:tc>
        <w:tc>
          <w:tcPr>
            <w:tcW w:w="10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0"/>
              <w:ind w:right="1"/>
              <w:jc w:val="center"/>
              <w:rPr>
                <w:rFonts w:ascii="宋体" w:hAnsi="宋体" w:cs="宋体" w:eastAsia="宋体" w:hint="default"/>
                <w:sz w:val="13"/>
                <w:szCs w:val="13"/>
              </w:rPr>
            </w:pPr>
            <w:r>
              <w:rPr>
                <w:rFonts w:ascii="宋体" w:hAnsi="宋体" w:cs="宋体" w:eastAsia="宋体" w:hint="default"/>
                <w:sz w:val="13"/>
                <w:szCs w:val="13"/>
              </w:rPr>
              <w:t>金额</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0"/>
              <w:ind w:right="0"/>
              <w:jc w:val="center"/>
              <w:rPr>
                <w:rFonts w:ascii="宋体" w:hAnsi="宋体" w:cs="宋体" w:eastAsia="宋体" w:hint="default"/>
                <w:sz w:val="13"/>
                <w:szCs w:val="13"/>
              </w:rPr>
            </w:pPr>
            <w:r>
              <w:rPr>
                <w:rFonts w:ascii="宋体" w:hAnsi="宋体" w:cs="宋体" w:eastAsia="宋体" w:hint="default"/>
                <w:sz w:val="13"/>
                <w:szCs w:val="13"/>
              </w:rPr>
              <w:t>比例</w:t>
            </w:r>
          </w:p>
        </w:tc>
        <w:tc>
          <w:tcPr>
            <w:tcW w:w="9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0"/>
              <w:ind w:right="0"/>
              <w:jc w:val="center"/>
              <w:rPr>
                <w:rFonts w:ascii="宋体" w:hAnsi="宋体" w:cs="宋体" w:eastAsia="宋体" w:hint="default"/>
                <w:sz w:val="13"/>
                <w:szCs w:val="13"/>
              </w:rPr>
            </w:pPr>
            <w:r>
              <w:rPr>
                <w:rFonts w:ascii="宋体" w:hAnsi="宋体" w:cs="宋体" w:eastAsia="宋体" w:hint="default"/>
                <w:sz w:val="13"/>
                <w:szCs w:val="13"/>
              </w:rPr>
              <w:t>金额</w:t>
            </w:r>
          </w:p>
        </w:tc>
        <w:tc>
          <w:tcPr>
            <w:tcW w:w="42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0"/>
              <w:ind w:right="0"/>
              <w:jc w:val="center"/>
              <w:rPr>
                <w:rFonts w:ascii="宋体" w:hAnsi="宋体" w:cs="宋体" w:eastAsia="宋体" w:hint="default"/>
                <w:sz w:val="13"/>
                <w:szCs w:val="13"/>
              </w:rPr>
            </w:pPr>
            <w:r>
              <w:rPr>
                <w:rFonts w:ascii="宋体" w:hAnsi="宋体" w:cs="宋体" w:eastAsia="宋体" w:hint="default"/>
                <w:sz w:val="13"/>
                <w:szCs w:val="13"/>
              </w:rPr>
              <w:t>金额</w:t>
            </w: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0"/>
              <w:ind w:left="149" w:right="0"/>
              <w:jc w:val="left"/>
              <w:rPr>
                <w:rFonts w:ascii="宋体" w:hAnsi="宋体" w:cs="宋体" w:eastAsia="宋体" w:hint="default"/>
                <w:sz w:val="13"/>
                <w:szCs w:val="13"/>
              </w:rPr>
            </w:pPr>
            <w:r>
              <w:rPr>
                <w:rFonts w:ascii="宋体" w:hAnsi="宋体" w:cs="宋体" w:eastAsia="宋体" w:hint="default"/>
                <w:sz w:val="13"/>
                <w:szCs w:val="13"/>
              </w:rPr>
              <w:t>比例</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0"/>
              <w:ind w:left="218" w:right="0"/>
              <w:jc w:val="left"/>
              <w:rPr>
                <w:rFonts w:ascii="宋体" w:hAnsi="宋体" w:cs="宋体" w:eastAsia="宋体" w:hint="default"/>
                <w:sz w:val="13"/>
                <w:szCs w:val="13"/>
              </w:rPr>
            </w:pPr>
            <w:r>
              <w:rPr>
                <w:rFonts w:ascii="宋体" w:hAnsi="宋体" w:cs="宋体" w:eastAsia="宋体" w:hint="default"/>
                <w:sz w:val="13"/>
                <w:szCs w:val="13"/>
              </w:rPr>
              <w:t>金额</w:t>
            </w:r>
          </w:p>
        </w:tc>
        <w:tc>
          <w:tcPr>
            <w:tcW w:w="412" w:type="dxa"/>
            <w:vMerge/>
            <w:tcBorders>
              <w:left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1060"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993" w:type="dxa"/>
            <w:vMerge/>
            <w:tcBorders>
              <w:left w:val="single" w:sz="4" w:space="0" w:color="000000"/>
              <w:bottom w:val="nil" w:sz="6" w:space="0" w:color="auto"/>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412" w:type="dxa"/>
            <w:vMerge/>
            <w:tcBorders>
              <w:left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106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412"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39" w:lineRule="auto" w:before="90"/>
              <w:ind w:left="11" w:right="42"/>
              <w:jc w:val="left"/>
              <w:rPr>
                <w:rFonts w:ascii="宋体" w:hAnsi="宋体" w:cs="宋体" w:eastAsia="宋体" w:hint="default"/>
                <w:sz w:val="13"/>
                <w:szCs w:val="13"/>
              </w:rPr>
            </w:pPr>
            <w:r>
              <w:rPr>
                <w:rFonts w:ascii="宋体" w:hAnsi="宋体" w:cs="宋体" w:eastAsia="宋体" w:hint="default"/>
                <w:sz w:val="13"/>
                <w:szCs w:val="13"/>
              </w:rPr>
              <w:t>按信用风险特征组合计提坏</w:t>
            </w:r>
            <w:r>
              <w:rPr>
                <w:rFonts w:ascii="宋体" w:hAnsi="宋体" w:cs="宋体" w:eastAsia="宋体" w:hint="default"/>
                <w:w w:val="99"/>
                <w:sz w:val="13"/>
                <w:szCs w:val="13"/>
              </w:rPr>
              <w:t> </w:t>
            </w:r>
            <w:r>
              <w:rPr>
                <w:rFonts w:ascii="宋体" w:hAnsi="宋体" w:cs="宋体" w:eastAsia="宋体" w:hint="default"/>
                <w:sz w:val="13"/>
                <w:szCs w:val="13"/>
              </w:rPr>
              <w:t>账准备的应收账款</w:t>
            </w:r>
          </w:p>
        </w:tc>
        <w:tc>
          <w:tcPr>
            <w:tcW w:w="10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5"/>
                <w:sz w:val="13"/>
              </w:rPr>
              <w:t>263,978,368.40</w:t>
            </w:r>
            <w:r>
              <w:rPr>
                <w:rFonts w:ascii="Times New Roman"/>
                <w:sz w:val="13"/>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5"/>
                <w:sz w:val="13"/>
              </w:rPr>
              <w:t>2,333,280.13</w:t>
            </w:r>
            <w:r>
              <w:rPr>
                <w:rFonts w:ascii="Times New Roman"/>
                <w:sz w:val="13"/>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0.88%</w:t>
            </w:r>
            <w:r>
              <w:rPr>
                <w:rFonts w:ascii="Times New Roman"/>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261,645,088.27</w:t>
            </w:r>
            <w:r>
              <w:rPr>
                <w:rFonts w:ascii="Times New Roman"/>
                <w:sz w:val="13"/>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spacing w:val="-1"/>
                <w:sz w:val="13"/>
              </w:rPr>
              <w:t>114,776,545.53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916,365.14</w:t>
            </w:r>
            <w:r>
              <w:rPr>
                <w:rFonts w:ascii="Times New Roman"/>
                <w:sz w:val="13"/>
              </w:rPr>
            </w:r>
          </w:p>
        </w:tc>
        <w:tc>
          <w:tcPr>
            <w:tcW w:w="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5"/>
                <w:sz w:val="13"/>
              </w:rPr>
              <w:t>0.80%</w:t>
            </w:r>
            <w:r>
              <w:rPr>
                <w:rFonts w:ascii="Times New Roman"/>
                <w:sz w:val="13"/>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65" w:right="0"/>
              <w:jc w:val="center"/>
              <w:rPr>
                <w:rFonts w:ascii="Times New Roman" w:hAnsi="Times New Roman" w:cs="Times New Roman" w:eastAsia="Times New Roman" w:hint="default"/>
                <w:sz w:val="13"/>
                <w:szCs w:val="13"/>
              </w:rPr>
            </w:pPr>
            <w:r>
              <w:rPr>
                <w:rFonts w:ascii="Times New Roman"/>
                <w:sz w:val="13"/>
              </w:rPr>
              <w:t>113,860,180.39</w:t>
            </w:r>
          </w:p>
        </w:tc>
      </w:tr>
      <w:tr>
        <w:trPr>
          <w:trHeight w:val="402"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1" w:right="0"/>
              <w:jc w:val="left"/>
              <w:rPr>
                <w:rFonts w:ascii="宋体" w:hAnsi="宋体" w:cs="宋体" w:eastAsia="宋体" w:hint="default"/>
                <w:sz w:val="13"/>
                <w:szCs w:val="13"/>
              </w:rPr>
            </w:pPr>
            <w:r>
              <w:rPr>
                <w:rFonts w:ascii="宋体" w:hAnsi="宋体" w:cs="宋体" w:eastAsia="宋体" w:hint="default"/>
                <w:sz w:val="13"/>
                <w:szCs w:val="13"/>
              </w:rPr>
              <w:t>合计</w:t>
            </w:r>
          </w:p>
        </w:tc>
        <w:tc>
          <w:tcPr>
            <w:tcW w:w="10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5"/>
                <w:sz w:val="13"/>
              </w:rPr>
              <w:t>263,978,368.40</w:t>
            </w:r>
            <w:r>
              <w:rPr>
                <w:rFonts w:ascii="Times New Roman"/>
                <w:sz w:val="13"/>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5"/>
                <w:sz w:val="13"/>
              </w:rPr>
              <w:t>2,333,280.13</w:t>
            </w:r>
            <w:r>
              <w:rPr>
                <w:rFonts w:ascii="Times New Roman"/>
                <w:sz w:val="13"/>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0.88%</w:t>
            </w:r>
            <w:r>
              <w:rPr>
                <w:rFonts w:ascii="Times New Roman"/>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261,645,088.27</w:t>
            </w:r>
            <w:r>
              <w:rPr>
                <w:rFonts w:ascii="Times New Roman"/>
                <w:sz w:val="13"/>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spacing w:val="-1"/>
                <w:sz w:val="13"/>
              </w:rPr>
              <w:t>114,776,545.53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916,365.14</w:t>
            </w:r>
            <w:r>
              <w:rPr>
                <w:rFonts w:ascii="Times New Roman"/>
                <w:sz w:val="13"/>
              </w:rPr>
            </w:r>
          </w:p>
        </w:tc>
        <w:tc>
          <w:tcPr>
            <w:tcW w:w="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5"/>
                <w:sz w:val="13"/>
              </w:rPr>
              <w:t>0.80%</w:t>
            </w:r>
            <w:r>
              <w:rPr>
                <w:rFonts w:ascii="Times New Roman"/>
                <w:sz w:val="13"/>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65" w:right="0"/>
              <w:jc w:val="center"/>
              <w:rPr>
                <w:rFonts w:ascii="Times New Roman" w:hAnsi="Times New Roman" w:cs="Times New Roman" w:eastAsia="Times New Roman" w:hint="default"/>
                <w:sz w:val="13"/>
                <w:szCs w:val="13"/>
              </w:rPr>
            </w:pPr>
            <w:r>
              <w:rPr>
                <w:rFonts w:ascii="Times New Roman"/>
                <w:sz w:val="13"/>
              </w:rPr>
              <w:t>113,860,180.39</w:t>
            </w:r>
          </w:p>
        </w:tc>
      </w:tr>
    </w:tbl>
    <w:p>
      <w:pPr>
        <w:spacing w:after="0" w:line="240" w:lineRule="auto"/>
        <w:jc w:val="center"/>
        <w:rPr>
          <w:rFonts w:ascii="Times New Roman" w:hAnsi="Times New Roman" w:cs="Times New Roman" w:eastAsia="Times New Roman" w:hint="default"/>
          <w:sz w:val="13"/>
          <w:szCs w:val="13"/>
        </w:rPr>
        <w:sectPr>
          <w:pgSz w:w="11910" w:h="16840"/>
          <w:pgMar w:header="87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13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206,031,221.46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2,060,312.21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206,031,221.46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2,060,312.21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2,303,429.20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230,342.92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23,625.00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23,625.00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208,476,900.66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2,333,280.13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1.12%</w:t>
            </w:r>
          </w:p>
        </w:tc>
      </w:tr>
    </w:tbl>
    <w:p>
      <w:pPr>
        <w:spacing w:line="360" w:lineRule="auto" w:before="51"/>
        <w:ind w:left="113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6" w:lineRule="auto" w:before="26"/>
        <w:ind w:left="1133" w:right="6793" w:firstLine="0"/>
        <w:jc w:val="left"/>
        <w:rPr>
          <w:rFonts w:ascii="宋体" w:hAnsi="宋体" w:cs="宋体" w:eastAsia="宋体" w:hint="default"/>
          <w:sz w:val="21"/>
          <w:szCs w:val="21"/>
        </w:rPr>
      </w:pPr>
      <w:r>
        <w:rPr/>
        <w:pict>
          <v:shape style="position:absolute;margin-left:56.34pt;margin-top:51.531719pt;width:479.55pt;height:18.1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94"/>
                    <w:gridCol w:w="7075"/>
                  </w:tblGrid>
                  <w:tr>
                    <w:trPr>
                      <w:trHeight w:val="347" w:hRule="exact"/>
                    </w:trPr>
                    <w:tc>
                      <w:tcPr>
                        <w:tcW w:w="24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70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w:t>
      </w:r>
      <w:r>
        <w:rPr>
          <w:rFonts w:ascii="宋体" w:hAnsi="宋体" w:cs="宋体" w:eastAsia="宋体" w:hint="default"/>
          <w:sz w:val="21"/>
          <w:szCs w:val="21"/>
        </w:rPr>
        <w:t>按关联方组合计提坏账准备的应收账款</w:t>
      </w:r>
    </w:p>
    <w:p>
      <w:pPr>
        <w:spacing w:after="0" w:line="336" w:lineRule="auto"/>
        <w:jc w:val="left"/>
        <w:rPr>
          <w:rFonts w:ascii="宋体" w:hAnsi="宋体" w:cs="宋体" w:eastAsia="宋体" w:hint="default"/>
          <w:sz w:val="21"/>
          <w:szCs w:val="21"/>
        </w:rPr>
        <w:sectPr>
          <w:type w:val="continuous"/>
          <w:pgSz w:w="11910" w:h="16840"/>
          <w:pgMar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26" w:type="dxa"/>
        <w:tblLayout w:type="fixed"/>
        <w:tblCellMar>
          <w:top w:w="0" w:type="dxa"/>
          <w:left w:w="0" w:type="dxa"/>
          <w:bottom w:w="0" w:type="dxa"/>
          <w:right w:w="0" w:type="dxa"/>
        </w:tblCellMar>
        <w:tblLook w:val="01E0"/>
      </w:tblPr>
      <w:tblGrid>
        <w:gridCol w:w="2494"/>
        <w:gridCol w:w="2295"/>
        <w:gridCol w:w="2391"/>
        <w:gridCol w:w="2389"/>
      </w:tblGrid>
      <w:tr>
        <w:trPr>
          <w:trHeight w:val="347" w:hRule="exact"/>
        </w:trPr>
        <w:tc>
          <w:tcPr>
            <w:tcW w:w="249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2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1" w:lineRule="exact"/>
              <w:ind w:left="76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1" w:lineRule="exact"/>
              <w:ind w:left="766"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660" w:hRule="exact"/>
        </w:trPr>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65"/>
              <w:jc w:val="left"/>
              <w:rPr>
                <w:rFonts w:ascii="宋体" w:hAnsi="宋体" w:cs="宋体" w:eastAsia="宋体" w:hint="default"/>
                <w:sz w:val="21"/>
                <w:szCs w:val="21"/>
              </w:rPr>
            </w:pPr>
            <w:r>
              <w:rPr>
                <w:rFonts w:ascii="宋体" w:hAnsi="宋体" w:cs="宋体" w:eastAsia="宋体" w:hint="default"/>
                <w:sz w:val="21"/>
                <w:szCs w:val="21"/>
              </w:rPr>
              <w:t>按关联方组合计提坏账准 备的应收账款</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70" w:right="0"/>
              <w:jc w:val="left"/>
              <w:rPr>
                <w:rFonts w:ascii="Times New Roman" w:hAnsi="Times New Roman" w:cs="Times New Roman" w:eastAsia="Times New Roman" w:hint="default"/>
                <w:sz w:val="21"/>
                <w:szCs w:val="21"/>
              </w:rPr>
            </w:pPr>
            <w:r>
              <w:rPr>
                <w:rFonts w:ascii="Times New Roman"/>
                <w:sz w:val="21"/>
              </w:rPr>
              <w:t>55,501,467.74</w:t>
            </w:r>
          </w:p>
        </w:tc>
        <w:tc>
          <w:tcPr>
            <w:tcW w:w="2391" w:type="dxa"/>
            <w:tcBorders>
              <w:top w:val="single" w:sz="6" w:space="0" w:color="000000"/>
              <w:left w:val="single" w:sz="6" w:space="0" w:color="000000"/>
              <w:bottom w:val="single" w:sz="6" w:space="0" w:color="000000"/>
              <w:right w:val="single" w:sz="6" w:space="0" w:color="000000"/>
            </w:tcBorders>
          </w:tcPr>
          <w:p>
            <w:pPr/>
          </w:p>
        </w:tc>
        <w:tc>
          <w:tcPr>
            <w:tcW w:w="238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5"/>
        <w:ind w:left="1134" w:right="3499"/>
        <w:jc w:val="left"/>
        <w:rPr>
          <w:b w:val="0"/>
          <w:bCs w:val="0"/>
        </w:rPr>
      </w:pPr>
      <w:bookmarkStart w:name="（2）本期计提、收回或转回的坏账准备情况" w:id="498"/>
      <w:bookmarkEnd w:id="49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060" w:bottom="1160" w:left="0" w:right="0"/>
        </w:sectPr>
      </w:pPr>
    </w:p>
    <w:p>
      <w:pPr>
        <w:spacing w:line="338" w:lineRule="auto" w:before="44"/>
        <w:ind w:left="113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1,416,914.99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7434" w:space="1395"/>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3）本期实际核销的应收账款情况" w:id="499"/>
      <w:bookmarkEnd w:id="49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3"/>
        <w:spacing w:line="240" w:lineRule="auto"/>
        <w:ind w:left="1134" w:right="3499"/>
        <w:jc w:val="left"/>
        <w:rPr>
          <w:b w:val="0"/>
          <w:bCs w:val="0"/>
        </w:rPr>
      </w:pPr>
      <w:bookmarkStart w:name="（4）按欠款方归集的期末余额前五名的应收账款情况" w:id="500"/>
      <w:bookmarkEnd w:id="50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right="0"/>
        <w:jc w:val="left"/>
      </w:pPr>
      <w:r>
        <w:rPr>
          <w:spacing w:val="-2"/>
        </w:rPr>
        <w:t>本期按欠款方归集的期末余额前五名应收账款汇总金额</w:t>
      </w:r>
      <w:r>
        <w:rPr>
          <w:rFonts w:ascii="Times New Roman" w:hAnsi="Times New Roman" w:cs="Times New Roman" w:eastAsia="Times New Roman" w:hint="default"/>
          <w:spacing w:val="-2"/>
        </w:rPr>
        <w:t>162,610,246.93</w:t>
      </w:r>
      <w:r>
        <w:rPr>
          <w:spacing w:val="-2"/>
        </w:rPr>
        <w:t>元，占应收账款期末余额合计数的比</w:t>
      </w:r>
      <w:r>
        <w:rPr>
          <w:spacing w:val="-74"/>
        </w:rPr>
        <w:t> </w:t>
      </w:r>
      <w:r>
        <w:rPr>
          <w:spacing w:val="-74"/>
        </w:rPr>
      </w:r>
      <w:r>
        <w:rPr/>
        <w:t>例</w:t>
      </w:r>
      <w:r>
        <w:rPr>
          <w:rFonts w:ascii="Times New Roman" w:hAnsi="Times New Roman" w:cs="Times New Roman" w:eastAsia="Times New Roman" w:hint="default"/>
        </w:rPr>
        <w:t>61.60%</w:t>
      </w:r>
      <w:r>
        <w:rPr/>
        <w:t>，相应计提的坏账准备期末余额汇总金额</w:t>
      </w:r>
      <w:r>
        <w:rPr>
          <w:rFonts w:ascii="Times New Roman" w:hAnsi="Times New Roman" w:cs="Times New Roman" w:eastAsia="Times New Roman" w:hint="default"/>
        </w:rPr>
        <w:t>1,091,403.94</w:t>
      </w:r>
      <w:r>
        <w:rPr/>
        <w:t>元。</w:t>
      </w:r>
    </w:p>
    <w:p>
      <w:pPr>
        <w:spacing w:line="240" w:lineRule="auto" w:before="5"/>
        <w:rPr>
          <w:rFonts w:ascii="宋体" w:hAnsi="宋体" w:cs="宋体" w:eastAsia="宋体" w:hint="default"/>
          <w:sz w:val="23"/>
          <w:szCs w:val="23"/>
        </w:rPr>
      </w:pPr>
    </w:p>
    <w:p>
      <w:pPr>
        <w:pStyle w:val="Heading3"/>
        <w:spacing w:line="240" w:lineRule="auto"/>
        <w:ind w:left="1134" w:right="3499"/>
        <w:jc w:val="left"/>
        <w:rPr>
          <w:b w:val="0"/>
          <w:bCs w:val="0"/>
        </w:rPr>
      </w:pPr>
      <w:bookmarkStart w:name="（5）因金融资产转移而终止确认的应收账款" w:id="501"/>
      <w:bookmarkEnd w:id="501"/>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3499"/>
        <w:jc w:val="left"/>
        <w:rPr>
          <w:b w:val="0"/>
          <w:bCs w:val="0"/>
        </w:rPr>
      </w:pPr>
      <w:bookmarkStart w:name="（6）转移应收账款且继续涉入形成的资产、负债金额" w:id="502"/>
      <w:bookmarkEnd w:id="502"/>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left="1134" w:right="3499"/>
        <w:jc w:val="left"/>
        <w:rPr>
          <w:b w:val="0"/>
          <w:bCs w:val="0"/>
        </w:rPr>
      </w:pPr>
      <w:bookmarkStart w:name="2、其他应收款" w:id="503"/>
      <w:bookmarkEnd w:id="503"/>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3499"/>
        <w:jc w:val="left"/>
        <w:rPr>
          <w:b w:val="0"/>
          <w:bCs w:val="0"/>
        </w:rPr>
      </w:pPr>
      <w:bookmarkStart w:name="（1）其他应收款分类披露" w:id="504"/>
      <w:bookmarkEnd w:id="50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906"/>
        <w:gridCol w:w="510"/>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宋体" w:hAnsi="宋体" w:cs="宋体" w:eastAsia="宋体" w:hint="default"/>
                <w:sz w:val="13"/>
                <w:szCs w:val="13"/>
              </w:rPr>
            </w:pPr>
            <w:r>
              <w:rPr>
                <w:rFonts w:ascii="宋体" w:hAnsi="宋体" w:cs="宋体" w:eastAsia="宋体" w:hint="default"/>
                <w:sz w:val="13"/>
                <w:szCs w:val="13"/>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宋体" w:hAnsi="宋体" w:cs="宋体" w:eastAsia="宋体" w:hint="default"/>
                <w:sz w:val="13"/>
                <w:szCs w:val="13"/>
              </w:rPr>
            </w:pPr>
            <w:r>
              <w:rPr>
                <w:rFonts w:ascii="宋体" w:hAnsi="宋体" w:cs="宋体" w:eastAsia="宋体" w:hint="default"/>
                <w:sz w:val="13"/>
                <w:szCs w:val="13"/>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96" w:right="0"/>
              <w:jc w:val="left"/>
              <w:rPr>
                <w:rFonts w:ascii="宋体" w:hAnsi="宋体" w:cs="宋体" w:eastAsia="宋体" w:hint="default"/>
                <w:sz w:val="13"/>
                <w:szCs w:val="13"/>
              </w:rPr>
            </w:pPr>
            <w:r>
              <w:rPr>
                <w:rFonts w:ascii="宋体" w:hAnsi="宋体" w:cs="宋体" w:eastAsia="宋体" w:hint="default"/>
                <w:sz w:val="13"/>
                <w:szCs w:val="13"/>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96" w:right="0"/>
              <w:jc w:val="left"/>
              <w:rPr>
                <w:rFonts w:ascii="宋体" w:hAnsi="宋体" w:cs="宋体" w:eastAsia="宋体" w:hint="default"/>
                <w:sz w:val="13"/>
                <w:szCs w:val="13"/>
              </w:rPr>
            </w:pPr>
            <w:r>
              <w:rPr>
                <w:rFonts w:ascii="宋体" w:hAnsi="宋体" w:cs="宋体" w:eastAsia="宋体" w:hint="default"/>
                <w:sz w:val="13"/>
                <w:szCs w:val="13"/>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30" w:right="0"/>
              <w:jc w:val="left"/>
              <w:rPr>
                <w:rFonts w:ascii="宋体" w:hAnsi="宋体" w:cs="宋体" w:eastAsia="宋体" w:hint="default"/>
                <w:sz w:val="13"/>
                <w:szCs w:val="13"/>
              </w:rPr>
            </w:pPr>
            <w:r>
              <w:rPr>
                <w:rFonts w:ascii="宋体" w:hAnsi="宋体" w:cs="宋体" w:eastAsia="宋体" w:hint="default"/>
                <w:sz w:val="13"/>
                <w:szCs w:val="13"/>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42" w:right="0"/>
              <w:jc w:val="left"/>
              <w:rPr>
                <w:rFonts w:ascii="宋体" w:hAnsi="宋体" w:cs="宋体" w:eastAsia="宋体" w:hint="default"/>
                <w:sz w:val="13"/>
                <w:szCs w:val="13"/>
              </w:rPr>
            </w:pPr>
            <w:r>
              <w:rPr>
                <w:rFonts w:ascii="宋体" w:hAnsi="宋体" w:cs="宋体" w:eastAsia="宋体" w:hint="default"/>
                <w:sz w:val="13"/>
                <w:szCs w:val="13"/>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宋体" w:hAnsi="宋体" w:cs="宋体" w:eastAsia="宋体" w:hint="default"/>
                <w:sz w:val="13"/>
                <w:szCs w:val="13"/>
              </w:rPr>
            </w:pPr>
            <w:r>
              <w:rPr>
                <w:rFonts w:ascii="宋体" w:hAnsi="宋体" w:cs="宋体" w:eastAsia="宋体" w:hint="default"/>
                <w:sz w:val="13"/>
                <w:szCs w:val="13"/>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00" w:right="0"/>
              <w:jc w:val="left"/>
              <w:rPr>
                <w:rFonts w:ascii="宋体" w:hAnsi="宋体" w:cs="宋体" w:eastAsia="宋体" w:hint="default"/>
                <w:sz w:val="13"/>
                <w:szCs w:val="13"/>
              </w:rPr>
            </w:pPr>
            <w:r>
              <w:rPr>
                <w:rFonts w:ascii="宋体" w:hAnsi="宋体" w:cs="宋体" w:eastAsia="宋体" w:hint="default"/>
                <w:sz w:val="13"/>
                <w:szCs w:val="13"/>
              </w:rPr>
              <w:t>账面价值</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5" w:right="0"/>
              <w:jc w:val="left"/>
              <w:rPr>
                <w:rFonts w:ascii="宋体" w:hAnsi="宋体" w:cs="宋体" w:eastAsia="宋体" w:hint="default"/>
                <w:sz w:val="13"/>
                <w:szCs w:val="13"/>
              </w:rPr>
            </w:pPr>
            <w:r>
              <w:rPr>
                <w:rFonts w:ascii="宋体" w:hAnsi="宋体" w:cs="宋体" w:eastAsia="宋体" w:hint="default"/>
                <w:sz w:val="13"/>
                <w:szCs w:val="13"/>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4" w:right="0"/>
              <w:jc w:val="left"/>
              <w:rPr>
                <w:rFonts w:ascii="宋体" w:hAnsi="宋体" w:cs="宋体" w:eastAsia="宋体" w:hint="default"/>
                <w:sz w:val="13"/>
                <w:szCs w:val="13"/>
              </w:rPr>
            </w:pPr>
            <w:r>
              <w:rPr>
                <w:rFonts w:ascii="宋体" w:hAnsi="宋体" w:cs="宋体" w:eastAsia="宋体" w:hint="default"/>
                <w:sz w:val="13"/>
                <w:szCs w:val="13"/>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4" w:right="0"/>
              <w:jc w:val="left"/>
              <w:rPr>
                <w:rFonts w:ascii="宋体" w:hAnsi="宋体" w:cs="宋体" w:eastAsia="宋体" w:hint="default"/>
                <w:sz w:val="13"/>
                <w:szCs w:val="13"/>
              </w:rPr>
            </w:pPr>
            <w:r>
              <w:rPr>
                <w:rFonts w:ascii="宋体" w:hAnsi="宋体" w:cs="宋体" w:eastAsia="宋体" w:hint="default"/>
                <w:sz w:val="13"/>
                <w:szCs w:val="13"/>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6" w:right="0"/>
              <w:jc w:val="left"/>
              <w:rPr>
                <w:rFonts w:ascii="宋体" w:hAnsi="宋体" w:cs="宋体" w:eastAsia="宋体" w:hint="default"/>
                <w:sz w:val="13"/>
                <w:szCs w:val="13"/>
              </w:rPr>
            </w:pPr>
            <w:r>
              <w:rPr>
                <w:rFonts w:ascii="宋体" w:hAnsi="宋体" w:cs="宋体" w:eastAsia="宋体" w:hint="default"/>
                <w:sz w:val="13"/>
                <w:szCs w:val="13"/>
              </w:rPr>
              <w:t>计提比例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宋体" w:hAnsi="宋体" w:cs="宋体" w:eastAsia="宋体" w:hint="default"/>
                <w:sz w:val="13"/>
                <w:szCs w:val="13"/>
              </w:rPr>
            </w:pPr>
            <w:r>
              <w:rPr>
                <w:rFonts w:ascii="宋体" w:hAnsi="宋体" w:cs="宋体" w:eastAsia="宋体" w:hint="default"/>
                <w:sz w:val="13"/>
                <w:szCs w:val="13"/>
              </w:rPr>
              <w:t>金额</w:t>
            </w:r>
          </w:p>
        </w:tc>
        <w:tc>
          <w:tcPr>
            <w:tcW w:w="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8" w:right="0"/>
              <w:jc w:val="left"/>
              <w:rPr>
                <w:rFonts w:ascii="宋体" w:hAnsi="宋体" w:cs="宋体" w:eastAsia="宋体" w:hint="default"/>
                <w:sz w:val="13"/>
                <w:szCs w:val="13"/>
              </w:rPr>
            </w:pPr>
            <w:r>
              <w:rPr>
                <w:rFonts w:ascii="宋体" w:hAnsi="宋体" w:cs="宋体" w:eastAsia="宋体" w:hint="default"/>
                <w:sz w:val="13"/>
                <w:szCs w:val="13"/>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宋体" w:hAnsi="宋体" w:cs="宋体" w:eastAsia="宋体" w:hint="default"/>
                <w:sz w:val="13"/>
                <w:szCs w:val="13"/>
              </w:rPr>
            </w:pPr>
            <w:r>
              <w:rPr>
                <w:rFonts w:ascii="宋体" w:hAnsi="宋体" w:cs="宋体" w:eastAsia="宋体" w:hint="default"/>
                <w:sz w:val="13"/>
                <w:szCs w:val="13"/>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1" w:right="0"/>
              <w:jc w:val="left"/>
              <w:rPr>
                <w:rFonts w:ascii="宋体" w:hAnsi="宋体" w:cs="宋体" w:eastAsia="宋体" w:hint="default"/>
                <w:sz w:val="13"/>
                <w:szCs w:val="13"/>
              </w:rPr>
            </w:pPr>
            <w:r>
              <w:rPr>
                <w:rFonts w:ascii="宋体" w:hAnsi="宋体" w:cs="宋体" w:eastAsia="宋体" w:hint="default"/>
                <w:sz w:val="13"/>
                <w:szCs w:val="13"/>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906"/>
        <w:gridCol w:w="510"/>
        <w:gridCol w:w="813"/>
        <w:gridCol w:w="932"/>
        <w:gridCol w:w="93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41" w:lineRule="auto" w:before="90"/>
              <w:ind w:left="22" w:right="41"/>
              <w:jc w:val="left"/>
              <w:rPr>
                <w:rFonts w:ascii="宋体" w:hAnsi="宋体" w:cs="宋体" w:eastAsia="宋体" w:hint="default"/>
                <w:sz w:val="13"/>
                <w:szCs w:val="13"/>
              </w:rPr>
            </w:pPr>
            <w:r>
              <w:rPr>
                <w:rFonts w:ascii="宋体" w:hAnsi="宋体" w:cs="宋体" w:eastAsia="宋体" w:hint="default"/>
                <w:sz w:val="13"/>
                <w:szCs w:val="13"/>
              </w:rPr>
              <w:t>按信用风险特征组合计提坏</w:t>
            </w:r>
            <w:r>
              <w:rPr>
                <w:rFonts w:ascii="宋体" w:hAnsi="宋体" w:cs="宋体" w:eastAsia="宋体" w:hint="default"/>
                <w:w w:val="99"/>
                <w:sz w:val="13"/>
                <w:szCs w:val="13"/>
              </w:rPr>
              <w:t> </w:t>
            </w:r>
            <w:r>
              <w:rPr>
                <w:rFonts w:ascii="宋体" w:hAnsi="宋体" w:cs="宋体" w:eastAsia="宋体" w:hint="default"/>
                <w:sz w:val="13"/>
                <w:szCs w:val="13"/>
              </w:rPr>
              <w:t>账准备的其他应收款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22" w:right="0"/>
              <w:jc w:val="center"/>
              <w:rPr>
                <w:rFonts w:ascii="Times New Roman" w:hAnsi="Times New Roman" w:cs="Times New Roman" w:eastAsia="Times New Roman" w:hint="default"/>
                <w:sz w:val="13"/>
                <w:szCs w:val="13"/>
              </w:rPr>
            </w:pPr>
            <w:r>
              <w:rPr>
                <w:rFonts w:ascii="Times New Roman"/>
                <w:sz w:val="13"/>
              </w:rPr>
              <w:t>1,438,985.62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373,875.70</w:t>
            </w:r>
            <w:r>
              <w:rPr>
                <w:rFonts w:ascii="Times New Roman"/>
                <w:sz w:val="13"/>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5"/>
                <w:sz w:val="13"/>
              </w:rPr>
              <w:t>25.98%</w:t>
            </w:r>
            <w:r>
              <w:rPr>
                <w:rFonts w:ascii="Times New Roman"/>
                <w:sz w:val="13"/>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50" w:right="0"/>
              <w:jc w:val="center"/>
              <w:rPr>
                <w:rFonts w:ascii="Times New Roman" w:hAnsi="Times New Roman" w:cs="Times New Roman" w:eastAsia="Times New Roman" w:hint="default"/>
                <w:sz w:val="13"/>
                <w:szCs w:val="13"/>
              </w:rPr>
            </w:pPr>
            <w:r>
              <w:rPr>
                <w:rFonts w:ascii="Times New Roman"/>
                <w:sz w:val="13"/>
              </w:rPr>
              <w:t>1,065,109.92</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1,516,737.25</w:t>
            </w:r>
            <w:r>
              <w:rPr>
                <w:rFonts w:ascii="Times New Roman"/>
                <w:sz w:val="13"/>
              </w:rPr>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267,285.19</w:t>
            </w:r>
            <w:r>
              <w:rPr>
                <w:rFonts w:ascii="Times New Roman"/>
                <w:sz w:val="13"/>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5"/>
                <w:sz w:val="13"/>
              </w:rPr>
              <w:t>17.62%</w:t>
            </w:r>
            <w:r>
              <w:rPr>
                <w:rFonts w:ascii="Times New Roman"/>
                <w:sz w:val="13"/>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1,249,452.06</w:t>
            </w:r>
            <w:r>
              <w:rPr>
                <w:rFonts w:ascii="Times New Roman"/>
                <w:sz w:val="13"/>
              </w:rPr>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22" w:right="0"/>
              <w:jc w:val="left"/>
              <w:rPr>
                <w:rFonts w:ascii="宋体" w:hAnsi="宋体" w:cs="宋体" w:eastAsia="宋体" w:hint="default"/>
                <w:sz w:val="13"/>
                <w:szCs w:val="13"/>
              </w:rPr>
            </w:pPr>
            <w:r>
              <w:rPr>
                <w:rFonts w:ascii="宋体" w:hAnsi="宋体" w:cs="宋体" w:eastAsia="宋体" w:hint="default"/>
                <w:sz w:val="13"/>
                <w:szCs w:val="13"/>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22" w:right="0"/>
              <w:jc w:val="center"/>
              <w:rPr>
                <w:rFonts w:ascii="Times New Roman" w:hAnsi="Times New Roman" w:cs="Times New Roman" w:eastAsia="Times New Roman" w:hint="default"/>
                <w:sz w:val="13"/>
                <w:szCs w:val="13"/>
              </w:rPr>
            </w:pPr>
            <w:r>
              <w:rPr>
                <w:rFonts w:ascii="Times New Roman"/>
                <w:sz w:val="13"/>
              </w:rPr>
              <w:t>1,438,985.62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373,875.70</w:t>
            </w:r>
            <w:r>
              <w:rPr>
                <w:rFonts w:ascii="Times New Roman"/>
                <w:sz w:val="13"/>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5"/>
                <w:sz w:val="13"/>
              </w:rPr>
              <w:t>25.98%</w:t>
            </w:r>
            <w:r>
              <w:rPr>
                <w:rFonts w:ascii="Times New Roman"/>
                <w:sz w:val="13"/>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50" w:right="0"/>
              <w:jc w:val="center"/>
              <w:rPr>
                <w:rFonts w:ascii="Times New Roman" w:hAnsi="Times New Roman" w:cs="Times New Roman" w:eastAsia="Times New Roman" w:hint="default"/>
                <w:sz w:val="13"/>
                <w:szCs w:val="13"/>
              </w:rPr>
            </w:pPr>
            <w:r>
              <w:rPr>
                <w:rFonts w:ascii="Times New Roman"/>
                <w:sz w:val="13"/>
              </w:rPr>
              <w:t>1,065,109.92</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1,516,737.25</w:t>
            </w:r>
            <w:r>
              <w:rPr>
                <w:rFonts w:ascii="Times New Roman"/>
                <w:sz w:val="13"/>
              </w:rPr>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267,285.19</w:t>
            </w:r>
            <w:r>
              <w:rPr>
                <w:rFonts w:ascii="Times New Roman"/>
                <w:sz w:val="13"/>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5"/>
                <w:sz w:val="13"/>
              </w:rPr>
              <w:t>17.62%</w:t>
            </w:r>
            <w:r>
              <w:rPr>
                <w:rFonts w:ascii="Times New Roman"/>
                <w:sz w:val="13"/>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1,249,452.06</w:t>
            </w:r>
            <w:r>
              <w:rPr>
                <w:rFonts w:ascii="Times New Roman"/>
                <w:sz w:val="13"/>
              </w:rPr>
            </w:r>
          </w:p>
        </w:tc>
      </w:tr>
    </w:tbl>
    <w:p>
      <w:pPr>
        <w:spacing w:after="0" w:line="240" w:lineRule="auto"/>
        <w:jc w:val="right"/>
        <w:rPr>
          <w:rFonts w:ascii="Times New Roman" w:hAnsi="Times New Roman" w:cs="Times New Roman" w:eastAsia="Times New Roman" w:hint="default"/>
          <w:sz w:val="13"/>
          <w:szCs w:val="13"/>
        </w:rPr>
        <w:sectPr>
          <w:pgSz w:w="11910" w:h="16840"/>
          <w:pgMar w:header="87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3"/>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455" w:space="337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947,211.81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9,472.12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947,211.81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9,472.12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71,856.81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7,185.68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132,997.00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93,097.90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132,997.00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93,097.90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258,420.00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258,420.00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1,438,985.62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373,875.70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25.98%</w:t>
            </w:r>
          </w:p>
        </w:tc>
      </w:tr>
    </w:tbl>
    <w:p>
      <w:pPr>
        <w:spacing w:line="357" w:lineRule="auto" w:before="51"/>
        <w:ind w:left="113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3499"/>
        <w:jc w:val="left"/>
        <w:rPr>
          <w:b w:val="0"/>
          <w:bCs w:val="0"/>
        </w:rPr>
      </w:pPr>
      <w:bookmarkStart w:name="（2）本期计提、收回或转回的坏账准备情况" w:id="505"/>
      <w:bookmarkEnd w:id="50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spacing w:line="340" w:lineRule="auto" w:before="44"/>
        <w:ind w:left="1133"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106,590.51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7300" w:space="1530"/>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3）本期实际核销的其他应收款情况" w:id="506"/>
      <w:bookmarkEnd w:id="506"/>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after="0"/>
        <w:jc w:val="left"/>
        <w:rPr>
          <w:rFonts w:ascii="宋体" w:hAnsi="宋体" w:cs="宋体" w:eastAsia="宋体" w:hint="default"/>
          <w:sz w:val="18"/>
          <w:szCs w:val="18"/>
        </w:rPr>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2"/>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0"/>
        <w:rPr>
          <w:rFonts w:ascii="宋体" w:hAnsi="宋体" w:cs="宋体" w:eastAsia="宋体" w:hint="default"/>
          <w:sz w:val="26"/>
          <w:szCs w:val="26"/>
        </w:rPr>
      </w:pPr>
    </w:p>
    <w:p>
      <w:pPr>
        <w:pStyle w:val="Heading3"/>
        <w:spacing w:line="240" w:lineRule="auto"/>
        <w:ind w:left="1134" w:right="3499"/>
        <w:jc w:val="left"/>
        <w:rPr>
          <w:b w:val="0"/>
          <w:bCs w:val="0"/>
        </w:rPr>
      </w:pPr>
      <w:bookmarkStart w:name="（4）其他应收款按款项性质分类情况" w:id="507"/>
      <w:bookmarkEnd w:id="507"/>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778,378.31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1,513,215.25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员工预支款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660,607.31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3,522.00</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1,438,985.62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1,516,737.25</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5）按欠款方归集的期末余额前五名的其他应收款情况" w:id="508"/>
      <w:bookmarkEnd w:id="508"/>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北京市海淀区欣华农 工商公司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房屋保证金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532,818.00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年以下，</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37.03%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352,931.91</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中国电子进出口总公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80,500.00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年以下</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805.00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北方工业大学</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质量保证金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年以下</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北京优鼎嘉贸易有限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报关保证金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24,252.88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年以下，</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417.97</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北京国网富达科技发 展有限责任公司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年以下</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675,470.88</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354,533.88</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6）涉及政府补助的应收款项" w:id="509"/>
      <w:bookmarkEnd w:id="509"/>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7）因金融资产转移而终止确认的其他应收款" w:id="510"/>
      <w:bookmarkEnd w:id="510"/>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3499"/>
        <w:jc w:val="left"/>
        <w:rPr>
          <w:b w:val="0"/>
          <w:bCs w:val="0"/>
        </w:rPr>
      </w:pPr>
      <w:bookmarkStart w:name="（8）转移其他应收款且继续涉入形成的资产、负债金额" w:id="511"/>
      <w:bookmarkEnd w:id="511"/>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3499"/>
        <w:jc w:val="left"/>
        <w:rPr>
          <w:b w:val="0"/>
          <w:bCs w:val="0"/>
        </w:rPr>
      </w:pPr>
      <w:bookmarkStart w:name="3、长期股权投资" w:id="512"/>
      <w:bookmarkEnd w:id="51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111,684,569.05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111,684,569.05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103,434,569.05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103,434,569.05</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20,812,427.15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20,812,427.15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996,125.00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996,125.00</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132,496,996.20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132,496,996.20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104,430,694.05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104,430,694.05</w:t>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1）对子公司投资" w:id="513"/>
      <w:bookmarkEnd w:id="51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中科创达软件科 </w:t>
            </w:r>
            <w:r>
              <w:rPr>
                <w:rFonts w:ascii="宋体" w:hAnsi="宋体" w:cs="宋体" w:eastAsia="宋体" w:hint="default"/>
                <w:spacing w:val="-7"/>
                <w:sz w:val="18"/>
                <w:szCs w:val="18"/>
              </w:rPr>
              <w:t>技（日本）有限公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9,391,939.05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9,391,939.05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畅索软件科技（上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海）有限公司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北京信恒创科技 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4,900,000.00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4,900,000.00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中科创达软件科 </w:t>
            </w:r>
            <w:r>
              <w:rPr>
                <w:rFonts w:ascii="宋体" w:hAnsi="宋体" w:cs="宋体" w:eastAsia="宋体" w:hint="default"/>
                <w:spacing w:val="-7"/>
                <w:sz w:val="18"/>
                <w:szCs w:val="18"/>
              </w:rPr>
              <w:t>技（深圳）有限公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南京中科创达软 件科技有限公司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成都中科创达软 件有限公司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香港天集有限公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19,142,630.00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19,142,630.00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西安中科创达软 件有限公司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大连中科创达软 件有限公司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沈阳中科创达软 件有限公司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深圳互连科技有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青柠优视科技（北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京）有限公司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103,434,569.05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111,684,569.05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2）对联营、合营企业投资" w:id="514"/>
      <w:bookmarkEnd w:id="514"/>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2"/>
        <w:gridCol w:w="1051"/>
        <w:gridCol w:w="1134"/>
        <w:gridCol w:w="425"/>
        <w:gridCol w:w="994"/>
        <w:gridCol w:w="708"/>
        <w:gridCol w:w="851"/>
        <w:gridCol w:w="709"/>
        <w:gridCol w:w="515"/>
        <w:gridCol w:w="619"/>
        <w:gridCol w:w="1134"/>
        <w:gridCol w:w="641"/>
      </w:tblGrid>
      <w:tr>
        <w:trPr>
          <w:trHeight w:val="402" w:hRule="exact"/>
        </w:trPr>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0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45" w:right="43"/>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2"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 w:right="26"/>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0" w:right="41"/>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8" w:right="78"/>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 w:right="71"/>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4"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7"/>
              <w:jc w:val="both"/>
              <w:rPr>
                <w:rFonts w:ascii="宋体" w:hAnsi="宋体" w:cs="宋体" w:eastAsia="宋体" w:hint="default"/>
                <w:sz w:val="18"/>
                <w:szCs w:val="18"/>
              </w:rPr>
            </w:pPr>
            <w:r>
              <w:rPr>
                <w:rFonts w:ascii="宋体" w:hAnsi="宋体" w:cs="宋体" w:eastAsia="宋体" w:hint="default"/>
                <w:sz w:val="18"/>
                <w:szCs w:val="18"/>
              </w:rPr>
              <w:t>中天智慧 科技有限 公司</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-2,575.71</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15"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4,097,424.29</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7"/>
              <w:jc w:val="both"/>
              <w:rPr>
                <w:rFonts w:ascii="宋体" w:hAnsi="宋体" w:cs="宋体" w:eastAsia="宋体" w:hint="default"/>
                <w:sz w:val="18"/>
                <w:szCs w:val="18"/>
              </w:rPr>
            </w:pPr>
            <w:r>
              <w:rPr>
                <w:rFonts w:ascii="宋体" w:hAnsi="宋体" w:cs="宋体" w:eastAsia="宋体" w:hint="default"/>
                <w:sz w:val="18"/>
                <w:szCs w:val="18"/>
              </w:rPr>
              <w:t>北京金联 创咨询有 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996,125.00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-8,073.81</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15"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988,051.19</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7"/>
              <w:jc w:val="both"/>
              <w:rPr>
                <w:rFonts w:ascii="宋体" w:hAnsi="宋体" w:cs="宋体" w:eastAsia="宋体" w:hint="default"/>
                <w:sz w:val="18"/>
                <w:szCs w:val="18"/>
              </w:rPr>
            </w:pPr>
            <w:r>
              <w:rPr>
                <w:rFonts w:ascii="宋体" w:hAnsi="宋体" w:cs="宋体" w:eastAsia="宋体" w:hint="default"/>
                <w:sz w:val="18"/>
                <w:szCs w:val="18"/>
              </w:rPr>
              <w:t>北京安创 空间科技 有限公司</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15,952,700.00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-225,748.33</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15"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15,726,951.67</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996,125.00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20,052,700.00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-236,397.85</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15"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20,812,427.15</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2"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996,125.00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20,052,700.00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-236,397.85</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15"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20,812,427.15</w:t>
            </w:r>
          </w:p>
        </w:tc>
        <w:tc>
          <w:tcPr>
            <w:tcW w:w="6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3）其他说明" w:id="515"/>
      <w:bookmarkEnd w:id="515"/>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3499"/>
        <w:jc w:val="left"/>
        <w:rPr>
          <w:b w:val="0"/>
          <w:bCs w:val="0"/>
        </w:rPr>
      </w:pPr>
      <w:bookmarkStart w:name="4、营业收入和营业成本" w:id="516"/>
      <w:bookmarkEnd w:id="51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5"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530,864,516.83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304,276,554.44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381,188,880.27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212,139,571.03</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553,549.25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421,658.61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608,530.88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886,423.77</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531,418,066.08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304,698,213.05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381,797,411.15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213,025,994.80</w:t>
            </w:r>
          </w:p>
        </w:tc>
      </w:tr>
    </w:tbl>
    <w:p>
      <w:pPr>
        <w:spacing w:before="51"/>
        <w:ind w:left="1134" w:right="34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3499"/>
        <w:jc w:val="left"/>
        <w:rPr>
          <w:b w:val="0"/>
          <w:bCs w:val="0"/>
        </w:rPr>
      </w:pPr>
      <w:bookmarkStart w:name="5、投资收益" w:id="517"/>
      <w:bookmarkEnd w:id="517"/>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-236,397.85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-3,875.00</w:t>
            </w:r>
            <w:r>
              <w:rPr>
                <w:rFonts w:ascii="Times New Roman"/>
                <w:sz w:val="18"/>
              </w:rPr>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-236,397.85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-3,875.00</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left="1134" w:right="3499"/>
        <w:jc w:val="left"/>
        <w:rPr>
          <w:b w:val="0"/>
          <w:bCs w:val="0"/>
        </w:rPr>
      </w:pPr>
      <w:bookmarkStart w:name="6、其他" w:id="518"/>
      <w:bookmarkEnd w:id="518"/>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134" w:right="3499"/>
        <w:jc w:val="left"/>
        <w:rPr>
          <w:b w:val="0"/>
          <w:bCs w:val="0"/>
        </w:rPr>
      </w:pPr>
      <w:bookmarkStart w:name="十八、补充资料" w:id="519"/>
      <w:bookmarkEnd w:id="519"/>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499"/>
        <w:jc w:val="left"/>
        <w:rPr>
          <w:b w:val="0"/>
          <w:bCs w:val="0"/>
        </w:rPr>
      </w:pPr>
      <w:bookmarkStart w:name="1、当期非经常性损益明细表" w:id="520"/>
      <w:bookmarkEnd w:id="52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637,895.47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7,321,494.49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-21,378.53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557,626.57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7,380,384.86</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13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3499"/>
        <w:jc w:val="left"/>
        <w:rPr>
          <w:b w:val="0"/>
          <w:bCs w:val="0"/>
        </w:rPr>
      </w:pPr>
      <w:bookmarkStart w:name="2、净资产收益率及每股收益" w:id="521"/>
      <w:bookmarkEnd w:id="52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1.5548</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1.4564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3499"/>
        <w:jc w:val="left"/>
        <w:rPr>
          <w:b w:val="0"/>
          <w:bCs w:val="0"/>
        </w:rPr>
      </w:pPr>
      <w:bookmarkStart w:name="3、境内外会计准则下会计数据差异" w:id="522"/>
      <w:bookmarkEnd w:id="522"/>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523"/>
      <w:bookmarkEnd w:id="523"/>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133"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524"/>
      <w:bookmarkEnd w:id="524"/>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134" w:right="3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525"/>
      <w:bookmarkEnd w:id="525"/>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2"/>
        </w:rPr>
        <w:t> </w:t>
      </w:r>
      <w:r>
        <w:rPr>
          <w:spacing w:val="-62"/>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499"/>
        <w:jc w:val="left"/>
        <w:rPr>
          <w:b w:val="0"/>
          <w:bCs w:val="0"/>
        </w:rPr>
      </w:pPr>
      <w:bookmarkStart w:name="4、其他" w:id="526"/>
      <w:bookmarkEnd w:id="526"/>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763" w:right="3764"/>
        <w:jc w:val="center"/>
        <w:rPr>
          <w:b w:val="0"/>
          <w:bCs w:val="0"/>
        </w:rPr>
      </w:pPr>
      <w:bookmarkStart w:name="_TOC_250000" w:id="527"/>
      <w:bookmarkStart w:name="第十一节 备查文件目录" w:id="528"/>
      <w:r>
        <w:rPr>
          <w:b w:val="0"/>
          <w:bCs w:val="0"/>
        </w:rPr>
      </w:r>
      <w:r>
        <w:rPr/>
        <w:t>第十一节</w:t>
      </w:r>
      <w:r>
        <w:rPr>
          <w:spacing w:val="-8"/>
        </w:rPr>
        <w:t> </w:t>
      </w:r>
      <w:r>
        <w:rPr/>
        <w:t>备查文件目录</w:t>
      </w:r>
      <w:bookmarkEnd w:id="527"/>
      <w:r>
        <w:rPr>
          <w:b w:val="0"/>
          <w:bCs w:val="0"/>
        </w:rPr>
      </w:r>
    </w:p>
    <w:p>
      <w:pPr>
        <w:spacing w:line="240" w:lineRule="auto" w:before="6"/>
        <w:rPr>
          <w:rFonts w:ascii="宋体" w:hAnsi="宋体" w:cs="宋体" w:eastAsia="宋体" w:hint="default"/>
          <w:b/>
          <w:bCs/>
          <w:sz w:val="42"/>
          <w:szCs w:val="42"/>
        </w:rPr>
      </w:pPr>
    </w:p>
    <w:p>
      <w:pPr>
        <w:spacing w:line="300" w:lineRule="auto" w:before="0"/>
        <w:ind w:left="1133" w:right="3013" w:firstLine="0"/>
        <w:jc w:val="left"/>
        <w:rPr>
          <w:rFonts w:ascii="宋体" w:hAnsi="宋体" w:cs="宋体" w:eastAsia="宋体" w:hint="default"/>
          <w:sz w:val="18"/>
          <w:szCs w:val="18"/>
        </w:rPr>
      </w:pPr>
      <w:r>
        <w:rPr>
          <w:rFonts w:ascii="宋体" w:hAnsi="宋体" w:cs="宋体" w:eastAsia="宋体" w:hint="default"/>
          <w:sz w:val="18"/>
          <w:szCs w:val="18"/>
        </w:rPr>
        <w:t>一、载有公司法定代表人、主管会计工作负责人、会计机构负责人签名并盖章的</w:t>
      </w:r>
      <w:r>
        <w:rPr>
          <w:rFonts w:ascii="Times New Roman" w:hAnsi="Times New Roman" w:cs="Times New Roman" w:eastAsia="Times New Roman" w:hint="default"/>
          <w:sz w:val="18"/>
          <w:szCs w:val="18"/>
        </w:rPr>
        <w:t>2015</w:t>
      </w:r>
      <w:r>
        <w:rPr>
          <w:rFonts w:ascii="宋体" w:hAnsi="宋体" w:cs="宋体" w:eastAsia="宋体" w:hint="default"/>
          <w:sz w:val="18"/>
          <w:szCs w:val="18"/>
        </w:rPr>
        <w:t>年财务报表。 二、载有会计师事务所盖章、注册会计师签名并盖章的审计报告原件。</w:t>
      </w:r>
    </w:p>
    <w:sectPr>
      <w:pgSz w:w="11910" w:h="16840"/>
      <w:pgMar w:header="87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26176" type="#_x0000_t75" stroked="false">
          <v:imagedata r:id="rId1" o:title=""/>
        </v:shape>
      </w:pict>
    </w:r>
    <w:r>
      <w:rPr/>
      <w:pict>
        <v:shape style="position:absolute;margin-left:533.179993pt;margin-top:795.517944pt;width:6.5pt;height:11pt;mso-position-horizontal-relative:page;mso-position-vertical-relative:page;z-index:-9261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26128" type="#_x0000_t75" stroked="false">
          <v:imagedata r:id="rId1" o:title=""/>
        </v:shape>
      </w:pict>
    </w:r>
    <w:r>
      <w:rPr/>
      <w:pict>
        <v:shape style="position:absolute;margin-left:527.679993pt;margin-top:781.957947pt;width:13pt;height:11pt;mso-position-horizontal-relative:page;mso-position-vertical-relative:page;z-index:-926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26080" type="#_x0000_t75" stroked="false">
          <v:imagedata r:id="rId1" o:title=""/>
        </v:shape>
      </w:pict>
    </w:r>
    <w:r>
      <w:rPr/>
      <w:pict>
        <v:shape style="position:absolute;margin-left:524.179993pt;margin-top:781.957947pt;width:15.5pt;height:11pt;mso-position-horizontal-relative:page;mso-position-vertical-relative:page;z-index:-9260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26032" type="#_x0000_t75" stroked="false">
          <v:imagedata r:id="rId1" o:title=""/>
        </v:shape>
      </w:pict>
    </w:r>
    <w:r>
      <w:rPr/>
      <w:pict>
        <v:shape style="position:absolute;margin-left:523.179993pt;margin-top:781.957947pt;width:17.5pt;height:11pt;mso-position-horizontal-relative:page;mso-position-vertical-relative:page;z-index:-926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925960" type="#_x0000_t75" stroked="false">
          <v:imagedata r:id="rId1" o:title=""/>
        </v:shape>
      </w:pict>
    </w:r>
    <w:r>
      <w:rPr/>
      <w:pict>
        <v:shape style="position:absolute;margin-left:754.840027pt;margin-top:535.357971pt;width:17.150pt;height:11pt;mso-position-horizontal-relative:page;mso-position-vertical-relative:page;z-index:-925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25864" type="#_x0000_t75" stroked="false">
          <v:imagedata r:id="rId1" o:title=""/>
        </v:shape>
      </w:pict>
    </w:r>
    <w:r>
      <w:rPr/>
      <w:pict>
        <v:shape style="position:absolute;margin-left:523.179993pt;margin-top:781.957947pt;width:17.5pt;height:11pt;mso-position-horizontal-relative:page;mso-position-vertical-relative:page;z-index:-925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9262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中科创达软件股份有限公司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9259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中科创达软件股份有限公司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92591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9258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中科创达软件股份有限公司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21"/>
      <w:szCs w:val="21"/>
    </w:rPr>
  </w:style>
  <w:style w:styleId="Heading1" w:type="paragraph">
    <w:name w:val="Heading 1"/>
    <w:basedOn w:val="Normal"/>
    <w:uiPriority w:val="1"/>
    <w:qFormat/>
    <w:pPr>
      <w:spacing w:before="1"/>
      <w:ind w:left="3764"/>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3"/>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thundersoft.com/" TargetMode="External"/><Relationship Id="rId10" Type="http://schemas.openxmlformats.org/officeDocument/2006/relationships/hyperlink" Target="mailto:zq@thundersoft.com" TargetMode="External"/><Relationship Id="rId11" Type="http://schemas.openxmlformats.org/officeDocument/2006/relationships/hyperlink" Target="http://www.szse.cn/" TargetMode="External"/><Relationship Id="rId12" Type="http://schemas.openxmlformats.org/officeDocument/2006/relationships/image" Target="media/image3.jpeg"/><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2.xml"/><Relationship Id="rId17" Type="http://schemas.openxmlformats.org/officeDocument/2006/relationships/footer" Target="footer5.xml"/><Relationship Id="rId18" Type="http://schemas.openxmlformats.org/officeDocument/2006/relationships/header" Target="header3.xml"/><Relationship Id="rId19"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中科创达软件股份有限公司</dc:creator>
  <dc:title>中科创达软件股份有限公司2015年年度报告全文</dc:title>
  <dcterms:created xsi:type="dcterms:W3CDTF">2020-05-04T17:09:50Z</dcterms:created>
  <dcterms:modified xsi:type="dcterms:W3CDTF">2020-05-04T17:09:50Z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2016-06-23T00:00:00Z</vt:filetime>
  </property>
  <property fmtid="{D5CDD505-2E9C-101B-9397-08002B2CF9AE}" pid="3" name="Creator">
    <vt:lpwstr>Microsoft® Office Word 2007</vt:lpwstr>
  </property>
  <property fmtid="{D5CDD505-2E9C-101B-9397-08002B2CF9AE}" pid="4" name="LastSaved">
    <vt:filetime>2020-05-04T00:00:00Z</vt:filetime>
  </property>
</Properties>
</file>