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4"/>
          <w:szCs w:val="24"/>
        </w:rPr>
      </w:pPr>
    </w:p>
    <w:p>
      <w:pPr>
        <w:spacing w:line="1159" w:lineRule="exact"/>
        <w:ind w:left="375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drawing>
          <wp:inline distT="0" distB="0" distL="0" distR="0">
            <wp:extent cx="2787402" cy="73609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787402" cy="736092"/>
                    </a:xfrm>
                    <a:prstGeom prst="rect">
                      <a:avLst/>
                    </a:prstGeom>
                  </pic:spPr>
                </pic:pic>
              </a:graphicData>
            </a:graphic>
          </wp:inline>
        </w:drawing>
      </w:r>
      <w:r>
        <w:rPr>
          <w:rFonts w:ascii="Times New Roman" w:hAnsi="Times New Roman" w:cs="Times New Roman" w:eastAsia="Times New Roman" w:hint="default"/>
          <w:position w:val="-2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7"/>
        <w:ind w:left="2" w:right="2" w:firstLine="0"/>
        <w:jc w:val="center"/>
        <w:rPr>
          <w:rFonts w:ascii="宋体" w:hAnsi="宋体" w:cs="宋体" w:eastAsia="宋体" w:hint="default"/>
          <w:sz w:val="36"/>
          <w:szCs w:val="36"/>
        </w:rPr>
      </w:pPr>
      <w:r>
        <w:rPr>
          <w:rFonts w:ascii="宋体" w:hAnsi="宋体" w:cs="宋体" w:eastAsia="宋体" w:hint="default"/>
          <w:b/>
          <w:bCs/>
          <w:sz w:val="36"/>
          <w:szCs w:val="36"/>
        </w:rPr>
        <w:t>中科创达软件股份有限公司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 w:right="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 w:right="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640" w:top="1580" w:bottom="84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4993" w:val="left" w:leader="none"/>
        </w:tabs>
        <w:spacing w:line="240" w:lineRule="auto" w:before="38"/>
        <w:ind w:left="3713"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tab/>
        <w:t>重要提示、目录和释义</w:t>
      </w:r>
      <w:r>
        <w:rPr>
          <w:b w:val="0"/>
          <w:bCs w:val="0"/>
        </w:rPr>
      </w:r>
    </w:p>
    <w:p>
      <w:pPr>
        <w:spacing w:line="240" w:lineRule="auto" w:before="0"/>
        <w:rPr>
          <w:rFonts w:ascii="微软雅黑" w:hAnsi="微软雅黑" w:cs="微软雅黑" w:eastAsia="微软雅黑" w:hint="default"/>
          <w:b/>
          <w:bCs/>
          <w:sz w:val="32"/>
          <w:szCs w:val="32"/>
        </w:rPr>
      </w:pPr>
    </w:p>
    <w:p>
      <w:pPr>
        <w:spacing w:line="240" w:lineRule="auto" w:before="12"/>
        <w:rPr>
          <w:rFonts w:ascii="微软雅黑" w:hAnsi="微软雅黑" w:cs="微软雅黑" w:eastAsia="微软雅黑" w:hint="default"/>
          <w:b/>
          <w:bCs/>
          <w:sz w:val="21"/>
          <w:szCs w:val="21"/>
        </w:rPr>
      </w:pPr>
    </w:p>
    <w:p>
      <w:pPr>
        <w:pStyle w:val="Heading4"/>
        <w:spacing w:line="297" w:lineRule="auto"/>
        <w:ind w:left="1133" w:right="0" w:firstLine="422"/>
        <w:jc w:val="left"/>
        <w:rPr>
          <w:b w:val="0"/>
          <w:bCs w:val="0"/>
        </w:rPr>
      </w:pPr>
      <w:r>
        <w:rPr>
          <w:spacing w:val="-1"/>
          <w:w w:val="95"/>
        </w:rPr>
        <w:t>公司董事会、监事会及董事、监事、高级管理人员保证年度报告内容的真实、准确、完整，不存在虚</w:t>
      </w:r>
      <w:r>
        <w:rPr>
          <w:spacing w:val="-81"/>
          <w:w w:val="95"/>
        </w:rPr>
        <w:t> </w:t>
      </w:r>
      <w:r>
        <w:rPr>
          <w:spacing w:val="-81"/>
          <w:w w:val="95"/>
        </w:rPr>
      </w:r>
      <w:r>
        <w:rPr/>
        <w:t>假记载、误导性陈述或重大遗漏，并承担个别和连带的法律责任。</w:t>
      </w:r>
      <w:r>
        <w:rPr>
          <w:b w:val="0"/>
          <w:bCs w:val="0"/>
        </w:rPr>
      </w:r>
    </w:p>
    <w:p>
      <w:pPr>
        <w:spacing w:line="240" w:lineRule="auto" w:before="10"/>
        <w:rPr>
          <w:rFonts w:ascii="宋体" w:hAnsi="宋体" w:cs="宋体" w:eastAsia="宋体" w:hint="default"/>
          <w:b/>
          <w:bCs/>
          <w:sz w:val="17"/>
          <w:szCs w:val="17"/>
        </w:rPr>
      </w:pPr>
    </w:p>
    <w:p>
      <w:pPr>
        <w:pStyle w:val="Heading4"/>
        <w:spacing w:line="297" w:lineRule="auto"/>
        <w:ind w:left="1133" w:right="0" w:firstLine="422"/>
        <w:jc w:val="left"/>
        <w:rPr>
          <w:b w:val="0"/>
          <w:bCs w:val="0"/>
        </w:rPr>
      </w:pPr>
      <w:r>
        <w:rPr>
          <w:spacing w:val="-1"/>
          <w:w w:val="95"/>
        </w:rPr>
        <w:t>公司负责人赵鸿飞、主管会计工作负责人冯娟鹃及会计机构负责人（会计主管人员）马晓培声明：保</w:t>
      </w:r>
      <w:r>
        <w:rPr>
          <w:spacing w:val="-79"/>
          <w:w w:val="95"/>
        </w:rPr>
        <w:t> </w:t>
      </w:r>
      <w:r>
        <w:rPr>
          <w:spacing w:val="-79"/>
          <w:w w:val="95"/>
        </w:rPr>
      </w:r>
      <w:r>
        <w:rPr/>
        <w:t>证年度报告中财务报告的真实、准确、完整。</w:t>
      </w:r>
      <w:r>
        <w:rPr>
          <w:b w:val="0"/>
          <w:bCs w:val="0"/>
        </w:rPr>
      </w:r>
    </w:p>
    <w:p>
      <w:pPr>
        <w:pStyle w:val="Heading4"/>
        <w:spacing w:line="560" w:lineRule="exact" w:before="30"/>
        <w:ind w:right="0"/>
        <w:jc w:val="left"/>
        <w:rPr>
          <w:b w:val="0"/>
          <w:bCs w:val="0"/>
        </w:rPr>
      </w:pPr>
      <w:r>
        <w:rPr/>
        <w:t>所有董事均已出席了审议本报告的董事会会议。</w:t>
      </w:r>
      <w:r>
        <w:rPr>
          <w:w w:val="99"/>
        </w:rPr>
        <w:t> </w:t>
      </w:r>
      <w:r>
        <w:rPr>
          <w:spacing w:val="-1"/>
          <w:w w:val="95"/>
        </w:rPr>
        <w:t>公司在本报告第四节“经营情况讨论与分析－公司未来发展的展望”部分，描述了公司经营中可能面</w:t>
      </w:r>
      <w:r>
        <w:rPr>
          <w:b w:val="0"/>
          <w:bCs w:val="0"/>
          <w:spacing w:val="-1"/>
        </w:rPr>
      </w:r>
    </w:p>
    <w:p>
      <w:pPr>
        <w:pStyle w:val="Heading4"/>
        <w:spacing w:line="257" w:lineRule="exact"/>
        <w:ind w:left="1134" w:right="0"/>
        <w:jc w:val="left"/>
        <w:rPr>
          <w:b w:val="0"/>
          <w:bCs w:val="0"/>
        </w:rPr>
      </w:pPr>
      <w:r>
        <w:rPr/>
        <w:t>对的风险及应对措施，敬请投资者关注相关内容。</w:t>
      </w:r>
      <w:r>
        <w:rPr>
          <w:b w:val="0"/>
          <w:bCs w:val="0"/>
        </w:rPr>
      </w:r>
    </w:p>
    <w:p>
      <w:pPr>
        <w:spacing w:line="240" w:lineRule="auto" w:before="10"/>
        <w:rPr>
          <w:rFonts w:ascii="宋体" w:hAnsi="宋体" w:cs="宋体" w:eastAsia="宋体" w:hint="default"/>
          <w:b/>
          <w:bCs/>
          <w:sz w:val="21"/>
          <w:szCs w:val="21"/>
        </w:rPr>
      </w:pPr>
    </w:p>
    <w:p>
      <w:pPr>
        <w:pStyle w:val="Heading4"/>
        <w:spacing w:line="240" w:lineRule="auto"/>
        <w:ind w:right="0"/>
        <w:jc w:val="left"/>
        <w:rPr>
          <w:b w:val="0"/>
          <w:bCs w:val="0"/>
        </w:rPr>
      </w:pPr>
      <w:r>
        <w:rPr/>
        <w:t>公司经本次董事会审议通过的利润分配预案为：以</w:t>
      </w:r>
      <w:r>
        <w:rPr>
          <w:spacing w:val="-60"/>
        </w:rPr>
        <w:t> </w:t>
      </w:r>
      <w:r>
        <w:rPr>
          <w:rFonts w:ascii="Times New Roman" w:hAnsi="Times New Roman" w:cs="Times New Roman" w:eastAsia="Times New Roman" w:hint="default"/>
        </w:rPr>
        <w:t>403,878,622</w:t>
      </w:r>
      <w:r>
        <w:rPr>
          <w:rFonts w:ascii="Times New Roman" w:hAnsi="Times New Roman" w:cs="Times New Roman" w:eastAsia="Times New Roman" w:hint="default"/>
          <w:spacing w:val="-8"/>
        </w:rPr>
        <w:t> </w:t>
      </w:r>
      <w:r>
        <w:rPr>
          <w:spacing w:val="-3"/>
        </w:rPr>
        <w:t>股为基数，向全体股东每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股派发现</w:t>
      </w:r>
      <w:r>
        <w:rPr>
          <w:b w:val="0"/>
          <w:bCs w:val="0"/>
        </w:rPr>
      </w:r>
    </w:p>
    <w:p>
      <w:pPr>
        <w:pStyle w:val="Heading4"/>
        <w:spacing w:line="240" w:lineRule="auto" w:before="49"/>
        <w:ind w:left="1133" w:right="0"/>
        <w:jc w:val="left"/>
        <w:rPr>
          <w:b w:val="0"/>
          <w:bCs w:val="0"/>
        </w:rPr>
      </w:pPr>
      <w:r>
        <w:rPr>
          <w:spacing w:val="1"/>
          <w:w w:val="99"/>
        </w:rPr>
        <w:t>金红</w:t>
      </w:r>
      <w:r>
        <w:rPr>
          <w:w w:val="99"/>
        </w:rPr>
        <w:t>利</w:t>
      </w:r>
      <w:r>
        <w:rPr>
          <w:spacing w:val="-53"/>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spacing w:val="1"/>
          <w:w w:val="99"/>
        </w:rPr>
        <w:t>元（含税</w:t>
      </w:r>
      <w:r>
        <w:rPr>
          <w:spacing w:val="-106"/>
          <w:w w:val="99"/>
        </w:rPr>
        <w:t>）</w:t>
      </w:r>
      <w:r>
        <w:rPr>
          <w:w w:val="99"/>
        </w:rPr>
        <w:t>，</w:t>
      </w:r>
      <w:r>
        <w:rPr>
          <w:spacing w:val="1"/>
          <w:w w:val="99"/>
        </w:rPr>
        <w:t>送红</w:t>
      </w:r>
      <w:r>
        <w:rPr>
          <w:w w:val="99"/>
        </w:rPr>
        <w:t>股</w:t>
      </w:r>
      <w:r>
        <w:rPr>
          <w:spacing w:val="-53"/>
        </w:rPr>
        <w:t> </w:t>
      </w:r>
      <w:r>
        <w:rPr>
          <w:rFonts w:ascii="Times New Roman" w:hAnsi="Times New Roman" w:cs="Times New Roman" w:eastAsia="Times New Roman" w:hint="default"/>
        </w:rPr>
        <w:t>0 </w:t>
      </w:r>
      <w:r>
        <w:rPr>
          <w:w w:val="99"/>
        </w:rPr>
        <w:t>股</w:t>
      </w:r>
      <w:r>
        <w:rPr>
          <w:spacing w:val="1"/>
          <w:w w:val="99"/>
        </w:rPr>
        <w:t>（含税</w:t>
      </w:r>
      <w:r>
        <w:rPr>
          <w:spacing w:val="-105"/>
          <w:w w:val="99"/>
        </w:rPr>
        <w:t>）</w:t>
      </w:r>
      <w:r>
        <w:rPr>
          <w:w w:val="99"/>
        </w:rPr>
        <w:t>，以</w:t>
      </w:r>
      <w:r>
        <w:rPr>
          <w:spacing w:val="1"/>
          <w:w w:val="99"/>
        </w:rPr>
        <w:t>资本公</w:t>
      </w:r>
      <w:r>
        <w:rPr>
          <w:w w:val="99"/>
        </w:rPr>
        <w:t>积金</w:t>
      </w:r>
      <w:r>
        <w:rPr>
          <w:spacing w:val="1"/>
          <w:w w:val="99"/>
        </w:rPr>
        <w:t>向全体</w:t>
      </w:r>
      <w:r>
        <w:rPr>
          <w:w w:val="99"/>
        </w:rPr>
        <w:t>股东每</w:t>
      </w:r>
      <w:r>
        <w:rPr>
          <w:spacing w:val="-51"/>
        </w:rPr>
        <w:t> </w:t>
      </w:r>
      <w:r>
        <w:rPr>
          <w:rFonts w:ascii="Times New Roman" w:hAnsi="Times New Roman" w:cs="Times New Roman" w:eastAsia="Times New Roman" w:hint="default"/>
        </w:rPr>
        <w:t>10 </w:t>
      </w:r>
      <w:r>
        <w:rPr>
          <w:spacing w:val="1"/>
          <w:w w:val="99"/>
        </w:rPr>
        <w:t>股</w:t>
      </w:r>
      <w:r>
        <w:rPr>
          <w:w w:val="99"/>
        </w:rPr>
        <w:t>转增</w:t>
      </w:r>
      <w:r>
        <w:rPr>
          <w:spacing w:val="-53"/>
        </w:rPr>
        <w:t> </w:t>
      </w:r>
      <w:r>
        <w:rPr>
          <w:rFonts w:ascii="Times New Roman" w:hAnsi="Times New Roman" w:cs="Times New Roman" w:eastAsia="Times New Roman" w:hint="default"/>
        </w:rPr>
        <w:t>0 </w:t>
      </w:r>
      <w:r>
        <w:rPr>
          <w:spacing w:val="1"/>
          <w:w w:val="99"/>
        </w:rPr>
        <w:t>股。</w:t>
      </w:r>
      <w:r>
        <w:rPr>
          <w:b w:val="0"/>
          <w:bCs w:val="0"/>
        </w:rPr>
      </w:r>
    </w:p>
    <w:p>
      <w:pPr>
        <w:spacing w:after="0" w:line="240" w:lineRule="auto"/>
        <w:jc w:val="left"/>
        <w:sectPr>
          <w:headerReference w:type="default" r:id="rId7"/>
          <w:footerReference w:type="default" r:id="rId8"/>
          <w:pgSz w:w="11910" w:h="16840"/>
          <w:pgMar w:header="877" w:footer="979" w:top="1060" w:bottom="1160" w:left="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tabs>
          <w:tab w:pos="643" w:val="left" w:leader="none"/>
        </w:tabs>
        <w:spacing w:line="441" w:lineRule="exact" w:before="0"/>
        <w:ind w:left="2" w:right="0"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目</w:t>
        <w:tab/>
        <w:t>录</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32"/>
          <w:szCs w:val="32"/>
        </w:rPr>
      </w:pPr>
    </w:p>
    <w:p>
      <w:pPr>
        <w:spacing w:line="240" w:lineRule="auto" w:before="10"/>
        <w:rPr>
          <w:rFonts w:ascii="微软雅黑" w:hAnsi="微软雅黑" w:cs="微软雅黑" w:eastAsia="微软雅黑" w:hint="default"/>
          <w:b/>
          <w:bCs/>
          <w:sz w:val="27"/>
          <w:szCs w:val="27"/>
        </w:rPr>
      </w:pPr>
    </w:p>
    <w:sdt>
      <w:sdtPr>
        <w:docPartObj>
          <w:docPartGallery w:val="Table of Contents"/>
          <w:docPartUnique/>
        </w:docPartObj>
      </w:sdtPr>
      <w:sdtEndPr/>
      <w:sdtContent>
        <w:p>
          <w:pPr>
            <w:pStyle w:val="TOC1"/>
            <w:tabs>
              <w:tab w:pos="1977" w:val="left" w:leader="none"/>
              <w:tab w:pos="10763" w:val="right" w:leader="dot"/>
            </w:tabs>
            <w:spacing w:line="240" w:lineRule="auto" w:before="0"/>
            <w:ind w:left="1133"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w w:val="95"/>
              </w:rPr>
              <w:t>第一节</w:t>
              <w:tab/>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10763" w:val="right" w:leader="dot"/>
            </w:tabs>
            <w:spacing w:line="240" w:lineRule="auto"/>
            <w:ind w:left="1133"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076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3" w:val="right" w:leader="dot"/>
            </w:tabs>
            <w:spacing w:line="240" w:lineRule="auto" w:before="218"/>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219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77" w:footer="979" w:top="1100" w:bottom="1160" w:left="0" w:right="0"/>
        </w:sectPr>
      </w:pPr>
    </w:p>
    <w:p>
      <w:pPr>
        <w:tabs>
          <w:tab w:pos="643" w:val="left" w:leader="none"/>
        </w:tabs>
        <w:spacing w:before="852"/>
        <w:ind w:left="2" w:right="0"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w:t>
        <w:tab/>
        <w:t>义</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6"/>
        <w:rPr>
          <w:rFonts w:ascii="微软雅黑" w:hAnsi="微软雅黑" w:cs="微软雅黑" w:eastAsia="微软雅黑" w:hint="default"/>
          <w:b/>
          <w:bCs/>
          <w:sz w:val="16"/>
          <w:szCs w:val="16"/>
        </w:rPr>
      </w:pPr>
    </w:p>
    <w:tbl>
      <w:tblPr>
        <w:tblW w:w="0" w:type="auto"/>
        <w:jc w:val="left"/>
        <w:tblInd w:w="1164" w:type="dxa"/>
        <w:tblLayout w:type="fixed"/>
        <w:tblCellMar>
          <w:top w:w="0" w:type="dxa"/>
          <w:left w:w="0" w:type="dxa"/>
          <w:bottom w:w="0" w:type="dxa"/>
          <w:right w:w="0" w:type="dxa"/>
        </w:tblCellMar>
        <w:tblLook w:val="01E0"/>
      </w:tblPr>
      <w:tblGrid>
        <w:gridCol w:w="2706"/>
        <w:gridCol w:w="533"/>
        <w:gridCol w:w="6331"/>
      </w:tblGrid>
      <w:tr>
        <w:trPr>
          <w:trHeight w:val="387"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16" w:hRule="exact"/>
        </w:trPr>
        <w:tc>
          <w:tcPr>
            <w:tcW w:w="270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公司、本公司、中科创达</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c>
      </w:tr>
      <w:tr>
        <w:trPr>
          <w:trHeight w:val="408"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越超公司</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越超有限公司（</w:t>
            </w:r>
            <w:r>
              <w:rPr>
                <w:rFonts w:ascii="Times New Roman" w:hAnsi="Times New Roman" w:cs="Times New Roman" w:eastAsia="Times New Roman" w:hint="default"/>
                <w:sz w:val="18"/>
                <w:szCs w:val="18"/>
              </w:rPr>
              <w:t>Alpha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w w:val="99"/>
                <w:sz w:val="18"/>
                <w:szCs w:val="18"/>
              </w:rPr>
              <w:t>Ac</w:t>
            </w:r>
            <w:r>
              <w:rPr>
                <w:rFonts w:ascii="Times New Roman" w:hAnsi="Times New Roman" w:cs="Times New Roman" w:eastAsia="Times New Roman" w:hint="default"/>
                <w:spacing w:val="-2"/>
                <w:w w:val="99"/>
                <w:sz w:val="18"/>
                <w:szCs w:val="18"/>
              </w:rPr>
              <w:t>h</w:t>
            </w:r>
            <w:r>
              <w:rPr>
                <w:rFonts w:ascii="Times New Roman" w:hAnsi="Times New Roman" w:cs="Times New Roman" w:eastAsia="Times New Roman" w:hint="default"/>
                <w:sz w:val="18"/>
                <w:szCs w:val="18"/>
              </w:rPr>
              <w:t>ie</w:t>
            </w:r>
            <w:r>
              <w:rPr>
                <w:rFonts w:ascii="Times New Roman" w:hAnsi="Times New Roman" w:cs="Times New Roman" w:eastAsia="Times New Roman" w:hint="default"/>
                <w:spacing w:val="-2"/>
                <w:sz w:val="18"/>
                <w:szCs w:val="18"/>
              </w:rPr>
              <w:t>v</w:t>
            </w:r>
            <w:r>
              <w:rPr>
                <w:rFonts w:ascii="Times New Roman" w:hAnsi="Times New Roman" w:cs="Times New Roman" w:eastAsia="Times New Roman" w:hint="default"/>
                <w:sz w:val="18"/>
                <w:szCs w:val="18"/>
              </w:rPr>
              <w:t>e </w:t>
            </w:r>
            <w:r>
              <w:rPr>
                <w:rFonts w:ascii="Times New Roman" w:hAnsi="Times New Roman" w:cs="Times New Roman" w:eastAsia="Times New Roman" w:hint="default"/>
                <w:spacing w:val="-1"/>
                <w:sz w:val="18"/>
                <w:szCs w:val="18"/>
              </w:rPr>
              <w:t>L</w:t>
            </w:r>
            <w:r>
              <w:rPr>
                <w:rFonts w:ascii="Times New Roman" w:hAnsi="Times New Roman" w:cs="Times New Roman" w:eastAsia="Times New Roman" w:hint="default"/>
                <w:sz w:val="18"/>
                <w:szCs w:val="18"/>
              </w:rPr>
              <w:t>imited</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系</w:t>
            </w:r>
            <w:r>
              <w:rPr>
                <w:rFonts w:ascii="宋体" w:hAnsi="宋体" w:cs="宋体" w:eastAsia="宋体" w:hint="default"/>
                <w:sz w:val="18"/>
                <w:szCs w:val="18"/>
              </w:rPr>
              <w:t>公司发起人股东之一</w:t>
            </w:r>
          </w:p>
        </w:tc>
      </w:tr>
      <w:tr>
        <w:trPr>
          <w:trHeight w:val="601"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大洋中科</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2" w:right="136"/>
              <w:jc w:val="left"/>
              <w:rPr>
                <w:rFonts w:ascii="宋体" w:hAnsi="宋体" w:cs="宋体" w:eastAsia="宋体" w:hint="default"/>
                <w:sz w:val="18"/>
                <w:szCs w:val="18"/>
              </w:rPr>
            </w:pPr>
            <w:r>
              <w:rPr>
                <w:rFonts w:ascii="宋体" w:hAnsi="宋体" w:cs="宋体" w:eastAsia="宋体" w:hint="default"/>
                <w:sz w:val="18"/>
                <w:szCs w:val="18"/>
              </w:rPr>
              <w:t>大洋中科特别目的株式会社（大洋中科</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SPC</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6"/>
                <w:sz w:val="18"/>
                <w:szCs w:val="18"/>
              </w:rPr>
              <w:t>株式会社），系公司发起人股东之</w:t>
            </w:r>
            <w:r>
              <w:rPr>
                <w:rFonts w:ascii="宋体" w:hAnsi="宋体" w:cs="宋体" w:eastAsia="宋体" w:hint="default"/>
                <w:sz w:val="18"/>
                <w:szCs w:val="18"/>
              </w:rPr>
              <w:t> 一</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国科瑞祺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国科瑞祺物联网创业投资有限公司，系公司发起人股东之一</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世悦控股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世悦控股有限公司（</w:t>
            </w:r>
            <w:r>
              <w:rPr>
                <w:rFonts w:ascii="Times New Roman" w:hAnsi="Times New Roman" w:cs="Times New Roman" w:eastAsia="Times New Roman" w:hint="default"/>
                <w:w w:val="99"/>
                <w:sz w:val="18"/>
                <w:szCs w:val="18"/>
              </w:rPr>
              <w:t>Jol</w:t>
            </w:r>
            <w:r>
              <w:rPr>
                <w:rFonts w:ascii="Times New Roman" w:hAnsi="Times New Roman" w:cs="Times New Roman" w:eastAsia="Times New Roman" w:hint="default"/>
                <w:spacing w:val="-1"/>
                <w:w w:val="99"/>
                <w:sz w:val="18"/>
                <w:szCs w:val="18"/>
              </w:rPr>
              <w:t>l</w:t>
            </w:r>
            <w:r>
              <w:rPr>
                <w:rFonts w:ascii="Times New Roman" w:hAnsi="Times New Roman" w:cs="Times New Roman" w:eastAsia="Times New Roman" w:hint="default"/>
                <w:sz w:val="18"/>
                <w:szCs w:val="18"/>
              </w:rPr>
              <w:t>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16"/>
                <w:sz w:val="18"/>
                <w:szCs w:val="18"/>
              </w:rPr>
              <w:t>W</w:t>
            </w:r>
            <w:r>
              <w:rPr>
                <w:rFonts w:ascii="Times New Roman" w:hAnsi="Times New Roman" w:cs="Times New Roman" w:eastAsia="Times New Roman" w:hint="default"/>
                <w:sz w:val="18"/>
                <w:szCs w:val="18"/>
              </w:rPr>
              <w:t>orld Holdings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Li</w:t>
            </w:r>
            <w:r>
              <w:rPr>
                <w:rFonts w:ascii="Times New Roman" w:hAnsi="Times New Roman" w:cs="Times New Roman" w:eastAsia="Times New Roman" w:hint="default"/>
                <w:spacing w:val="-2"/>
                <w:sz w:val="18"/>
                <w:szCs w:val="18"/>
              </w:rPr>
              <w:t>m</w:t>
            </w:r>
            <w:r>
              <w:rPr>
                <w:rFonts w:ascii="Times New Roman" w:hAnsi="Times New Roman" w:cs="Times New Roman" w:eastAsia="Times New Roman" w:hint="default"/>
                <w:sz w:val="18"/>
                <w:szCs w:val="18"/>
              </w:rPr>
              <w:t>ite</w:t>
            </w:r>
            <w:r>
              <w:rPr>
                <w:rFonts w:ascii="Times New Roman" w:hAnsi="Times New Roman" w:cs="Times New Roman" w:eastAsia="Times New Roman" w:hint="default"/>
                <w:spacing w:val="1"/>
                <w:sz w:val="18"/>
                <w:szCs w:val="18"/>
              </w:rPr>
              <w:t>d</w:t>
            </w:r>
            <w:r>
              <w:rPr>
                <w:rFonts w:ascii="宋体" w:hAnsi="宋体" w:cs="宋体" w:eastAsia="宋体" w:hint="default"/>
                <w:spacing w:val="-90"/>
                <w:sz w:val="18"/>
                <w:szCs w:val="18"/>
              </w:rPr>
              <w:t>）</w:t>
            </w:r>
            <w:r>
              <w:rPr>
                <w:rFonts w:ascii="宋体" w:hAnsi="宋体" w:cs="宋体" w:eastAsia="宋体" w:hint="default"/>
                <w:sz w:val="18"/>
                <w:szCs w:val="18"/>
              </w:rPr>
              <w:t>，系公司发起人股东之一</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安谋公司</w:t>
            </w:r>
            <w:r>
              <w:rPr>
                <w:rFonts w:ascii="Times New Roman" w:hAnsi="Times New Roman" w:cs="Times New Roman" w:eastAsia="Times New Roman" w:hint="default"/>
                <w:sz w:val="18"/>
                <w:szCs w:val="18"/>
              </w:rPr>
              <w:t>/ARM</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ARM</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，系公司发起人股东之一</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高通公司</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Qualcomm</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Incorporated</w:t>
            </w:r>
            <w:r>
              <w:rPr>
                <w:rFonts w:ascii="宋体" w:hAnsi="宋体" w:cs="宋体" w:eastAsia="宋体" w:hint="default"/>
                <w:sz w:val="18"/>
                <w:szCs w:val="18"/>
              </w:rPr>
              <w:t>，系一家美国纳斯达克（代码：</w:t>
            </w:r>
            <w:r>
              <w:rPr>
                <w:rFonts w:ascii="Times New Roman" w:hAnsi="Times New Roman" w:cs="Times New Roman" w:eastAsia="Times New Roman" w:hint="default"/>
                <w:sz w:val="18"/>
                <w:szCs w:val="18"/>
              </w:rPr>
              <w:t>QCOM</w:t>
            </w:r>
            <w:r>
              <w:rPr>
                <w:rFonts w:ascii="宋体" w:hAnsi="宋体" w:cs="宋体" w:eastAsia="宋体" w:hint="default"/>
                <w:sz w:val="18"/>
                <w:szCs w:val="18"/>
              </w:rPr>
              <w:t>）上市公司</w:t>
            </w:r>
          </w:p>
        </w:tc>
      </w:tr>
      <w:tr>
        <w:trPr>
          <w:trHeight w:val="408"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创达汇</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达孜县创达汇咨询有限公司，系公司发起人股东之一</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创达信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达孜县创达信科技有限公司，系公司发起人股东之一</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创达立</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达孜县创达立咨询有限公司，系公司发起人股东之一</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展讯天津</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展讯通信（天津）有限公司，系公司发起人股东之一</w:t>
            </w:r>
          </w:p>
        </w:tc>
      </w:tr>
      <w:tr>
        <w:trPr>
          <w:trHeight w:val="601"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宋体" w:hAnsi="宋体" w:cs="宋体" w:eastAsia="宋体" w:hint="default"/>
                <w:sz w:val="18"/>
                <w:szCs w:val="18"/>
              </w:rPr>
              <w:t>安卓</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2"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是一种基于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的自由及开放源代码的操作系统，主要使用于移动</w:t>
            </w:r>
            <w:r>
              <w:rPr>
                <w:rFonts w:ascii="宋体" w:hAnsi="宋体" w:cs="宋体" w:eastAsia="宋体" w:hint="default"/>
                <w:w w:val="99"/>
                <w:sz w:val="18"/>
                <w:szCs w:val="18"/>
              </w:rPr>
              <w:t> </w:t>
            </w:r>
            <w:r>
              <w:rPr>
                <w:rFonts w:ascii="宋体" w:hAnsi="宋体" w:cs="宋体" w:eastAsia="宋体" w:hint="default"/>
                <w:sz w:val="18"/>
                <w:szCs w:val="18"/>
              </w:rPr>
              <w:t>设备，如智能手机和平板电脑，由谷歌公司和开放手机联盟领导及开发</w:t>
            </w:r>
          </w:p>
        </w:tc>
      </w:tr>
      <w:tr>
        <w:trPr>
          <w:trHeight w:val="601"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b/>
                <w:bCs/>
                <w:sz w:val="10"/>
                <w:szCs w:val="1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VR</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2" w:right="102"/>
              <w:jc w:val="left"/>
              <w:rPr>
                <w:rFonts w:ascii="宋体" w:hAnsi="宋体" w:cs="宋体" w:eastAsia="宋体" w:hint="default"/>
                <w:sz w:val="18"/>
                <w:szCs w:val="18"/>
              </w:rPr>
            </w:pPr>
            <w:r>
              <w:rPr>
                <w:rFonts w:ascii="宋体" w:hAnsi="宋体" w:cs="宋体" w:eastAsia="宋体" w:hint="default"/>
                <w:spacing w:val="-2"/>
                <w:w w:val="99"/>
                <w:sz w:val="18"/>
                <w:szCs w:val="18"/>
              </w:rPr>
              <w:t>虚拟现实（</w:t>
            </w:r>
            <w:r>
              <w:rPr>
                <w:rFonts w:ascii="Times New Roman" w:hAnsi="Times New Roman" w:cs="Times New Roman" w:eastAsia="Times New Roman" w:hint="default"/>
                <w:spacing w:val="-2"/>
                <w:w w:val="99"/>
                <w:sz w:val="18"/>
                <w:szCs w:val="18"/>
              </w:rPr>
              <w:t>Virtual</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spacing w:val="-1"/>
                <w:w w:val="99"/>
                <w:sz w:val="18"/>
                <w:szCs w:val="18"/>
              </w:rPr>
              <w:t>Reality</w:t>
            </w:r>
            <w:r>
              <w:rPr>
                <w:rFonts w:ascii="宋体" w:hAnsi="宋体" w:cs="宋体" w:eastAsia="宋体" w:hint="default"/>
                <w:spacing w:val="-1"/>
                <w:w w:val="99"/>
                <w:sz w:val="18"/>
                <w:szCs w:val="18"/>
              </w:rPr>
              <w:t>，简称</w:t>
            </w:r>
            <w:r>
              <w:rPr>
                <w:rFonts w:ascii="宋体" w:hAnsi="宋体" w:cs="宋体" w:eastAsia="宋体" w:hint="default"/>
                <w:spacing w:val="-40"/>
                <w:w w:val="99"/>
                <w:sz w:val="18"/>
                <w:szCs w:val="18"/>
              </w:rPr>
              <w:t> </w:t>
            </w:r>
            <w:r>
              <w:rPr>
                <w:rFonts w:ascii="Times New Roman" w:hAnsi="Times New Roman" w:cs="Times New Roman" w:eastAsia="Times New Roman" w:hint="default"/>
                <w:spacing w:val="-5"/>
                <w:w w:val="99"/>
                <w:sz w:val="18"/>
                <w:szCs w:val="18"/>
              </w:rPr>
              <w:t>VR</w:t>
            </w:r>
            <w:r>
              <w:rPr>
                <w:rFonts w:ascii="宋体" w:hAnsi="宋体" w:cs="宋体" w:eastAsia="宋体" w:hint="default"/>
                <w:spacing w:val="-5"/>
                <w:w w:val="99"/>
                <w:sz w:val="18"/>
                <w:szCs w:val="18"/>
              </w:rPr>
              <w:t>），一种计算机仿真系统，能够创建并让用</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户感受到原本只有在真实世界才会拥有的体验</w:t>
            </w:r>
          </w:p>
        </w:tc>
      </w:tr>
      <w:tr>
        <w:trPr>
          <w:trHeight w:val="834"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b/>
                <w:bCs/>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AR</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微软雅黑" w:hAnsi="微软雅黑" w:cs="微软雅黑" w:eastAsia="微软雅黑"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44"/>
              <w:ind w:left="102" w:right="102"/>
              <w:jc w:val="left"/>
              <w:rPr>
                <w:rFonts w:ascii="宋体" w:hAnsi="宋体" w:cs="宋体" w:eastAsia="宋体" w:hint="default"/>
                <w:sz w:val="18"/>
                <w:szCs w:val="18"/>
              </w:rPr>
            </w:pPr>
            <w:r>
              <w:rPr>
                <w:rFonts w:ascii="宋体" w:hAnsi="宋体" w:cs="宋体" w:eastAsia="宋体" w:hint="default"/>
                <w:spacing w:val="-1"/>
                <w:sz w:val="18"/>
                <w:szCs w:val="18"/>
              </w:rPr>
              <w:t>增强现实技术（</w:t>
            </w:r>
            <w:r>
              <w:rPr>
                <w:rFonts w:ascii="Times New Roman" w:hAnsi="Times New Roman" w:cs="Times New Roman" w:eastAsia="Times New Roman" w:hint="default"/>
                <w:spacing w:val="-1"/>
                <w:sz w:val="18"/>
                <w:szCs w:val="18"/>
              </w:rPr>
              <w:t>Augmented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2"/>
                <w:sz w:val="18"/>
                <w:szCs w:val="18"/>
              </w:rPr>
              <w:t>Reality</w:t>
            </w:r>
            <w:r>
              <w:rPr>
                <w:rFonts w:ascii="宋体" w:hAnsi="宋体" w:cs="宋体" w:eastAsia="宋体" w:hint="default"/>
                <w:spacing w:val="-2"/>
                <w:sz w:val="18"/>
                <w:szCs w:val="18"/>
              </w:rPr>
              <w:t>，简称</w:t>
            </w:r>
            <w:r>
              <w:rPr>
                <w:rFonts w:ascii="宋体" w:hAnsi="宋体" w:cs="宋体" w:eastAsia="宋体" w:hint="default"/>
                <w:spacing w:val="8"/>
                <w:sz w:val="18"/>
                <w:szCs w:val="18"/>
              </w:rPr>
              <w:t> </w:t>
            </w:r>
            <w:r>
              <w:rPr>
                <w:rFonts w:ascii="Times New Roman" w:hAnsi="Times New Roman" w:cs="Times New Roman" w:eastAsia="Times New Roman" w:hint="default"/>
                <w:spacing w:val="-7"/>
                <w:w w:val="99"/>
                <w:sz w:val="18"/>
                <w:szCs w:val="18"/>
              </w:rPr>
              <w:t>AR</w:t>
            </w:r>
            <w:r>
              <w:rPr>
                <w:rFonts w:ascii="宋体" w:hAnsi="宋体" w:cs="宋体" w:eastAsia="宋体" w:hint="default"/>
                <w:spacing w:val="-7"/>
                <w:w w:val="99"/>
                <w:sz w:val="18"/>
                <w:szCs w:val="18"/>
              </w:rPr>
              <w:t>），是一种实时地计算摄影机影像</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的位置及角度并加上相应图像、视频、</w:t>
            </w:r>
            <w:r>
              <w:rPr>
                <w:rFonts w:ascii="Times New Roman" w:hAnsi="Times New Roman" w:cs="Times New Roman" w:eastAsia="Times New Roman" w:hint="default"/>
                <w:sz w:val="18"/>
                <w:szCs w:val="18"/>
              </w:rPr>
              <w:t>3D </w:t>
            </w:r>
            <w:r>
              <w:rPr>
                <w:rFonts w:ascii="宋体" w:hAnsi="宋体" w:cs="宋体" w:eastAsia="宋体" w:hint="default"/>
                <w:sz w:val="18"/>
                <w:szCs w:val="18"/>
              </w:rPr>
              <w:t>模型的技术，这种技术的目标是在 屏幕上把虚拟世界套在现实世界并进行互动。</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IOT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Internet of</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things</w:t>
            </w:r>
            <w:r>
              <w:rPr>
                <w:rFonts w:ascii="宋体" w:hAnsi="宋体" w:cs="宋体" w:eastAsia="宋体" w:hint="default"/>
                <w:sz w:val="18"/>
                <w:szCs w:val="18"/>
              </w:rPr>
              <w:t>，物联网</w:t>
            </w:r>
          </w:p>
        </w:tc>
      </w:tr>
      <w:tr>
        <w:trPr>
          <w:trHeight w:val="601"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b/>
                <w:bCs/>
                <w:sz w:val="10"/>
                <w:szCs w:val="1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PCBA</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Printed Circuit Board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+Assembly</w:t>
            </w:r>
            <w:r>
              <w:rPr>
                <w:rFonts w:ascii="宋体" w:hAnsi="宋体" w:cs="宋体" w:eastAsia="宋体" w:hint="default"/>
                <w:spacing w:val="-3"/>
                <w:sz w:val="18"/>
                <w:szCs w:val="18"/>
              </w:rPr>
              <w:t>，智能终端的成品主板（包含电路板、主要芯片</w:t>
            </w:r>
            <w:r>
              <w:rPr>
                <w:rFonts w:ascii="宋体" w:hAnsi="宋体" w:cs="宋体" w:eastAsia="宋体" w:hint="default"/>
                <w:sz w:val="18"/>
                <w:szCs w:val="18"/>
              </w:rPr>
              <w:t> 和元器件）</w:t>
            </w:r>
          </w:p>
        </w:tc>
      </w:tr>
      <w:tr>
        <w:trPr>
          <w:trHeight w:val="600"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b/>
                <w:bCs/>
                <w:sz w:val="10"/>
                <w:szCs w:val="1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Rightware</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Rightware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Oy</w:t>
            </w:r>
            <w:r>
              <w:rPr>
                <w:rFonts w:ascii="宋体" w:hAnsi="宋体" w:cs="宋体" w:eastAsia="宋体" w:hint="default"/>
                <w:sz w:val="18"/>
                <w:szCs w:val="18"/>
              </w:rPr>
              <w:t>，系本公司在报告期内通过重大资产重组收购的一家芬兰公司， 已经于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日完成交割</w:t>
            </w:r>
          </w:p>
        </w:tc>
      </w:tr>
      <w:tr>
        <w:trPr>
          <w:trHeight w:val="408"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Kanzi</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Rightware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公司自主研发的智能汽车系列产品的品牌。</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TurboX</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公司自主研发的智能物联网产品品牌</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TurboX</w:t>
            </w:r>
            <w:r>
              <w:rPr>
                <w:rFonts w:ascii="Times New Roman"/>
                <w:spacing w:val="-6"/>
                <w:sz w:val="18"/>
              </w:rPr>
              <w:t> </w:t>
            </w:r>
            <w:r>
              <w:rPr>
                <w:rFonts w:ascii="Times New Roman"/>
                <w:sz w:val="18"/>
              </w:rPr>
              <w:t>Cloud</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是公司物联网云端管理的产品的统称</w:t>
            </w:r>
          </w:p>
        </w:tc>
      </w:tr>
      <w:tr>
        <w:trPr>
          <w:trHeight w:val="407"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SoM</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System on</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Module</w:t>
            </w:r>
            <w:r>
              <w:rPr>
                <w:rFonts w:ascii="宋体" w:hAnsi="宋体" w:cs="宋体" w:eastAsia="宋体" w:hint="default"/>
                <w:sz w:val="18"/>
                <w:szCs w:val="18"/>
              </w:rPr>
              <w:t>，公司自主研发的智能大脑计算平台</w:t>
            </w:r>
          </w:p>
        </w:tc>
      </w:tr>
      <w:tr>
        <w:trPr>
          <w:trHeight w:val="408"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SDK</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Software Development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Kit</w:t>
            </w:r>
            <w:r>
              <w:rPr>
                <w:rFonts w:ascii="宋体" w:hAnsi="宋体" w:cs="宋体" w:eastAsia="宋体" w:hint="default"/>
                <w:sz w:val="18"/>
                <w:szCs w:val="18"/>
              </w:rPr>
              <w:t>，软件开发工具包</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64" w:type="dxa"/>
        <w:tblLayout w:type="fixed"/>
        <w:tblCellMar>
          <w:top w:w="0" w:type="dxa"/>
          <w:left w:w="0" w:type="dxa"/>
          <w:bottom w:w="0" w:type="dxa"/>
          <w:right w:w="0" w:type="dxa"/>
        </w:tblCellMar>
        <w:tblLook w:val="01E0"/>
      </w:tblPr>
      <w:tblGrid>
        <w:gridCol w:w="2706"/>
        <w:gridCol w:w="532"/>
        <w:gridCol w:w="6331"/>
      </w:tblGrid>
      <w:tr>
        <w:trPr>
          <w:trHeight w:val="834"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4"/>
                <w:sz w:val="18"/>
              </w:rPr>
              <w:t>FOTA</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40"/>
              <w:ind w:left="102" w:right="1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Firmware</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
                <w:sz w:val="18"/>
                <w:szCs w:val="18"/>
              </w:rPr>
              <w:t>Over-The-Air</w:t>
            </w:r>
            <w:r>
              <w:rPr>
                <w:rFonts w:ascii="宋体" w:hAnsi="宋体" w:cs="宋体" w:eastAsia="宋体" w:hint="default"/>
                <w:spacing w:val="-2"/>
                <w:sz w:val="18"/>
                <w:szCs w:val="18"/>
              </w:rPr>
              <w:t>，移动终端的空中下载软件升级，指通过云端升级技术，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为具有连网功能的设备：例如手机、平板电脑、便携式媒体播放器、移动互联</w:t>
            </w:r>
            <w:r>
              <w:rPr>
                <w:rFonts w:ascii="宋体" w:hAnsi="宋体" w:cs="宋体" w:eastAsia="宋体" w:hint="default"/>
                <w:w w:val="99"/>
                <w:sz w:val="18"/>
                <w:szCs w:val="18"/>
              </w:rPr>
              <w:t> </w:t>
            </w:r>
            <w:r>
              <w:rPr>
                <w:rFonts w:ascii="宋体" w:hAnsi="宋体" w:cs="宋体" w:eastAsia="宋体" w:hint="default"/>
                <w:sz w:val="18"/>
                <w:szCs w:val="18"/>
              </w:rPr>
              <w:t>网设备等提供固件升级服务</w:t>
            </w:r>
          </w:p>
        </w:tc>
      </w:tr>
      <w:tr>
        <w:trPr>
          <w:trHeight w:val="408"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5G</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0"/>
              <w:jc w:val="right"/>
              <w:rPr>
                <w:rFonts w:ascii="宋体" w:hAnsi="宋体" w:cs="宋体" w:eastAsia="宋体" w:hint="default"/>
                <w:sz w:val="18"/>
                <w:szCs w:val="18"/>
              </w:rPr>
            </w:pPr>
            <w:r>
              <w:rPr>
                <w:rFonts w:ascii="宋体" w:hAnsi="宋体" w:cs="宋体" w:eastAsia="宋体" w:hint="default"/>
                <w:sz w:val="18"/>
                <w:szCs w:val="18"/>
              </w:rPr>
              <w:t>指</w:t>
            </w:r>
          </w:p>
        </w:tc>
        <w:tc>
          <w:tcPr>
            <w:tcW w:w="6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Fifth-generation,</w:t>
            </w:r>
            <w:r>
              <w:rPr>
                <w:rFonts w:ascii="宋体" w:hAnsi="宋体" w:cs="宋体" w:eastAsia="宋体" w:hint="default"/>
                <w:sz w:val="18"/>
                <w:szCs w:val="18"/>
              </w:rPr>
              <w:t>第五代移动通信技术</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5"/>
          <w:szCs w:val="15"/>
        </w:rPr>
      </w:pPr>
    </w:p>
    <w:p>
      <w:pPr>
        <w:pStyle w:val="Heading1"/>
        <w:spacing w:line="441" w:lineRule="exact"/>
        <w:ind w:left="363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61"/>
        </w:rPr>
        <w:t> </w:t>
      </w:r>
      <w:r>
        <w:rPr/>
        <w:t>公司简介和主要财务指标</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8"/>
        <w:rPr>
          <w:rFonts w:ascii="微软雅黑" w:hAnsi="微软雅黑" w:cs="微软雅黑" w:eastAsia="微软雅黑" w:hint="default"/>
          <w:b/>
          <w:bCs/>
          <w:sz w:val="17"/>
          <w:szCs w:val="17"/>
        </w:rPr>
      </w:pPr>
    </w:p>
    <w:p>
      <w:pPr>
        <w:pStyle w:val="Heading2"/>
        <w:spacing w:line="397" w:lineRule="exact"/>
        <w:ind w:right="0"/>
        <w:jc w:val="left"/>
      </w:pPr>
      <w:bookmarkStart w:name="一、公司信息" w:id="5"/>
      <w:bookmarkEnd w:id="5"/>
      <w:r>
        <w:rPr/>
      </w:r>
      <w:r>
        <w:rPr/>
        <w:t>一、公司信息</w:t>
      </w:r>
    </w:p>
    <w:p>
      <w:pPr>
        <w:spacing w:line="240" w:lineRule="auto" w:before="1"/>
        <w:rPr>
          <w:rFonts w:ascii="微软雅黑" w:hAnsi="微软雅黑" w:cs="微软雅黑" w:eastAsia="微软雅黑" w:hint="default"/>
          <w:sz w:val="26"/>
          <w:szCs w:val="26"/>
        </w:rPr>
      </w:pPr>
    </w:p>
    <w:tbl>
      <w:tblPr>
        <w:tblW w:w="0" w:type="auto"/>
        <w:jc w:val="left"/>
        <w:tblInd w:w="1021" w:type="dxa"/>
        <w:tblLayout w:type="fixed"/>
        <w:tblCellMar>
          <w:top w:w="0" w:type="dxa"/>
          <w:left w:w="0" w:type="dxa"/>
          <w:bottom w:w="0" w:type="dxa"/>
          <w:right w:w="0" w:type="dxa"/>
        </w:tblCellMar>
        <w:tblLook w:val="01E0"/>
      </w:tblPr>
      <w:tblGrid>
        <w:gridCol w:w="2754"/>
        <w:gridCol w:w="2639"/>
        <w:gridCol w:w="2220"/>
        <w:gridCol w:w="2242"/>
      </w:tblGrid>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中科创达</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300496</w:t>
            </w:r>
          </w:p>
        </w:tc>
      </w:tr>
      <w:tr>
        <w:trPr>
          <w:trHeight w:val="408"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中科创达</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Thunder Software Technology</w:t>
            </w:r>
            <w:r>
              <w:rPr>
                <w:rFonts w:ascii="Times New Roman"/>
                <w:spacing w:val="-23"/>
                <w:sz w:val="18"/>
              </w:rPr>
              <w:t> </w:t>
            </w:r>
            <w:r>
              <w:rPr>
                <w:rFonts w:ascii="Times New Roman"/>
                <w:sz w:val="18"/>
              </w:rPr>
              <w:t>Co.,Ltd.</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ThunderSoft</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号泰翔商务楼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401-409</w:t>
            </w:r>
          </w:p>
        </w:tc>
      </w:tr>
      <w:tr>
        <w:trPr>
          <w:trHeight w:val="408"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100191</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号泰翔商务楼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100191</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hyperlink r:id="rId9">
              <w:r>
                <w:rPr>
                  <w:rFonts w:ascii="Times New Roman"/>
                  <w:sz w:val="18"/>
                </w:rPr>
                <w:t>www.thundersoft.com</w:t>
              </w:r>
            </w:hyperlink>
          </w:p>
        </w:tc>
      </w:tr>
      <w:tr>
        <w:trPr>
          <w:trHeight w:val="408"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1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r>
    </w:tbl>
    <w:p>
      <w:pPr>
        <w:spacing w:line="240" w:lineRule="auto" w:before="12"/>
        <w:rPr>
          <w:rFonts w:ascii="微软雅黑" w:hAnsi="微软雅黑" w:cs="微软雅黑" w:eastAsia="微软雅黑" w:hint="default"/>
          <w:sz w:val="19"/>
          <w:szCs w:val="19"/>
        </w:rPr>
      </w:pPr>
    </w:p>
    <w:p>
      <w:pPr>
        <w:pStyle w:val="Heading2"/>
        <w:spacing w:line="397" w:lineRule="exact"/>
        <w:ind w:right="0"/>
        <w:jc w:val="left"/>
      </w:pPr>
      <w:bookmarkStart w:name="二、联系人和联系方式" w:id="6"/>
      <w:bookmarkEnd w:id="6"/>
      <w:r>
        <w:rPr/>
      </w:r>
      <w:r>
        <w:rPr/>
        <w:t>二、联系人和联系方式</w:t>
      </w:r>
    </w:p>
    <w:p>
      <w:pPr>
        <w:spacing w:line="240" w:lineRule="auto" w:before="0"/>
        <w:rPr>
          <w:rFonts w:ascii="微软雅黑" w:hAnsi="微软雅黑" w:cs="微软雅黑" w:eastAsia="微软雅黑"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2754"/>
        <w:gridCol w:w="3550"/>
        <w:gridCol w:w="3551"/>
      </w:tblGrid>
      <w:tr>
        <w:trPr>
          <w:trHeight w:val="384"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13"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5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冯娟鹃</w:t>
            </w:r>
          </w:p>
        </w:tc>
        <w:tc>
          <w:tcPr>
            <w:tcW w:w="355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王珊珊</w:t>
            </w:r>
          </w:p>
        </w:tc>
      </w:tr>
      <w:tr>
        <w:trPr>
          <w:trHeight w:val="601"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号泰翔商务楼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层</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号泰翔商务楼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层</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010-82036551</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010-82036551</w:t>
            </w:r>
          </w:p>
        </w:tc>
      </w:tr>
      <w:tr>
        <w:trPr>
          <w:trHeight w:val="407"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010-82036511</w:t>
            </w:r>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010-82036511</w:t>
            </w:r>
          </w:p>
        </w:tc>
      </w:tr>
      <w:tr>
        <w:trPr>
          <w:trHeight w:val="408" w:hRule="exact"/>
        </w:trPr>
        <w:tc>
          <w:tcPr>
            <w:tcW w:w="2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c>
          <w:tcPr>
            <w:tcW w:w="3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r>
    </w:tbl>
    <w:p>
      <w:pPr>
        <w:spacing w:line="240" w:lineRule="auto" w:before="12"/>
        <w:rPr>
          <w:rFonts w:ascii="微软雅黑" w:hAnsi="微软雅黑" w:cs="微软雅黑" w:eastAsia="微软雅黑" w:hint="default"/>
          <w:sz w:val="19"/>
          <w:szCs w:val="19"/>
        </w:rPr>
      </w:pPr>
    </w:p>
    <w:p>
      <w:pPr>
        <w:pStyle w:val="Heading2"/>
        <w:spacing w:line="397" w:lineRule="exact"/>
        <w:ind w:right="0"/>
        <w:jc w:val="left"/>
      </w:pPr>
      <w:bookmarkStart w:name="三、信息披露及备置地点" w:id="7"/>
      <w:bookmarkEnd w:id="7"/>
      <w:r>
        <w:rPr/>
      </w:r>
      <w:r>
        <w:rPr/>
        <w:t>三、信息披露及备置地点</w:t>
      </w:r>
    </w:p>
    <w:p>
      <w:pPr>
        <w:spacing w:line="240" w:lineRule="auto" w:before="1"/>
        <w:rPr>
          <w:rFonts w:ascii="微软雅黑" w:hAnsi="微软雅黑" w:cs="微软雅黑" w:eastAsia="微软雅黑" w:hint="default"/>
          <w:sz w:val="26"/>
          <w:szCs w:val="26"/>
        </w:rPr>
      </w:pPr>
    </w:p>
    <w:tbl>
      <w:tblPr>
        <w:tblW w:w="0" w:type="auto"/>
        <w:jc w:val="left"/>
        <w:tblInd w:w="1021" w:type="dxa"/>
        <w:tblLayout w:type="fixed"/>
        <w:tblCellMar>
          <w:top w:w="0" w:type="dxa"/>
          <w:left w:w="0" w:type="dxa"/>
          <w:bottom w:w="0" w:type="dxa"/>
          <w:right w:w="0" w:type="dxa"/>
        </w:tblCellMar>
        <w:tblLook w:val="01E0"/>
      </w:tblPr>
      <w:tblGrid>
        <w:gridCol w:w="4112"/>
        <w:gridCol w:w="5744"/>
      </w:tblGrid>
      <w:tr>
        <w:trPr>
          <w:trHeight w:val="407"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巨潮资讯网、证券时报、证券日报</w:t>
            </w:r>
          </w:p>
        </w:tc>
      </w:tr>
      <w:tr>
        <w:trPr>
          <w:trHeight w:val="40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www.szse.cn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3"/>
        <w:rPr>
          <w:rFonts w:ascii="微软雅黑" w:hAnsi="微软雅黑" w:cs="微软雅黑" w:eastAsia="微软雅黑" w:hint="default"/>
          <w:sz w:val="2"/>
          <w:szCs w:val="2"/>
        </w:rPr>
      </w:pPr>
    </w:p>
    <w:tbl>
      <w:tblPr>
        <w:tblW w:w="0" w:type="auto"/>
        <w:jc w:val="left"/>
        <w:tblInd w:w="1021" w:type="dxa"/>
        <w:tblLayout w:type="fixed"/>
        <w:tblCellMar>
          <w:top w:w="0" w:type="dxa"/>
          <w:left w:w="0" w:type="dxa"/>
          <w:bottom w:w="0" w:type="dxa"/>
          <w:right w:w="0" w:type="dxa"/>
        </w:tblCellMar>
        <w:tblLook w:val="01E0"/>
      </w:tblPr>
      <w:tblGrid>
        <w:gridCol w:w="4112"/>
        <w:gridCol w:w="5744"/>
      </w:tblGrid>
      <w:tr>
        <w:trPr>
          <w:trHeight w:val="332" w:hRule="exact"/>
        </w:trPr>
        <w:tc>
          <w:tcPr>
            <w:tcW w:w="4112" w:type="dxa"/>
            <w:tcBorders>
              <w:top w:val="single" w:sz="6" w:space="0" w:color="000000"/>
              <w:left w:val="nil" w:sz="6" w:space="0" w:color="auto"/>
              <w:bottom w:val="single" w:sz="4" w:space="0" w:color="000000"/>
              <w:right w:val="nil" w:sz="6" w:space="0" w:color="auto"/>
            </w:tcBorders>
          </w:tcPr>
          <w:p>
            <w:pPr/>
          </w:p>
        </w:tc>
        <w:tc>
          <w:tcPr>
            <w:tcW w:w="5744" w:type="dxa"/>
            <w:tcBorders>
              <w:top w:val="single" w:sz="6" w:space="0" w:color="000000"/>
              <w:left w:val="nil" w:sz="6" w:space="0" w:color="auto"/>
              <w:bottom w:val="single" w:sz="4" w:space="0" w:color="000000"/>
              <w:right w:val="nil" w:sz="6" w:space="0" w:color="auto"/>
            </w:tcBorders>
          </w:tcPr>
          <w:p>
            <w:pPr/>
          </w:p>
        </w:tc>
      </w:tr>
      <w:tr>
        <w:trPr>
          <w:trHeight w:val="40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2"/>
        <w:rPr>
          <w:rFonts w:ascii="微软雅黑" w:hAnsi="微软雅黑" w:cs="微软雅黑" w:eastAsia="微软雅黑" w:hint="default"/>
          <w:sz w:val="19"/>
          <w:szCs w:val="19"/>
        </w:rPr>
      </w:pPr>
    </w:p>
    <w:p>
      <w:pPr>
        <w:pStyle w:val="Heading2"/>
        <w:spacing w:line="397" w:lineRule="exact"/>
        <w:ind w:right="0"/>
        <w:jc w:val="left"/>
      </w:pPr>
      <w:bookmarkStart w:name="四、其他有关资料" w:id="8"/>
      <w:bookmarkEnd w:id="8"/>
      <w:r>
        <w:rPr/>
      </w:r>
      <w:r>
        <w:rPr/>
        <w:t>四、其他有关资料</w:t>
      </w:r>
    </w:p>
    <w:p>
      <w:pPr>
        <w:spacing w:line="240" w:lineRule="auto" w:before="11"/>
        <w:rPr>
          <w:rFonts w:ascii="微软雅黑" w:hAnsi="微软雅黑" w:cs="微软雅黑" w:eastAsia="微软雅黑" w:hint="default"/>
          <w:sz w:val="27"/>
          <w:szCs w:val="27"/>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742"/>
        <w:gridCol w:w="7113"/>
      </w:tblGrid>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北京市西城区车公庄大街 </w:t>
            </w:r>
            <w:r>
              <w:rPr>
                <w:rFonts w:ascii="Times New Roman" w:hAnsi="Times New Roman" w:cs="Times New Roman" w:eastAsia="Times New Roman" w:hint="default"/>
                <w:sz w:val="18"/>
                <w:szCs w:val="18"/>
              </w:rPr>
              <w:t>9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Times New Roman" w:hAnsi="Times New Roman" w:cs="Times New Roman" w:eastAsia="Times New Roman" w:hint="default"/>
                <w:sz w:val="18"/>
                <w:szCs w:val="18"/>
              </w:rPr>
              <w:t>B2</w:t>
            </w:r>
            <w:r>
              <w:rPr>
                <w:rFonts w:ascii="宋体" w:hAnsi="宋体" w:cs="宋体" w:eastAsia="宋体" w:hint="default"/>
                <w:sz w:val="18"/>
                <w:szCs w:val="18"/>
              </w:rPr>
              <w:t>）座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室</w:t>
            </w:r>
          </w:p>
        </w:tc>
      </w:tr>
      <w:tr>
        <w:trPr>
          <w:trHeight w:val="408"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李万军、蔡中伏</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公司聘请的报告期内履行持续督导职责的保荐机构</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601"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1" w:right="189"/>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楼</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沈韬、许阳</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2017.8.28-2018.12.31</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公司聘请的报告期内履行持续督导职责的财务顾问</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3"/>
        <w:rPr>
          <w:rFonts w:ascii="宋体" w:hAnsi="宋体" w:cs="宋体" w:eastAsia="宋体" w:hint="default"/>
          <w:sz w:val="23"/>
          <w:szCs w:val="23"/>
        </w:rPr>
      </w:pPr>
    </w:p>
    <w:tbl>
      <w:tblPr>
        <w:tblW w:w="0" w:type="auto"/>
        <w:jc w:val="left"/>
        <w:tblInd w:w="987" w:type="dxa"/>
        <w:tblLayout w:type="fixed"/>
        <w:tblCellMar>
          <w:top w:w="0" w:type="dxa"/>
          <w:left w:w="0" w:type="dxa"/>
          <w:bottom w:w="0" w:type="dxa"/>
          <w:right w:w="0" w:type="dxa"/>
        </w:tblCellMar>
        <w:tblLook w:val="01E0"/>
      </w:tblPr>
      <w:tblGrid>
        <w:gridCol w:w="2534"/>
        <w:gridCol w:w="2393"/>
        <w:gridCol w:w="2392"/>
        <w:gridCol w:w="2605"/>
      </w:tblGrid>
      <w:tr>
        <w:trPr>
          <w:trHeight w:val="402" w:hRule="exact"/>
        </w:trPr>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深圳市福田区益田路江苏大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沈韬、徐睿</w:t>
            </w:r>
          </w:p>
        </w:tc>
        <w:tc>
          <w:tcPr>
            <w:tcW w:w="2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2017.2.28-2018.12.31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2"/>
        <w:spacing w:line="397" w:lineRule="exact"/>
        <w:ind w:right="0"/>
        <w:jc w:val="left"/>
      </w:pPr>
      <w:bookmarkStart w:name="五、主要会计数据和财务指标" w:id="9"/>
      <w:bookmarkEnd w:id="9"/>
      <w:r>
        <w:rPr/>
      </w:r>
      <w:r>
        <w:rPr/>
        <w:t>五、主要会计数据和财务指标</w:t>
      </w:r>
    </w:p>
    <w:p>
      <w:pPr>
        <w:spacing w:line="240" w:lineRule="auto" w:before="12"/>
        <w:rPr>
          <w:rFonts w:ascii="微软雅黑" w:hAnsi="微软雅黑" w:cs="微软雅黑" w:eastAsia="微软雅黑" w:hint="default"/>
          <w:sz w:val="27"/>
          <w:szCs w:val="27"/>
        </w:rPr>
      </w:pPr>
    </w:p>
    <w:p>
      <w:pPr>
        <w:pStyle w:val="BodyText"/>
        <w:spacing w:line="240" w:lineRule="auto"/>
        <w:ind w:left="1553" w:right="0"/>
        <w:jc w:val="left"/>
      </w:pPr>
      <w:r>
        <w:rPr/>
        <w:t>公司是否需追溯调整或重述以前年度会计数据</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698"/>
        <w:gridCol w:w="1686"/>
        <w:gridCol w:w="1687"/>
        <w:gridCol w:w="1996"/>
        <w:gridCol w:w="1788"/>
      </w:tblGrid>
      <w:tr>
        <w:trPr>
          <w:trHeight w:val="38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6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13"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8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687"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847,902,181.67</w:t>
            </w:r>
          </w:p>
        </w:tc>
        <w:tc>
          <w:tcPr>
            <w:tcW w:w="199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37.08%</w:t>
            </w:r>
          </w:p>
        </w:tc>
        <w:tc>
          <w:tcPr>
            <w:tcW w:w="1788"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1"/>
              <w:ind w:left="550" w:right="0"/>
              <w:jc w:val="left"/>
              <w:rPr>
                <w:rFonts w:ascii="Times New Roman" w:hAnsi="Times New Roman" w:cs="Times New Roman" w:eastAsia="Times New Roman" w:hint="default"/>
                <w:sz w:val="18"/>
                <w:szCs w:val="18"/>
              </w:rPr>
            </w:pPr>
            <w:r>
              <w:rPr>
                <w:rFonts w:ascii="Times New Roman"/>
                <w:sz w:val="18"/>
              </w:rPr>
              <w:t>615,463,339.97</w:t>
            </w:r>
          </w:p>
        </w:tc>
      </w:tr>
      <w:tr>
        <w:trPr>
          <w:trHeight w:val="6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78,044,301.23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120,282,199.78</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-35.12%</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116,609,383.31</w:t>
            </w:r>
          </w:p>
        </w:tc>
      </w:tr>
      <w:tr>
        <w:trPr>
          <w:trHeight w:val="6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243"/>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68,141,764.37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106,870,133.02</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-36.24%</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50" w:right="0"/>
              <w:jc w:val="left"/>
              <w:rPr>
                <w:rFonts w:ascii="Times New Roman" w:hAnsi="Times New Roman" w:cs="Times New Roman" w:eastAsia="Times New Roman" w:hint="default"/>
                <w:sz w:val="18"/>
                <w:szCs w:val="18"/>
              </w:rPr>
            </w:pPr>
            <w:r>
              <w:rPr>
                <w:rFonts w:ascii="Times New Roman"/>
                <w:sz w:val="18"/>
              </w:rPr>
              <w:t>109,228,998.45</w:t>
            </w:r>
          </w:p>
        </w:tc>
      </w:tr>
      <w:tr>
        <w:trPr>
          <w:trHeight w:val="6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181,362,773.20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73,962,922.19</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145.21%</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40" w:right="0"/>
              <w:jc w:val="left"/>
              <w:rPr>
                <w:rFonts w:ascii="Times New Roman" w:hAnsi="Times New Roman" w:cs="Times New Roman" w:eastAsia="Times New Roman" w:hint="default"/>
                <w:sz w:val="18"/>
                <w:szCs w:val="18"/>
              </w:rPr>
            </w:pPr>
            <w:r>
              <w:rPr>
                <w:rFonts w:ascii="Times New Roman"/>
                <w:sz w:val="18"/>
              </w:rPr>
              <w:t>31,628,998.71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698"/>
        <w:gridCol w:w="1686"/>
        <w:gridCol w:w="1687"/>
        <w:gridCol w:w="1996"/>
        <w:gridCol w:w="1788"/>
      </w:tblGrid>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0.1970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0.3039</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-35.18%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0.3978</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0.1935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0.2999</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-35.48%</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0.3978</w:t>
            </w:r>
          </w:p>
        </w:tc>
      </w:tr>
      <w:tr>
        <w:trPr>
          <w:trHeight w:val="41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6.55%</w:t>
            </w:r>
          </w:p>
        </w:tc>
        <w:tc>
          <w:tcPr>
            <w:tcW w:w="1687"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11.61%</w:t>
            </w:r>
          </w:p>
        </w:tc>
        <w:tc>
          <w:tcPr>
            <w:tcW w:w="199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-5.06%</w:t>
            </w:r>
          </w:p>
        </w:tc>
        <w:tc>
          <w:tcPr>
            <w:tcW w:w="1788"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30.84%</w:t>
            </w:r>
          </w:p>
        </w:tc>
      </w:tr>
      <w:tr>
        <w:trPr>
          <w:trHeight w:val="39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82"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5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1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8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Times New Roman" w:hAnsi="Times New Roman" w:cs="Times New Roman" w:eastAsia="Times New Roman" w:hint="default"/>
                <w:sz w:val="18"/>
                <w:szCs w:val="18"/>
              </w:rPr>
            </w:pPr>
            <w:r>
              <w:rPr>
                <w:rFonts w:ascii="Times New Roman"/>
                <w:sz w:val="18"/>
              </w:rPr>
              <w:t>2,657,630,556.76</w:t>
            </w:r>
          </w:p>
        </w:tc>
        <w:tc>
          <w:tcPr>
            <w:tcW w:w="168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Times New Roman" w:hAnsi="Times New Roman" w:cs="Times New Roman" w:eastAsia="Times New Roman" w:hint="default"/>
                <w:sz w:val="18"/>
                <w:szCs w:val="18"/>
              </w:rPr>
            </w:pPr>
            <w:r>
              <w:rPr>
                <w:rFonts w:ascii="Times New Roman"/>
                <w:sz w:val="18"/>
              </w:rPr>
              <w:t>1,906,496,377.57</w:t>
            </w:r>
          </w:p>
        </w:tc>
        <w:tc>
          <w:tcPr>
            <w:tcW w:w="199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Times New Roman" w:hAnsi="Times New Roman" w:cs="Times New Roman" w:eastAsia="Times New Roman" w:hint="default"/>
                <w:sz w:val="18"/>
                <w:szCs w:val="18"/>
              </w:rPr>
            </w:pPr>
            <w:r>
              <w:rPr>
                <w:rFonts w:ascii="Times New Roman"/>
                <w:sz w:val="18"/>
              </w:rPr>
              <w:t>39.40%</w:t>
            </w:r>
          </w:p>
        </w:tc>
        <w:tc>
          <w:tcPr>
            <w:tcW w:w="17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Times New Roman" w:hAnsi="Times New Roman" w:cs="Times New Roman" w:eastAsia="Times New Roman" w:hint="default"/>
                <w:sz w:val="18"/>
                <w:szCs w:val="18"/>
              </w:rPr>
            </w:pPr>
            <w:r>
              <w:rPr>
                <w:rFonts w:ascii="Times New Roman"/>
                <w:sz w:val="18"/>
              </w:rPr>
              <w:t>1,196,269,722.61</w:t>
            </w:r>
          </w:p>
        </w:tc>
      </w:tr>
      <w:tr>
        <w:trPr>
          <w:trHeight w:val="6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1,252,677,854.45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1,102,961,949.61</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13.57%</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969,822,938.74</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六、分季度主要财务指标" w:id="10"/>
      <w:bookmarkEnd w:id="10"/>
      <w:r>
        <w:rPr/>
      </w:r>
      <w:r>
        <w:rPr/>
        <w:t>六、分季度主要财务指标</w:t>
      </w:r>
    </w:p>
    <w:p>
      <w:pPr>
        <w:spacing w:line="240" w:lineRule="auto" w:before="13"/>
        <w:rPr>
          <w:rFonts w:ascii="微软雅黑" w:hAnsi="微软雅黑" w:cs="微软雅黑" w:eastAsia="微软雅黑" w:hint="default"/>
          <w:sz w:val="21"/>
          <w:szCs w:val="21"/>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698"/>
        <w:gridCol w:w="1793"/>
        <w:gridCol w:w="1790"/>
        <w:gridCol w:w="1792"/>
        <w:gridCol w:w="1782"/>
      </w:tblGrid>
      <w:tr>
        <w:trPr>
          <w:trHeight w:val="38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3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3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3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2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14"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102"/>
              <w:jc w:val="right"/>
              <w:rPr>
                <w:rFonts w:ascii="Times New Roman" w:hAnsi="Times New Roman" w:cs="Times New Roman" w:eastAsia="Times New Roman" w:hint="default"/>
                <w:sz w:val="18"/>
                <w:szCs w:val="18"/>
              </w:rPr>
            </w:pPr>
            <w:r>
              <w:rPr>
                <w:rFonts w:ascii="Times New Roman"/>
                <w:spacing w:val="-1"/>
                <w:sz w:val="18"/>
              </w:rPr>
              <w:t>222,406,138.99</w:t>
            </w:r>
          </w:p>
        </w:tc>
        <w:tc>
          <w:tcPr>
            <w:tcW w:w="179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99"/>
              <w:jc w:val="right"/>
              <w:rPr>
                <w:rFonts w:ascii="Times New Roman" w:hAnsi="Times New Roman" w:cs="Times New Roman" w:eastAsia="Times New Roman" w:hint="default"/>
                <w:sz w:val="18"/>
                <w:szCs w:val="18"/>
              </w:rPr>
            </w:pPr>
            <w:r>
              <w:rPr>
                <w:rFonts w:ascii="Times New Roman"/>
                <w:spacing w:val="-1"/>
                <w:sz w:val="18"/>
              </w:rPr>
              <w:t>245,291,110.38</w:t>
            </w:r>
          </w:p>
        </w:tc>
        <w:tc>
          <w:tcPr>
            <w:tcW w:w="17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8"/>
                <w:szCs w:val="18"/>
              </w:rPr>
            </w:pPr>
            <w:r>
              <w:rPr>
                <w:rFonts w:ascii="Times New Roman"/>
                <w:spacing w:val="-1"/>
                <w:sz w:val="18"/>
              </w:rPr>
              <w:t>232,524,539.64</w:t>
            </w:r>
          </w:p>
        </w:tc>
        <w:tc>
          <w:tcPr>
            <w:tcW w:w="178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pacing w:val="-1"/>
                <w:sz w:val="18"/>
              </w:rPr>
              <w:t>462,105,451.87</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26,490,996.37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31,312,780.73</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15,381,239.73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4,859,284.40</w:t>
            </w:r>
          </w:p>
        </w:tc>
      </w:tr>
      <w:tr>
        <w:trPr>
          <w:trHeight w:val="601"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243"/>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15,746,824.30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23,093,600.21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15,452,637.96</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13,848,701.90</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-9,130,955.55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47,374,588.31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38,403,929.44</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104,715,211.00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上述财务指标或其加总数是否与公司已披露季度报告、半年度报告相关财务指标存在重大差异</w:t>
      </w:r>
    </w:p>
    <w:p>
      <w:pPr>
        <w:spacing w:line="240" w:lineRule="auto" w:before="9"/>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25"/>
          <w:szCs w:val="25"/>
        </w:rPr>
      </w:pPr>
    </w:p>
    <w:p>
      <w:pPr>
        <w:pStyle w:val="Heading2"/>
        <w:spacing w:line="240" w:lineRule="auto"/>
        <w:ind w:right="0"/>
        <w:jc w:val="left"/>
      </w:pPr>
      <w:bookmarkStart w:name="七、境内外会计准则下会计数据差异" w:id="11"/>
      <w:bookmarkEnd w:id="11"/>
      <w:r>
        <w:rPr/>
      </w:r>
      <w:r>
        <w:rPr/>
        <w:t>七、境内外会计准则下会计数据差异</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rPr>
        <w:t>1</w:t>
      </w:r>
      <w:r>
        <w:rPr>
          <w:rFonts w:ascii="微软雅黑" w:hAnsi="微软雅黑" w:cs="微软雅黑" w:eastAsia="微软雅黑" w:hint="default"/>
        </w:rPr>
        <w:t>、同时按照国际会计准则与按照中国会计准则披露的财务报告中净利润和净资产差异情况</w:t>
      </w:r>
    </w:p>
    <w:p>
      <w:pPr>
        <w:pStyle w:val="BodyText"/>
        <w:spacing w:line="540" w:lineRule="atLeast" w:before="1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3"/>
        </w:rPr>
        <w:t>公司报告期不存在按照国际会计准则与按照中国会计准则披露的财务报告中净利润和净资产差异情</w:t>
      </w:r>
    </w:p>
    <w:p>
      <w:pPr>
        <w:pStyle w:val="BodyText"/>
        <w:spacing w:line="240" w:lineRule="auto" w:before="64"/>
        <w:ind w:left="1134" w:right="0"/>
        <w:jc w:val="left"/>
      </w:pPr>
      <w:r>
        <w:rPr/>
        <w:t>况。</w:t>
      </w:r>
    </w:p>
    <w:p>
      <w:pPr>
        <w:spacing w:line="240" w:lineRule="auto" w:before="2"/>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rPr>
        <w:t>2</w:t>
      </w:r>
      <w:r>
        <w:rPr>
          <w:rFonts w:ascii="微软雅黑" w:hAnsi="微软雅黑" w:cs="微软雅黑" w:eastAsia="微软雅黑" w:hint="default"/>
        </w:rPr>
        <w:t>、同时按照境外会计准则与按照中国会计准则披露的财务报告中净利润和净资产差异情况</w:t>
      </w:r>
    </w:p>
    <w:p>
      <w:pPr>
        <w:pStyle w:val="BodyText"/>
        <w:spacing w:line="540" w:lineRule="atLeast" w:before="1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w:t>
      </w:r>
      <w:r>
        <w:rPr>
          <w:spacing w:val="3"/>
        </w:rPr>
        <w:t>公司报告期不存在按照境外会计准则与按照中国会计准则披露的财务报告中净利润和净资产差异情</w:t>
      </w:r>
    </w:p>
    <w:p>
      <w:pPr>
        <w:pStyle w:val="BodyText"/>
        <w:spacing w:line="240" w:lineRule="auto" w:before="66"/>
        <w:ind w:left="1134" w:right="0"/>
        <w:jc w:val="left"/>
      </w:pPr>
      <w:r>
        <w:rPr/>
        <w:t>况。</w:t>
      </w:r>
    </w:p>
    <w:p>
      <w:pPr>
        <w:spacing w:line="240" w:lineRule="auto" w:before="1"/>
        <w:rPr>
          <w:rFonts w:ascii="宋体" w:hAnsi="宋体" w:cs="宋体" w:eastAsia="宋体" w:hint="default"/>
          <w:sz w:val="27"/>
          <w:szCs w:val="27"/>
        </w:rPr>
      </w:pPr>
    </w:p>
    <w:p>
      <w:pPr>
        <w:pStyle w:val="Heading2"/>
        <w:spacing w:line="240" w:lineRule="auto"/>
        <w:ind w:right="0"/>
        <w:jc w:val="left"/>
      </w:pPr>
      <w:bookmarkStart w:name="八、非经常性损益项目及金额" w:id="14"/>
      <w:bookmarkEnd w:id="14"/>
      <w:r>
        <w:rPr/>
      </w:r>
      <w:r>
        <w:rPr/>
        <w:t>八、非经常性损益项目及金额</w:t>
      </w:r>
    </w:p>
    <w:p>
      <w:pPr>
        <w:spacing w:after="0" w:line="240" w:lineRule="auto"/>
        <w:jc w:val="left"/>
        <w:sectPr>
          <w:pgSz w:w="11910" w:h="16840"/>
          <w:pgMar w:header="877" w:footer="979" w:top="1060" w:bottom="1160" w:left="0" w:right="0"/>
        </w:sectPr>
      </w:pPr>
    </w:p>
    <w:p>
      <w:pPr>
        <w:spacing w:line="240" w:lineRule="auto" w:before="9"/>
        <w:rPr>
          <w:rFonts w:ascii="微软雅黑" w:hAnsi="微软雅黑" w:cs="微软雅黑" w:eastAsia="微软雅黑" w:hint="default"/>
          <w:sz w:val="17"/>
          <w:szCs w:val="17"/>
        </w:rPr>
      </w:pPr>
    </w:p>
    <w:p>
      <w:pPr>
        <w:pStyle w:val="BodyText"/>
        <w:spacing w:line="240" w:lineRule="auto" w:before="3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396"/>
        <w:gridCol w:w="1565"/>
        <w:gridCol w:w="1565"/>
        <w:gridCol w:w="1568"/>
        <w:gridCol w:w="1762"/>
      </w:tblGrid>
      <w:tr>
        <w:trPr>
          <w:trHeight w:val="373"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1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103" w:right="101"/>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值准备的冲销部分）</w:t>
            </w:r>
          </w:p>
        </w:tc>
        <w:tc>
          <w:tcPr>
            <w:tcW w:w="15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-200,986.37</w:t>
            </w:r>
            <w:r>
              <w:rPr>
                <w:rFonts w:ascii="Times New Roman"/>
                <w:sz w:val="18"/>
              </w:rPr>
            </w:r>
          </w:p>
        </w:tc>
        <w:tc>
          <w:tcPr>
            <w:tcW w:w="15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4,451,295.71</w:t>
            </w:r>
          </w:p>
        </w:tc>
        <w:tc>
          <w:tcPr>
            <w:tcW w:w="156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637,895.47</w:t>
            </w:r>
          </w:p>
        </w:tc>
        <w:tc>
          <w:tcPr>
            <w:tcW w:w="1762" w:type="dxa"/>
            <w:tcBorders>
              <w:top w:val="single" w:sz="12" w:space="0" w:color="D2D2D2"/>
              <w:left w:val="single" w:sz="4" w:space="0" w:color="000000"/>
              <w:bottom w:val="single" w:sz="4" w:space="0" w:color="000000"/>
              <w:right w:val="single" w:sz="4" w:space="0" w:color="000000"/>
            </w:tcBorders>
          </w:tcPr>
          <w:p>
            <w:pPr/>
          </w:p>
        </w:tc>
      </w:tr>
      <w:tr>
        <w:trPr>
          <w:trHeight w:val="835"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03" w:right="101"/>
              <w:jc w:val="both"/>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切相关，按照国家统一标准定额或定量享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受的政府补助除外）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14,928,741.27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9,819,694.11</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7,321,494.49</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221"/>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115,166.28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43,238.98</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01"/>
              <w:jc w:val="left"/>
              <w:rPr>
                <w:rFonts w:ascii="宋体" w:hAnsi="宋体" w:cs="宋体" w:eastAsia="宋体" w:hint="default"/>
                <w:sz w:val="18"/>
                <w:szCs w:val="18"/>
              </w:rPr>
            </w:pPr>
            <w:r>
              <w:rPr>
                <w:rFonts w:ascii="宋体" w:hAnsi="宋体" w:cs="宋体" w:eastAsia="宋体" w:hint="default"/>
                <w:spacing w:val="-4"/>
                <w:sz w:val="18"/>
                <w:szCs w:val="18"/>
              </w:rPr>
              <w:t>企业重组费用，如安置职工的支出、整合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费用等</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-5,819,558.37</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-7,804,453.90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1302"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03" w:right="10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w:t>
            </w:r>
            <w:r>
              <w:rPr>
                <w:rFonts w:ascii="宋体" w:hAnsi="宋体" w:cs="宋体" w:eastAsia="宋体" w:hint="default"/>
                <w:spacing w:val="-4"/>
                <w:sz w:val="18"/>
                <w:szCs w:val="18"/>
              </w:rPr>
              <w:t>保值业务外，持有交易性金融资产、交易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性金融负债产生的公允价值变动损益，以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及处置交易性金融资产、交易性金融负债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和可供出售金融资产取得的投资收益</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-13,928,616.26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773,664.85</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221"/>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128,037.48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-737,838.42</w:t>
            </w:r>
            <w:r>
              <w:rPr>
                <w:rFonts w:ascii="Times New Roman"/>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-21,378.53</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或有对价公允价值变动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17,918,900.00</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-1,261,200.00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96"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无形资产评估对外投资</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10,200,000.00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2,775,809.23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2,072,334.57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557,626.57</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463,337.94</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9,902,536.86</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13,412,066.76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7,380,384.86</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w:t>
      </w:r>
    </w:p>
    <w:p>
      <w:pPr>
        <w:pStyle w:val="BodyText"/>
        <w:spacing w:line="280" w:lineRule="auto" w:before="50"/>
        <w:ind w:left="1133" w:right="1116"/>
        <w:jc w:val="left"/>
      </w:pPr>
      <w:r>
        <w:rPr/>
        <w:t>性损益项目，以及把《公开发行证券的公司信息披露解释性公告第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 常性损益项目界定为经常性损益的项目，应说明原因</w:t>
      </w:r>
    </w:p>
    <w:p>
      <w:pPr>
        <w:spacing w:line="240" w:lineRule="auto" w:before="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BodyText"/>
        <w:spacing w:line="280" w:lineRule="auto"/>
        <w:ind w:left="1133" w:right="1015" w:firstLine="420"/>
        <w:jc w:val="left"/>
      </w:pPr>
      <w:r>
        <w:rPr>
          <w:spacing w:val="-3"/>
        </w:rPr>
        <w:t>公司报告期不存在将根据《公开发行证券的公司信息披露解释性公告第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6"/>
        </w:rPr>
        <w:t>号</w:t>
      </w:r>
      <w:r>
        <w:rPr>
          <w:rFonts w:ascii="Times New Roman" w:hAnsi="Times New Roman" w:cs="Times New Roman" w:eastAsia="Times New Roman" w:hint="default"/>
          <w:spacing w:val="-6"/>
        </w:rPr>
        <w:t>——</w:t>
      </w:r>
      <w:r>
        <w:rPr>
          <w:spacing w:val="-6"/>
        </w:rPr>
        <w:t>非经常性损益》定义、</w:t>
      </w:r>
      <w:r>
        <w:rPr/>
        <w:t> 列举的非经常性损益项目界定为经常性损益的项目的情形。</w:t>
      </w:r>
    </w:p>
    <w:p>
      <w:pPr>
        <w:spacing w:after="0" w:line="28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441" w:lineRule="exact"/>
        <w:ind w:left="4433"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64"/>
        </w:rPr>
        <w:t> </w:t>
      </w:r>
      <w:r>
        <w:rPr/>
        <w:t>公司业务概要</w:t>
      </w:r>
      <w:r>
        <w:rPr>
          <w:b w:val="0"/>
          <w:bCs w:val="0"/>
        </w:rPr>
      </w:r>
    </w:p>
    <w:p>
      <w:pPr>
        <w:spacing w:line="240" w:lineRule="auto" w:before="0"/>
        <w:rPr>
          <w:rFonts w:ascii="微软雅黑" w:hAnsi="微软雅黑" w:cs="微软雅黑" w:eastAsia="微软雅黑" w:hint="default"/>
          <w:b/>
          <w:bCs/>
          <w:sz w:val="32"/>
          <w:szCs w:val="32"/>
        </w:rPr>
      </w:pPr>
    </w:p>
    <w:p>
      <w:pPr>
        <w:spacing w:line="240" w:lineRule="auto" w:before="7"/>
        <w:rPr>
          <w:rFonts w:ascii="微软雅黑" w:hAnsi="微软雅黑" w:cs="微软雅黑" w:eastAsia="微软雅黑" w:hint="default"/>
          <w:b/>
          <w:bCs/>
          <w:sz w:val="20"/>
          <w:szCs w:val="20"/>
        </w:rPr>
      </w:pPr>
    </w:p>
    <w:p>
      <w:pPr>
        <w:pStyle w:val="Heading2"/>
        <w:spacing w:line="240" w:lineRule="auto"/>
        <w:ind w:right="0"/>
        <w:jc w:val="left"/>
      </w:pPr>
      <w:bookmarkStart w:name="一、报告期内公司从事的主要业务" w:id="17"/>
      <w:bookmarkEnd w:id="17"/>
      <w:r>
        <w:rPr/>
      </w:r>
      <w:r>
        <w:rPr/>
        <w:t>一、报告期内公司从事的主要业务</w:t>
      </w:r>
    </w:p>
    <w:p>
      <w:pPr>
        <w:spacing w:line="240" w:lineRule="auto" w:before="12"/>
        <w:rPr>
          <w:rFonts w:ascii="微软雅黑" w:hAnsi="微软雅黑" w:cs="微软雅黑" w:eastAsia="微软雅黑" w:hint="default"/>
          <w:sz w:val="27"/>
          <w:szCs w:val="27"/>
        </w:rPr>
      </w:pPr>
    </w:p>
    <w:p>
      <w:pPr>
        <w:pStyle w:val="BodyText"/>
        <w:spacing w:line="487" w:lineRule="auto"/>
        <w:ind w:right="6762"/>
        <w:jc w:val="left"/>
      </w:pPr>
      <w:r>
        <w:rPr/>
        <w:t>公司是否需要遵守特殊行业的披露要求 否</w:t>
      </w:r>
    </w:p>
    <w:p>
      <w:pPr>
        <w:pStyle w:val="BodyText"/>
        <w:spacing w:line="297" w:lineRule="auto" w:before="67"/>
        <w:ind w:left="1134" w:right="1131" w:firstLine="420"/>
        <w:jc w:val="both"/>
      </w:pPr>
      <w:r>
        <w:rPr>
          <w:spacing w:val="-1"/>
        </w:rPr>
        <w:t>公司是全球领先的智能终端平台技术提供商，主营业务为移动智能终端操作系统产品的研发、销售及</w:t>
      </w:r>
      <w:r>
        <w:rPr/>
        <w:t> 提供相关技术服务。</w:t>
      </w:r>
    </w:p>
    <w:p>
      <w:pPr>
        <w:pStyle w:val="BodyText"/>
        <w:spacing w:line="560" w:lineRule="exact" w:before="30"/>
        <w:ind w:right="0"/>
        <w:jc w:val="left"/>
      </w:pPr>
      <w:r>
        <w:rPr/>
        <w:t>（一）主营业务、主要产品及其用途 </w:t>
      </w:r>
      <w:r>
        <w:rPr>
          <w:spacing w:val="-1"/>
        </w:rPr>
        <w:t>公司提供的主要产品和服务主要包括软件开发和技术服务、软件产品及软硬件一体化解决方案。产品</w:t>
      </w:r>
    </w:p>
    <w:p>
      <w:pPr>
        <w:pStyle w:val="BodyText"/>
        <w:spacing w:line="273" w:lineRule="exact"/>
        <w:ind w:left="1134" w:right="0"/>
        <w:jc w:val="left"/>
      </w:pPr>
      <w:r>
        <w:rPr/>
        <w:t>和服务最终面向智能终端，重点涵盖智能手机、智能汽车和智能物联网（重点包括智能相机、</w:t>
      </w:r>
      <w:r>
        <w:rPr>
          <w:rFonts w:ascii="Times New Roman" w:hAnsi="Times New Roman" w:cs="Times New Roman" w:eastAsia="Times New Roman" w:hint="default"/>
        </w:rPr>
        <w:t>VR/AR</w:t>
      </w:r>
      <w:r>
        <w:rPr/>
        <w:t>、机</w:t>
      </w:r>
    </w:p>
    <w:p>
      <w:pPr>
        <w:pStyle w:val="BodyText"/>
        <w:spacing w:line="240" w:lineRule="auto" w:before="50"/>
        <w:ind w:left="1134" w:right="0"/>
        <w:jc w:val="left"/>
      </w:pPr>
      <w:r>
        <w:rPr/>
        <w:t>器人、工业</w:t>
      </w:r>
      <w:r>
        <w:rPr>
          <w:spacing w:val="-54"/>
        </w:rPr>
        <w:t> </w:t>
      </w:r>
      <w:r>
        <w:rPr>
          <w:rFonts w:ascii="Times New Roman" w:hAnsi="Times New Roman" w:cs="Times New Roman" w:eastAsia="Times New Roman" w:hint="default"/>
        </w:rPr>
        <w:t>IoT</w:t>
      </w:r>
      <w:r>
        <w:rPr/>
        <w:t>、无人机等）。</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（二）经营模式</w:t>
      </w:r>
    </w:p>
    <w:p>
      <w:pPr>
        <w:pStyle w:val="BodyText"/>
        <w:spacing w:line="540" w:lineRule="atLeast" w:before="35"/>
        <w:ind w:left="1553" w:right="1116"/>
        <w:jc w:val="left"/>
      </w:pPr>
      <w:r>
        <w:rPr>
          <w:rFonts w:ascii="Times New Roman" w:hAnsi="Times New Roman" w:cs="Times New Roman" w:eastAsia="Times New Roman" w:hint="default"/>
        </w:rPr>
        <w:t>1</w:t>
      </w:r>
      <w:r>
        <w:rPr/>
        <w:t>、盈利模式 </w:t>
      </w:r>
      <w:r>
        <w:rPr>
          <w:spacing w:val="-1"/>
        </w:rPr>
        <w:t>公司根据为客户提供的产品和服务类型的差异，将收入主要分为软件开发、技术服务、软件许可和商</w:t>
      </w:r>
    </w:p>
    <w:p>
      <w:pPr>
        <w:pStyle w:val="BodyText"/>
        <w:spacing w:line="240" w:lineRule="auto" w:before="66"/>
        <w:ind w:left="1133" w:right="0"/>
        <w:jc w:val="left"/>
      </w:pPr>
      <w:r>
        <w:rPr/>
        <w:t>品销售四种。</w:t>
      </w:r>
    </w:p>
    <w:p>
      <w:pPr>
        <w:spacing w:line="240" w:lineRule="auto" w:before="8"/>
        <w:rPr>
          <w:rFonts w:ascii="宋体" w:hAnsi="宋体" w:cs="宋体" w:eastAsia="宋体" w:hint="default"/>
          <w:sz w:val="21"/>
          <w:szCs w:val="21"/>
        </w:rPr>
      </w:pPr>
    </w:p>
    <w:p>
      <w:pPr>
        <w:pStyle w:val="BodyText"/>
        <w:spacing w:line="280" w:lineRule="auto"/>
        <w:ind w:left="1133" w:right="1139" w:firstLine="420"/>
        <w:jc w:val="both"/>
      </w:pPr>
      <w:r>
        <w:rPr/>
        <w:t>（</w:t>
      </w:r>
      <w:r>
        <w:rPr>
          <w:rFonts w:ascii="Times New Roman" w:hAnsi="Times New Roman" w:cs="Times New Roman" w:eastAsia="Times New Roman" w:hint="default"/>
        </w:rPr>
        <w:t>1</w:t>
      </w:r>
      <w:r>
        <w:rPr/>
        <w:t>）软件开发模式：根据客户的实际需求，进行专项软件设计与定制化开发，最终向客户交付开发 成果并收取开发费用的业务模式。</w:t>
      </w:r>
    </w:p>
    <w:p>
      <w:pPr>
        <w:spacing w:line="240" w:lineRule="auto" w:before="12"/>
        <w:rPr>
          <w:rFonts w:ascii="宋体" w:hAnsi="宋体" w:cs="宋体" w:eastAsia="宋体" w:hint="default"/>
          <w:sz w:val="18"/>
          <w:szCs w:val="18"/>
        </w:rPr>
      </w:pPr>
    </w:p>
    <w:p>
      <w:pPr>
        <w:pStyle w:val="BodyText"/>
        <w:spacing w:line="280" w:lineRule="auto"/>
        <w:ind w:left="1133" w:right="1139" w:firstLine="420"/>
        <w:jc w:val="both"/>
      </w:pPr>
      <w:r>
        <w:rPr/>
        <w:t>（</w:t>
      </w:r>
      <w:r>
        <w:rPr>
          <w:rFonts w:ascii="Times New Roman" w:hAnsi="Times New Roman" w:cs="Times New Roman" w:eastAsia="Times New Roman" w:hint="default"/>
        </w:rPr>
        <w:t>2</w:t>
      </w:r>
      <w:r>
        <w:rPr/>
        <w:t>）技术服务模式：根据客户需求，提供相应的技术人员并开展技术支持、技术咨询、系统维护等 服务，并收取服务费用的业务模式。</w:t>
      </w:r>
    </w:p>
    <w:p>
      <w:pPr>
        <w:spacing w:line="240" w:lineRule="auto" w:before="12"/>
        <w:rPr>
          <w:rFonts w:ascii="宋体" w:hAnsi="宋体" w:cs="宋体" w:eastAsia="宋体" w:hint="default"/>
          <w:sz w:val="18"/>
          <w:szCs w:val="18"/>
        </w:rPr>
      </w:pPr>
    </w:p>
    <w:p>
      <w:pPr>
        <w:pStyle w:val="BodyText"/>
        <w:spacing w:line="280" w:lineRule="auto"/>
        <w:ind w:left="1133" w:right="1138" w:firstLine="420"/>
        <w:jc w:val="both"/>
      </w:pPr>
      <w:r>
        <w:rPr/>
        <w:t>（</w:t>
      </w:r>
      <w:r>
        <w:rPr>
          <w:rFonts w:ascii="Times New Roman" w:hAnsi="Times New Roman" w:cs="Times New Roman" w:eastAsia="Times New Roman" w:hint="default"/>
        </w:rPr>
        <w:t>3</w:t>
      </w:r>
      <w:r>
        <w:rPr/>
        <w:t>）软件许可模式：授权客户使用本公司自主拥有的软件产品等知识产权，按照授权期限或客户搭 载本公司软件的产品出货量收取相关授权费用的业务模式。</w:t>
      </w:r>
    </w:p>
    <w:p>
      <w:pPr>
        <w:spacing w:line="240" w:lineRule="auto" w:before="12"/>
        <w:rPr>
          <w:rFonts w:ascii="宋体" w:hAnsi="宋体" w:cs="宋体" w:eastAsia="宋体" w:hint="default"/>
          <w:sz w:val="18"/>
          <w:szCs w:val="18"/>
        </w:rPr>
      </w:pPr>
    </w:p>
    <w:p>
      <w:pPr>
        <w:pStyle w:val="BodyText"/>
        <w:spacing w:line="280" w:lineRule="auto"/>
        <w:ind w:left="1134" w:right="1132" w:firstLine="420"/>
        <w:jc w:val="both"/>
      </w:pPr>
      <w:r>
        <w:rPr/>
        <w:t>（</w:t>
      </w:r>
      <w:r>
        <w:rPr>
          <w:rFonts w:ascii="Times New Roman" w:hAnsi="Times New Roman" w:cs="Times New Roman" w:eastAsia="Times New Roman" w:hint="default"/>
        </w:rPr>
        <w:t>4</w:t>
      </w:r>
      <w:r>
        <w:rPr/>
        <w:t>）商品销售模式：向智能物联网厂商销售软硬件一体化产品，向移动智能终端厂商和移动芯片厂 商提供平板电脑、智能手机</w:t>
      </w:r>
      <w:r>
        <w:rPr>
          <w:spacing w:val="-71"/>
        </w:rPr>
        <w:t> </w:t>
      </w:r>
      <w:r>
        <w:rPr>
          <w:rFonts w:ascii="Times New Roman" w:hAnsi="Times New Roman" w:cs="Times New Roman" w:eastAsia="Times New Roman" w:hint="default"/>
        </w:rPr>
        <w:t>PCBA</w:t>
      </w:r>
      <w:r>
        <w:rPr>
          <w:rFonts w:ascii="Times New Roman" w:hAnsi="Times New Roman" w:cs="Times New Roman" w:eastAsia="Times New Roman" w:hint="default"/>
          <w:spacing w:val="-26"/>
        </w:rPr>
        <w:t> </w:t>
      </w:r>
      <w:r>
        <w:rPr/>
        <w:t>和整机产品的设计服务、配套软件产品的授权、软件定制工具的提供和 软件开发服务等。</w:t>
      </w:r>
    </w:p>
    <w:p>
      <w:pPr>
        <w:spacing w:line="240" w:lineRule="auto" w:before="12"/>
        <w:rPr>
          <w:rFonts w:ascii="宋体" w:hAnsi="宋体" w:cs="宋体" w:eastAsia="宋体" w:hint="default"/>
          <w:sz w:val="18"/>
          <w:szCs w:val="18"/>
        </w:rPr>
      </w:pPr>
    </w:p>
    <w:p>
      <w:pPr>
        <w:pStyle w:val="BodyText"/>
        <w:spacing w:line="460" w:lineRule="auto"/>
        <w:ind w:left="1553" w:right="4033"/>
        <w:jc w:val="left"/>
      </w:pPr>
      <w:r>
        <w:rPr>
          <w:rFonts w:ascii="Times New Roman" w:hAnsi="Times New Roman" w:cs="Times New Roman" w:eastAsia="Times New Roman" w:hint="default"/>
        </w:rPr>
        <w:t>2</w:t>
      </w:r>
      <w:r>
        <w:rPr/>
        <w:t>、采购模式 公司采购主要有技术服务采购、元器件及设备采购、设备租赁三种。</w:t>
      </w:r>
    </w:p>
    <w:p>
      <w:pPr>
        <w:spacing w:after="0" w:line="460" w:lineRule="auto"/>
        <w:jc w:val="left"/>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92" w:lineRule="auto" w:before="35"/>
        <w:ind w:left="1133" w:right="1131" w:firstLine="420"/>
        <w:jc w:val="both"/>
      </w:pPr>
      <w:r>
        <w:rPr/>
        <w:t>（</w:t>
      </w:r>
      <w:r>
        <w:rPr>
          <w:rFonts w:ascii="Times New Roman" w:hAnsi="Times New Roman" w:cs="Times New Roman" w:eastAsia="Times New Roman" w:hint="default"/>
        </w:rPr>
        <w:t>1</w:t>
      </w:r>
      <w:r>
        <w:rPr/>
        <w:t>）技术服务采购：公司主要通过自身员工开展软件开发、服务、研发等工作。根据业务需要和行 </w:t>
      </w:r>
      <w:r>
        <w:rPr>
          <w:spacing w:val="-1"/>
        </w:rPr>
        <w:t>业惯例，并考虑到过程中涉及的时间成本和人工成本，公司按照现有管理规范，将所执行的客户项目或自</w:t>
      </w:r>
      <w:r>
        <w:rPr>
          <w:spacing w:val="-83"/>
        </w:rPr>
        <w:t> </w:t>
      </w:r>
      <w:r>
        <w:rPr>
          <w:spacing w:val="-83"/>
        </w:rPr>
      </w:r>
      <w:r>
        <w:rPr>
          <w:spacing w:val="-1"/>
        </w:rPr>
        <w:t>身研发过程中耗费人工时较多、外部技术较为成熟的技术服务外包给熟悉的合作伙伴，从而有效地降低成</w:t>
      </w:r>
      <w:r>
        <w:rPr>
          <w:spacing w:val="-81"/>
        </w:rPr>
        <w:t> </w:t>
      </w:r>
      <w:r>
        <w:rPr>
          <w:spacing w:val="-81"/>
        </w:rPr>
      </w:r>
      <w:r>
        <w:rPr/>
        <w:t>本、提高效率，最后通过严格的质量控制体系，确保向客户提供产品的准确性、安全性和稳定性。</w:t>
      </w:r>
    </w:p>
    <w:p>
      <w:pPr>
        <w:spacing w:line="240" w:lineRule="auto" w:before="2"/>
        <w:rPr>
          <w:rFonts w:ascii="宋体" w:hAnsi="宋体" w:cs="宋体" w:eastAsia="宋体" w:hint="default"/>
          <w:sz w:val="18"/>
          <w:szCs w:val="18"/>
        </w:rPr>
      </w:pPr>
    </w:p>
    <w:p>
      <w:pPr>
        <w:pStyle w:val="BodyText"/>
        <w:spacing w:line="292" w:lineRule="auto"/>
        <w:ind w:left="1133" w:right="1012" w:firstLine="420"/>
        <w:jc w:val="left"/>
      </w:pPr>
      <w:r>
        <w:rPr/>
        <w:t>（</w:t>
      </w:r>
      <w:r>
        <w:rPr>
          <w:rFonts w:ascii="Times New Roman" w:hAnsi="Times New Roman" w:cs="Times New Roman" w:eastAsia="Times New Roman" w:hint="default"/>
        </w:rPr>
        <w:t>2</w:t>
      </w:r>
      <w:r>
        <w:rPr/>
        <w:t>）元器件及设备采购：根据</w:t>
      </w:r>
      <w:r>
        <w:rPr>
          <w:spacing w:val="-73"/>
        </w:rPr>
        <w:t> </w:t>
      </w:r>
      <w:r>
        <w:rPr>
          <w:rFonts w:ascii="Times New Roman" w:hAnsi="Times New Roman" w:cs="Times New Roman" w:eastAsia="Times New Roman" w:hint="default"/>
        </w:rPr>
        <w:t>PCBA</w:t>
      </w:r>
      <w:r>
        <w:rPr>
          <w:rFonts w:ascii="Times New Roman" w:hAnsi="Times New Roman" w:cs="Times New Roman" w:eastAsia="Times New Roman" w:hint="default"/>
          <w:spacing w:val="-27"/>
        </w:rPr>
        <w:t> </w:t>
      </w:r>
      <w:r>
        <w:rPr/>
        <w:t>或整机等产品及相关服务的需要，公司会进行芯片、手机样机、 内存颗粒、芯片处理器等硬件元器件的采购。相关采购需求经由业务部门提出，采购部门制作采购订单， 经由分管主管和财务部门审批后，由采购部门执行并跟踪完成采购，经物控部门入库登记。物控部门和财 务部门定期对上述资产盘点、清查，并上报库存状况，监控和及时处理呆滞库存。</w:t>
      </w:r>
    </w:p>
    <w:p>
      <w:pPr>
        <w:spacing w:line="240" w:lineRule="auto" w:before="1"/>
        <w:rPr>
          <w:rFonts w:ascii="宋体" w:hAnsi="宋体" w:cs="宋体" w:eastAsia="宋体" w:hint="default"/>
          <w:sz w:val="18"/>
          <w:szCs w:val="18"/>
        </w:rPr>
      </w:pPr>
    </w:p>
    <w:p>
      <w:pPr>
        <w:pStyle w:val="BodyText"/>
        <w:spacing w:line="292" w:lineRule="auto"/>
        <w:ind w:left="1133" w:right="1131" w:firstLine="420"/>
        <w:jc w:val="both"/>
      </w:pPr>
      <w:r>
        <w:rPr/>
        <w:t>（</w:t>
      </w:r>
      <w:r>
        <w:rPr>
          <w:rFonts w:ascii="Times New Roman" w:hAnsi="Times New Roman" w:cs="Times New Roman" w:eastAsia="Times New Roman" w:hint="default"/>
        </w:rPr>
        <w:t>3</w:t>
      </w:r>
      <w:r>
        <w:rPr/>
        <w:t>）设备租赁：公司使用的部分研发与测试设备，例如手机综测仪、基站模拟器、协议分析仪等， </w:t>
      </w:r>
      <w:r>
        <w:rPr>
          <w:spacing w:val="-1"/>
        </w:rPr>
        <w:t>具备价格昂贵、更新换代较快、专用性较高等特征。考虑到上述研发与测试设备的折旧、更新换代和使用</w:t>
      </w:r>
      <w:r>
        <w:rPr>
          <w:spacing w:val="-86"/>
        </w:rPr>
        <w:t> </w:t>
      </w:r>
      <w:r>
        <w:rPr>
          <w:spacing w:val="-86"/>
        </w:rPr>
      </w:r>
      <w:r>
        <w:rPr>
          <w:spacing w:val="-1"/>
        </w:rPr>
        <w:t>率等因素，在自有设备不能满足项目需求时，公司会以租赁的形式获取相关设备的使用权。在业务部门提</w:t>
      </w:r>
      <w:r>
        <w:rPr>
          <w:spacing w:val="-83"/>
        </w:rPr>
        <w:t> </w:t>
      </w:r>
      <w:r>
        <w:rPr>
          <w:spacing w:val="-83"/>
        </w:rPr>
      </w:r>
      <w:r>
        <w:rPr/>
        <w:t>出申请并经过审批后，行政部门选定合适的供应商实施设备租赁。</w:t>
      </w:r>
    </w:p>
    <w:p>
      <w:pPr>
        <w:pStyle w:val="BodyText"/>
        <w:spacing w:line="560" w:lineRule="exact" w:before="34"/>
        <w:ind w:left="1553" w:right="1093"/>
        <w:jc w:val="left"/>
      </w:pPr>
      <w:r>
        <w:rPr>
          <w:rFonts w:ascii="Times New Roman" w:hAnsi="Times New Roman" w:cs="Times New Roman" w:eastAsia="Times New Roman" w:hint="default"/>
        </w:rPr>
        <w:t>3</w:t>
      </w:r>
      <w:r>
        <w:rPr/>
        <w:t>、研发模式 公司的产品研发遵循标准的软件开发流程。除专门的研发队伍和测试队伍外，还有专门的代码管理、</w:t>
      </w:r>
    </w:p>
    <w:p>
      <w:pPr>
        <w:pStyle w:val="BodyText"/>
        <w:spacing w:line="257" w:lineRule="exact"/>
        <w:ind w:left="1133" w:right="0"/>
        <w:jc w:val="left"/>
      </w:pPr>
      <w:r>
        <w:rPr/>
        <w:t>质量控制、资源调度、安全管理等岗位，确保产品研发的质量和效率。公司产品研发根据需求来源分为自</w:t>
      </w:r>
    </w:p>
    <w:p>
      <w:pPr>
        <w:pStyle w:val="BodyText"/>
        <w:spacing w:line="240" w:lineRule="auto" w:before="66"/>
        <w:ind w:left="1134" w:right="0"/>
        <w:jc w:val="left"/>
      </w:pPr>
      <w:r>
        <w:rPr/>
        <w:t>主产品研发和客户产品研发两种。</w:t>
      </w:r>
    </w:p>
    <w:p>
      <w:pPr>
        <w:spacing w:line="240" w:lineRule="auto" w:before="8"/>
        <w:rPr>
          <w:rFonts w:ascii="宋体" w:hAnsi="宋体" w:cs="宋体" w:eastAsia="宋体" w:hint="default"/>
          <w:sz w:val="21"/>
          <w:szCs w:val="21"/>
        </w:rPr>
      </w:pPr>
    </w:p>
    <w:p>
      <w:pPr>
        <w:pStyle w:val="BodyText"/>
        <w:spacing w:line="285" w:lineRule="auto"/>
        <w:ind w:left="1133" w:right="1129" w:firstLine="420"/>
        <w:jc w:val="both"/>
      </w:pPr>
      <w:r>
        <w:rPr/>
        <w:t>（</w:t>
      </w:r>
      <w:r>
        <w:rPr>
          <w:rFonts w:ascii="Times New Roman" w:hAnsi="Times New Roman" w:cs="Times New Roman" w:eastAsia="Times New Roman" w:hint="default"/>
        </w:rPr>
        <w:t>1</w:t>
      </w:r>
      <w:r>
        <w:rPr/>
        <w:t>）自主产品研发：智能手机业务的自主产品的研发模式是以智能终端操作系统为基础，开发针对 </w:t>
      </w:r>
      <w:r>
        <w:rPr>
          <w:spacing w:val="-1"/>
        </w:rPr>
        <w:t>芯片厂商、智能终端厂商、电信运营商等的软件产品和解决方案。自主产品的需求来自众多客户需求的提</w:t>
      </w:r>
      <w:r>
        <w:rPr>
          <w:spacing w:val="-83"/>
        </w:rPr>
        <w:t> </w:t>
      </w:r>
      <w:r>
        <w:rPr>
          <w:spacing w:val="-83"/>
        </w:rPr>
      </w:r>
      <w:r>
        <w:rPr/>
        <w:t>炼和整合，根据产业规律，客户需求有两大类：共性需求（</w:t>
      </w:r>
      <w:r>
        <w:rPr>
          <w:rFonts w:ascii="Times New Roman" w:hAnsi="Times New Roman" w:cs="Times New Roman" w:eastAsia="Times New Roman" w:hint="default"/>
        </w:rPr>
        <w:t>Android </w:t>
      </w:r>
      <w:r>
        <w:rPr/>
        <w:t>系统原生</w:t>
      </w:r>
      <w:r>
        <w:rPr>
          <w:spacing w:val="-26"/>
        </w:rPr>
        <w:t> </w:t>
      </w:r>
      <w:r>
        <w:rPr>
          <w:rFonts w:ascii="Times New Roman" w:hAnsi="Times New Roman" w:cs="Times New Roman" w:eastAsia="Times New Roman" w:hint="default"/>
        </w:rPr>
        <w:t>Bug</w:t>
      </w:r>
      <w:r>
        <w:rPr/>
        <w:t>、运营商认证、双卡双 </w:t>
      </w:r>
      <w:r>
        <w:rPr>
          <w:spacing w:val="-1"/>
        </w:rPr>
        <w:t>待、元器件认证和测试等）和个性需求（云接入、定制化硬件等）。智能汽车业务的自主产品的研发模式</w:t>
      </w:r>
      <w:r>
        <w:rPr>
          <w:spacing w:val="-83"/>
        </w:rPr>
        <w:t> </w:t>
      </w:r>
      <w:r>
        <w:rPr>
          <w:spacing w:val="-83"/>
        </w:rPr>
      </w:r>
      <w:r>
        <w:rPr>
          <w:spacing w:val="-1"/>
        </w:rPr>
        <w:t>是以操作系统开发为基础，提供从核心技术授权到应用定制的一站式信息娱乐系统和全数字仪表系统解决</w:t>
      </w:r>
      <w:r>
        <w:rPr>
          <w:spacing w:val="-81"/>
        </w:rPr>
        <w:t> </w:t>
      </w:r>
      <w:r>
        <w:rPr>
          <w:spacing w:val="-81"/>
        </w:rPr>
      </w:r>
      <w:r>
        <w:rPr/>
        <w:t>方案。通过并购，公司整合了 </w:t>
      </w:r>
      <w:r>
        <w:rPr>
          <w:rFonts w:ascii="Times New Roman" w:hAnsi="Times New Roman" w:cs="Times New Roman" w:eastAsia="Times New Roman" w:hint="default"/>
        </w:rPr>
        <w:t>Rightware</w:t>
      </w:r>
      <w:r>
        <w:rPr>
          <w:rFonts w:ascii="Times New Roman" w:hAnsi="Times New Roman" w:cs="Times New Roman" w:eastAsia="Times New Roman" w:hint="default"/>
          <w:spacing w:val="-6"/>
        </w:rPr>
        <w:t> </w:t>
      </w:r>
      <w:r>
        <w:rPr/>
        <w:t>公司所提供的新一代智能汽车人机交互界面和引擎，向全球的一 </w:t>
      </w:r>
      <w:r>
        <w:rPr>
          <w:spacing w:val="-1"/>
        </w:rPr>
        <w:t>线品牌车厂和一级供应商，提供完整的智能驾驶舱解决方案。智能物联网业务基于移动操作系统的研发和</w:t>
      </w:r>
      <w:r>
        <w:rPr>
          <w:spacing w:val="-81"/>
        </w:rPr>
        <w:t> </w:t>
      </w:r>
      <w:r>
        <w:rPr>
          <w:spacing w:val="-81"/>
        </w:rPr>
      </w:r>
      <w:r>
        <w:rPr/>
        <w:t>创新，通过推出</w:t>
      </w:r>
      <w:r>
        <w:rPr>
          <w:spacing w:val="-53"/>
        </w:rPr>
        <w:t> </w:t>
      </w:r>
      <w:r>
        <w:rPr>
          <w:rFonts w:ascii="Times New Roman" w:hAnsi="Times New Roman" w:cs="Times New Roman" w:eastAsia="Times New Roman" w:hint="default"/>
        </w:rPr>
        <w:t>TurboX</w:t>
      </w:r>
      <w:r>
        <w:rPr>
          <w:rFonts w:ascii="Times New Roman" w:hAnsi="Times New Roman" w:cs="Times New Roman" w:eastAsia="Times New Roman" w:hint="default"/>
          <w:spacing w:val="-12"/>
        </w:rPr>
        <w:t> </w:t>
      </w:r>
      <w:r>
        <w:rPr/>
        <w:t>智能大脑平台以及</w:t>
      </w:r>
      <w:r>
        <w:rPr>
          <w:spacing w:val="-53"/>
        </w:rPr>
        <w:t> </w:t>
      </w:r>
      <w:r>
        <w:rPr>
          <w:rFonts w:ascii="Times New Roman" w:hAnsi="Times New Roman" w:cs="Times New Roman" w:eastAsia="Times New Roman" w:hint="default"/>
        </w:rPr>
        <w:t>TurboX</w:t>
      </w:r>
      <w:r>
        <w:rPr>
          <w:rFonts w:ascii="Times New Roman" w:hAnsi="Times New Roman" w:cs="Times New Roman" w:eastAsia="Times New Roman" w:hint="default"/>
          <w:spacing w:val="-9"/>
        </w:rPr>
        <w:t> </w:t>
      </w:r>
      <w:r>
        <w:rPr>
          <w:rFonts w:ascii="Times New Roman" w:hAnsi="Times New Roman" w:cs="Times New Roman" w:eastAsia="Times New Roman" w:hint="default"/>
        </w:rPr>
        <w:t>Cloud</w:t>
      </w:r>
      <w:r>
        <w:rPr>
          <w:rFonts w:ascii="Times New Roman" w:hAnsi="Times New Roman" w:cs="Times New Roman" w:eastAsia="Times New Roman" w:hint="default"/>
          <w:spacing w:val="-11"/>
        </w:rPr>
        <w:t> </w:t>
      </w:r>
      <w:r>
        <w:rPr/>
        <w:t>智能物联网云平台，真正做到物联网应用开发的 一站式技术支持。其中，</w:t>
      </w:r>
      <w:r>
        <w:rPr>
          <w:rFonts w:ascii="Times New Roman" w:hAnsi="Times New Roman" w:cs="Times New Roman" w:eastAsia="Times New Roman" w:hint="default"/>
        </w:rPr>
        <w:t>TurboX</w:t>
      </w:r>
      <w:r>
        <w:rPr>
          <w:rFonts w:ascii="Times New Roman" w:hAnsi="Times New Roman" w:cs="Times New Roman" w:eastAsia="Times New Roman" w:hint="default"/>
          <w:spacing w:val="-18"/>
        </w:rPr>
        <w:t> </w:t>
      </w:r>
      <w:r>
        <w:rPr/>
        <w:t>智能大脑平台包括了核心计算模块</w:t>
      </w:r>
      <w:r>
        <w:rPr>
          <w:spacing w:val="-61"/>
        </w:rPr>
        <w:t> </w:t>
      </w:r>
      <w:r>
        <w:rPr>
          <w:rFonts w:ascii="Times New Roman" w:hAnsi="Times New Roman" w:cs="Times New Roman" w:eastAsia="Times New Roman" w:hint="default"/>
        </w:rPr>
        <w:t>SoM</w:t>
      </w:r>
      <w:r>
        <w:rPr/>
        <w:t>、操作系统、算法以及</w:t>
      </w:r>
      <w:r>
        <w:rPr>
          <w:spacing w:val="-61"/>
        </w:rPr>
        <w:t> </w:t>
      </w:r>
      <w:r>
        <w:rPr>
          <w:rFonts w:ascii="Times New Roman" w:hAnsi="Times New Roman" w:cs="Times New Roman" w:eastAsia="Times New Roman" w:hint="default"/>
        </w:rPr>
        <w:t>SDK</w:t>
      </w:r>
      <w:r>
        <w:rPr>
          <w:rFonts w:ascii="Times New Roman" w:hAnsi="Times New Roman" w:cs="Times New Roman" w:eastAsia="Times New Roman" w:hint="default"/>
          <w:spacing w:val="-18"/>
        </w:rPr>
        <w:t> </w:t>
      </w:r>
      <w:r>
        <w:rPr/>
        <w:t>一体 </w:t>
      </w:r>
      <w:r>
        <w:rPr>
          <w:spacing w:val="-6"/>
          <w:w w:val="99"/>
        </w:rPr>
        <w:t>化解决方案。自主产品的知识产权完全归公司所有，对增强公司核心竞争力起到了至关重要的作用。</w:t>
      </w:r>
      <w:r>
        <w:rPr>
          <w:rFonts w:ascii="Times New Roman" w:hAnsi="Times New Roman" w:cs="Times New Roman" w:eastAsia="Times New Roman" w:hint="default"/>
          <w:spacing w:val="-6"/>
          <w:w w:val="99"/>
        </w:rPr>
        <w:t>TurboX</w:t>
      </w:r>
      <w:r>
        <w:rPr>
          <w:rFonts w:ascii="Times New Roman" w:hAnsi="Times New Roman" w:cs="Times New Roman" w:eastAsia="Times New Roman" w:hint="default"/>
          <w:spacing w:val="-20"/>
          <w:w w:val="99"/>
        </w:rPr>
        <w:t> </w:t>
      </w:r>
      <w:r>
        <w:rPr>
          <w:rFonts w:ascii="Times New Roman" w:hAnsi="Times New Roman" w:cs="Times New Roman" w:eastAsia="Times New Roman" w:hint="default"/>
          <w:spacing w:val="-20"/>
          <w:w w:val="99"/>
        </w:rPr>
      </w:r>
      <w:r>
        <w:rPr>
          <w:rFonts w:ascii="Times New Roman" w:hAnsi="Times New Roman" w:cs="Times New Roman" w:eastAsia="Times New Roman" w:hint="default"/>
        </w:rPr>
        <w:t>Cloud</w:t>
      </w:r>
      <w:r>
        <w:rPr>
          <w:rFonts w:ascii="Times New Roman" w:hAnsi="Times New Roman" w:cs="Times New Roman" w:eastAsia="Times New Roman" w:hint="default"/>
          <w:spacing w:val="39"/>
        </w:rPr>
        <w:t> </w:t>
      </w:r>
      <w:r>
        <w:rPr/>
        <w:t>智能物联网云平台旨在为企业与开发者提供完整的物联网端到端应用解决方案，在快速实现产品商 用的同时，更能执行好后期的设备管理、升级以及数据存储与分析等重要环节。客户可以基于 </w:t>
      </w:r>
      <w:r>
        <w:rPr>
          <w:rFonts w:ascii="Times New Roman" w:hAnsi="Times New Roman" w:cs="Times New Roman" w:eastAsia="Times New Roman" w:hint="default"/>
        </w:rPr>
        <w:t>TurboX</w:t>
      </w:r>
      <w:r>
        <w:rPr>
          <w:rFonts w:ascii="Times New Roman" w:hAnsi="Times New Roman" w:cs="Times New Roman" w:eastAsia="Times New Roman" w:hint="default"/>
          <w:spacing w:val="-6"/>
        </w:rPr>
        <w:t> </w:t>
      </w:r>
      <w:r>
        <w:rPr/>
        <w:t>智 能物联网开发平台、</w:t>
      </w:r>
      <w:r>
        <w:rPr>
          <w:rFonts w:ascii="Times New Roman" w:hAnsi="Times New Roman" w:cs="Times New Roman" w:eastAsia="Times New Roman" w:hint="default"/>
        </w:rPr>
        <w:t>TurboX</w:t>
      </w:r>
      <w:r>
        <w:rPr>
          <w:rFonts w:ascii="Times New Roman" w:hAnsi="Times New Roman" w:cs="Times New Roman" w:eastAsia="Times New Roman" w:hint="default"/>
          <w:spacing w:val="-13"/>
        </w:rPr>
        <w:t> </w:t>
      </w:r>
      <w:r>
        <w:rPr/>
        <w:t>核心计算模块与</w:t>
      </w:r>
      <w:r>
        <w:rPr>
          <w:spacing w:val="-54"/>
        </w:rPr>
        <w:t> </w:t>
      </w:r>
      <w:r>
        <w:rPr>
          <w:rFonts w:ascii="Times New Roman" w:hAnsi="Times New Roman" w:cs="Times New Roman" w:eastAsia="Times New Roman" w:hint="default"/>
        </w:rPr>
        <w:t>TurboX</w:t>
      </w:r>
      <w:r>
        <w:rPr>
          <w:rFonts w:ascii="Times New Roman" w:hAnsi="Times New Roman" w:cs="Times New Roman" w:eastAsia="Times New Roman" w:hint="default"/>
          <w:spacing w:val="-2"/>
        </w:rPr>
        <w:t> </w:t>
      </w:r>
      <w:r>
        <w:rPr>
          <w:rFonts w:ascii="Times New Roman" w:hAnsi="Times New Roman" w:cs="Times New Roman" w:eastAsia="Times New Roman" w:hint="default"/>
        </w:rPr>
        <w:t>Cloud</w:t>
      </w:r>
      <w:r>
        <w:rPr>
          <w:rFonts w:ascii="Times New Roman" w:hAnsi="Times New Roman" w:cs="Times New Roman" w:eastAsia="Times New Roman" w:hint="default"/>
          <w:spacing w:val="-12"/>
        </w:rPr>
        <w:t> </w:t>
      </w:r>
      <w:r>
        <w:rPr/>
        <w:t>云平台快速开发物联网端到端应用。</w:t>
      </w:r>
    </w:p>
    <w:p>
      <w:pPr>
        <w:spacing w:line="240" w:lineRule="auto" w:before="1"/>
        <w:rPr>
          <w:rFonts w:ascii="宋体" w:hAnsi="宋体" w:cs="宋体" w:eastAsia="宋体" w:hint="default"/>
          <w:sz w:val="17"/>
          <w:szCs w:val="17"/>
        </w:rPr>
      </w:pPr>
    </w:p>
    <w:p>
      <w:pPr>
        <w:pStyle w:val="BodyText"/>
        <w:spacing w:line="295" w:lineRule="auto"/>
        <w:ind w:left="1133" w:right="1130" w:firstLine="420"/>
        <w:jc w:val="both"/>
      </w:pPr>
      <w:r>
        <w:rPr/>
        <w:t>（</w:t>
      </w:r>
      <w:r>
        <w:rPr>
          <w:rFonts w:ascii="Times New Roman" w:hAnsi="Times New Roman" w:cs="Times New Roman" w:eastAsia="Times New Roman" w:hint="default"/>
        </w:rPr>
        <w:t>2</w:t>
      </w:r>
      <w:r>
        <w:rPr/>
        <w:t>）客户产品研发：客户产品研发是指根据客户需求，在其产品基础上进行定制化的产品研发。由 </w:t>
      </w:r>
      <w:r>
        <w:rPr>
          <w:spacing w:val="-1"/>
        </w:rPr>
        <w:t>客户提出需求，包括产品的形态、功能、界面设计等，一些特殊或专用设备及相关的资料；此外，客户还</w:t>
      </w:r>
      <w:r>
        <w:rPr>
          <w:spacing w:val="-83"/>
        </w:rPr>
        <w:t> </w:t>
      </w:r>
      <w:r>
        <w:rPr>
          <w:spacing w:val="-83"/>
        </w:rPr>
      </w:r>
      <w:r>
        <w:rPr>
          <w:spacing w:val="-1"/>
        </w:rPr>
        <w:t>会提出明确的指标要求（如性能、功耗、缺陷收敛率等）。客户产品的实施方式和过程会因为客户的不同</w:t>
      </w:r>
      <w:r>
        <w:rPr>
          <w:spacing w:val="-83"/>
        </w:rPr>
        <w:t> </w:t>
      </w:r>
      <w:r>
        <w:rPr>
          <w:spacing w:val="-83"/>
        </w:rPr>
      </w:r>
      <w:r>
        <w:rPr>
          <w:spacing w:val="-1"/>
        </w:rPr>
        <w:t>需求，存在一定差别。客户产品研发通常以项目的方式，由一个典型的项目团队（项目管理人员、研发人</w:t>
      </w:r>
      <w:r>
        <w:rPr>
          <w:spacing w:val="-82"/>
        </w:rPr>
        <w:t> </w:t>
      </w:r>
      <w:r>
        <w:rPr>
          <w:spacing w:val="-82"/>
        </w:rPr>
      </w:r>
      <w:r>
        <w:rPr>
          <w:spacing w:val="-1"/>
        </w:rPr>
        <w:t>员、测试人员、质量管理人员、配置管理人员等）来负责实施，并按照和客户达成一致的项目开发计划来</w:t>
      </w:r>
      <w:r>
        <w:rPr>
          <w:spacing w:val="-83"/>
        </w:rPr>
        <w:t> </w:t>
      </w:r>
      <w:r>
        <w:rPr>
          <w:spacing w:val="-83"/>
        </w:rPr>
      </w:r>
      <w:r>
        <w:rPr>
          <w:spacing w:val="-1"/>
        </w:rPr>
        <w:t>完成项目，最终将软件产品交付给客户。项目完成后，该产品知识产权根据合同约定归客户所有或双方共</w:t>
      </w:r>
      <w:r>
        <w:rPr>
          <w:spacing w:val="-83"/>
        </w:rPr>
        <w:t> </w:t>
      </w:r>
      <w:r>
        <w:rPr>
          <w:spacing w:val="-83"/>
        </w:rPr>
      </w:r>
      <w:r>
        <w:rPr>
          <w:spacing w:val="-1"/>
        </w:rPr>
        <w:t>同所有。客户产品研发模式能够积累核心技术和经验，接触行业最前沿技术，学习先进管理方法，有利于</w:t>
      </w:r>
      <w:r>
        <w:rPr>
          <w:spacing w:val="-86"/>
        </w:rPr>
        <w:t> </w:t>
      </w:r>
      <w:r>
        <w:rPr>
          <w:spacing w:val="-86"/>
        </w:rPr>
      </w:r>
      <w:r>
        <w:rPr/>
        <w:t>公司在技术和管理上的提升。</w:t>
      </w:r>
    </w:p>
    <w:p>
      <w:pPr>
        <w:spacing w:after="0" w:line="295" w:lineRule="auto"/>
        <w:jc w:val="both"/>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40" w:lineRule="auto" w:before="35"/>
        <w:ind w:left="1553" w:right="0"/>
        <w:jc w:val="left"/>
      </w:pPr>
      <w:r>
        <w:rPr>
          <w:rFonts w:ascii="Times New Roman" w:hAnsi="Times New Roman" w:cs="Times New Roman" w:eastAsia="Times New Roman" w:hint="default"/>
        </w:rPr>
        <w:t>4</w:t>
      </w:r>
      <w:r>
        <w:rPr/>
        <w:t>、销售模式</w:t>
      </w:r>
    </w:p>
    <w:p>
      <w:pPr>
        <w:spacing w:line="240" w:lineRule="auto" w:before="6"/>
        <w:rPr>
          <w:rFonts w:ascii="宋体" w:hAnsi="宋体" w:cs="宋体" w:eastAsia="宋体" w:hint="default"/>
          <w:sz w:val="20"/>
          <w:szCs w:val="20"/>
        </w:rPr>
      </w:pPr>
    </w:p>
    <w:p>
      <w:pPr>
        <w:pStyle w:val="BodyText"/>
        <w:spacing w:line="297" w:lineRule="auto"/>
        <w:ind w:left="1133" w:right="1131" w:firstLine="420"/>
        <w:jc w:val="both"/>
      </w:pPr>
      <w:r>
        <w:rPr>
          <w:spacing w:val="-1"/>
        </w:rPr>
        <w:t>公司主要采用直接销售的模式进行移动智能终端操作系统产品和技术服务的销售，由销售人员与客户</w:t>
      </w:r>
      <w:r>
        <w:rPr/>
        <w:t> </w:t>
      </w:r>
      <w:r>
        <w:rPr>
          <w:spacing w:val="-1"/>
        </w:rPr>
        <w:t>直接建立并维持稳定的客户关系。公司智能手机客户群体以移动芯片厂商、移动智能终端厂商和电信运营</w:t>
      </w:r>
      <w:r>
        <w:rPr>
          <w:spacing w:val="-81"/>
        </w:rPr>
        <w:t> </w:t>
      </w:r>
      <w:r>
        <w:rPr>
          <w:spacing w:val="-81"/>
        </w:rPr>
      </w:r>
      <w:r>
        <w:rPr>
          <w:spacing w:val="-1"/>
        </w:rPr>
        <w:t>商为代表的大客户为主，销售活动主要围绕上述大客户展开。智能汽车客户群体主要以国内外知名一线厂</w:t>
      </w:r>
      <w:r>
        <w:rPr>
          <w:spacing w:val="-81"/>
        </w:rPr>
        <w:t> </w:t>
      </w:r>
      <w:r>
        <w:rPr>
          <w:spacing w:val="-81"/>
        </w:rPr>
      </w:r>
      <w:r>
        <w:rPr>
          <w:spacing w:val="-1"/>
        </w:rPr>
        <w:t>商和一级供应商为主；智能物联网客户群体以智能物联网厂商为主，包括消费类电子产品生产厂商和垂直</w:t>
      </w:r>
      <w:r>
        <w:rPr>
          <w:spacing w:val="-81"/>
        </w:rPr>
        <w:t> </w:t>
      </w:r>
      <w:r>
        <w:rPr>
          <w:spacing w:val="-81"/>
        </w:rPr>
      </w:r>
      <w:r>
        <w:rPr/>
        <w:t>行业产品生产制造商。</w:t>
      </w:r>
    </w:p>
    <w:p>
      <w:pPr>
        <w:spacing w:line="240" w:lineRule="auto" w:before="10"/>
        <w:rPr>
          <w:rFonts w:ascii="宋体" w:hAnsi="宋体" w:cs="宋体" w:eastAsia="宋体" w:hint="default"/>
          <w:sz w:val="17"/>
          <w:szCs w:val="17"/>
        </w:rPr>
      </w:pPr>
    </w:p>
    <w:p>
      <w:pPr>
        <w:pStyle w:val="BodyText"/>
        <w:spacing w:line="280" w:lineRule="auto"/>
        <w:ind w:left="1133" w:right="1140" w:firstLine="420"/>
        <w:jc w:val="both"/>
      </w:pPr>
      <w:r>
        <w:rPr/>
        <w:t>（</w:t>
      </w:r>
      <w:r>
        <w:rPr>
          <w:rFonts w:ascii="Times New Roman" w:hAnsi="Times New Roman" w:cs="Times New Roman" w:eastAsia="Times New Roman" w:hint="default"/>
        </w:rPr>
        <w:t>1</w:t>
      </w:r>
      <w:r>
        <w:rPr/>
        <w:t>）市场拓展：在市场拓展方面，公司策略是重点发展核心客户，在建立稳定的业务关系后，以点 带面，沿产业链上下游延伸，拓展新客户。</w:t>
      </w:r>
    </w:p>
    <w:p>
      <w:pPr>
        <w:spacing w:line="240" w:lineRule="auto" w:before="0"/>
        <w:rPr>
          <w:rFonts w:ascii="宋体" w:hAnsi="宋体" w:cs="宋体" w:eastAsia="宋体" w:hint="default"/>
          <w:sz w:val="19"/>
          <w:szCs w:val="19"/>
        </w:rPr>
      </w:pPr>
    </w:p>
    <w:p>
      <w:pPr>
        <w:pStyle w:val="BodyText"/>
        <w:spacing w:line="288" w:lineRule="auto"/>
        <w:ind w:left="1133" w:right="1133" w:firstLine="420"/>
        <w:jc w:val="both"/>
      </w:pPr>
      <w:r>
        <w:rPr/>
        <w:t>（</w:t>
      </w:r>
      <w:r>
        <w:rPr>
          <w:rFonts w:ascii="Times New Roman" w:hAnsi="Times New Roman" w:cs="Times New Roman" w:eastAsia="Times New Roman" w:hint="default"/>
        </w:rPr>
        <w:t>2</w:t>
      </w:r>
      <w:r>
        <w:rPr/>
        <w:t>）客户关系维护：公司注重同客户建立长期稳定的合作关系。公司通过不断加大研发力度，提升 </w:t>
      </w:r>
      <w:r>
        <w:rPr>
          <w:spacing w:val="-1"/>
        </w:rPr>
        <w:t>操作系统产品的质量、版本升级速度、差异化体验功能、加强市场团队建设、扩充全球技术支持网点、强</w:t>
      </w:r>
      <w:r>
        <w:rPr>
          <w:spacing w:val="-83"/>
        </w:rPr>
        <w:t> </w:t>
      </w:r>
      <w:r>
        <w:rPr>
          <w:spacing w:val="-83"/>
        </w:rPr>
      </w:r>
      <w:r>
        <w:rPr/>
        <w:t>化本地化服务等多种方式，深入挖掘客户的潜在需求，努力满足客户不断提出的新需求。</w:t>
      </w:r>
    </w:p>
    <w:p>
      <w:pPr>
        <w:spacing w:line="240" w:lineRule="auto" w:before="6"/>
        <w:rPr>
          <w:rFonts w:ascii="宋体" w:hAnsi="宋体" w:cs="宋体" w:eastAsia="宋体" w:hint="default"/>
          <w:sz w:val="18"/>
          <w:szCs w:val="18"/>
        </w:rPr>
      </w:pPr>
    </w:p>
    <w:p>
      <w:pPr>
        <w:pStyle w:val="BodyText"/>
        <w:spacing w:line="292" w:lineRule="auto"/>
        <w:ind w:left="1133" w:right="1110" w:firstLine="420"/>
        <w:jc w:val="both"/>
      </w:pPr>
      <w:r>
        <w:rPr/>
        <w:t>（</w:t>
      </w:r>
      <w:r>
        <w:rPr>
          <w:rFonts w:ascii="Times New Roman" w:hAnsi="Times New Roman" w:cs="Times New Roman" w:eastAsia="Times New Roman" w:hint="default"/>
        </w:rPr>
        <w:t>3</w:t>
      </w:r>
      <w:r>
        <w:rPr/>
        <w:t>）国际化营销网络：从地缘分布看，公司的客户主要分布在中国、日本、韩国、美国以及欧洲。 为适应国际大客户的业务发展需要，公司建立了国际化的营销网络，在北京、上海、深圳、南京、成都、 </w:t>
      </w:r>
      <w:r>
        <w:rPr>
          <w:spacing w:val="-1"/>
        </w:rPr>
        <w:t>西安、大连、沈阳、重庆、武汉、中国香港、中国台湾、日本、韩国、美国、芬兰等客户集中的地区设立</w:t>
      </w:r>
      <w:r>
        <w:rPr>
          <w:spacing w:val="-88"/>
        </w:rPr>
        <w:t> </w:t>
      </w:r>
      <w:r>
        <w:rPr>
          <w:spacing w:val="-88"/>
        </w:rPr>
      </w:r>
      <w:r>
        <w:rPr/>
        <w:t>营销和技术支持中心并派驻人员，为客户提供本土化的服务。</w:t>
      </w:r>
    </w:p>
    <w:p>
      <w:pPr>
        <w:spacing w:line="240" w:lineRule="auto" w:before="3"/>
        <w:rPr>
          <w:rFonts w:ascii="宋体" w:hAnsi="宋体" w:cs="宋体" w:eastAsia="宋体" w:hint="default"/>
          <w:sz w:val="18"/>
          <w:szCs w:val="18"/>
        </w:rPr>
      </w:pPr>
    </w:p>
    <w:p>
      <w:pPr>
        <w:pStyle w:val="BodyText"/>
        <w:spacing w:line="240" w:lineRule="auto"/>
        <w:ind w:left="1553" w:right="0"/>
        <w:jc w:val="left"/>
      </w:pPr>
      <w:r>
        <w:rPr>
          <w:rFonts w:ascii="Times New Roman" w:hAnsi="Times New Roman" w:cs="Times New Roman" w:eastAsia="Times New Roman" w:hint="default"/>
        </w:rPr>
        <w:t>5</w:t>
      </w:r>
      <w:r>
        <w:rPr/>
        <w:t>、管理模式</w:t>
      </w:r>
    </w:p>
    <w:p>
      <w:pPr>
        <w:spacing w:line="240" w:lineRule="auto" w:before="6"/>
        <w:rPr>
          <w:rFonts w:ascii="宋体" w:hAnsi="宋体" w:cs="宋体" w:eastAsia="宋体" w:hint="default"/>
          <w:sz w:val="20"/>
          <w:szCs w:val="20"/>
        </w:rPr>
      </w:pPr>
    </w:p>
    <w:p>
      <w:pPr>
        <w:pStyle w:val="BodyText"/>
        <w:spacing w:line="280" w:lineRule="auto"/>
        <w:ind w:left="1134" w:right="1132" w:firstLine="420"/>
        <w:jc w:val="both"/>
      </w:pPr>
      <w:r>
        <w:rPr/>
        <w:t>公司注重项目管理和质量管理，通过了</w:t>
      </w:r>
      <w:r>
        <w:rPr>
          <w:spacing w:val="-55"/>
        </w:rPr>
        <w:t> </w:t>
      </w:r>
      <w:r>
        <w:rPr>
          <w:rFonts w:ascii="Times New Roman" w:hAnsi="Times New Roman" w:cs="Times New Roman" w:eastAsia="Times New Roman" w:hint="default"/>
        </w:rPr>
        <w:t>ISO9001</w:t>
      </w:r>
      <w:r>
        <w:rPr>
          <w:rFonts w:ascii="Times New Roman" w:hAnsi="Times New Roman" w:cs="Times New Roman" w:eastAsia="Times New Roman" w:hint="default"/>
          <w:spacing w:val="-13"/>
        </w:rPr>
        <w:t> </w:t>
      </w:r>
      <w:r>
        <w:rPr/>
        <w:t>和</w:t>
      </w:r>
      <w:r>
        <w:rPr>
          <w:spacing w:val="-56"/>
        </w:rPr>
        <w:t> </w:t>
      </w:r>
      <w:r>
        <w:rPr>
          <w:rFonts w:ascii="Times New Roman" w:hAnsi="Times New Roman" w:cs="Times New Roman" w:eastAsia="Times New Roman" w:hint="default"/>
        </w:rPr>
        <w:t>ISO27001</w:t>
      </w:r>
      <w:r>
        <w:rPr>
          <w:rFonts w:ascii="Times New Roman" w:hAnsi="Times New Roman" w:cs="Times New Roman" w:eastAsia="Times New Roman" w:hint="default"/>
          <w:spacing w:val="-12"/>
        </w:rPr>
        <w:t> </w:t>
      </w:r>
      <w:r>
        <w:rPr/>
        <w:t>质量</w:t>
      </w:r>
      <w:r>
        <w:rPr>
          <w:rFonts w:ascii="Times New Roman" w:hAnsi="Times New Roman" w:cs="Times New Roman" w:eastAsia="Times New Roman" w:hint="default"/>
        </w:rPr>
        <w:t>/</w:t>
      </w:r>
      <w:r>
        <w:rPr/>
        <w:t>信息安全管理认证。公司管理团队 经过多年的实践，积累了丰富的软件研发和项目管理经验，形成了高效、灵活的管理模式。</w:t>
      </w:r>
    </w:p>
    <w:p>
      <w:pPr>
        <w:spacing w:line="240" w:lineRule="auto" w:before="12"/>
        <w:rPr>
          <w:rFonts w:ascii="宋体" w:hAnsi="宋体" w:cs="宋体" w:eastAsia="宋体" w:hint="default"/>
          <w:sz w:val="18"/>
          <w:szCs w:val="18"/>
        </w:rPr>
      </w:pPr>
    </w:p>
    <w:p>
      <w:pPr>
        <w:pStyle w:val="BodyText"/>
        <w:spacing w:line="240" w:lineRule="auto"/>
        <w:ind w:right="0"/>
        <w:jc w:val="left"/>
      </w:pPr>
      <w:r>
        <w:rPr/>
        <w:t>（三）业绩驱动因素</w:t>
      </w:r>
    </w:p>
    <w:p>
      <w:pPr>
        <w:spacing w:line="240" w:lineRule="auto" w:before="8"/>
        <w:rPr>
          <w:rFonts w:ascii="宋体" w:hAnsi="宋体" w:cs="宋体" w:eastAsia="宋体" w:hint="default"/>
          <w:sz w:val="21"/>
          <w:szCs w:val="21"/>
        </w:rPr>
      </w:pPr>
    </w:p>
    <w:p>
      <w:pPr>
        <w:pStyle w:val="BodyText"/>
        <w:spacing w:line="240" w:lineRule="auto"/>
        <w:ind w:right="0"/>
        <w:jc w:val="left"/>
      </w:pPr>
      <w:r>
        <w:rPr/>
        <w:t>报告期内，公司实现营业收入</w:t>
      </w:r>
      <w:r>
        <w:rPr>
          <w:spacing w:val="-43"/>
        </w:rPr>
        <w:t> </w:t>
      </w:r>
      <w:r>
        <w:rPr>
          <w:rFonts w:ascii="Times New Roman" w:hAnsi="Times New Roman" w:cs="Times New Roman" w:eastAsia="Times New Roman" w:hint="default"/>
        </w:rPr>
        <w:t>116,232.72</w:t>
      </w:r>
      <w:r>
        <w:rPr>
          <w:rFonts w:ascii="Times New Roman" w:hAnsi="Times New Roman" w:cs="Times New Roman" w:eastAsia="Times New Roman" w:hint="default"/>
          <w:spacing w:val="-11"/>
        </w:rPr>
        <w:t> </w:t>
      </w:r>
      <w:r>
        <w:rPr/>
        <w:t>万元，较上年同期增加</w:t>
      </w:r>
      <w:r>
        <w:rPr>
          <w:spacing w:val="-44"/>
        </w:rPr>
        <w:t> </w:t>
      </w:r>
      <w:r>
        <w:rPr>
          <w:rFonts w:ascii="Times New Roman" w:hAnsi="Times New Roman" w:cs="Times New Roman" w:eastAsia="Times New Roman" w:hint="default"/>
        </w:rPr>
        <w:t>31,442.51</w:t>
      </w:r>
      <w:r>
        <w:rPr>
          <w:rFonts w:ascii="Times New Roman" w:hAnsi="Times New Roman" w:cs="Times New Roman" w:eastAsia="Times New Roman" w:hint="default"/>
          <w:spacing w:val="-11"/>
        </w:rPr>
        <w:t> </w:t>
      </w:r>
      <w:r>
        <w:rPr/>
        <w:t>万元，增长</w:t>
      </w:r>
      <w:r>
        <w:rPr>
          <w:spacing w:val="-44"/>
        </w:rPr>
        <w:t> </w:t>
      </w:r>
      <w:r>
        <w:rPr>
          <w:rFonts w:ascii="Times New Roman" w:hAnsi="Times New Roman" w:cs="Times New Roman" w:eastAsia="Times New Roman" w:hint="default"/>
        </w:rPr>
        <w:t>37.08%</w:t>
      </w:r>
      <w:r>
        <w:rPr/>
        <w:t>。实现</w:t>
      </w:r>
    </w:p>
    <w:p>
      <w:pPr>
        <w:pStyle w:val="BodyText"/>
        <w:spacing w:line="280" w:lineRule="auto" w:before="50"/>
        <w:ind w:left="1133" w:right="1130"/>
        <w:jc w:val="both"/>
      </w:pPr>
      <w:r>
        <w:rPr/>
        <w:t>归属上市公司股东的净利润</w:t>
      </w:r>
      <w:r>
        <w:rPr>
          <w:spacing w:val="-55"/>
        </w:rPr>
        <w:t> </w:t>
      </w:r>
      <w:r>
        <w:rPr>
          <w:rFonts w:ascii="Times New Roman" w:hAnsi="Times New Roman" w:cs="Times New Roman" w:eastAsia="Times New Roman" w:hint="default"/>
        </w:rPr>
        <w:t>7,804.43</w:t>
      </w:r>
      <w:r>
        <w:rPr>
          <w:rFonts w:ascii="Times New Roman" w:hAnsi="Times New Roman" w:cs="Times New Roman" w:eastAsia="Times New Roman" w:hint="default"/>
          <w:spacing w:val="-13"/>
        </w:rPr>
        <w:t> </w:t>
      </w:r>
      <w:r>
        <w:rPr>
          <w:spacing w:val="-3"/>
        </w:rPr>
        <w:t>万元，较上年同期减少</w:t>
      </w:r>
      <w:r>
        <w:rPr>
          <w:spacing w:val="-55"/>
        </w:rPr>
        <w:t> </w:t>
      </w:r>
      <w:r>
        <w:rPr>
          <w:rFonts w:ascii="Times New Roman" w:hAnsi="Times New Roman" w:cs="Times New Roman" w:eastAsia="Times New Roman" w:hint="default"/>
        </w:rPr>
        <w:t>4,223.79</w:t>
      </w:r>
      <w:r>
        <w:rPr>
          <w:rFonts w:ascii="Times New Roman" w:hAnsi="Times New Roman" w:cs="Times New Roman" w:eastAsia="Times New Roman" w:hint="default"/>
          <w:spacing w:val="-13"/>
        </w:rPr>
        <w:t> </w:t>
      </w:r>
      <w:r>
        <w:rPr>
          <w:spacing w:val="-6"/>
        </w:rPr>
        <w:t>万元，下降</w:t>
      </w:r>
      <w:r>
        <w:rPr>
          <w:spacing w:val="-55"/>
        </w:rPr>
        <w:t> </w:t>
      </w:r>
      <w:r>
        <w:rPr>
          <w:rFonts w:ascii="Times New Roman" w:hAnsi="Times New Roman" w:cs="Times New Roman" w:eastAsia="Times New Roman" w:hint="default"/>
        </w:rPr>
        <w:t>35.12%</w:t>
      </w:r>
      <w:r>
        <w:rPr/>
        <w:t>。公司业绩变动的 驱动因素主要来自于下游市场的不确定性和公司集中研发投入。</w:t>
      </w:r>
    </w:p>
    <w:p>
      <w:pPr>
        <w:pStyle w:val="BodyText"/>
        <w:spacing w:line="560" w:lineRule="exact" w:before="44"/>
        <w:ind w:left="1553" w:right="0"/>
        <w:jc w:val="left"/>
      </w:pPr>
      <w:r>
        <w:rPr>
          <w:rFonts w:ascii="Times New Roman" w:hAnsi="Times New Roman" w:cs="Times New Roman" w:eastAsia="Times New Roman" w:hint="default"/>
        </w:rPr>
        <w:t>1</w:t>
      </w:r>
      <w:r>
        <w:rPr/>
        <w:t>、下游市场的不确定性 </w:t>
      </w:r>
      <w:r>
        <w:rPr>
          <w:spacing w:val="-1"/>
        </w:rPr>
        <w:t>公司凭借在操作系统核心技术方面的积累、在产业生态环境中的核心位置以及与行业知名厂商稳固的</w:t>
      </w:r>
    </w:p>
    <w:p>
      <w:pPr>
        <w:pStyle w:val="BodyText"/>
        <w:spacing w:line="257" w:lineRule="exact"/>
        <w:ind w:left="1133" w:right="0"/>
        <w:jc w:val="both"/>
      </w:pPr>
      <w:r>
        <w:rPr/>
        <w:t>合作关系，保持传统智能手机业务稳中有升。同时，公司重点拓展智能汽车业务和智能物联网业务。目前</w:t>
      </w:r>
    </w:p>
    <w:p>
      <w:pPr>
        <w:pStyle w:val="BodyText"/>
        <w:spacing w:line="295" w:lineRule="auto" w:before="66"/>
        <w:ind w:left="1133" w:right="1131"/>
        <w:jc w:val="both"/>
      </w:pPr>
      <w:r>
        <w:rPr>
          <w:spacing w:val="-1"/>
        </w:rPr>
        <w:t>看来，智能汽车已经进入高速增长期，智能驾驶舱业务已进入快速增长的轨道。智能物联网处在快速增长</w:t>
      </w:r>
      <w:r>
        <w:rPr>
          <w:spacing w:val="-83"/>
        </w:rPr>
        <w:t> </w:t>
      </w:r>
      <w:r>
        <w:rPr>
          <w:spacing w:val="-83"/>
        </w:rPr>
      </w:r>
      <w:r>
        <w:rPr>
          <w:spacing w:val="-1"/>
        </w:rPr>
        <w:t>的前期，智能物联网整个产业本身发展势头已经明确，公司在整个智能物联网中处于有利的位置，但各个</w:t>
      </w:r>
      <w:r>
        <w:rPr>
          <w:spacing w:val="-83"/>
        </w:rPr>
        <w:t> </w:t>
      </w:r>
      <w:r>
        <w:rPr>
          <w:spacing w:val="-83"/>
        </w:rPr>
      </w:r>
      <w:r>
        <w:rPr/>
        <w:t>细分领域的应用需求此起彼伏，有一定的不确定性。尽管智能相机、</w:t>
      </w:r>
      <w:r>
        <w:rPr>
          <w:rFonts w:ascii="Times New Roman" w:hAnsi="Times New Roman" w:cs="Times New Roman" w:eastAsia="Times New Roman" w:hint="default"/>
        </w:rPr>
        <w:t>VR/AR</w:t>
      </w:r>
      <w:r>
        <w:rPr/>
        <w:t>、机器人、工业</w:t>
      </w:r>
      <w:r>
        <w:rPr>
          <w:spacing w:val="-25"/>
        </w:rPr>
        <w:t> </w:t>
      </w:r>
      <w:r>
        <w:rPr>
          <w:rFonts w:ascii="Times New Roman" w:hAnsi="Times New Roman" w:cs="Times New Roman" w:eastAsia="Times New Roman" w:hint="default"/>
        </w:rPr>
        <w:t>IoT</w:t>
      </w:r>
      <w:r>
        <w:rPr/>
        <w:t>、无人机 </w:t>
      </w:r>
      <w:r>
        <w:rPr>
          <w:spacing w:val="-1"/>
        </w:rPr>
        <w:t>等新业务领域细分市场业务取得了不错的发展，但由于智能物联网整个行业还处于早期，市场发展存在一</w:t>
      </w:r>
      <w:r>
        <w:rPr>
          <w:spacing w:val="-81"/>
        </w:rPr>
        <w:t> </w:t>
      </w:r>
      <w:r>
        <w:rPr>
          <w:spacing w:val="-81"/>
        </w:rPr>
      </w:r>
      <w:r>
        <w:rPr>
          <w:spacing w:val="-1"/>
        </w:rPr>
        <w:t>定的不确定性，未来存在新业务市场拓展不及预期对公司经营业绩造成不利影响的可能性，公司提示广大</w:t>
      </w:r>
      <w:r>
        <w:rPr>
          <w:spacing w:val="-81"/>
        </w:rPr>
        <w:t> </w:t>
      </w:r>
      <w:r>
        <w:rPr>
          <w:spacing w:val="-81"/>
        </w:rPr>
      </w:r>
      <w:r>
        <w:rPr/>
        <w:t>投资者注意投资风险。</w:t>
      </w:r>
    </w:p>
    <w:p>
      <w:pPr>
        <w:spacing w:line="240" w:lineRule="auto" w:before="1"/>
        <w:rPr>
          <w:rFonts w:ascii="宋体" w:hAnsi="宋体" w:cs="宋体" w:eastAsia="宋体" w:hint="default"/>
          <w:sz w:val="18"/>
          <w:szCs w:val="18"/>
        </w:rPr>
      </w:pPr>
    </w:p>
    <w:p>
      <w:pPr>
        <w:pStyle w:val="BodyText"/>
        <w:spacing w:line="460" w:lineRule="auto"/>
        <w:ind w:right="0"/>
        <w:jc w:val="left"/>
      </w:pPr>
      <w:r>
        <w:rPr>
          <w:rFonts w:ascii="Times New Roman" w:hAnsi="Times New Roman" w:cs="Times New Roman" w:eastAsia="Times New Roman" w:hint="default"/>
        </w:rPr>
        <w:t>2</w:t>
      </w:r>
      <w:r>
        <w:rPr/>
        <w:t>、集中研发投入 </w:t>
      </w:r>
      <w:r>
        <w:rPr>
          <w:spacing w:val="-1"/>
        </w:rPr>
        <w:t>随着公司主营业务向新业务领域拓展，公司在智能汽车、智能物联网、智能视觉、智能语音、安全等</w:t>
      </w:r>
    </w:p>
    <w:p>
      <w:pPr>
        <w:spacing w:after="0" w:line="460" w:lineRule="auto"/>
        <w:jc w:val="left"/>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97" w:lineRule="auto" w:before="35"/>
        <w:ind w:left="1133" w:right="1131"/>
        <w:jc w:val="both"/>
      </w:pPr>
      <w:r>
        <w:rPr>
          <w:spacing w:val="-1"/>
        </w:rPr>
        <w:t>业务领域集中研发投入。由于研发投入转化为销售收入尚需一定周期，因此目前公司在营业收入增长的同</w:t>
      </w:r>
      <w:r>
        <w:rPr>
          <w:spacing w:val="-81"/>
        </w:rPr>
        <w:t> </w:t>
      </w:r>
      <w:r>
        <w:rPr>
          <w:spacing w:val="-81"/>
        </w:rPr>
      </w:r>
      <w:r>
        <w:rPr/>
        <w:t>时净利润有一定程度下降。</w:t>
      </w:r>
    </w:p>
    <w:p>
      <w:pPr>
        <w:pStyle w:val="BodyText"/>
        <w:spacing w:line="558" w:lineRule="exact" w:before="31"/>
        <w:ind w:right="0"/>
        <w:jc w:val="left"/>
      </w:pPr>
      <w:r>
        <w:rPr/>
        <w:t>（四）行业发展情况及公司所处行业地位 </w:t>
      </w:r>
      <w:r>
        <w:rPr>
          <w:spacing w:val="-1"/>
        </w:rPr>
        <w:t>在国家产业扶持政策的推动下，我国软件产业呈现持续快速发展态势。根据工信部网站公布的信息显</w:t>
      </w:r>
    </w:p>
    <w:p>
      <w:pPr>
        <w:pStyle w:val="BodyText"/>
        <w:spacing w:line="275" w:lineRule="exact"/>
        <w:ind w:left="1134" w:right="0"/>
        <w:jc w:val="both"/>
      </w:pPr>
      <w:r>
        <w:rPr>
          <w:spacing w:val="-4"/>
        </w:rPr>
        <w:t>示，</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31"/>
        </w:rPr>
        <w:t> </w:t>
      </w:r>
      <w:r>
        <w:rPr>
          <w:spacing w:val="-2"/>
        </w:rPr>
        <w:t>年我国软件和信息技术服务业继续呈现稳中向好的运行态势，收入和效益同步加快增长，出口有</w:t>
      </w:r>
    </w:p>
    <w:p>
      <w:pPr>
        <w:pStyle w:val="BodyText"/>
        <w:spacing w:line="288" w:lineRule="auto" w:before="50"/>
        <w:ind w:left="1133" w:right="1130"/>
        <w:jc w:val="both"/>
      </w:pPr>
      <w:r>
        <w:rPr>
          <w:spacing w:val="-1"/>
        </w:rPr>
        <w:t>所恢复，吸纳就业人数平稳增加，创新能力不断提升，产业结构持续调整优化，服务和支撑保障能力显著</w:t>
      </w:r>
      <w:r>
        <w:rPr>
          <w:spacing w:val="-86"/>
        </w:rPr>
        <w:t> </w:t>
      </w:r>
      <w:r>
        <w:rPr>
          <w:spacing w:val="-86"/>
        </w:rPr>
      </w:r>
      <w:r>
        <w:rPr/>
        <w:t>增强。</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年，全国软件和信息技术服务业完成软件业务收入</w:t>
      </w:r>
      <w:r>
        <w:rPr>
          <w:spacing w:val="-40"/>
        </w:rPr>
        <w:t> </w:t>
      </w:r>
      <w:r>
        <w:rPr>
          <w:rFonts w:ascii="Times New Roman" w:hAnsi="Times New Roman" w:cs="Times New Roman" w:eastAsia="Times New Roman" w:hint="default"/>
        </w:rPr>
        <w:t>5.5</w:t>
      </w:r>
      <w:r>
        <w:rPr>
          <w:rFonts w:ascii="Times New Roman" w:hAnsi="Times New Roman" w:cs="Times New Roman" w:eastAsia="Times New Roman" w:hint="default"/>
          <w:spacing w:val="-8"/>
        </w:rPr>
        <w:t> </w:t>
      </w:r>
      <w:r>
        <w:rPr/>
        <w:t>万亿元，比上年增长</w:t>
      </w:r>
      <w:r>
        <w:rPr>
          <w:spacing w:val="-40"/>
        </w:rPr>
        <w:t> </w:t>
      </w:r>
      <w:r>
        <w:rPr>
          <w:rFonts w:ascii="Times New Roman" w:hAnsi="Times New Roman" w:cs="Times New Roman" w:eastAsia="Times New Roman" w:hint="default"/>
        </w:rPr>
        <w:t>13.9%</w:t>
      </w:r>
      <w:r>
        <w:rPr/>
        <w:t>，增速同比 提高</w:t>
      </w:r>
      <w:r>
        <w:rPr>
          <w:spacing w:val="-56"/>
        </w:rPr>
        <w:t> </w:t>
      </w:r>
      <w:r>
        <w:rPr>
          <w:rFonts w:ascii="Times New Roman" w:hAnsi="Times New Roman" w:cs="Times New Roman" w:eastAsia="Times New Roman" w:hint="default"/>
        </w:rPr>
        <w:t>0.8</w:t>
      </w:r>
      <w:r>
        <w:rPr>
          <w:rFonts w:ascii="Times New Roman" w:hAnsi="Times New Roman" w:cs="Times New Roman" w:eastAsia="Times New Roman" w:hint="default"/>
          <w:spacing w:val="-13"/>
        </w:rPr>
        <w:t> </w:t>
      </w:r>
      <w:r>
        <w:rPr/>
        <w:t>个百分点。全行业实现利润总额</w:t>
      </w:r>
      <w:r>
        <w:rPr>
          <w:spacing w:val="-55"/>
        </w:rPr>
        <w:t> </w:t>
      </w:r>
      <w:r>
        <w:rPr>
          <w:rFonts w:ascii="Times New Roman" w:hAnsi="Times New Roman" w:cs="Times New Roman" w:eastAsia="Times New Roman" w:hint="default"/>
        </w:rPr>
        <w:t>7020</w:t>
      </w:r>
      <w:r>
        <w:rPr>
          <w:rFonts w:ascii="Times New Roman" w:hAnsi="Times New Roman" w:cs="Times New Roman" w:eastAsia="Times New Roman" w:hint="default"/>
          <w:spacing w:val="-13"/>
        </w:rPr>
        <w:t> </w:t>
      </w:r>
      <w:r>
        <w:rPr/>
        <w:t>亿元，比上年增长</w:t>
      </w:r>
      <w:r>
        <w:rPr>
          <w:spacing w:val="-56"/>
        </w:rPr>
        <w:t> </w:t>
      </w:r>
      <w:r>
        <w:rPr>
          <w:rFonts w:ascii="Times New Roman" w:hAnsi="Times New Roman" w:cs="Times New Roman" w:eastAsia="Times New Roman" w:hint="default"/>
          <w:spacing w:val="-3"/>
        </w:rPr>
        <w:t>15.8%</w:t>
      </w:r>
      <w:r>
        <w:rPr>
          <w:spacing w:val="-3"/>
        </w:rPr>
        <w:t>，比</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年提高</w:t>
      </w:r>
      <w:r>
        <w:rPr>
          <w:spacing w:val="-56"/>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spacing w:val="-3"/>
        </w:rPr>
        <w:t>个百分点，高</w:t>
      </w:r>
    </w:p>
    <w:p>
      <w:pPr>
        <w:pStyle w:val="BodyText"/>
        <w:spacing w:line="280" w:lineRule="auto" w:before="3"/>
        <w:ind w:left="1134" w:right="1074"/>
        <w:jc w:val="both"/>
      </w:pPr>
      <w:r>
        <w:rPr/>
        <w:t>出收入增速 </w:t>
      </w:r>
      <w:r>
        <w:rPr>
          <w:rFonts w:ascii="Times New Roman" w:hAnsi="Times New Roman" w:cs="Times New Roman" w:eastAsia="Times New Roman" w:hint="default"/>
        </w:rPr>
        <w:t>1.9</w:t>
      </w:r>
      <w:r>
        <w:rPr>
          <w:rFonts w:ascii="Times New Roman" w:hAnsi="Times New Roman" w:cs="Times New Roman" w:eastAsia="Times New Roman" w:hint="default"/>
          <w:spacing w:val="-25"/>
        </w:rPr>
        <w:t> </w:t>
      </w:r>
      <w:r>
        <w:rPr/>
        <w:t>个百分点。软件和信息技术服务业结构继续调整，产业生态链不断完善，为制造强国和网 </w:t>
      </w:r>
      <w:r>
        <w:rPr>
          <w:spacing w:val="-4"/>
        </w:rPr>
        <w:t>络强国建设提供重要支撑和保障。根据工信部发布的《软件和信息技术服务业发展规划（</w:t>
      </w:r>
      <w:r>
        <w:rPr>
          <w:rFonts w:ascii="Times New Roman" w:hAnsi="Times New Roman" w:cs="Times New Roman" w:eastAsia="Times New Roman" w:hint="default"/>
          <w:spacing w:val="-4"/>
        </w:rPr>
        <w:t>2016-2020</w:t>
      </w:r>
      <w:r>
        <w:rPr>
          <w:rFonts w:ascii="Times New Roman" w:hAnsi="Times New Roman" w:cs="Times New Roman" w:eastAsia="Times New Roman" w:hint="default"/>
          <w:spacing w:val="27"/>
        </w:rPr>
        <w:t> </w:t>
      </w:r>
      <w:r>
        <w:rPr>
          <w:spacing w:val="-36"/>
        </w:rPr>
        <w:t>年）》，</w:t>
      </w:r>
      <w:r>
        <w:rPr>
          <w:spacing w:val="-97"/>
        </w:rPr>
        <w:t> </w:t>
      </w:r>
      <w:r>
        <w:rPr>
          <w:spacing w:val="-97"/>
        </w:rPr>
      </w:r>
      <w:r>
        <w:rPr/>
        <w:t>到</w:t>
      </w:r>
      <w:r>
        <w:rPr>
          <w:spacing w:val="-32"/>
        </w:rPr>
        <w:t> </w:t>
      </w:r>
      <w:r>
        <w:rPr>
          <w:rFonts w:ascii="Times New Roman" w:hAnsi="Times New Roman" w:cs="Times New Roman" w:eastAsia="Times New Roman" w:hint="default"/>
        </w:rPr>
        <w:t>2020 </w:t>
      </w:r>
      <w:r>
        <w:rPr/>
        <w:t>年，软件产业业务收入突破</w:t>
      </w:r>
      <w:r>
        <w:rPr>
          <w:spacing w:val="-32"/>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万亿元，年均增长</w:t>
      </w:r>
      <w:r>
        <w:rPr>
          <w:spacing w:val="-32"/>
        </w:rPr>
        <w:t> </w:t>
      </w:r>
      <w:r>
        <w:rPr>
          <w:rFonts w:ascii="Times New Roman" w:hAnsi="Times New Roman" w:cs="Times New Roman" w:eastAsia="Times New Roman" w:hint="default"/>
        </w:rPr>
        <w:t>13%</w:t>
      </w:r>
      <w:r>
        <w:rPr/>
        <w:t>以上。软件行业未来有望继续保持高速增长 的态势。</w:t>
      </w:r>
    </w:p>
    <w:p>
      <w:pPr>
        <w:spacing w:line="240" w:lineRule="auto" w:before="12"/>
        <w:rPr>
          <w:rFonts w:ascii="宋体" w:hAnsi="宋体" w:cs="宋体" w:eastAsia="宋体" w:hint="default"/>
          <w:sz w:val="18"/>
          <w:szCs w:val="18"/>
        </w:rPr>
      </w:pPr>
    </w:p>
    <w:p>
      <w:pPr>
        <w:pStyle w:val="BodyText"/>
        <w:spacing w:line="297" w:lineRule="auto"/>
        <w:ind w:left="1134" w:right="1131" w:firstLine="420"/>
        <w:jc w:val="both"/>
      </w:pPr>
      <w:r>
        <w:rPr>
          <w:spacing w:val="-1"/>
        </w:rPr>
        <w:t>公司自成立以来，始终致力于提供卓越的智能终端操作系统平台技术及解决方案，建立了一支技术能</w:t>
      </w:r>
      <w:r>
        <w:rPr/>
        <w:t> </w:t>
      </w:r>
      <w:r>
        <w:rPr>
          <w:spacing w:val="-1"/>
        </w:rPr>
        <w:t>力全面、经验丰富、具备国际化服务能力的技术团队。公司凭借技术优势和国际化的服务能力，与各类芯</w:t>
      </w:r>
      <w:r>
        <w:rPr>
          <w:spacing w:val="-86"/>
        </w:rPr>
        <w:t> </w:t>
      </w:r>
      <w:r>
        <w:rPr>
          <w:spacing w:val="-86"/>
        </w:rPr>
      </w:r>
      <w:r>
        <w:rPr>
          <w:spacing w:val="-1"/>
        </w:rPr>
        <w:t>片厂商、操作系统厂商、移动智能终端厂商、电信运营商、应用软件和互联网厂商以及元器件厂商等产业</w:t>
      </w:r>
      <w:r>
        <w:rPr>
          <w:spacing w:val="-85"/>
        </w:rPr>
        <w:t> </w:t>
      </w:r>
      <w:r>
        <w:rPr>
          <w:spacing w:val="-85"/>
        </w:rPr>
      </w:r>
      <w:r>
        <w:rPr>
          <w:spacing w:val="-1"/>
        </w:rPr>
        <w:t>链各个环节的厂商建立了良好的合作关系。公司已经成长为具备技术创新和产品研发实力的智能平台技术</w:t>
      </w:r>
      <w:r>
        <w:rPr>
          <w:spacing w:val="-81"/>
        </w:rPr>
        <w:t> </w:t>
      </w:r>
      <w:r>
        <w:rPr>
          <w:spacing w:val="-81"/>
        </w:rPr>
      </w:r>
      <w:r>
        <w:rPr/>
        <w:t>提供商。</w:t>
      </w:r>
    </w:p>
    <w:p>
      <w:pPr>
        <w:spacing w:line="240" w:lineRule="auto" w:before="4"/>
        <w:rPr>
          <w:rFonts w:ascii="宋体" w:hAnsi="宋体" w:cs="宋体" w:eastAsia="宋体" w:hint="default"/>
          <w:sz w:val="23"/>
          <w:szCs w:val="23"/>
        </w:rPr>
      </w:pPr>
    </w:p>
    <w:p>
      <w:pPr>
        <w:pStyle w:val="Heading2"/>
        <w:spacing w:line="240" w:lineRule="auto"/>
        <w:ind w:right="0"/>
        <w:jc w:val="both"/>
      </w:pPr>
      <w:bookmarkStart w:name="二、主要资产重大变化情况" w:id="18"/>
      <w:bookmarkEnd w:id="18"/>
      <w:r>
        <w:rPr/>
      </w:r>
      <w:r>
        <w:rPr/>
        <w:t>二、主要资产重大变化情况</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主要资产重大变化情况" w:id="19"/>
      <w:bookmarkEnd w:id="19"/>
      <w:r>
        <w:rPr/>
      </w:r>
      <w:r>
        <w:rPr>
          <w:rFonts w:ascii="Times New Roman" w:hAnsi="Times New Roman" w:cs="Times New Roman" w:eastAsia="Times New Roman" w:hint="default"/>
        </w:rPr>
        <w:t>1</w:t>
      </w:r>
      <w:r>
        <w:rPr>
          <w:rFonts w:ascii="微软雅黑" w:hAnsi="微软雅黑" w:cs="微软雅黑" w:eastAsia="微软雅黑" w:hint="default"/>
        </w:rPr>
        <w:t>、主要资产重大变化情况</w:t>
      </w:r>
    </w:p>
    <w:p>
      <w:pPr>
        <w:spacing w:line="240" w:lineRule="auto" w:before="6"/>
        <w:rPr>
          <w:rFonts w:ascii="微软雅黑" w:hAnsi="微软雅黑" w:cs="微软雅黑" w:eastAsia="微软雅黑" w:hint="default"/>
          <w:sz w:val="22"/>
          <w:szCs w:val="22"/>
        </w:rPr>
      </w:pPr>
    </w:p>
    <w:tbl>
      <w:tblPr>
        <w:tblW w:w="0" w:type="auto"/>
        <w:jc w:val="left"/>
        <w:tblInd w:w="1021" w:type="dxa"/>
        <w:tblLayout w:type="fixed"/>
        <w:tblCellMar>
          <w:top w:w="0" w:type="dxa"/>
          <w:left w:w="0" w:type="dxa"/>
          <w:bottom w:w="0" w:type="dxa"/>
          <w:right w:w="0" w:type="dxa"/>
        </w:tblCellMar>
        <w:tblLook w:val="01E0"/>
      </w:tblPr>
      <w:tblGrid>
        <w:gridCol w:w="3142"/>
        <w:gridCol w:w="6714"/>
      </w:tblGrid>
      <w:tr>
        <w:trPr>
          <w:trHeight w:val="388" w:hRule="exact"/>
        </w:trPr>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610" w:hRule="exact"/>
        </w:trPr>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714" w:type="dxa"/>
            <w:tcBorders>
              <w:top w:val="single" w:sz="8" w:space="0" w:color="D2D2D2"/>
              <w:left w:val="single" w:sz="4" w:space="0" w:color="000000"/>
              <w:bottom w:val="single" w:sz="4" w:space="0" w:color="000000"/>
              <w:right w:val="single" w:sz="4" w:space="0" w:color="000000"/>
            </w:tcBorders>
          </w:tcPr>
          <w:p>
            <w:pPr>
              <w:pStyle w:val="TableParagraph"/>
              <w:spacing w:line="232" w:lineRule="exact" w:before="61"/>
              <w:ind w:left="103" w:right="103"/>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20,835.4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738.13%</w:t>
            </w:r>
            <w:r>
              <w:rPr>
                <w:rFonts w:ascii="宋体" w:hAnsi="宋体" w:cs="宋体" w:eastAsia="宋体" w:hint="default"/>
                <w:sz w:val="18"/>
                <w:szCs w:val="18"/>
              </w:rPr>
              <w:t>，主要系报告期收购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Rightware OY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的无形资产评估增值及自研项目从开发支出转让无形资产所致。</w:t>
            </w:r>
          </w:p>
        </w:tc>
      </w:tr>
      <w:tr>
        <w:trPr>
          <w:trHeight w:val="407"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107.74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30.41%</w:t>
            </w:r>
            <w:r>
              <w:rPr>
                <w:rFonts w:ascii="宋体" w:hAnsi="宋体" w:cs="宋体" w:eastAsia="宋体" w:hint="default"/>
                <w:sz w:val="18"/>
                <w:szCs w:val="18"/>
              </w:rPr>
              <w:t>，主要系客户汇票使用量减少。</w:t>
            </w:r>
          </w:p>
        </w:tc>
      </w:tr>
      <w:tr>
        <w:trPr>
          <w:trHeight w:val="601"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2"/>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3,348.18</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万元，增长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387.18%</w:t>
            </w:r>
            <w:r>
              <w:rPr>
                <w:rFonts w:ascii="宋体" w:hAnsi="宋体" w:cs="宋体" w:eastAsia="宋体" w:hint="default"/>
                <w:sz w:val="18"/>
                <w:szCs w:val="18"/>
              </w:rPr>
              <w:t>，主要系报告期业务规模增长， 预付供应商货款增加所致。</w:t>
            </w:r>
          </w:p>
        </w:tc>
      </w:tr>
      <w:tr>
        <w:trPr>
          <w:trHeight w:val="601"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3"/>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824.56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49.35%</w:t>
            </w:r>
            <w:r>
              <w:rPr>
                <w:rFonts w:ascii="宋体" w:hAnsi="宋体" w:cs="宋体" w:eastAsia="宋体" w:hint="default"/>
                <w:sz w:val="18"/>
                <w:szCs w:val="18"/>
              </w:rPr>
              <w:t>，主要系为了降低存货减值风险， 加快存货周转所致。</w:t>
            </w:r>
          </w:p>
        </w:tc>
      </w:tr>
      <w:tr>
        <w:trPr>
          <w:trHeight w:val="601"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02"/>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272.00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万元，增长</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31.79%</w:t>
            </w:r>
            <w:r>
              <w:rPr>
                <w:rFonts w:ascii="宋体" w:hAnsi="宋体" w:cs="宋体" w:eastAsia="宋体" w:hint="default"/>
                <w:spacing w:val="-3"/>
                <w:sz w:val="18"/>
                <w:szCs w:val="18"/>
              </w:rPr>
              <w:t>，主要系报告期公司应收押金和保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证金增加所致。</w:t>
            </w:r>
          </w:p>
        </w:tc>
      </w:tr>
      <w:tr>
        <w:trPr>
          <w:trHeight w:val="600"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02"/>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222.15 </w:t>
            </w:r>
            <w:r>
              <w:rPr>
                <w:rFonts w:ascii="宋体" w:hAnsi="宋体" w:cs="宋体" w:eastAsia="宋体" w:hint="default"/>
                <w:spacing w:val="-7"/>
                <w:sz w:val="18"/>
                <w:szCs w:val="18"/>
              </w:rPr>
              <w:t>万元，增长</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43.64%</w:t>
            </w:r>
            <w:r>
              <w:rPr>
                <w:rFonts w:ascii="宋体" w:hAnsi="宋体" w:cs="宋体" w:eastAsia="宋体" w:hint="default"/>
                <w:spacing w:val="-3"/>
                <w:sz w:val="18"/>
                <w:szCs w:val="18"/>
              </w:rPr>
              <w:t>，主要系报告期公司进项税额、增</w:t>
            </w:r>
            <w:r>
              <w:rPr>
                <w:rFonts w:ascii="宋体" w:hAnsi="宋体" w:cs="宋体" w:eastAsia="宋体" w:hint="default"/>
                <w:sz w:val="18"/>
                <w:szCs w:val="18"/>
              </w:rPr>
              <w:t> 值税留抵税额增加所致。</w:t>
            </w:r>
          </w:p>
        </w:tc>
      </w:tr>
      <w:tr>
        <w:trPr>
          <w:trHeight w:val="408"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223.92</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万元，减少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，主要系开发支出转无形资产所致。</w:t>
            </w:r>
          </w:p>
        </w:tc>
      </w:tr>
      <w:tr>
        <w:trPr>
          <w:trHeight w:val="600"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49"/>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165.70%</w:t>
            </w:r>
            <w:r>
              <w:rPr>
                <w:rFonts w:ascii="宋体" w:hAnsi="宋体" w:cs="宋体" w:eastAsia="宋体" w:hint="default"/>
                <w:sz w:val="18"/>
                <w:szCs w:val="18"/>
              </w:rPr>
              <w:t>，主要系公司报告期应收股权 转让款增加所致。</w:t>
            </w:r>
          </w:p>
        </w:tc>
      </w:tr>
      <w:tr>
        <w:trPr>
          <w:trHeight w:val="601"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419"/>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20,963.82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703.86%</w:t>
            </w:r>
            <w:r>
              <w:rPr>
                <w:rFonts w:ascii="宋体" w:hAnsi="宋体" w:cs="宋体" w:eastAsia="宋体" w:hint="default"/>
                <w:sz w:val="18"/>
                <w:szCs w:val="18"/>
              </w:rPr>
              <w:t>，主要系公司报告期收购 </w:t>
            </w:r>
            <w:r>
              <w:rPr>
                <w:rFonts w:ascii="Times New Roman" w:hAnsi="Times New Roman" w:cs="Times New Roman" w:eastAsia="Times New Roman" w:hint="default"/>
                <w:sz w:val="18"/>
                <w:szCs w:val="18"/>
              </w:rPr>
              <w:t>Rightware Oy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所致。</w:t>
            </w:r>
          </w:p>
        </w:tc>
      </w:tr>
    </w:tbl>
    <w:p>
      <w:pPr>
        <w:spacing w:after="0" w:line="232" w:lineRule="exact"/>
        <w:jc w:val="left"/>
        <w:rPr>
          <w:rFonts w:ascii="宋体" w:hAnsi="宋体" w:cs="宋体" w:eastAsia="宋体" w:hint="default"/>
          <w:sz w:val="18"/>
          <w:szCs w:val="18"/>
        </w:rPr>
        <w:sectPr>
          <w:pgSz w:w="11910" w:h="16840"/>
          <w:pgMar w:header="877" w:footer="979" w:top="1060" w:bottom="1160" w:left="0" w:right="0"/>
        </w:sectPr>
      </w:pPr>
    </w:p>
    <w:p>
      <w:pPr>
        <w:spacing w:line="240" w:lineRule="auto" w:before="10"/>
        <w:rPr>
          <w:rFonts w:ascii="微软雅黑" w:hAnsi="微软雅黑" w:cs="微软雅黑" w:eastAsia="微软雅黑" w:hint="default"/>
          <w:sz w:val="21"/>
          <w:szCs w:val="21"/>
        </w:rPr>
      </w:pPr>
    </w:p>
    <w:tbl>
      <w:tblPr>
        <w:tblW w:w="0" w:type="auto"/>
        <w:jc w:val="left"/>
        <w:tblInd w:w="1021" w:type="dxa"/>
        <w:tblLayout w:type="fixed"/>
        <w:tblCellMar>
          <w:top w:w="0" w:type="dxa"/>
          <w:left w:w="0" w:type="dxa"/>
          <w:bottom w:w="0" w:type="dxa"/>
          <w:right w:w="0" w:type="dxa"/>
        </w:tblCellMar>
        <w:tblLook w:val="01E0"/>
      </w:tblPr>
      <w:tblGrid>
        <w:gridCol w:w="3142"/>
        <w:gridCol w:w="6714"/>
      </w:tblGrid>
      <w:tr>
        <w:trPr>
          <w:trHeight w:val="407" w:hRule="exact"/>
        </w:trPr>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601" w:hRule="exact"/>
        </w:trPr>
        <w:tc>
          <w:tcPr>
            <w:tcW w:w="31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2"/>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948.41</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万元，减少</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30.55%</w:t>
            </w:r>
            <w:r>
              <w:rPr>
                <w:rFonts w:ascii="宋体" w:hAnsi="宋体" w:cs="宋体" w:eastAsia="宋体" w:hint="default"/>
                <w:spacing w:val="-3"/>
                <w:sz w:val="18"/>
                <w:szCs w:val="18"/>
              </w:rPr>
              <w:t>，主要系公司上年报告期预付了收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Rightware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Oy </w:t>
            </w:r>
            <w:r>
              <w:rPr>
                <w:rFonts w:ascii="宋体" w:hAnsi="宋体" w:cs="宋体" w:eastAsia="宋体" w:hint="default"/>
                <w:sz w:val="18"/>
                <w:szCs w:val="18"/>
              </w:rPr>
              <w:t>股权款所致。</w:t>
            </w:r>
          </w:p>
        </w:tc>
      </w:tr>
    </w:tbl>
    <w:p>
      <w:pPr>
        <w:spacing w:line="240" w:lineRule="auto" w:before="14"/>
        <w:rPr>
          <w:rFonts w:ascii="微软雅黑" w:hAnsi="微软雅黑" w:cs="微软雅黑" w:eastAsia="微软雅黑" w:hint="default"/>
          <w:sz w:val="8"/>
          <w:szCs w:val="8"/>
        </w:rPr>
      </w:pPr>
    </w:p>
    <w:p>
      <w:pPr>
        <w:pStyle w:val="BodyText"/>
        <w:spacing w:line="324" w:lineRule="exact"/>
        <w:ind w:right="0"/>
        <w:jc w:val="left"/>
        <w:rPr>
          <w:rFonts w:ascii="微软雅黑" w:hAnsi="微软雅黑" w:cs="微软雅黑" w:eastAsia="微软雅黑" w:hint="default"/>
        </w:rPr>
      </w:pPr>
      <w:bookmarkStart w:name="2、主要境外资产情况" w:id="20"/>
      <w:bookmarkEnd w:id="20"/>
      <w:r>
        <w:rPr/>
      </w:r>
      <w:r>
        <w:rPr>
          <w:rFonts w:ascii="Times New Roman" w:hAnsi="Times New Roman" w:cs="Times New Roman" w:eastAsia="Times New Roman" w:hint="default"/>
        </w:rPr>
        <w:t>2</w:t>
      </w:r>
      <w:r>
        <w:rPr>
          <w:rFonts w:ascii="微软雅黑" w:hAnsi="微软雅黑" w:cs="微软雅黑" w:eastAsia="微软雅黑" w:hint="default"/>
        </w:rPr>
        <w:t>、主要境外资产情况</w:t>
      </w:r>
    </w:p>
    <w:p>
      <w:pPr>
        <w:spacing w:line="240" w:lineRule="auto" w:before="7"/>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1097"/>
        <w:gridCol w:w="649"/>
        <w:gridCol w:w="1537"/>
        <w:gridCol w:w="830"/>
        <w:gridCol w:w="643"/>
        <w:gridCol w:w="1176"/>
        <w:gridCol w:w="1302"/>
        <w:gridCol w:w="1530"/>
        <w:gridCol w:w="1091"/>
      </w:tblGrid>
      <w:tr>
        <w:trPr>
          <w:trHeight w:val="834"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32" w:lineRule="exact"/>
              <w:ind w:left="273" w:right="183" w:hanging="90"/>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32" w:lineRule="exact"/>
              <w:ind w:left="139" w:right="138"/>
              <w:jc w:val="left"/>
              <w:rPr>
                <w:rFonts w:ascii="宋体" w:hAnsi="宋体" w:cs="宋体" w:eastAsia="宋体" w:hint="default"/>
                <w:sz w:val="18"/>
                <w:szCs w:val="18"/>
              </w:rPr>
            </w:pPr>
            <w:r>
              <w:rPr>
                <w:rFonts w:ascii="宋体" w:hAnsi="宋体" w:cs="宋体" w:eastAsia="宋体" w:hint="default"/>
                <w:sz w:val="18"/>
                <w:szCs w:val="18"/>
              </w:rPr>
              <w:t>形成 原因</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所在地</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32" w:lineRule="exact"/>
              <w:ind w:left="136" w:right="134"/>
              <w:jc w:val="left"/>
              <w:rPr>
                <w:rFonts w:ascii="宋体" w:hAnsi="宋体" w:cs="宋体" w:eastAsia="宋体" w:hint="default"/>
                <w:sz w:val="18"/>
                <w:szCs w:val="18"/>
              </w:rPr>
            </w:pPr>
            <w:r>
              <w:rPr>
                <w:rFonts w:ascii="宋体" w:hAnsi="宋体" w:cs="宋体" w:eastAsia="宋体" w:hint="default"/>
                <w:sz w:val="18"/>
                <w:szCs w:val="18"/>
              </w:rPr>
              <w:t>运营 模式</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31" w:right="132"/>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32" w:lineRule="exact"/>
              <w:ind w:left="218" w:right="131" w:hanging="90"/>
              <w:jc w:val="left"/>
              <w:rPr>
                <w:rFonts w:ascii="宋体" w:hAnsi="宋体" w:cs="宋体" w:eastAsia="宋体" w:hint="default"/>
                <w:sz w:val="18"/>
                <w:szCs w:val="18"/>
              </w:rPr>
            </w:pPr>
            <w:r>
              <w:rPr>
                <w:rFonts w:ascii="宋体" w:hAnsi="宋体" w:cs="宋体" w:eastAsia="宋体" w:hint="default"/>
                <w:sz w:val="18"/>
                <w:szCs w:val="18"/>
              </w:rPr>
              <w:t>境外资产占公司 净资产的比重</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78" w:right="180"/>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80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before="72"/>
              <w:ind w:left="103" w:right="138"/>
              <w:jc w:val="left"/>
              <w:rPr>
                <w:rFonts w:ascii="宋体" w:hAnsi="宋体" w:cs="宋体" w:eastAsia="宋体" w:hint="default"/>
                <w:sz w:val="18"/>
                <w:szCs w:val="18"/>
              </w:rPr>
            </w:pPr>
            <w:r>
              <w:rPr>
                <w:rFonts w:ascii="Times New Roman" w:hAnsi="Times New Roman" w:cs="Times New Roman" w:eastAsia="Times New Roman" w:hint="default"/>
                <w:sz w:val="18"/>
                <w:szCs w:val="18"/>
              </w:rPr>
              <w:t>Rightware OY</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及其子 公司</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32,604,957.43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芬兰</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36" w:right="134"/>
              <w:jc w:val="left"/>
              <w:rPr>
                <w:rFonts w:ascii="宋体" w:hAnsi="宋体" w:cs="宋体" w:eastAsia="宋体" w:hint="default"/>
                <w:sz w:val="18"/>
                <w:szCs w:val="18"/>
              </w:rPr>
            </w:pPr>
            <w:r>
              <w:rPr>
                <w:rFonts w:ascii="宋体" w:hAnsi="宋体" w:cs="宋体" w:eastAsia="宋体" w:hint="default"/>
                <w:sz w:val="18"/>
                <w:szCs w:val="18"/>
              </w:rPr>
              <w:t>自主 经营</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-113,815.94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51" w:right="0"/>
              <w:jc w:val="left"/>
              <w:rPr>
                <w:rFonts w:ascii="Times New Roman" w:hAnsi="Times New Roman" w:cs="Times New Roman" w:eastAsia="Times New Roman" w:hint="default"/>
                <w:sz w:val="18"/>
                <w:szCs w:val="18"/>
              </w:rPr>
            </w:pPr>
            <w:r>
              <w:rPr>
                <w:rFonts w:ascii="Times New Roman"/>
                <w:sz w:val="18"/>
              </w:rPr>
              <w:t>2.50%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三、核心竞争力分析" w:id="21"/>
      <w:bookmarkEnd w:id="21"/>
      <w:r>
        <w:rPr/>
      </w:r>
      <w:r>
        <w:rPr/>
        <w:t>三、核心竞争力分析</w:t>
      </w:r>
    </w:p>
    <w:p>
      <w:pPr>
        <w:spacing w:line="240" w:lineRule="auto" w:before="12"/>
        <w:rPr>
          <w:rFonts w:ascii="微软雅黑" w:hAnsi="微软雅黑" w:cs="微软雅黑" w:eastAsia="微软雅黑" w:hint="default"/>
          <w:sz w:val="27"/>
          <w:szCs w:val="27"/>
        </w:rPr>
      </w:pPr>
    </w:p>
    <w:p>
      <w:pPr>
        <w:pStyle w:val="BodyText"/>
        <w:spacing w:line="487" w:lineRule="auto"/>
        <w:ind w:right="6762"/>
        <w:jc w:val="left"/>
      </w:pPr>
      <w:r>
        <w:rPr/>
        <w:t>公司是否需要遵守特殊行业的披露要求 否</w:t>
      </w:r>
    </w:p>
    <w:p>
      <w:pPr>
        <w:pStyle w:val="BodyText"/>
        <w:spacing w:line="240" w:lineRule="auto" w:before="67"/>
        <w:ind w:right="0"/>
        <w:jc w:val="left"/>
      </w:pPr>
      <w:r>
        <w:rPr/>
        <w:t>（一）技术和人才优势</w:t>
      </w:r>
    </w:p>
    <w:p>
      <w:pPr>
        <w:spacing w:line="240" w:lineRule="auto" w:before="9"/>
        <w:rPr>
          <w:rFonts w:ascii="宋体" w:hAnsi="宋体" w:cs="宋体" w:eastAsia="宋体" w:hint="default"/>
          <w:sz w:val="21"/>
          <w:szCs w:val="21"/>
        </w:rPr>
      </w:pPr>
    </w:p>
    <w:p>
      <w:pPr>
        <w:pStyle w:val="BodyText"/>
        <w:spacing w:line="290" w:lineRule="auto"/>
        <w:ind w:left="1133" w:right="1010" w:firstLine="420"/>
        <w:jc w:val="left"/>
      </w:pPr>
      <w:r>
        <w:rPr/>
        <w:t>作为全球领先的智能终端平台技术提供商，公司在</w:t>
      </w:r>
      <w:r>
        <w:rPr>
          <w:spacing w:val="-42"/>
        </w:rPr>
        <w:t> </w:t>
      </w:r>
      <w:r>
        <w:rPr>
          <w:rFonts w:ascii="Times New Roman" w:hAnsi="Times New Roman" w:cs="Times New Roman" w:eastAsia="Times New Roman" w:hint="default"/>
        </w:rPr>
        <w:t>Android</w:t>
      </w:r>
      <w:r>
        <w:rPr/>
        <w:t>、</w:t>
      </w:r>
      <w:r>
        <w:rPr>
          <w:rFonts w:ascii="Times New Roman" w:hAnsi="Times New Roman" w:cs="Times New Roman" w:eastAsia="Times New Roman" w:hint="default"/>
        </w:rPr>
        <w:t>Linux</w:t>
      </w:r>
      <w:r>
        <w:rPr/>
        <w:t>、</w:t>
      </w:r>
      <w:r>
        <w:rPr>
          <w:rFonts w:ascii="Times New Roman" w:hAnsi="Times New Roman" w:cs="Times New Roman" w:eastAsia="Times New Roman" w:hint="default"/>
        </w:rPr>
        <w:t>Windows</w:t>
      </w:r>
      <w:r>
        <w:rPr>
          <w:rFonts w:ascii="Times New Roman" w:hAnsi="Times New Roman" w:cs="Times New Roman" w:eastAsia="Times New Roman" w:hint="default"/>
          <w:spacing w:val="-11"/>
        </w:rPr>
        <w:t> </w:t>
      </w:r>
      <w:r>
        <w:rPr/>
        <w:t>和</w:t>
      </w:r>
      <w:r>
        <w:rPr>
          <w:spacing w:val="-43"/>
        </w:rPr>
        <w:t> </w:t>
      </w:r>
      <w:r>
        <w:rPr>
          <w:rFonts w:ascii="Times New Roman" w:hAnsi="Times New Roman" w:cs="Times New Roman" w:eastAsia="Times New Roman" w:hint="default"/>
        </w:rPr>
        <w:t>HTML5</w:t>
      </w:r>
      <w:r>
        <w:rPr>
          <w:rFonts w:ascii="Times New Roman" w:hAnsi="Times New Roman" w:cs="Times New Roman" w:eastAsia="Times New Roman" w:hint="default"/>
          <w:spacing w:val="-11"/>
        </w:rPr>
        <w:t> </w:t>
      </w:r>
      <w:r>
        <w:rPr/>
        <w:t>等操作系统 技术的研发与创新已有</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年多的经验，在操作系统领域的技术研发和创新能力目前处于整个行业的前列。 最近几年，公司在智能视觉、智能语音、人工智能算法、安全等技术领域也加大投资，尤其是智能视觉技 </w:t>
      </w:r>
      <w:r>
        <w:rPr>
          <w:spacing w:val="-3"/>
        </w:rPr>
        <w:t>术能力已经处于世界的前列，积累了众多自有知识产权。公司拥有大批优秀技术人才，特别是通信协议栈、</w:t>
      </w:r>
      <w:r>
        <w:rPr>
          <w:spacing w:val="-90"/>
        </w:rPr>
        <w:t> </w:t>
      </w:r>
      <w:r>
        <w:rPr>
          <w:spacing w:val="-90"/>
        </w:rPr>
      </w:r>
      <w:r>
        <w:rPr/>
        <w:t>智能视觉、语音处理、内核技术等领域的人才，引进难度大、培养时间长，大规模储备和培养此类人才大</w:t>
      </w:r>
      <w:r>
        <w:rPr/>
        <w:t> 大提升了公司的综合实力。</w:t>
      </w:r>
    </w:p>
    <w:p>
      <w:pPr>
        <w:pStyle w:val="BodyText"/>
        <w:spacing w:line="560" w:lineRule="exact" w:before="36"/>
        <w:ind w:right="0"/>
        <w:jc w:val="left"/>
      </w:pPr>
      <w:r>
        <w:rPr/>
        <w:t>（二）客户资源优势 </w:t>
      </w:r>
      <w:r>
        <w:rPr>
          <w:spacing w:val="-1"/>
        </w:rPr>
        <w:t>公司凭借在产业生态环境中的核心位置，在智能手机产业链中与核心的芯片、元器件、终端、软件与</w:t>
      </w:r>
    </w:p>
    <w:p>
      <w:pPr>
        <w:pStyle w:val="BodyText"/>
        <w:spacing w:line="257" w:lineRule="exact"/>
        <w:ind w:left="1134" w:right="0"/>
        <w:jc w:val="left"/>
      </w:pPr>
      <w:r>
        <w:rPr/>
        <w:t>互联网厂商以及运营商等全球领先企业保持紧密的合作，并且拥有以全球知名厂商为主的优质客户资源，</w:t>
      </w:r>
    </w:p>
    <w:p>
      <w:pPr>
        <w:pStyle w:val="BodyText"/>
        <w:spacing w:line="285" w:lineRule="auto" w:before="66"/>
        <w:ind w:left="1133" w:right="1011"/>
        <w:jc w:val="left"/>
      </w:pPr>
      <w:r>
        <w:rPr/>
        <w:t>并与多家客户建立了较为密切的合作伙伴关系。在智能汽车产业链中，凭借</w:t>
      </w:r>
      <w:r>
        <w:rPr>
          <w:spacing w:val="-42"/>
        </w:rPr>
        <w:t> </w:t>
      </w:r>
      <w:r>
        <w:rPr>
          <w:rFonts w:ascii="Times New Roman" w:hAnsi="Times New Roman" w:cs="Times New Roman" w:eastAsia="Times New Roman" w:hint="default"/>
        </w:rPr>
        <w:t>Kanzi</w:t>
      </w:r>
      <w:r>
        <w:rPr>
          <w:rFonts w:ascii="Times New Roman" w:hAnsi="Times New Roman" w:cs="Times New Roman" w:eastAsia="Times New Roman" w:hint="default"/>
          <w:spacing w:val="-11"/>
        </w:rPr>
        <w:t> </w:t>
      </w:r>
      <w:r>
        <w:rPr/>
        <w:t>和过硬的技术，在全球 有包括奥迪在内的超过</w:t>
      </w:r>
      <w:r>
        <w:rPr>
          <w:spacing w:val="-60"/>
        </w:rPr>
        <w:t> </w:t>
      </w:r>
      <w:r>
        <w:rPr>
          <w:rFonts w:ascii="Times New Roman" w:hAnsi="Times New Roman" w:cs="Times New Roman" w:eastAsia="Times New Roman" w:hint="default"/>
        </w:rPr>
        <w:t>70</w:t>
      </w:r>
      <w:r>
        <w:rPr>
          <w:rFonts w:ascii="Times New Roman" w:hAnsi="Times New Roman" w:cs="Times New Roman" w:eastAsia="Times New Roman" w:hint="default"/>
          <w:spacing w:val="-16"/>
        </w:rPr>
        <w:t> </w:t>
      </w:r>
      <w:r>
        <w:rPr/>
        <w:t>家客户。这些客户在各自产业链大都占有重要的地位，在选择供应商方面严格、 谨慎，会对供应商的技术水平和综合实力进行严苛考察、评估和审核，重视与供应商关系的长期性和稳定 性。</w:t>
      </w:r>
    </w:p>
    <w:p>
      <w:pPr>
        <w:pStyle w:val="BodyText"/>
        <w:spacing w:line="560" w:lineRule="exact" w:before="40"/>
        <w:ind w:left="1553" w:right="0"/>
        <w:jc w:val="left"/>
      </w:pPr>
      <w:r>
        <w:rPr/>
        <w:t>（三）国际化服务和运营能力 </w:t>
      </w:r>
      <w:r>
        <w:rPr>
          <w:spacing w:val="-1"/>
        </w:rPr>
        <w:t>自设立以来，公司始终致力于建设具有国际化服务能力的研发团队和支持网络。公司目前拥有位于北</w:t>
      </w:r>
    </w:p>
    <w:p>
      <w:pPr>
        <w:pStyle w:val="BodyText"/>
        <w:spacing w:line="257" w:lineRule="exact"/>
        <w:ind w:left="1133" w:right="0"/>
        <w:jc w:val="left"/>
      </w:pPr>
      <w:r>
        <w:rPr/>
        <w:t>京、上海、深圳、香港、台湾地区和日本、韩国、美国、芬兰的服务或运营中心，大部分技术人员能够以</w:t>
      </w:r>
    </w:p>
    <w:p>
      <w:pPr>
        <w:pStyle w:val="BodyText"/>
        <w:spacing w:line="240" w:lineRule="auto" w:before="66"/>
        <w:ind w:left="1133" w:right="0"/>
        <w:jc w:val="left"/>
      </w:pPr>
      <w:r>
        <w:rPr/>
        <w:t>英语、日语或韩语直接支持各国客户。服务和业务拓展网络遍布全球移动智能终端主要市场。</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441" w:lineRule="exact"/>
        <w:ind w:left="3953"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64"/>
        </w:rPr>
        <w:t> </w:t>
      </w:r>
      <w:r>
        <w:rPr/>
        <w:t>经营情况讨论与分析</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17"/>
          <w:szCs w:val="17"/>
        </w:rPr>
      </w:pPr>
    </w:p>
    <w:p>
      <w:pPr>
        <w:pStyle w:val="Heading2"/>
        <w:spacing w:line="397" w:lineRule="exact"/>
        <w:ind w:left="1133" w:right="0"/>
        <w:jc w:val="both"/>
      </w:pPr>
      <w:bookmarkStart w:name="一、概述" w:id="24"/>
      <w:bookmarkEnd w:id="24"/>
      <w:r>
        <w:rPr/>
      </w:r>
      <w:r>
        <w:rPr/>
        <w:t>一、概述</w:t>
      </w:r>
    </w:p>
    <w:p>
      <w:pPr>
        <w:spacing w:line="240" w:lineRule="auto" w:before="12"/>
        <w:rPr>
          <w:rFonts w:ascii="微软雅黑" w:hAnsi="微软雅黑" w:cs="微软雅黑" w:eastAsia="微软雅黑" w:hint="default"/>
          <w:sz w:val="27"/>
          <w:szCs w:val="27"/>
        </w:rPr>
      </w:pPr>
    </w:p>
    <w:p>
      <w:pPr>
        <w:pStyle w:val="BodyText"/>
        <w:spacing w:line="280" w:lineRule="auto"/>
        <w:ind w:left="1133" w:right="1130"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年度，公司整体运行情况平稳，各项业务收入保持增长。公司实现营业收入</w:t>
      </w:r>
      <w:r>
        <w:rPr>
          <w:spacing w:val="-68"/>
        </w:rPr>
        <w:t> </w:t>
      </w:r>
      <w:r>
        <w:rPr>
          <w:rFonts w:ascii="Times New Roman" w:hAnsi="Times New Roman" w:cs="Times New Roman" w:eastAsia="Times New Roman" w:hint="default"/>
        </w:rPr>
        <w:t>116,232.72</w:t>
      </w:r>
      <w:r>
        <w:rPr>
          <w:rFonts w:ascii="Times New Roman" w:hAnsi="Times New Roman" w:cs="Times New Roman" w:eastAsia="Times New Roman" w:hint="default"/>
          <w:spacing w:val="-23"/>
        </w:rPr>
        <w:t> </w:t>
      </w:r>
      <w:r>
        <w:rPr>
          <w:spacing w:val="-4"/>
        </w:rPr>
        <w:t>万元，较</w:t>
      </w:r>
      <w:r>
        <w:rPr/>
        <w:t> 上年同期增长</w:t>
      </w:r>
      <w:r>
        <w:rPr>
          <w:spacing w:val="-22"/>
        </w:rPr>
        <w:t> </w:t>
      </w:r>
      <w:r>
        <w:rPr>
          <w:rFonts w:ascii="Times New Roman" w:hAnsi="Times New Roman" w:cs="Times New Roman" w:eastAsia="Times New Roman" w:hint="default"/>
          <w:spacing w:val="-3"/>
        </w:rPr>
        <w:t>37.08%</w:t>
      </w:r>
      <w:r>
        <w:rPr>
          <w:spacing w:val="-3"/>
        </w:rPr>
        <w:t>。由于在新业务智能汽车和智能物联网上投入较大，报告期公司实现归属于上市公司</w:t>
      </w:r>
      <w:r>
        <w:rPr>
          <w:spacing w:val="-100"/>
        </w:rPr>
        <w:t> </w:t>
      </w:r>
      <w:r>
        <w:rPr>
          <w:spacing w:val="-100"/>
        </w:rPr>
      </w:r>
      <w:r>
        <w:rPr/>
        <w:t>股东的净利润</w:t>
      </w:r>
      <w:r>
        <w:rPr>
          <w:spacing w:val="-53"/>
        </w:rPr>
        <w:t> </w:t>
      </w:r>
      <w:r>
        <w:rPr>
          <w:rFonts w:ascii="Times New Roman" w:hAnsi="Times New Roman" w:cs="Times New Roman" w:eastAsia="Times New Roman" w:hint="default"/>
        </w:rPr>
        <w:t>7,804.43</w:t>
      </w:r>
      <w:r>
        <w:rPr>
          <w:rFonts w:ascii="Times New Roman" w:hAnsi="Times New Roman" w:cs="Times New Roman" w:eastAsia="Times New Roman" w:hint="default"/>
          <w:spacing w:val="-13"/>
        </w:rPr>
        <w:t> </w:t>
      </w:r>
      <w:r>
        <w:rPr/>
        <w:t>万元，较上年同期下降</w:t>
      </w:r>
      <w:r>
        <w:rPr>
          <w:spacing w:val="-53"/>
        </w:rPr>
        <w:t> </w:t>
      </w:r>
      <w:r>
        <w:rPr>
          <w:rFonts w:ascii="Times New Roman" w:hAnsi="Times New Roman" w:cs="Times New Roman" w:eastAsia="Times New Roman" w:hint="default"/>
        </w:rPr>
        <w:t>35.12%</w:t>
      </w:r>
      <w:r>
        <w:rPr/>
        <w:t>。主要业务开展情况如下：</w:t>
      </w:r>
    </w:p>
    <w:p>
      <w:pPr>
        <w:pStyle w:val="BodyText"/>
        <w:spacing w:line="560" w:lineRule="exact" w:before="25"/>
        <w:ind w:left="1553" w:right="0"/>
        <w:jc w:val="left"/>
      </w:pPr>
      <w:r>
        <w:rPr/>
        <w:t>（一）智能手机业务稳中有升 </w:t>
      </w:r>
      <w:r>
        <w:rPr>
          <w:spacing w:val="-1"/>
        </w:rPr>
        <w:t>智能手机、平板等传统移动智能终端业务仍然是公司目前的核心业务。自智能手机兴起伊始，公司便</w:t>
      </w:r>
    </w:p>
    <w:p>
      <w:pPr>
        <w:pStyle w:val="BodyText"/>
        <w:spacing w:line="257" w:lineRule="exact"/>
        <w:ind w:left="1133" w:right="0"/>
        <w:jc w:val="both"/>
      </w:pPr>
      <w:r>
        <w:rPr/>
        <w:t>投入优秀技术团队，紧跟技术发展脉搏与行业发展方向。凭借在移动智能终端操作系统核心技术方面的积</w:t>
      </w:r>
    </w:p>
    <w:p>
      <w:pPr>
        <w:pStyle w:val="BodyText"/>
        <w:spacing w:line="292" w:lineRule="auto" w:before="66"/>
        <w:ind w:left="1133" w:right="1131"/>
        <w:jc w:val="both"/>
      </w:pPr>
      <w:r>
        <w:rPr>
          <w:spacing w:val="-1"/>
        </w:rPr>
        <w:t>累、在产业生态环境中的核心位置以及与行业知名厂商稳固的合作关系，公司拥有世界领先的智能手机解</w:t>
      </w:r>
      <w:r>
        <w:rPr>
          <w:spacing w:val="-81"/>
        </w:rPr>
        <w:t> </w:t>
      </w:r>
      <w:r>
        <w:rPr>
          <w:spacing w:val="-81"/>
        </w:rPr>
      </w:r>
      <w:r>
        <w:rPr>
          <w:spacing w:val="-1"/>
        </w:rPr>
        <w:t>决方案，能够为客户提供优质的工程技术服务和全方位的技术咨询，因而在全球智能手机出货量增速明显</w:t>
      </w:r>
      <w:r>
        <w:rPr>
          <w:spacing w:val="-81"/>
        </w:rPr>
        <w:t> </w:t>
      </w:r>
      <w:r>
        <w:rPr>
          <w:spacing w:val="-81"/>
        </w:rPr>
      </w:r>
      <w:r>
        <w:rPr/>
        <w:t>放缓的背景下，销售收入仍能保持增长。在 </w:t>
      </w:r>
      <w:r>
        <w:rPr>
          <w:rFonts w:ascii="Times New Roman" w:hAnsi="Times New Roman" w:cs="Times New Roman" w:eastAsia="Times New Roman" w:hint="default"/>
        </w:rPr>
        <w:t>5G</w:t>
      </w:r>
      <w:r>
        <w:rPr>
          <w:rFonts w:ascii="Times New Roman" w:hAnsi="Times New Roman" w:cs="Times New Roman" w:eastAsia="Times New Roman" w:hint="default"/>
          <w:spacing w:val="-17"/>
        </w:rPr>
        <w:t> </w:t>
      </w:r>
      <w:r>
        <w:rPr/>
        <w:t>和人工智能发展的预期下，公司未来将进一步加大研发投 入，进一步巩固和扩大与客户的合作，不断提升研发效率，保持业务收入稳步增长。</w:t>
      </w:r>
    </w:p>
    <w:p>
      <w:pPr>
        <w:spacing w:line="240" w:lineRule="auto" w:before="2"/>
        <w:rPr>
          <w:rFonts w:ascii="宋体" w:hAnsi="宋体" w:cs="宋体" w:eastAsia="宋体" w:hint="default"/>
          <w:sz w:val="18"/>
          <w:szCs w:val="18"/>
        </w:rPr>
      </w:pPr>
    </w:p>
    <w:p>
      <w:pPr>
        <w:pStyle w:val="BodyText"/>
        <w:spacing w:line="240" w:lineRule="auto"/>
        <w:ind w:left="1553" w:right="0"/>
        <w:jc w:val="left"/>
      </w:pPr>
      <w:r>
        <w:rPr/>
        <w:t>（二）智能汽车业务进入高速增长期</w:t>
      </w:r>
    </w:p>
    <w:p>
      <w:pPr>
        <w:spacing w:line="240" w:lineRule="auto" w:before="10"/>
        <w:rPr>
          <w:rFonts w:ascii="宋体" w:hAnsi="宋体" w:cs="宋体" w:eastAsia="宋体" w:hint="default"/>
          <w:sz w:val="21"/>
          <w:szCs w:val="21"/>
        </w:rPr>
      </w:pPr>
    </w:p>
    <w:p>
      <w:pPr>
        <w:pStyle w:val="BodyText"/>
        <w:spacing w:line="288" w:lineRule="auto"/>
        <w:ind w:left="1134" w:right="1025" w:firstLine="420"/>
        <w:jc w:val="both"/>
      </w:pPr>
      <w:r>
        <w:rPr/>
        <w:t>报告期内，公司在智能汽车业务领域持续投入，通过整合 </w:t>
      </w:r>
      <w:r>
        <w:rPr>
          <w:rFonts w:ascii="Times New Roman" w:hAnsi="Times New Roman" w:cs="Times New Roman" w:eastAsia="Times New Roman" w:hint="default"/>
        </w:rPr>
        <w:t>Rightware</w:t>
      </w:r>
      <w:r>
        <w:rPr>
          <w:rFonts w:ascii="Times New Roman" w:hAnsi="Times New Roman" w:cs="Times New Roman" w:eastAsia="Times New Roman" w:hint="default"/>
          <w:spacing w:val="-6"/>
        </w:rPr>
        <w:t> </w:t>
      </w:r>
      <w:r>
        <w:rPr/>
        <w:t>公司所提供的新一代智能汽车人 机交互界面和引擎，形成完整的智能驾驶舱解决方案，客户群体不断扩大，与众多全球领先的汽车品牌车 厂和一级供应商展开业务合作。目前，全球采用公司智能驾驶舱解决方案的客户超过</w:t>
      </w:r>
      <w:r>
        <w:rPr>
          <w:spacing w:val="-60"/>
        </w:rPr>
        <w:t> </w:t>
      </w:r>
      <w:r>
        <w:rPr>
          <w:rFonts w:ascii="Times New Roman" w:hAnsi="Times New Roman" w:cs="Times New Roman" w:eastAsia="Times New Roman" w:hint="default"/>
        </w:rPr>
        <w:t>70</w:t>
      </w:r>
      <w:r>
        <w:rPr>
          <w:rFonts w:ascii="Times New Roman" w:hAnsi="Times New Roman" w:cs="Times New Roman" w:eastAsia="Times New Roman" w:hint="default"/>
          <w:spacing w:val="-16"/>
        </w:rPr>
        <w:t> </w:t>
      </w:r>
      <w:r>
        <w:rPr/>
        <w:t>家，覆盖了欧洲、</w:t>
      </w:r>
    </w:p>
    <w:p>
      <w:pPr>
        <w:pStyle w:val="BodyText"/>
        <w:spacing w:line="240" w:lineRule="auto" w:before="3"/>
        <w:ind w:left="1134" w:right="0"/>
        <w:jc w:val="both"/>
      </w:pPr>
      <w:r>
        <w:rPr/>
        <w:t>美国、中国、日本和韩国，在中国已经超过了</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家。有多款产品已经量产或者逐渐进入量产阶段。</w:t>
      </w:r>
    </w:p>
    <w:p>
      <w:pPr>
        <w:pStyle w:val="BodyText"/>
        <w:spacing w:line="560" w:lineRule="exact" w:before="64"/>
        <w:ind w:right="0"/>
        <w:jc w:val="left"/>
      </w:pPr>
      <w:r>
        <w:rPr/>
        <w:t>（三）智能物联网业务快速增长，但热点分散 </w:t>
      </w:r>
      <w:r>
        <w:rPr>
          <w:spacing w:val="3"/>
        </w:rPr>
        <w:t>公司目前在技术、产品能力和客户积累方面进展顺利，但由于产品面向的下游市场，如智能相机、</w:t>
      </w:r>
    </w:p>
    <w:p>
      <w:pPr>
        <w:pStyle w:val="BodyText"/>
        <w:spacing w:line="273" w:lineRule="exact"/>
        <w:ind w:left="1134" w:right="0"/>
        <w:jc w:val="both"/>
      </w:pPr>
      <w:r>
        <w:rPr>
          <w:rFonts w:ascii="Times New Roman" w:hAnsi="Times New Roman" w:cs="Times New Roman" w:eastAsia="Times New Roman" w:hint="default"/>
        </w:rPr>
        <w:t>VR/AR</w:t>
      </w:r>
      <w:r>
        <w:rPr/>
        <w:t>、机器人、工业</w:t>
      </w:r>
      <w:r>
        <w:rPr>
          <w:spacing w:val="-26"/>
        </w:rPr>
        <w:t> </w:t>
      </w:r>
      <w:r>
        <w:rPr>
          <w:rFonts w:ascii="Times New Roman" w:hAnsi="Times New Roman" w:cs="Times New Roman" w:eastAsia="Times New Roman" w:hint="default"/>
        </w:rPr>
        <w:t>IoT</w:t>
      </w:r>
      <w:r>
        <w:rPr/>
        <w:t>、无人机等领域的需求此起彼伏，所以虽然整体市场发展趋势良好，但业绩增</w:t>
      </w:r>
    </w:p>
    <w:p>
      <w:pPr>
        <w:pStyle w:val="BodyText"/>
        <w:spacing w:line="297" w:lineRule="auto" w:before="50"/>
        <w:ind w:left="1134" w:right="1131"/>
        <w:jc w:val="both"/>
      </w:pPr>
      <w:r>
        <w:rPr>
          <w:spacing w:val="-1"/>
        </w:rPr>
        <w:t>长有一定的不确定性。公司目前在进一步提升技术和产品能力的同时，已形成覆盖多款芯片平台的智能物</w:t>
      </w:r>
      <w:r>
        <w:rPr>
          <w:spacing w:val="-81"/>
        </w:rPr>
        <w:t> </w:t>
      </w:r>
      <w:r>
        <w:rPr>
          <w:spacing w:val="-81"/>
        </w:rPr>
      </w:r>
      <w:r>
        <w:rPr>
          <w:spacing w:val="-1"/>
        </w:rPr>
        <w:t>联网整体解决方案，同时不断拓展新兴领域和开拓重点客户，并在早期研发阶段即与客户紧密联系，力争</w:t>
      </w:r>
      <w:r>
        <w:rPr>
          <w:spacing w:val="-83"/>
        </w:rPr>
        <w:t> </w:t>
      </w:r>
      <w:r>
        <w:rPr>
          <w:spacing w:val="-83"/>
        </w:rPr>
      </w:r>
      <w:r>
        <w:rPr/>
        <w:t>探索行业爆款产品，推动行业发展。</w:t>
      </w:r>
    </w:p>
    <w:p>
      <w:pPr>
        <w:spacing w:line="240" w:lineRule="auto" w:before="4"/>
        <w:rPr>
          <w:rFonts w:ascii="宋体" w:hAnsi="宋体" w:cs="宋体" w:eastAsia="宋体" w:hint="default"/>
          <w:sz w:val="23"/>
          <w:szCs w:val="23"/>
        </w:rPr>
      </w:pPr>
    </w:p>
    <w:p>
      <w:pPr>
        <w:pStyle w:val="Heading2"/>
        <w:spacing w:line="240" w:lineRule="auto"/>
        <w:ind w:right="0"/>
        <w:jc w:val="both"/>
      </w:pPr>
      <w:bookmarkStart w:name="二、主营业务分析" w:id="25"/>
      <w:bookmarkEnd w:id="25"/>
      <w:r>
        <w:rPr/>
      </w:r>
      <w:r>
        <w:rPr/>
        <w:t>二、主营业务分析</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概述" w:id="26"/>
      <w:bookmarkEnd w:id="26"/>
      <w:r>
        <w:rPr/>
      </w:r>
      <w:r>
        <w:rPr>
          <w:rFonts w:ascii="Times New Roman" w:hAnsi="Times New Roman" w:cs="Times New Roman" w:eastAsia="Times New Roman" w:hint="default"/>
        </w:rPr>
        <w:t>1</w:t>
      </w:r>
      <w:r>
        <w:rPr>
          <w:rFonts w:ascii="微软雅黑" w:hAnsi="微软雅黑" w:cs="微软雅黑" w:eastAsia="微软雅黑" w:hint="default"/>
        </w:rPr>
        <w:t>、概述</w:t>
      </w:r>
    </w:p>
    <w:p>
      <w:pPr>
        <w:spacing w:line="240" w:lineRule="auto" w:before="7"/>
        <w:rPr>
          <w:rFonts w:ascii="微软雅黑" w:hAnsi="微软雅黑" w:cs="微软雅黑" w:eastAsia="微软雅黑" w:hint="default"/>
          <w:sz w:val="23"/>
          <w:szCs w:val="23"/>
        </w:rPr>
      </w:pPr>
    </w:p>
    <w:p>
      <w:pPr>
        <w:pStyle w:val="BodyText"/>
        <w:spacing w:line="240" w:lineRule="auto"/>
        <w:ind w:right="0"/>
        <w:jc w:val="left"/>
      </w:pPr>
      <w:r>
        <w:rPr/>
        <w:t>参见“经营情况讨论与分析”中的“一、概述”相关内容。</w:t>
      </w:r>
    </w:p>
    <w:p>
      <w:pPr>
        <w:spacing w:after="0" w:line="240" w:lineRule="auto"/>
        <w:jc w:val="left"/>
        <w:sectPr>
          <w:pgSz w:w="11910" w:h="16840"/>
          <w:pgMar w:header="877" w:footer="979" w:top="1060" w:bottom="1160" w:left="0" w:right="0"/>
        </w:sectPr>
      </w:pPr>
    </w:p>
    <w:p>
      <w:pPr>
        <w:spacing w:line="240" w:lineRule="auto" w:before="3"/>
        <w:rPr>
          <w:rFonts w:ascii="宋体" w:hAnsi="宋体" w:cs="宋体" w:eastAsia="宋体" w:hint="default"/>
          <w:sz w:val="28"/>
          <w:szCs w:val="28"/>
        </w:rPr>
      </w:pPr>
    </w:p>
    <w:p>
      <w:pPr>
        <w:pStyle w:val="BodyText"/>
        <w:spacing w:line="324" w:lineRule="exact"/>
        <w:ind w:left="1553" w:right="0"/>
        <w:jc w:val="left"/>
        <w:rPr>
          <w:rFonts w:ascii="微软雅黑" w:hAnsi="微软雅黑" w:cs="微软雅黑" w:eastAsia="微软雅黑" w:hint="default"/>
        </w:rPr>
      </w:pPr>
      <w:bookmarkStart w:name="2、收入与成本" w:id="27"/>
      <w:bookmarkEnd w:id="27"/>
      <w:r>
        <w:rPr/>
      </w:r>
      <w:r>
        <w:rPr>
          <w:rFonts w:ascii="Times New Roman" w:hAnsi="Times New Roman" w:cs="Times New Roman" w:eastAsia="Times New Roman" w:hint="default"/>
        </w:rPr>
        <w:t>2</w:t>
      </w:r>
      <w:r>
        <w:rPr>
          <w:rFonts w:ascii="微软雅黑" w:hAnsi="微软雅黑" w:cs="微软雅黑" w:eastAsia="微软雅黑" w:hint="default"/>
        </w:rPr>
        <w:t>、收入与成本</w:t>
      </w:r>
    </w:p>
    <w:p>
      <w:pPr>
        <w:spacing w:line="240" w:lineRule="auto" w:before="6"/>
        <w:rPr>
          <w:rFonts w:ascii="微软雅黑" w:hAnsi="微软雅黑" w:cs="微软雅黑" w:eastAsia="微软雅黑" w:hint="default"/>
          <w:sz w:val="23"/>
          <w:szCs w:val="23"/>
        </w:rPr>
      </w:pPr>
    </w:p>
    <w:p>
      <w:pPr>
        <w:spacing w:line="460" w:lineRule="auto" w:before="0"/>
        <w:ind w:left="1553" w:right="8539" w:firstLine="2"/>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w w:val="99"/>
          <w:sz w:val="21"/>
          <w:szCs w:val="21"/>
        </w:rPr>
        <w:t> </w:t>
      </w:r>
      <w:r>
        <w:rPr>
          <w:rFonts w:ascii="宋体" w:hAnsi="宋体" w:cs="宋体" w:eastAsia="宋体" w:hint="default"/>
          <w:sz w:val="21"/>
          <w:szCs w:val="21"/>
        </w:rPr>
        <w:t>营业收入整体情况</w:t>
      </w:r>
    </w:p>
    <w:p>
      <w:pPr>
        <w:spacing w:before="96"/>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644"/>
        <w:gridCol w:w="1642"/>
        <w:gridCol w:w="1643"/>
        <w:gridCol w:w="1642"/>
        <w:gridCol w:w="1642"/>
        <w:gridCol w:w="1643"/>
      </w:tblGrid>
      <w:tr>
        <w:trPr>
          <w:trHeight w:val="397" w:hRule="exact"/>
        </w:trPr>
        <w:tc>
          <w:tcPr>
            <w:tcW w:w="1644" w:type="dxa"/>
            <w:vMerge w:val="restart"/>
            <w:tcBorders>
              <w:top w:val="single" w:sz="4" w:space="0" w:color="000000"/>
              <w:left w:val="single" w:sz="4" w:space="0" w:color="000000"/>
              <w:right w:val="single" w:sz="4" w:space="0" w:color="000000"/>
            </w:tcBorders>
            <w:shd w:val="clear" w:color="auto" w:fill="D2D2D2"/>
          </w:tcPr>
          <w:p>
            <w:pPr/>
          </w:p>
        </w:tc>
        <w:tc>
          <w:tcPr>
            <w:tcW w:w="3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13" w:hRule="exact"/>
        </w:trPr>
        <w:tc>
          <w:tcPr>
            <w:tcW w:w="1644" w:type="dxa"/>
            <w:vMerge/>
            <w:tcBorders>
              <w:left w:val="single" w:sz="4" w:space="0" w:color="000000"/>
              <w:bottom w:val="single" w:sz="4" w:space="0" w:color="000000"/>
              <w:right w:val="single" w:sz="4" w:space="0" w:color="000000"/>
            </w:tcBorders>
            <w:shd w:val="clear" w:color="auto" w:fill="D2D2D2"/>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43" w:type="dxa"/>
            <w:vMerge/>
            <w:tcBorders>
              <w:left w:val="single" w:sz="4" w:space="0" w:color="000000"/>
              <w:bottom w:val="single" w:sz="4" w:space="0" w:color="000000"/>
              <w:right w:val="single" w:sz="4" w:space="0" w:color="000000"/>
            </w:tcBorders>
            <w:shd w:val="clear" w:color="auto" w:fill="D2D2D2"/>
          </w:tcPr>
          <w:p>
            <w:pPr/>
          </w:p>
        </w:tc>
      </w:tr>
      <w:tr>
        <w:trPr>
          <w:trHeight w:val="410"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42" w:type="dxa"/>
            <w:tcBorders>
              <w:top w:val="single" w:sz="8" w:space="0" w:color="D2D2D2"/>
              <w:left w:val="single" w:sz="4" w:space="0" w:color="000000"/>
              <w:bottom w:val="single" w:sz="12" w:space="0" w:color="D2D2D2"/>
              <w:right w:val="single" w:sz="4" w:space="0" w:color="000000"/>
            </w:tcBorders>
          </w:tcPr>
          <w:p>
            <w:pPr>
              <w:pStyle w:val="TableParagraph"/>
              <w:spacing w:line="240" w:lineRule="auto" w:before="78"/>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42" w:type="dxa"/>
            <w:tcBorders>
              <w:top w:val="single" w:sz="8" w:space="0" w:color="D2D2D2"/>
              <w:left w:val="single" w:sz="4" w:space="0" w:color="000000"/>
              <w:bottom w:val="single" w:sz="12" w:space="0" w:color="D2D2D2"/>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18"/>
                <w:szCs w:val="18"/>
              </w:rPr>
            </w:pPr>
            <w:r>
              <w:rPr>
                <w:rFonts w:ascii="Times New Roman"/>
                <w:spacing w:val="-1"/>
                <w:sz w:val="18"/>
              </w:rPr>
              <w:t>847,902,181.67</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43"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37.08%</w:t>
            </w:r>
          </w:p>
        </w:tc>
      </w:tr>
      <w:tr>
        <w:trPr>
          <w:trHeight w:val="388"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17" w:hRule="exact"/>
        </w:trPr>
        <w:tc>
          <w:tcPr>
            <w:tcW w:w="164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64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64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100.00%</w:t>
            </w:r>
          </w:p>
        </w:tc>
        <w:tc>
          <w:tcPr>
            <w:tcW w:w="164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847,902,181.67</w:t>
            </w:r>
          </w:p>
        </w:tc>
        <w:tc>
          <w:tcPr>
            <w:tcW w:w="164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100.00%</w:t>
            </w:r>
          </w:p>
        </w:tc>
        <w:tc>
          <w:tcPr>
            <w:tcW w:w="164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37.08%</w:t>
            </w:r>
          </w:p>
        </w:tc>
      </w:tr>
      <w:tr>
        <w:trPr>
          <w:trHeight w:val="407"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447,205,009.33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38.47%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324,246,593.87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38.24%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37.92%</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337,027,359.53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29.00%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316,660,733.06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37.35%</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6.43%</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软件许可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138,243,445.26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2"/>
                <w:sz w:val="18"/>
              </w:rPr>
              <w:t>11.89%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141,086,735.94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16.64%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-2.02%</w:t>
            </w:r>
          </w:p>
        </w:tc>
      </w:tr>
      <w:tr>
        <w:trPr>
          <w:trHeight w:val="40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商品销售及其他</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239,851,426.76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20.64%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65,908,118.80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7.77%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263.92%</w:t>
            </w:r>
          </w:p>
        </w:tc>
      </w:tr>
      <w:tr>
        <w:trPr>
          <w:trHeight w:val="407"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736,966,358.21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63.40%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487,322,738.96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57.47%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51.23%</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198,772,782.30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17.10%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132,482,337.09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15.62%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50.04%</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174,378,902.50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15.00%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170,291,681.72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20.08%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2.40%</w:t>
            </w:r>
          </w:p>
        </w:tc>
      </w:tr>
      <w:tr>
        <w:trPr>
          <w:trHeight w:val="40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52,209,197.87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4.49%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57,805,423.90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6.82%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-9.68%</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0"/>
          <w:szCs w:val="20"/>
        </w:rPr>
      </w:pPr>
    </w:p>
    <w:p>
      <w:pPr>
        <w:pStyle w:val="BodyText"/>
        <w:spacing w:line="475" w:lineRule="auto"/>
        <w:ind w:right="67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公司是否需要遵守特殊行业的披露要求 否</w:t>
      </w:r>
    </w:p>
    <w:p>
      <w:pPr>
        <w:spacing w:before="8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606"/>
        <w:gridCol w:w="1484"/>
        <w:gridCol w:w="1485"/>
        <w:gridCol w:w="1259"/>
        <w:gridCol w:w="1341"/>
        <w:gridCol w:w="1339"/>
        <w:gridCol w:w="1342"/>
      </w:tblGrid>
      <w:tr>
        <w:trPr>
          <w:trHeight w:val="601"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7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7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5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4" w:right="124"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3" w:right="125"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306" w:right="12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739,507,068.74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36.38%</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37.08%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62.77%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-10.04%</w:t>
            </w:r>
          </w:p>
        </w:tc>
      </w:tr>
      <w:tr>
        <w:trPr>
          <w:trHeight w:val="398"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16" w:hRule="exact"/>
        </w:trPr>
        <w:tc>
          <w:tcPr>
            <w:tcW w:w="160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8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447,205,009.33</w:t>
            </w:r>
          </w:p>
        </w:tc>
        <w:tc>
          <w:tcPr>
            <w:tcW w:w="14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261,241,382.33</w:t>
            </w:r>
          </w:p>
        </w:tc>
        <w:tc>
          <w:tcPr>
            <w:tcW w:w="125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41.58%</w:t>
            </w:r>
          </w:p>
        </w:tc>
        <w:tc>
          <w:tcPr>
            <w:tcW w:w="134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37.92%</w:t>
            </w:r>
          </w:p>
        </w:tc>
        <w:tc>
          <w:tcPr>
            <w:tcW w:w="133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39.95%</w:t>
            </w:r>
          </w:p>
        </w:tc>
        <w:tc>
          <w:tcPr>
            <w:tcW w:w="134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-0.85%</w:t>
            </w:r>
          </w:p>
        </w:tc>
      </w:tr>
      <w:tr>
        <w:trPr>
          <w:trHeight w:val="40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337,027,359.53</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188,613,311.29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44.04%</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6.43%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14.99%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1606"/>
        <w:gridCol w:w="1484"/>
        <w:gridCol w:w="1485"/>
        <w:gridCol w:w="1259"/>
        <w:gridCol w:w="1341"/>
        <w:gridCol w:w="1339"/>
        <w:gridCol w:w="1342"/>
      </w:tblGrid>
      <w:tr>
        <w:trPr>
          <w:trHeight w:val="601"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7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7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5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4" w:right="124"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13" w:right="125"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306" w:right="125"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软件许可</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138,243,445.26</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71,031,772.33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48.62%</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57.51%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-19.42%</w:t>
            </w:r>
          </w:p>
        </w:tc>
      </w:tr>
      <w:tr>
        <w:trPr>
          <w:trHeight w:val="40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商品销售及其他</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239,851,426.76</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218,620,602.79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8.85%</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263.92%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273.43%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-2.32%</w:t>
            </w:r>
          </w:p>
        </w:tc>
      </w:tr>
      <w:tr>
        <w:trPr>
          <w:trHeight w:val="40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736,966,358.21</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502,284,154.59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31.84%</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51.23%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71.02%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-7.89%</w:t>
            </w:r>
          </w:p>
        </w:tc>
      </w:tr>
      <w:tr>
        <w:trPr>
          <w:trHeight w:val="408"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198,772,782.30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116,979,457.91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41.15%</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101.24%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-14.97%</w:t>
            </w:r>
          </w:p>
        </w:tc>
      </w:tr>
      <w:tr>
        <w:trPr>
          <w:trHeight w:val="407"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174,378,902.50</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91,381,462.41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47.60%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2.40%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31.01%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2"/>
                <w:sz w:val="18"/>
              </w:rPr>
              <w:t>-11.44%</w:t>
            </w:r>
          </w:p>
        </w:tc>
      </w:tr>
    </w:tbl>
    <w:p>
      <w:pPr>
        <w:spacing w:line="240" w:lineRule="auto" w:before="4"/>
        <w:rPr>
          <w:rFonts w:ascii="宋体" w:hAnsi="宋体" w:cs="宋体" w:eastAsia="宋体" w:hint="default"/>
          <w:sz w:val="11"/>
          <w:szCs w:val="11"/>
        </w:rPr>
      </w:pPr>
    </w:p>
    <w:p>
      <w:pPr>
        <w:pStyle w:val="BodyText"/>
        <w:spacing w:line="280" w:lineRule="auto" w:before="35"/>
        <w:ind w:left="1134" w:right="1114" w:firstLine="420"/>
        <w:jc w:val="left"/>
      </w:pPr>
      <w:r>
        <w:rPr/>
        <w:t>公司主营业务数据统计口径在报告期发生调整的情况下，公司最近</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年按报告期末口径调整后的主营 业务数据</w:t>
      </w:r>
    </w:p>
    <w:p>
      <w:pPr>
        <w:spacing w:line="240" w:lineRule="auto" w:before="0"/>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0"/>
          <w:szCs w:val="20"/>
        </w:rPr>
      </w:pPr>
    </w:p>
    <w:p>
      <w:pPr>
        <w:pStyle w:val="BodyText"/>
        <w:spacing w:line="463" w:lineRule="auto"/>
        <w:ind w:right="8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否</w:t>
      </w:r>
    </w:p>
    <w:p>
      <w:pPr>
        <w:spacing w:line="240" w:lineRule="auto" w:before="6"/>
        <w:rPr>
          <w:rFonts w:ascii="宋体" w:hAnsi="宋体" w:cs="宋体" w:eastAsia="宋体" w:hint="default"/>
          <w:sz w:val="9"/>
          <w:szCs w:val="9"/>
        </w:rPr>
      </w:pPr>
    </w:p>
    <w:tbl>
      <w:tblPr>
        <w:tblW w:w="0" w:type="auto"/>
        <w:jc w:val="left"/>
        <w:tblInd w:w="1018" w:type="dxa"/>
        <w:tblLayout w:type="fixed"/>
        <w:tblCellMar>
          <w:top w:w="0" w:type="dxa"/>
          <w:left w:w="0" w:type="dxa"/>
          <w:bottom w:w="0" w:type="dxa"/>
          <w:right w:w="0" w:type="dxa"/>
        </w:tblCellMar>
        <w:tblLook w:val="01E0"/>
      </w:tblPr>
      <w:tblGrid>
        <w:gridCol w:w="659"/>
        <w:gridCol w:w="1105"/>
        <w:gridCol w:w="2489"/>
        <w:gridCol w:w="1289"/>
        <w:gridCol w:w="1482"/>
        <w:gridCol w:w="1932"/>
        <w:gridCol w:w="899"/>
      </w:tblGrid>
      <w:tr>
        <w:trPr>
          <w:trHeight w:val="687" w:hRule="exact"/>
        </w:trPr>
        <w:tc>
          <w:tcPr>
            <w:tcW w:w="6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11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合同名称</w:t>
            </w:r>
          </w:p>
        </w:tc>
        <w:tc>
          <w:tcPr>
            <w:tcW w:w="24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合同内容</w:t>
            </w:r>
          </w:p>
        </w:tc>
        <w:tc>
          <w:tcPr>
            <w:tcW w:w="12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4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合同总价款</w:t>
            </w:r>
          </w:p>
        </w:tc>
        <w:tc>
          <w:tcPr>
            <w:tcW w:w="19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97" w:right="0"/>
              <w:jc w:val="left"/>
              <w:rPr>
                <w:rFonts w:ascii="宋体" w:hAnsi="宋体" w:cs="宋体" w:eastAsia="宋体" w:hint="default"/>
                <w:sz w:val="18"/>
                <w:szCs w:val="18"/>
              </w:rPr>
            </w:pPr>
            <w:r>
              <w:rPr>
                <w:rFonts w:ascii="宋体" w:hAnsi="宋体" w:cs="宋体" w:eastAsia="宋体" w:hint="default"/>
                <w:sz w:val="18"/>
                <w:szCs w:val="18"/>
              </w:rPr>
              <w:t>合同期限</w:t>
            </w:r>
          </w:p>
        </w:tc>
        <w:tc>
          <w:tcPr>
            <w:tcW w:w="8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02" w:lineRule="auto" w:before="41"/>
              <w:ind w:left="261" w:right="260"/>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859" w:hRule="exact"/>
        </w:trPr>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合作协议</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5"/>
              <w:ind w:left="100" w:right="213"/>
              <w:jc w:val="left"/>
              <w:rPr>
                <w:rFonts w:ascii="宋体" w:hAnsi="宋体" w:cs="宋体" w:eastAsia="宋体" w:hint="default"/>
                <w:sz w:val="18"/>
                <w:szCs w:val="18"/>
              </w:rPr>
            </w:pPr>
            <w:r>
              <w:rPr>
                <w:rFonts w:ascii="宋体" w:hAnsi="宋体" w:cs="宋体" w:eastAsia="宋体" w:hint="default"/>
                <w:sz w:val="18"/>
                <w:szCs w:val="18"/>
              </w:rPr>
              <w:t>本公司授权展讯上海及其关 联方使用本公司拥有的 </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业务相关知识产权</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展讯通信（上 海）有限公司</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Times New Roman" w:hAnsi="Times New Roman" w:cs="Times New Roman" w:eastAsia="Times New Roman" w:hint="default"/>
                <w:sz w:val="18"/>
                <w:szCs w:val="18"/>
              </w:rPr>
              <w:t>5,115.44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159"/>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日至</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已结束</w:t>
            </w:r>
          </w:p>
        </w:tc>
      </w:tr>
      <w:tr>
        <w:trPr>
          <w:trHeight w:val="860" w:hRule="exact"/>
        </w:trPr>
        <w:tc>
          <w:tcPr>
            <w:tcW w:w="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合作协议</w:t>
            </w:r>
          </w:p>
        </w:tc>
        <w:tc>
          <w:tcPr>
            <w:tcW w:w="248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45"/>
              <w:ind w:left="100" w:right="213"/>
              <w:jc w:val="left"/>
              <w:rPr>
                <w:rFonts w:ascii="宋体" w:hAnsi="宋体" w:cs="宋体" w:eastAsia="宋体" w:hint="default"/>
                <w:sz w:val="18"/>
                <w:szCs w:val="18"/>
              </w:rPr>
            </w:pPr>
            <w:r>
              <w:rPr>
                <w:rFonts w:ascii="宋体" w:hAnsi="宋体" w:cs="宋体" w:eastAsia="宋体" w:hint="default"/>
                <w:sz w:val="18"/>
                <w:szCs w:val="18"/>
              </w:rPr>
              <w:t>本公司授权展讯上海及其关 联方使用本公司拥有的 </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业务相关知识产权</w:t>
            </w:r>
          </w:p>
        </w:tc>
        <w:tc>
          <w:tcPr>
            <w:tcW w:w="1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100" w:right="98"/>
              <w:jc w:val="left"/>
              <w:rPr>
                <w:rFonts w:ascii="宋体" w:hAnsi="宋体" w:cs="宋体" w:eastAsia="宋体" w:hint="default"/>
                <w:sz w:val="18"/>
                <w:szCs w:val="18"/>
              </w:rPr>
            </w:pPr>
            <w:r>
              <w:rPr>
                <w:rFonts w:ascii="宋体" w:hAnsi="宋体" w:cs="宋体" w:eastAsia="宋体" w:hint="default"/>
                <w:sz w:val="18"/>
                <w:szCs w:val="18"/>
              </w:rPr>
              <w:t>展讯通信（上 海）有限公司</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Times New Roman" w:hAnsi="Times New Roman" w:cs="Times New Roman" w:eastAsia="Times New Roman" w:hint="default"/>
                <w:sz w:val="18"/>
                <w:szCs w:val="18"/>
              </w:rPr>
              <w:t>13,354.85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before="159"/>
              <w:ind w:right="0"/>
              <w:jc w:val="center"/>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日至</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261" w:right="170" w:hanging="90"/>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line="240" w:lineRule="auto" w:before="4"/>
        <w:rPr>
          <w:rFonts w:ascii="宋体" w:hAnsi="宋体" w:cs="宋体" w:eastAsia="宋体" w:hint="default"/>
          <w:sz w:val="11"/>
          <w:szCs w:val="11"/>
        </w:rPr>
      </w:pPr>
    </w:p>
    <w:p>
      <w:pPr>
        <w:spacing w:line="460" w:lineRule="auto" w:before="35"/>
        <w:ind w:left="1553" w:right="8539" w:firstLine="2"/>
        <w:jc w:val="left"/>
        <w:rPr>
          <w:rFonts w:ascii="宋体" w:hAnsi="宋体" w:cs="宋体" w:eastAsia="宋体" w:hint="default"/>
          <w:sz w:val="21"/>
          <w:szCs w:val="21"/>
        </w:rPr>
      </w:pP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w w:val="99"/>
          <w:sz w:val="21"/>
          <w:szCs w:val="21"/>
        </w:rPr>
        <w:t> </w:t>
      </w:r>
      <w:r>
        <w:rPr>
          <w:rFonts w:ascii="宋体" w:hAnsi="宋体" w:cs="宋体" w:eastAsia="宋体" w:hint="default"/>
          <w:sz w:val="21"/>
          <w:szCs w:val="21"/>
        </w:rPr>
        <w:t>行业分类</w:t>
      </w:r>
    </w:p>
    <w:p>
      <w:pPr>
        <w:spacing w:before="95"/>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144"/>
        <w:gridCol w:w="1442"/>
        <w:gridCol w:w="1641"/>
        <w:gridCol w:w="1406"/>
        <w:gridCol w:w="1408"/>
        <w:gridCol w:w="1407"/>
        <w:gridCol w:w="1408"/>
      </w:tblGrid>
      <w:tr>
        <w:trPr>
          <w:trHeight w:val="407" w:hRule="exact"/>
        </w:trPr>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0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3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63" w:hRule="exact"/>
        </w:trPr>
        <w:tc>
          <w:tcPr>
            <w:tcW w:w="1144" w:type="dxa"/>
            <w:vMerge/>
            <w:tcBorders>
              <w:left w:val="single" w:sz="4" w:space="0" w:color="000000"/>
              <w:bottom w:val="single" w:sz="4" w:space="0" w:color="000000"/>
              <w:right w:val="single" w:sz="4" w:space="0" w:color="000000"/>
            </w:tcBorders>
            <w:shd w:val="clear" w:color="auto" w:fill="D2D2D2"/>
          </w:tcPr>
          <w:p>
            <w:pPr/>
          </w:p>
        </w:tc>
        <w:tc>
          <w:tcPr>
            <w:tcW w:w="1442" w:type="dxa"/>
            <w:vMerge/>
            <w:tcBorders>
              <w:left w:val="single" w:sz="4" w:space="0" w:color="000000"/>
              <w:bottom w:val="single" w:sz="4" w:space="0" w:color="000000"/>
              <w:right w:val="single" w:sz="4" w:space="0" w:color="000000"/>
            </w:tcBorders>
            <w:shd w:val="clear" w:color="auto" w:fill="D2D2D2"/>
          </w:tcPr>
          <w:p>
            <w:pP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518" w:right="246"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518" w:right="246"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08" w:type="dxa"/>
            <w:vMerge/>
            <w:tcBorders>
              <w:left w:val="single" w:sz="4" w:space="0" w:color="000000"/>
              <w:bottom w:val="single" w:sz="4" w:space="0" w:color="000000"/>
              <w:right w:val="single" w:sz="4" w:space="0" w:color="000000"/>
            </w:tcBorders>
            <w:shd w:val="clear" w:color="auto" w:fill="D2D2D2"/>
          </w:tcPr>
          <w:p>
            <w:pPr/>
          </w:p>
        </w:tc>
      </w:tr>
      <w:tr>
        <w:trPr>
          <w:trHeight w:val="601"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29"/>
              <w:jc w:val="left"/>
              <w:rPr>
                <w:rFonts w:ascii="宋体" w:hAnsi="宋体" w:cs="宋体" w:eastAsia="宋体" w:hint="default"/>
                <w:sz w:val="18"/>
                <w:szCs w:val="18"/>
              </w:rPr>
            </w:pPr>
            <w:r>
              <w:rPr>
                <w:rFonts w:ascii="宋体" w:hAnsi="宋体" w:cs="宋体" w:eastAsia="宋体" w:hint="default"/>
                <w:sz w:val="18"/>
                <w:szCs w:val="18"/>
              </w:rPr>
              <w:t>软件和信息 服务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380,310,572.21</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51.43%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323,947,175.13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71.30%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17.40%</w:t>
            </w:r>
          </w:p>
        </w:tc>
      </w:tr>
      <w:tr>
        <w:trPr>
          <w:trHeight w:val="601"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29"/>
              <w:jc w:val="left"/>
              <w:rPr>
                <w:rFonts w:ascii="宋体" w:hAnsi="宋体" w:cs="宋体" w:eastAsia="宋体" w:hint="default"/>
                <w:sz w:val="18"/>
                <w:szCs w:val="18"/>
              </w:rPr>
            </w:pPr>
            <w:r>
              <w:rPr>
                <w:rFonts w:ascii="宋体" w:hAnsi="宋体" w:cs="宋体" w:eastAsia="宋体" w:hint="default"/>
                <w:sz w:val="18"/>
                <w:szCs w:val="18"/>
              </w:rPr>
              <w:t>软件和信息 服务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47"/>
              <w:jc w:val="left"/>
              <w:rPr>
                <w:rFonts w:ascii="宋体" w:hAnsi="宋体" w:cs="宋体" w:eastAsia="宋体" w:hint="default"/>
                <w:sz w:val="18"/>
                <w:szCs w:val="18"/>
              </w:rPr>
            </w:pPr>
            <w:r>
              <w:rPr>
                <w:rFonts w:ascii="宋体" w:hAnsi="宋体" w:cs="宋体" w:eastAsia="宋体" w:hint="default"/>
                <w:sz w:val="18"/>
                <w:szCs w:val="18"/>
              </w:rPr>
              <w:t>硬件产品和材 料采购成本</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221,798,462.32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29.99%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60,961,790.51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13.42%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263.83%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1144"/>
        <w:gridCol w:w="1442"/>
        <w:gridCol w:w="1641"/>
        <w:gridCol w:w="1406"/>
        <w:gridCol w:w="1408"/>
        <w:gridCol w:w="1407"/>
        <w:gridCol w:w="1408"/>
      </w:tblGrid>
      <w:tr>
        <w:trPr>
          <w:trHeight w:val="407" w:hRule="exact"/>
        </w:trPr>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0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3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64" w:hRule="exact"/>
        </w:trPr>
        <w:tc>
          <w:tcPr>
            <w:tcW w:w="1144" w:type="dxa"/>
            <w:vMerge/>
            <w:tcBorders>
              <w:left w:val="single" w:sz="4" w:space="0" w:color="000000"/>
              <w:bottom w:val="single" w:sz="4" w:space="0" w:color="000000"/>
              <w:right w:val="single" w:sz="4" w:space="0" w:color="000000"/>
            </w:tcBorders>
            <w:shd w:val="clear" w:color="auto" w:fill="D2D2D2"/>
          </w:tcPr>
          <w:p>
            <w:pPr/>
          </w:p>
        </w:tc>
        <w:tc>
          <w:tcPr>
            <w:tcW w:w="1442" w:type="dxa"/>
            <w:vMerge/>
            <w:tcBorders>
              <w:left w:val="single" w:sz="4" w:space="0" w:color="000000"/>
              <w:bottom w:val="single" w:sz="4" w:space="0" w:color="000000"/>
              <w:right w:val="single" w:sz="4" w:space="0" w:color="000000"/>
            </w:tcBorders>
            <w:shd w:val="clear" w:color="auto" w:fill="D2D2D2"/>
          </w:tcPr>
          <w:p>
            <w:pPr/>
          </w:p>
        </w:tc>
        <w:tc>
          <w:tcPr>
            <w:tcW w:w="1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32"/>
              <w:ind w:left="518" w:right="246"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32"/>
              <w:ind w:left="518" w:right="246"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08" w:type="dxa"/>
            <w:vMerge/>
            <w:tcBorders>
              <w:left w:val="single" w:sz="4" w:space="0" w:color="000000"/>
              <w:bottom w:val="single" w:sz="4" w:space="0" w:color="000000"/>
              <w:right w:val="single" w:sz="4" w:space="0" w:color="000000"/>
            </w:tcBorders>
            <w:shd w:val="clear" w:color="auto" w:fill="D2D2D2"/>
          </w:tcPr>
          <w:p>
            <w:pPr/>
          </w:p>
        </w:tc>
      </w:tr>
      <w:tr>
        <w:trPr>
          <w:trHeight w:val="600"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129"/>
              <w:jc w:val="left"/>
              <w:rPr>
                <w:rFonts w:ascii="宋体" w:hAnsi="宋体" w:cs="宋体" w:eastAsia="宋体" w:hint="default"/>
                <w:sz w:val="18"/>
                <w:szCs w:val="18"/>
              </w:rPr>
            </w:pPr>
            <w:r>
              <w:rPr>
                <w:rFonts w:ascii="宋体" w:hAnsi="宋体" w:cs="宋体" w:eastAsia="宋体" w:hint="default"/>
                <w:sz w:val="18"/>
                <w:szCs w:val="18"/>
              </w:rPr>
              <w:t>软件和信息 服务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247"/>
              <w:jc w:val="left"/>
              <w:rPr>
                <w:rFonts w:ascii="宋体" w:hAnsi="宋体" w:cs="宋体" w:eastAsia="宋体" w:hint="default"/>
                <w:sz w:val="18"/>
                <w:szCs w:val="18"/>
              </w:rPr>
            </w:pPr>
            <w:r>
              <w:rPr>
                <w:rFonts w:ascii="宋体" w:hAnsi="宋体" w:cs="宋体" w:eastAsia="宋体" w:hint="default"/>
                <w:sz w:val="18"/>
                <w:szCs w:val="18"/>
              </w:rPr>
              <w:t>房屋及设备租 赁成本</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23,091,028.73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3.12%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14,698,734.21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57.10%</w:t>
            </w:r>
          </w:p>
        </w:tc>
      </w:tr>
      <w:tr>
        <w:trPr>
          <w:trHeight w:val="601"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29"/>
              <w:jc w:val="left"/>
              <w:rPr>
                <w:rFonts w:ascii="宋体" w:hAnsi="宋体" w:cs="宋体" w:eastAsia="宋体" w:hint="default"/>
                <w:sz w:val="18"/>
                <w:szCs w:val="18"/>
              </w:rPr>
            </w:pPr>
            <w:r>
              <w:rPr>
                <w:rFonts w:ascii="宋体" w:hAnsi="宋体" w:cs="宋体" w:eastAsia="宋体" w:hint="default"/>
                <w:sz w:val="18"/>
                <w:szCs w:val="18"/>
              </w:rPr>
              <w:t>软件和信息 服务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服务采购成本</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84,747,448.59</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11.46%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21,281,612.71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298.22%</w:t>
            </w:r>
          </w:p>
        </w:tc>
      </w:tr>
      <w:tr>
        <w:trPr>
          <w:trHeight w:val="601" w:hRule="exact"/>
        </w:trPr>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29"/>
              <w:jc w:val="left"/>
              <w:rPr>
                <w:rFonts w:ascii="宋体" w:hAnsi="宋体" w:cs="宋体" w:eastAsia="宋体" w:hint="default"/>
                <w:sz w:val="18"/>
                <w:szCs w:val="18"/>
              </w:rPr>
            </w:pPr>
            <w:r>
              <w:rPr>
                <w:rFonts w:ascii="宋体" w:hAnsi="宋体" w:cs="宋体" w:eastAsia="宋体" w:hint="default"/>
                <w:sz w:val="18"/>
                <w:szCs w:val="18"/>
              </w:rPr>
              <w:t>软件和信息 服务</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29,559,556.88</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4.00%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33,449,226.31</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-11.63%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7"/>
        <w:rPr>
          <w:rFonts w:ascii="宋体" w:hAnsi="宋体" w:cs="宋体" w:eastAsia="宋体" w:hint="default"/>
          <w:sz w:val="20"/>
          <w:szCs w:val="20"/>
        </w:rPr>
      </w:pPr>
    </w:p>
    <w:p>
      <w:pPr>
        <w:pStyle w:val="BodyText"/>
        <w:spacing w:line="240" w:lineRule="auto"/>
        <w:ind w:right="0"/>
        <w:jc w:val="left"/>
      </w:pPr>
      <w:r>
        <w:rPr/>
        <w:t>详见本报告“第十一节财务报告</w:t>
      </w:r>
      <w:r>
        <w:rPr>
          <w:spacing w:val="-23"/>
        </w:rPr>
        <w:t> </w:t>
      </w:r>
      <w:r>
        <w:rPr/>
        <w:t>八、合并范围的变更”。</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0"/>
          <w:szCs w:val="20"/>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spacing w:line="460" w:lineRule="auto" w:before="0"/>
        <w:ind w:left="1554" w:right="6852" w:firstLine="2"/>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9"/>
        <w:rPr>
          <w:rFonts w:ascii="宋体" w:hAnsi="宋体" w:cs="宋体" w:eastAsia="宋体" w:hint="default"/>
          <w:sz w:val="9"/>
          <w:szCs w:val="9"/>
        </w:rPr>
      </w:pPr>
    </w:p>
    <w:tbl>
      <w:tblPr>
        <w:tblW w:w="0" w:type="auto"/>
        <w:jc w:val="left"/>
        <w:tblInd w:w="1021" w:type="dxa"/>
        <w:tblLayout w:type="fixed"/>
        <w:tblCellMar>
          <w:top w:w="0" w:type="dxa"/>
          <w:left w:w="0" w:type="dxa"/>
          <w:bottom w:w="0" w:type="dxa"/>
          <w:right w:w="0" w:type="dxa"/>
        </w:tblCellMar>
        <w:tblLook w:val="01E0"/>
      </w:tblPr>
      <w:tblGrid>
        <w:gridCol w:w="4827"/>
        <w:gridCol w:w="5028"/>
      </w:tblGrid>
      <w:tr>
        <w:trPr>
          <w:trHeight w:val="407"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504,823,594.90</w:t>
            </w:r>
          </w:p>
        </w:tc>
      </w:tr>
      <w:tr>
        <w:trPr>
          <w:trHeight w:val="407"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43.43%</w:t>
            </w:r>
          </w:p>
        </w:tc>
      </w:tr>
      <w:tr>
        <w:trPr>
          <w:trHeight w:val="407"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2464"/>
        <w:gridCol w:w="2464"/>
        <w:gridCol w:w="2463"/>
        <w:gridCol w:w="2465"/>
      </w:tblGrid>
      <w:tr>
        <w:trPr>
          <w:trHeight w:val="373"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3"/>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8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1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1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w:t>
            </w:r>
          </w:p>
        </w:tc>
        <w:tc>
          <w:tcPr>
            <w:tcW w:w="246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46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162,164,548.94</w:t>
            </w:r>
          </w:p>
        </w:tc>
        <w:tc>
          <w:tcPr>
            <w:tcW w:w="24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13.95%</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122,912,806.33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10.57%</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82,126,705.99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7.07%</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75,579,972.54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6.50%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w:t>
            </w:r>
          </w:p>
        </w:tc>
        <w:tc>
          <w:tcPr>
            <w:tcW w:w="2464"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62,039,561.10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5.34%</w:t>
            </w:r>
          </w:p>
        </w:tc>
      </w:tr>
      <w:tr>
        <w:trPr>
          <w:trHeight w:val="391"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3"/>
              <w:jc w:val="center"/>
              <w:rPr>
                <w:rFonts w:ascii="Times New Roman" w:hAnsi="Times New Roman" w:cs="Times New Roman" w:eastAsia="Times New Roman" w:hint="default"/>
                <w:sz w:val="18"/>
                <w:szCs w:val="18"/>
              </w:rPr>
            </w:pPr>
            <w:r>
              <w:rPr>
                <w:rFonts w:ascii="Times New Roman"/>
                <w:sz w:val="18"/>
              </w:rPr>
              <w:t>--</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504,823,594.90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43.43%</w:t>
            </w:r>
          </w:p>
        </w:tc>
      </w:tr>
    </w:tbl>
    <w:p>
      <w:pPr>
        <w:spacing w:line="240" w:lineRule="auto" w:before="8"/>
        <w:rPr>
          <w:rFonts w:ascii="宋体" w:hAnsi="宋体" w:cs="宋体" w:eastAsia="宋体" w:hint="default"/>
          <w:sz w:val="12"/>
          <w:szCs w:val="12"/>
        </w:rPr>
      </w:pPr>
    </w:p>
    <w:p>
      <w:pPr>
        <w:pStyle w:val="BodyText"/>
        <w:spacing w:line="240" w:lineRule="auto" w:before="35"/>
        <w:ind w:right="0"/>
        <w:jc w:val="left"/>
      </w:pPr>
      <w:r>
        <w:rPr/>
        <w:t>主要客户其他情况说明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40" w:lineRule="auto" w:before="35"/>
        <w:ind w:left="1553" w:right="0"/>
        <w:jc w:val="left"/>
      </w:pPr>
      <w:r>
        <w:rPr/>
        <w:t>公司主要供应商情况</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5008"/>
        <w:gridCol w:w="4847"/>
      </w:tblGrid>
      <w:tr>
        <w:trPr>
          <w:trHeight w:val="408" w:hRule="exact"/>
        </w:trPr>
        <w:tc>
          <w:tcPr>
            <w:tcW w:w="5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202,883,322.30</w:t>
            </w:r>
          </w:p>
        </w:tc>
      </w:tr>
      <w:tr>
        <w:trPr>
          <w:trHeight w:val="407" w:hRule="exact"/>
        </w:trPr>
        <w:tc>
          <w:tcPr>
            <w:tcW w:w="5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61.42%</w:t>
            </w:r>
          </w:p>
        </w:tc>
      </w:tr>
      <w:tr>
        <w:trPr>
          <w:trHeight w:val="407" w:hRule="exact"/>
        </w:trPr>
        <w:tc>
          <w:tcPr>
            <w:tcW w:w="5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3.86%</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2464"/>
        <w:gridCol w:w="2464"/>
        <w:gridCol w:w="2463"/>
        <w:gridCol w:w="2465"/>
      </w:tblGrid>
      <w:tr>
        <w:trPr>
          <w:trHeight w:val="406"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98,026,014.24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29.68%</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40,917,697.54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12.39%</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32,300,911.25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9.78%</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18,888,237.39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5.72%</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12,750,461.88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3.86%</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
              <w:jc w:val="center"/>
              <w:rPr>
                <w:rFonts w:ascii="Times New Roman" w:hAnsi="Times New Roman" w:cs="Times New Roman" w:eastAsia="Times New Roman" w:hint="default"/>
                <w:sz w:val="18"/>
                <w:szCs w:val="18"/>
              </w:rPr>
            </w:pPr>
            <w:r>
              <w:rPr>
                <w:rFonts w:ascii="Times New Roman"/>
                <w:sz w:val="18"/>
              </w:rPr>
              <w:t>--</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202,883,322.30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61.43%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主要供应商其他情况说明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3、费用" w:id="36"/>
      <w:bookmarkEnd w:id="36"/>
      <w:r>
        <w:rPr/>
      </w:r>
      <w:r>
        <w:rPr>
          <w:rFonts w:ascii="Times New Roman" w:hAnsi="Times New Roman" w:cs="Times New Roman" w:eastAsia="Times New Roman" w:hint="default"/>
        </w:rPr>
        <w:t>3</w:t>
      </w:r>
      <w:r>
        <w:rPr>
          <w:rFonts w:ascii="微软雅黑" w:hAnsi="微软雅黑" w:cs="微软雅黑" w:eastAsia="微软雅黑" w:hint="default"/>
        </w:rPr>
        <w:t>、费用</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713"/>
        <w:gridCol w:w="1711"/>
        <w:gridCol w:w="1713"/>
        <w:gridCol w:w="1714"/>
        <w:gridCol w:w="3005"/>
      </w:tblGrid>
      <w:tr>
        <w:trPr>
          <w:trHeight w:val="384"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5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9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95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13"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1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6"/>
              <w:ind w:right="99"/>
              <w:jc w:val="right"/>
              <w:rPr>
                <w:rFonts w:ascii="Times New Roman" w:hAnsi="Times New Roman" w:cs="Times New Roman" w:eastAsia="Times New Roman" w:hint="default"/>
                <w:sz w:val="18"/>
                <w:szCs w:val="18"/>
              </w:rPr>
            </w:pPr>
            <w:r>
              <w:rPr>
                <w:rFonts w:ascii="Times New Roman"/>
                <w:spacing w:val="-1"/>
                <w:sz w:val="18"/>
              </w:rPr>
              <w:t>46,453,300.96</w:t>
            </w:r>
          </w:p>
        </w:tc>
        <w:tc>
          <w:tcPr>
            <w:tcW w:w="171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6"/>
              <w:ind w:left="565" w:right="0"/>
              <w:jc w:val="left"/>
              <w:rPr>
                <w:rFonts w:ascii="Times New Roman" w:hAnsi="Times New Roman" w:cs="Times New Roman" w:eastAsia="Times New Roman" w:hint="default"/>
                <w:sz w:val="18"/>
                <w:szCs w:val="18"/>
              </w:rPr>
            </w:pPr>
            <w:r>
              <w:rPr>
                <w:rFonts w:ascii="Times New Roman"/>
                <w:sz w:val="18"/>
              </w:rPr>
              <w:t>46,719,827.65</w:t>
            </w:r>
          </w:p>
        </w:tc>
        <w:tc>
          <w:tcPr>
            <w:tcW w:w="171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6"/>
              <w:ind w:right="100"/>
              <w:jc w:val="right"/>
              <w:rPr>
                <w:rFonts w:ascii="Times New Roman" w:hAnsi="Times New Roman" w:cs="Times New Roman" w:eastAsia="Times New Roman" w:hint="default"/>
                <w:sz w:val="18"/>
                <w:szCs w:val="18"/>
              </w:rPr>
            </w:pPr>
            <w:r>
              <w:rPr>
                <w:rFonts w:ascii="Times New Roman"/>
                <w:sz w:val="18"/>
              </w:rPr>
              <w:t>-0.57%</w:t>
            </w:r>
          </w:p>
        </w:tc>
        <w:tc>
          <w:tcPr>
            <w:tcW w:w="3005" w:type="dxa"/>
            <w:tcBorders>
              <w:top w:val="single" w:sz="12" w:space="0" w:color="D2D2D2"/>
              <w:left w:val="single" w:sz="4" w:space="0" w:color="000000"/>
              <w:bottom w:val="single" w:sz="4" w:space="0" w:color="000000"/>
              <w:right w:val="single" w:sz="4" w:space="0" w:color="000000"/>
            </w:tcBorders>
          </w:tcPr>
          <w:p>
            <w:pPr/>
          </w:p>
        </w:tc>
      </w:tr>
      <w:tr>
        <w:trPr>
          <w:trHeight w:val="407"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282,992,277.73</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1" w:right="0"/>
              <w:jc w:val="left"/>
              <w:rPr>
                <w:rFonts w:ascii="Times New Roman" w:hAnsi="Times New Roman" w:cs="Times New Roman" w:eastAsia="Times New Roman" w:hint="default"/>
                <w:sz w:val="18"/>
                <w:szCs w:val="18"/>
              </w:rPr>
            </w:pPr>
            <w:r>
              <w:rPr>
                <w:rFonts w:ascii="Times New Roman"/>
                <w:sz w:val="18"/>
              </w:rPr>
              <w:t>263,884,006.11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7.24%</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31,946,116.94</w:t>
            </w:r>
          </w:p>
        </w:tc>
        <w:tc>
          <w:tcPr>
            <w:tcW w:w="1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-10,175,621.65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413.95%</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2" w:right="191"/>
              <w:jc w:val="both"/>
              <w:rPr>
                <w:rFonts w:ascii="宋体" w:hAnsi="宋体" w:cs="宋体" w:eastAsia="宋体" w:hint="default"/>
                <w:sz w:val="18"/>
                <w:szCs w:val="18"/>
              </w:rPr>
            </w:pPr>
            <w:r>
              <w:rPr>
                <w:rFonts w:ascii="宋体" w:hAnsi="宋体" w:cs="宋体" w:eastAsia="宋体" w:hint="default"/>
                <w:sz w:val="18"/>
                <w:szCs w:val="18"/>
              </w:rPr>
              <w:t>因并购和规模扩大，资金需求增加 导致融资成本增加，以及汇率波动 导致汇率损失增加</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4、研发投入" w:id="37"/>
      <w:bookmarkEnd w:id="37"/>
      <w:r>
        <w:rPr/>
      </w:r>
      <w:r>
        <w:rPr>
          <w:rFonts w:ascii="Times New Roman" w:hAnsi="Times New Roman" w:cs="Times New Roman" w:eastAsia="Times New Roman" w:hint="default"/>
        </w:rPr>
        <w:t>4</w:t>
      </w:r>
      <w:r>
        <w:rPr>
          <w:rFonts w:ascii="微软雅黑" w:hAnsi="微软雅黑" w:cs="微软雅黑" w:eastAsia="微软雅黑" w:hint="default"/>
        </w:rPr>
        <w:t>、研发投入</w:t>
      </w:r>
    </w:p>
    <w:p>
      <w:pPr>
        <w:pStyle w:val="BodyText"/>
        <w:spacing w:line="540" w:lineRule="atLeast" w:before="15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w:t>
      </w:r>
      <w:r>
        <w:rPr>
          <w:spacing w:val="3"/>
        </w:rPr>
        <w:t>作为技术型公司，为了保持企业的长期核心竞争力，需有较大的大研发投入，报告期公司研发投入</w:t>
      </w:r>
    </w:p>
    <w:p>
      <w:pPr>
        <w:pStyle w:val="BodyText"/>
        <w:spacing w:line="240" w:lineRule="auto" w:before="66"/>
        <w:ind w:left="1134" w:right="0"/>
        <w:jc w:val="left"/>
      </w:pPr>
      <w:r>
        <w:rPr>
          <w:rFonts w:ascii="Times New Roman" w:hAnsi="Times New Roman" w:cs="Times New Roman" w:eastAsia="Times New Roman" w:hint="default"/>
        </w:rPr>
        <w:t>144,394,367.46 </w:t>
      </w:r>
      <w:r>
        <w:rPr/>
        <w:t>元，占营业收入的比例达到</w:t>
      </w:r>
      <w:r>
        <w:rPr>
          <w:spacing w:val="-64"/>
        </w:rPr>
        <w:t> </w:t>
      </w:r>
      <w:r>
        <w:rPr>
          <w:rFonts w:ascii="Times New Roman" w:hAnsi="Times New Roman" w:cs="Times New Roman" w:eastAsia="Times New Roman" w:hint="default"/>
        </w:rPr>
        <w:t>12.42%</w:t>
      </w:r>
      <w:r>
        <w:rPr/>
        <w:t>。</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报告期内，</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年公司新增专利申请</w:t>
      </w:r>
      <w:r>
        <w:rPr>
          <w:spacing w:val="-44"/>
        </w:rPr>
        <w:t> </w:t>
      </w:r>
      <w:r>
        <w:rPr>
          <w:rFonts w:ascii="Times New Roman" w:hAnsi="Times New Roman" w:cs="Times New Roman" w:eastAsia="Times New Roman" w:hint="default"/>
        </w:rPr>
        <w:t>45</w:t>
      </w:r>
      <w:r>
        <w:rPr>
          <w:rFonts w:ascii="Times New Roman" w:hAnsi="Times New Roman" w:cs="Times New Roman" w:eastAsia="Times New Roman" w:hint="default"/>
          <w:spacing w:val="-11"/>
        </w:rPr>
        <w:t> </w:t>
      </w:r>
      <w:r>
        <w:rPr/>
        <w:t>件，其中发明专利</w:t>
      </w:r>
      <w:r>
        <w:rPr>
          <w:spacing w:val="-44"/>
        </w:rPr>
        <w:t> </w:t>
      </w:r>
      <w:r>
        <w:rPr>
          <w:rFonts w:ascii="Times New Roman" w:hAnsi="Times New Roman" w:cs="Times New Roman" w:eastAsia="Times New Roman" w:hint="default"/>
        </w:rPr>
        <w:t>39</w:t>
      </w:r>
      <w:r>
        <w:rPr>
          <w:rFonts w:ascii="Times New Roman" w:hAnsi="Times New Roman" w:cs="Times New Roman" w:eastAsia="Times New Roman" w:hint="default"/>
          <w:spacing w:val="-11"/>
        </w:rPr>
        <w:t> </w:t>
      </w:r>
      <w:r>
        <w:rPr/>
        <w:t>件；</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年新增授权专利</w:t>
      </w:r>
      <w:r>
        <w:rPr>
          <w:spacing w:val="-44"/>
        </w:rPr>
        <w:t> </w:t>
      </w:r>
      <w:r>
        <w:rPr>
          <w:rFonts w:ascii="Times New Roman" w:hAnsi="Times New Roman" w:cs="Times New Roman" w:eastAsia="Times New Roman" w:hint="default"/>
        </w:rPr>
        <w:t>33</w:t>
      </w:r>
      <w:r>
        <w:rPr>
          <w:rFonts w:ascii="Times New Roman" w:hAnsi="Times New Roman" w:cs="Times New Roman" w:eastAsia="Times New Roman" w:hint="default"/>
          <w:spacing w:val="-11"/>
        </w:rPr>
        <w:t> </w:t>
      </w:r>
      <w:r>
        <w:rPr/>
        <w:t>件，其中</w:t>
      </w:r>
    </w:p>
    <w:p>
      <w:pPr>
        <w:pStyle w:val="BodyText"/>
        <w:spacing w:line="240" w:lineRule="auto" w:before="50"/>
        <w:ind w:left="1133" w:right="0"/>
        <w:jc w:val="left"/>
      </w:pPr>
      <w:r>
        <w:rPr/>
        <w:t>发明专利</w:t>
      </w:r>
      <w:r>
        <w:rPr>
          <w:spacing w:val="-44"/>
        </w:rPr>
        <w:t> </w:t>
      </w:r>
      <w:r>
        <w:rPr>
          <w:rFonts w:ascii="Times New Roman" w:hAnsi="Times New Roman" w:cs="Times New Roman" w:eastAsia="Times New Roman" w:hint="default"/>
        </w:rPr>
        <w:t>29</w:t>
      </w:r>
      <w:r>
        <w:rPr>
          <w:rFonts w:ascii="Times New Roman" w:hAnsi="Times New Roman" w:cs="Times New Roman" w:eastAsia="Times New Roman" w:hint="default"/>
          <w:spacing w:val="-13"/>
        </w:rPr>
        <w:t> </w:t>
      </w:r>
      <w:r>
        <w:rPr/>
        <w:t>件；</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年新增商标申请</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件，授权商标</w:t>
      </w:r>
      <w:r>
        <w:rPr>
          <w:spacing w:val="-44"/>
        </w:rPr>
        <w:t> </w:t>
      </w:r>
      <w:r>
        <w:rPr>
          <w:rFonts w:ascii="Times New Roman" w:hAnsi="Times New Roman" w:cs="Times New Roman" w:eastAsia="Times New Roman" w:hint="default"/>
        </w:rPr>
        <w:t>37</w:t>
      </w:r>
      <w:r>
        <w:rPr>
          <w:rFonts w:ascii="Times New Roman" w:hAnsi="Times New Roman" w:cs="Times New Roman" w:eastAsia="Times New Roman" w:hint="default"/>
          <w:spacing w:val="-11"/>
        </w:rPr>
        <w:t> </w:t>
      </w:r>
      <w:r>
        <w:rPr/>
        <w:t>件；</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年新增计算机软件著作权</w:t>
      </w:r>
      <w:r>
        <w:rPr>
          <w:spacing w:val="-44"/>
        </w:rPr>
        <w:t> </w:t>
      </w:r>
      <w:r>
        <w:rPr>
          <w:rFonts w:ascii="Times New Roman" w:hAnsi="Times New Roman" w:cs="Times New Roman" w:eastAsia="Times New Roman" w:hint="default"/>
        </w:rPr>
        <w:t>151</w:t>
      </w:r>
      <w:r>
        <w:rPr>
          <w:rFonts w:ascii="Times New Roman" w:hAnsi="Times New Roman" w:cs="Times New Roman" w:eastAsia="Times New Roman" w:hint="default"/>
          <w:spacing w:val="-11"/>
        </w:rPr>
        <w:t> </w:t>
      </w:r>
      <w:r>
        <w:rPr/>
        <w:t>件。截</w:t>
      </w:r>
    </w:p>
    <w:p>
      <w:pPr>
        <w:pStyle w:val="BodyText"/>
        <w:spacing w:line="240" w:lineRule="auto" w:before="49"/>
        <w:ind w:left="1133" w:right="0"/>
        <w:jc w:val="left"/>
      </w:pPr>
      <w:r>
        <w:rPr/>
        <w:t>至报告期末公司共拥有专利申请</w:t>
      </w:r>
      <w:r>
        <w:rPr>
          <w:spacing w:val="-51"/>
        </w:rPr>
        <w:t> </w:t>
      </w:r>
      <w:r>
        <w:rPr>
          <w:rFonts w:ascii="Times New Roman" w:hAnsi="Times New Roman" w:cs="Times New Roman" w:eastAsia="Times New Roman" w:hint="default"/>
        </w:rPr>
        <w:t>234</w:t>
      </w:r>
      <w:r>
        <w:rPr>
          <w:rFonts w:ascii="Times New Roman" w:hAnsi="Times New Roman" w:cs="Times New Roman" w:eastAsia="Times New Roman" w:hint="default"/>
          <w:spacing w:val="-9"/>
        </w:rPr>
        <w:t> </w:t>
      </w:r>
      <w:r>
        <w:rPr>
          <w:spacing w:val="-4"/>
        </w:rPr>
        <w:t>件，其中发明专利</w:t>
      </w:r>
      <w:r>
        <w:rPr>
          <w:spacing w:val="-51"/>
        </w:rPr>
        <w:t> </w:t>
      </w:r>
      <w:r>
        <w:rPr>
          <w:rFonts w:ascii="Times New Roman" w:hAnsi="Times New Roman" w:cs="Times New Roman" w:eastAsia="Times New Roman" w:hint="default"/>
        </w:rPr>
        <w:t>230</w:t>
      </w:r>
      <w:r>
        <w:rPr>
          <w:rFonts w:ascii="Times New Roman" w:hAnsi="Times New Roman" w:cs="Times New Roman" w:eastAsia="Times New Roman" w:hint="default"/>
          <w:spacing w:val="-11"/>
        </w:rPr>
        <w:t> </w:t>
      </w:r>
      <w:r>
        <w:rPr>
          <w:spacing w:val="-5"/>
        </w:rPr>
        <w:t>件；授权专利</w:t>
      </w:r>
      <w:r>
        <w:rPr>
          <w:spacing w:val="-52"/>
        </w:rPr>
        <w:t> </w:t>
      </w:r>
      <w:r>
        <w:rPr>
          <w:rFonts w:ascii="Times New Roman" w:hAnsi="Times New Roman" w:cs="Times New Roman" w:eastAsia="Times New Roman" w:hint="default"/>
        </w:rPr>
        <w:t>63</w:t>
      </w:r>
      <w:r>
        <w:rPr>
          <w:rFonts w:ascii="Times New Roman" w:hAnsi="Times New Roman" w:cs="Times New Roman" w:eastAsia="Times New Roman" w:hint="default"/>
          <w:spacing w:val="-9"/>
        </w:rPr>
        <w:t> </w:t>
      </w:r>
      <w:r>
        <w:rPr>
          <w:spacing w:val="-4"/>
        </w:rPr>
        <w:t>件，其中授权发明专利</w:t>
      </w:r>
      <w:r>
        <w:rPr>
          <w:spacing w:val="-51"/>
        </w:rPr>
        <w:t> </w:t>
      </w:r>
      <w:r>
        <w:rPr>
          <w:rFonts w:ascii="Times New Roman" w:hAnsi="Times New Roman" w:cs="Times New Roman" w:eastAsia="Times New Roman" w:hint="default"/>
        </w:rPr>
        <w:t>43</w:t>
      </w:r>
      <w:r>
        <w:rPr>
          <w:rFonts w:ascii="Times New Roman" w:hAnsi="Times New Roman" w:cs="Times New Roman" w:eastAsia="Times New Roman" w:hint="default"/>
          <w:spacing w:val="-9"/>
        </w:rPr>
        <w:t> </w:t>
      </w:r>
      <w:r>
        <w:rPr/>
        <w:t>件；</w:t>
      </w:r>
    </w:p>
    <w:p>
      <w:pPr>
        <w:pStyle w:val="BodyText"/>
        <w:spacing w:line="240" w:lineRule="auto" w:before="50"/>
        <w:ind w:left="1133" w:right="0"/>
        <w:jc w:val="left"/>
      </w:pPr>
      <w:r>
        <w:rPr/>
        <w:t>拥有商标申请</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件，授权商标</w:t>
      </w:r>
      <w:r>
        <w:rPr>
          <w:spacing w:val="-55"/>
        </w:rPr>
        <w:t> </w:t>
      </w:r>
      <w:r>
        <w:rPr>
          <w:rFonts w:ascii="Times New Roman" w:hAnsi="Times New Roman" w:cs="Times New Roman" w:eastAsia="Times New Roman" w:hint="default"/>
        </w:rPr>
        <w:t>110</w:t>
      </w:r>
      <w:r>
        <w:rPr>
          <w:rFonts w:ascii="Times New Roman" w:hAnsi="Times New Roman" w:cs="Times New Roman" w:eastAsia="Times New Roman" w:hint="default"/>
          <w:spacing w:val="-13"/>
        </w:rPr>
        <w:t> </w:t>
      </w:r>
      <w:r>
        <w:rPr/>
        <w:t>件；拥有计算机软件著作权</w:t>
      </w:r>
      <w:r>
        <w:rPr>
          <w:spacing w:val="-54"/>
        </w:rPr>
        <w:t> </w:t>
      </w:r>
      <w:r>
        <w:rPr>
          <w:rFonts w:ascii="Times New Roman" w:hAnsi="Times New Roman" w:cs="Times New Roman" w:eastAsia="Times New Roman" w:hint="default"/>
        </w:rPr>
        <w:t>509</w:t>
      </w:r>
      <w:r>
        <w:rPr>
          <w:rFonts w:ascii="Times New Roman" w:hAnsi="Times New Roman" w:cs="Times New Roman" w:eastAsia="Times New Roman" w:hint="default"/>
          <w:spacing w:val="-11"/>
        </w:rPr>
        <w:t> </w:t>
      </w:r>
      <w:r>
        <w:rPr/>
        <w:t>件。</w:t>
      </w:r>
    </w:p>
    <w:p>
      <w:pPr>
        <w:spacing w:after="0" w:line="240" w:lineRule="auto"/>
        <w:jc w:val="left"/>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40" w:lineRule="auto" w:before="35"/>
        <w:ind w:left="1553" w:right="0"/>
        <w:jc w:val="left"/>
      </w:pPr>
      <w:r>
        <w:rPr/>
        <w:t>近三年公司研发投入金额及占营业收入的比例</w:t>
      </w:r>
    </w:p>
    <w:p>
      <w:pPr>
        <w:spacing w:line="240" w:lineRule="auto" w:before="8"/>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2464"/>
        <w:gridCol w:w="2463"/>
        <w:gridCol w:w="2464"/>
        <w:gridCol w:w="2465"/>
      </w:tblGrid>
      <w:tr>
        <w:trPr>
          <w:trHeight w:val="384"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6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z w:val="18"/>
              </w:rPr>
              <w:t>2,435</w:t>
            </w:r>
          </w:p>
        </w:tc>
        <w:tc>
          <w:tcPr>
            <w:tcW w:w="246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z w:val="18"/>
              </w:rPr>
              <w:t>2,633</w:t>
            </w:r>
          </w:p>
        </w:tc>
        <w:tc>
          <w:tcPr>
            <w:tcW w:w="24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right="101"/>
              <w:jc w:val="right"/>
              <w:rPr>
                <w:rFonts w:ascii="Times New Roman" w:hAnsi="Times New Roman" w:cs="Times New Roman" w:eastAsia="Times New Roman" w:hint="default"/>
                <w:sz w:val="18"/>
                <w:szCs w:val="18"/>
              </w:rPr>
            </w:pPr>
            <w:r>
              <w:rPr>
                <w:rFonts w:ascii="Times New Roman"/>
                <w:sz w:val="18"/>
              </w:rPr>
              <w:t>1,914</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89.59%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92.22%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2"/>
                <w:sz w:val="18"/>
              </w:rPr>
              <w:t>90.11%</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144,394,367.46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146,659,949.46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115,769,132.64</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12.42%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18.81%</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14,298,897.46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10,051,809.24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0.00</w:t>
            </w:r>
          </w:p>
        </w:tc>
      </w:tr>
      <w:tr>
        <w:trPr>
          <w:trHeight w:val="601"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89"/>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r>
        <w:trPr>
          <w:trHeight w:val="601"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89"/>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研发投入总额占营业收入的比重较上年发生显著变化的原因</w:t>
      </w:r>
    </w:p>
    <w:p>
      <w:pPr>
        <w:spacing w:line="240" w:lineRule="auto" w:before="8"/>
        <w:rPr>
          <w:rFonts w:ascii="宋体" w:hAnsi="宋体" w:cs="宋体" w:eastAsia="宋体" w:hint="default"/>
          <w:sz w:val="21"/>
          <w:szCs w:val="21"/>
        </w:rPr>
      </w:pPr>
    </w:p>
    <w:p>
      <w:pPr>
        <w:pStyle w:val="BodyText"/>
        <w:spacing w:line="460"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研发投入资本化率大幅变动的原因及其合理性说明</w:t>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5、现金流" w:id="38"/>
      <w:bookmarkEnd w:id="38"/>
      <w:r>
        <w:rPr/>
      </w:r>
      <w:r>
        <w:rPr>
          <w:rFonts w:ascii="Times New Roman" w:hAnsi="Times New Roman" w:cs="Times New Roman" w:eastAsia="Times New Roman" w:hint="default"/>
        </w:rPr>
        <w:t>5</w:t>
      </w:r>
      <w:r>
        <w:rPr>
          <w:rFonts w:ascii="微软雅黑" w:hAnsi="微软雅黑" w:cs="微软雅黑" w:eastAsia="微软雅黑" w:hint="default"/>
        </w:rPr>
        <w:t>、现金流</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866"/>
        <w:gridCol w:w="2330"/>
        <w:gridCol w:w="2330"/>
        <w:gridCol w:w="2330"/>
      </w:tblGrid>
      <w:tr>
        <w:trPr>
          <w:trHeight w:val="356"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32"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3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1,228,124,909.66</w:t>
            </w:r>
          </w:p>
        </w:tc>
        <w:tc>
          <w:tcPr>
            <w:tcW w:w="233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865,953,783.81</w:t>
            </w:r>
          </w:p>
        </w:tc>
        <w:tc>
          <w:tcPr>
            <w:tcW w:w="233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41.82%</w:t>
            </w:r>
          </w:p>
        </w:tc>
      </w:tr>
      <w:tr>
        <w:trPr>
          <w:trHeight w:val="407"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1,046,762,136.46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791,990,861.62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32.17%</w:t>
            </w:r>
          </w:p>
        </w:tc>
      </w:tr>
      <w:tr>
        <w:trPr>
          <w:trHeight w:val="407"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181,362,773.20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73,962,922.19</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145.21%</w:t>
            </w:r>
          </w:p>
        </w:tc>
      </w:tr>
      <w:tr>
        <w:trPr>
          <w:trHeight w:val="408"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27,992,434.91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280,485,597.54</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-90.02%</w:t>
            </w:r>
          </w:p>
        </w:tc>
      </w:tr>
      <w:tr>
        <w:trPr>
          <w:trHeight w:val="407"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442,158,581.21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411,893,839.17</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7.35%</w:t>
            </w:r>
          </w:p>
        </w:tc>
      </w:tr>
      <w:tr>
        <w:trPr>
          <w:trHeight w:val="407"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-414,166,146.30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-131,408,241.63</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-215.18%</w:t>
            </w:r>
            <w:r>
              <w:rPr>
                <w:rFonts w:ascii="Times New Roman"/>
                <w:sz w:val="18"/>
              </w:rPr>
            </w:r>
          </w:p>
        </w:tc>
      </w:tr>
      <w:tr>
        <w:trPr>
          <w:trHeight w:val="407"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761,919,150.00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626,285,830.46</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21.66%</w:t>
            </w:r>
          </w:p>
        </w:tc>
      </w:tr>
      <w:tr>
        <w:trPr>
          <w:trHeight w:val="407"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768,567,183.35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177,717,433.91</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332.47%</w:t>
            </w:r>
          </w:p>
        </w:tc>
      </w:tr>
      <w:tr>
        <w:trPr>
          <w:trHeight w:val="407"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-6,648,033.35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448,568,396.55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-101.48%</w:t>
            </w:r>
            <w:r>
              <w:rPr>
                <w:rFonts w:ascii="Times New Roman"/>
                <w:sz w:val="18"/>
              </w:rPr>
            </w:r>
          </w:p>
        </w:tc>
      </w:tr>
      <w:tr>
        <w:trPr>
          <w:trHeight w:val="408"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-247,220,914.60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394,984,186.82</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-162.59%</w:t>
            </w:r>
            <w:r>
              <w:rPr>
                <w:rFonts w:ascii="Times New Roman"/>
                <w:sz w:val="18"/>
              </w:rPr>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相关数据同比发生重大变动的主要影响因素说明</w:t>
      </w:r>
    </w:p>
    <w:p>
      <w:pPr>
        <w:spacing w:line="240" w:lineRule="auto" w:before="9"/>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1</w:t>
      </w:r>
      <w:r>
        <w:rPr/>
        <w:t>）报告期经营活动产生的现金流量净额较上年同期增长</w:t>
      </w:r>
      <w:r>
        <w:rPr>
          <w:spacing w:val="-56"/>
        </w:rPr>
        <w:t> </w:t>
      </w:r>
      <w:r>
        <w:rPr>
          <w:rFonts w:ascii="Times New Roman" w:hAnsi="Times New Roman" w:cs="Times New Roman" w:eastAsia="Times New Roman" w:hint="default"/>
        </w:rPr>
        <w:t>145.21%</w:t>
      </w:r>
      <w:r>
        <w:rPr/>
        <w:t>，主要原因系公司业务规模增长、</w:t>
      </w:r>
    </w:p>
    <w:p>
      <w:pPr>
        <w:spacing w:after="0" w:line="240" w:lineRule="auto"/>
        <w:jc w:val="left"/>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40" w:lineRule="auto" w:before="35"/>
        <w:ind w:left="1133" w:right="0"/>
        <w:jc w:val="left"/>
      </w:pPr>
      <w:r>
        <w:rPr/>
        <w:t>经营活动现金流入增长大于流出所致。</w:t>
      </w:r>
    </w:p>
    <w:p>
      <w:pPr>
        <w:spacing w:line="240" w:lineRule="auto" w:before="8"/>
        <w:rPr>
          <w:rFonts w:ascii="宋体" w:hAnsi="宋体" w:cs="宋体" w:eastAsia="宋体" w:hint="default"/>
          <w:sz w:val="21"/>
          <w:szCs w:val="21"/>
        </w:rPr>
      </w:pPr>
    </w:p>
    <w:p>
      <w:pPr>
        <w:pStyle w:val="BodyText"/>
        <w:spacing w:line="280" w:lineRule="auto"/>
        <w:ind w:left="1134" w:right="1116" w:firstLine="420"/>
        <w:jc w:val="left"/>
      </w:pPr>
      <w:r>
        <w:rPr/>
        <w:t>（</w:t>
      </w:r>
      <w:r>
        <w:rPr>
          <w:rFonts w:ascii="Times New Roman" w:hAnsi="Times New Roman" w:cs="Times New Roman" w:eastAsia="Times New Roman" w:hint="default"/>
        </w:rPr>
        <w:t>2</w:t>
      </w:r>
      <w:r>
        <w:rPr/>
        <w:t>）报告期投资活动现金流入小计较上年同期减少</w:t>
      </w:r>
      <w:r>
        <w:rPr>
          <w:spacing w:val="-42"/>
        </w:rPr>
        <w:t> </w:t>
      </w:r>
      <w:r>
        <w:rPr>
          <w:rFonts w:ascii="Times New Roman" w:hAnsi="Times New Roman" w:cs="Times New Roman" w:eastAsia="Times New Roman" w:hint="default"/>
        </w:rPr>
        <w:t>90.02%</w:t>
      </w:r>
      <w:r>
        <w:rPr/>
        <w:t>，主要原因系上年同期公司有理财产品到 期收回所致。</w:t>
      </w:r>
    </w:p>
    <w:p>
      <w:pPr>
        <w:spacing w:line="240" w:lineRule="auto" w:before="12"/>
        <w:rPr>
          <w:rFonts w:ascii="宋体" w:hAnsi="宋体" w:cs="宋体" w:eastAsia="宋体" w:hint="default"/>
          <w:sz w:val="18"/>
          <w:szCs w:val="18"/>
        </w:rPr>
      </w:pPr>
    </w:p>
    <w:p>
      <w:pPr>
        <w:pStyle w:val="BodyText"/>
        <w:spacing w:line="280" w:lineRule="auto"/>
        <w:ind w:left="1134" w:right="1116" w:firstLine="420"/>
        <w:jc w:val="left"/>
      </w:pPr>
      <w:r>
        <w:rPr>
          <w:spacing w:val="11"/>
        </w:rPr>
        <w:t>（</w:t>
      </w:r>
      <w:r>
        <w:rPr>
          <w:rFonts w:ascii="Times New Roman" w:hAnsi="Times New Roman" w:cs="Times New Roman" w:eastAsia="Times New Roman" w:hint="default"/>
          <w:spacing w:val="11"/>
        </w:rPr>
        <w:t>3</w:t>
      </w:r>
      <w:r>
        <w:rPr>
          <w:spacing w:val="11"/>
        </w:rPr>
        <w:t>）报告期投资活动产生的现金流量净额较上年同期减少</w:t>
      </w:r>
      <w:r>
        <w:rPr>
          <w:spacing w:val="44"/>
        </w:rPr>
        <w:t> </w:t>
      </w:r>
      <w:r>
        <w:rPr>
          <w:rFonts w:ascii="Times New Roman" w:hAnsi="Times New Roman" w:cs="Times New Roman" w:eastAsia="Times New Roman" w:hint="default"/>
          <w:spacing w:val="7"/>
        </w:rPr>
        <w:t>215.18%</w:t>
      </w:r>
      <w:r>
        <w:rPr>
          <w:spacing w:val="7"/>
        </w:rPr>
        <w:t>，主要原因系报告期内并购</w:t>
      </w:r>
      <w:r>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
        </w:rPr>
        <w:t> </w:t>
      </w:r>
      <w:r>
        <w:rPr/>
        <w:t>和增加投资所致。</w:t>
      </w:r>
    </w:p>
    <w:p>
      <w:pPr>
        <w:spacing w:line="240" w:lineRule="auto" w:before="5"/>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4</w:t>
      </w:r>
      <w:r>
        <w:rPr/>
        <w:t>）报告期筹资活动现金流出较上年同期增长</w:t>
      </w:r>
      <w:r>
        <w:rPr>
          <w:spacing w:val="-57"/>
        </w:rPr>
        <w:t> </w:t>
      </w:r>
      <w:r>
        <w:rPr>
          <w:rFonts w:ascii="Times New Roman" w:hAnsi="Times New Roman" w:cs="Times New Roman" w:eastAsia="Times New Roman" w:hint="default"/>
        </w:rPr>
        <w:t>332.47%</w:t>
      </w:r>
      <w:r>
        <w:rPr/>
        <w:t>，主要原因系偿还银行贷款增加所致。</w:t>
      </w:r>
    </w:p>
    <w:p>
      <w:pPr>
        <w:spacing w:line="240" w:lineRule="auto" w:before="7"/>
        <w:rPr>
          <w:rFonts w:ascii="宋体" w:hAnsi="宋体" w:cs="宋体" w:eastAsia="宋体" w:hint="default"/>
          <w:sz w:val="20"/>
          <w:szCs w:val="20"/>
        </w:rPr>
      </w:pPr>
    </w:p>
    <w:p>
      <w:pPr>
        <w:pStyle w:val="BodyText"/>
        <w:spacing w:line="280" w:lineRule="auto"/>
        <w:ind w:left="1134" w:right="1113" w:firstLine="420"/>
        <w:jc w:val="left"/>
      </w:pPr>
      <w:r>
        <w:rPr/>
        <w:t>（</w:t>
      </w:r>
      <w:r>
        <w:rPr>
          <w:rFonts w:ascii="Times New Roman" w:hAnsi="Times New Roman" w:cs="Times New Roman" w:eastAsia="Times New Roman" w:hint="default"/>
        </w:rPr>
        <w:t>5</w:t>
      </w:r>
      <w:r>
        <w:rPr/>
        <w:t>）报告期筹资活动产生的现金流量净额较上年同期减少</w:t>
      </w:r>
      <w:r>
        <w:rPr>
          <w:spacing w:val="-78"/>
        </w:rPr>
        <w:t> </w:t>
      </w:r>
      <w:r>
        <w:rPr>
          <w:rFonts w:ascii="Times New Roman" w:hAnsi="Times New Roman" w:cs="Times New Roman" w:eastAsia="Times New Roman" w:hint="default"/>
          <w:spacing w:val="-3"/>
        </w:rPr>
        <w:t>101.48%</w:t>
      </w:r>
      <w:r>
        <w:rPr>
          <w:spacing w:val="-3"/>
        </w:rPr>
        <w:t>，主要原因系报告期内为扩大经营</w:t>
      </w:r>
      <w:r>
        <w:rPr/>
        <w:t> 而增加银行借款所致。</w:t>
      </w:r>
    </w:p>
    <w:p>
      <w:pPr>
        <w:spacing w:line="240" w:lineRule="auto" w:before="12"/>
        <w:rPr>
          <w:rFonts w:ascii="宋体" w:hAnsi="宋体" w:cs="宋体" w:eastAsia="宋体" w:hint="default"/>
          <w:sz w:val="18"/>
          <w:szCs w:val="18"/>
        </w:rPr>
      </w:pPr>
    </w:p>
    <w:p>
      <w:pPr>
        <w:pStyle w:val="BodyText"/>
        <w:spacing w:line="240" w:lineRule="auto"/>
        <w:ind w:right="0"/>
        <w:jc w:val="left"/>
      </w:pPr>
      <w:r>
        <w:rPr/>
        <w:t>报告期内公司经营活动产生的现金净流量与本年度净利润存在重大差异的原因说明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3"/>
        <w:rPr>
          <w:rFonts w:ascii="宋体" w:hAnsi="宋体" w:cs="宋体" w:eastAsia="宋体" w:hint="default"/>
          <w:sz w:val="25"/>
          <w:szCs w:val="25"/>
        </w:rPr>
      </w:pPr>
    </w:p>
    <w:p>
      <w:pPr>
        <w:pStyle w:val="Heading2"/>
        <w:spacing w:line="240" w:lineRule="auto"/>
        <w:ind w:left="2" w:right="7120"/>
        <w:jc w:val="center"/>
      </w:pPr>
      <w:bookmarkStart w:name="三、非主营业务情况" w:id="39"/>
      <w:bookmarkEnd w:id="39"/>
      <w:r>
        <w:rPr/>
      </w:r>
      <w:r>
        <w:rPr/>
        <w:t>三、非主营业务情况</w:t>
      </w:r>
    </w:p>
    <w:p>
      <w:pPr>
        <w:spacing w:line="240" w:lineRule="auto" w:before="11"/>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1"/>
        <w:rPr>
          <w:rFonts w:ascii="宋体" w:hAnsi="宋体" w:cs="宋体" w:eastAsia="宋体"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569"/>
        <w:gridCol w:w="1973"/>
        <w:gridCol w:w="1672"/>
        <w:gridCol w:w="2637"/>
        <w:gridCol w:w="2005"/>
      </w:tblGrid>
      <w:tr>
        <w:trPr>
          <w:trHeight w:val="358"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7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859"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7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7,954,916.74</w:t>
            </w:r>
          </w:p>
        </w:tc>
        <w:tc>
          <w:tcPr>
            <w:tcW w:w="16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10.04%</w:t>
            </w:r>
          </w:p>
        </w:tc>
        <w:tc>
          <w:tcPr>
            <w:tcW w:w="2637" w:type="dxa"/>
            <w:tcBorders>
              <w:top w:val="single" w:sz="12" w:space="0" w:color="D2D2D2"/>
              <w:left w:val="single" w:sz="4" w:space="0" w:color="000000"/>
              <w:bottom w:val="single" w:sz="4" w:space="0" w:color="000000"/>
              <w:right w:val="single" w:sz="4" w:space="0" w:color="000000"/>
            </w:tcBorders>
          </w:tcPr>
          <w:p>
            <w:pPr>
              <w:pStyle w:val="TableParagraph"/>
              <w:spacing w:line="234" w:lineRule="exact" w:before="47"/>
              <w:ind w:left="103" w:right="0"/>
              <w:jc w:val="left"/>
              <w:rPr>
                <w:rFonts w:ascii="宋体" w:hAnsi="宋体" w:cs="宋体" w:eastAsia="宋体" w:hint="default"/>
                <w:sz w:val="18"/>
                <w:szCs w:val="18"/>
              </w:rPr>
            </w:pPr>
            <w:r>
              <w:rPr>
                <w:rFonts w:ascii="宋体" w:hAnsi="宋体" w:cs="宋体" w:eastAsia="宋体" w:hint="default"/>
                <w:sz w:val="18"/>
                <w:szCs w:val="18"/>
              </w:rPr>
              <w:t>其中联营合营企业投资收益</w:t>
            </w:r>
          </w:p>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7,839,750.46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元，拆借款项利息</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115,166.28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200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32" w:lineRule="exact"/>
              <w:ind w:left="103" w:right="270"/>
              <w:jc w:val="left"/>
              <w:rPr>
                <w:rFonts w:ascii="宋体" w:hAnsi="宋体" w:cs="宋体" w:eastAsia="宋体" w:hint="default"/>
                <w:sz w:val="18"/>
                <w:szCs w:val="18"/>
              </w:rPr>
            </w:pPr>
            <w:r>
              <w:rPr>
                <w:rFonts w:ascii="宋体" w:hAnsi="宋体" w:cs="宋体" w:eastAsia="宋体" w:hint="default"/>
                <w:sz w:val="18"/>
                <w:szCs w:val="18"/>
              </w:rPr>
              <w:t>联营合营企业投资收 益具有持续性</w:t>
            </w:r>
          </w:p>
        </w:tc>
      </w:tr>
      <w:tr>
        <w:trPr>
          <w:trHeight w:val="1301"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103" w:right="195"/>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4,787,716.05</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6.04%</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0"/>
              <w:jc w:val="both"/>
              <w:rPr>
                <w:rFonts w:ascii="宋体" w:hAnsi="宋体" w:cs="宋体" w:eastAsia="宋体" w:hint="default"/>
                <w:sz w:val="18"/>
                <w:szCs w:val="18"/>
              </w:rPr>
            </w:pPr>
            <w:r>
              <w:rPr>
                <w:rFonts w:ascii="宋体" w:hAnsi="宋体" w:cs="宋体" w:eastAsia="宋体" w:hint="default"/>
                <w:sz w:val="18"/>
                <w:szCs w:val="18"/>
              </w:rPr>
              <w:t>其中远期外汇合约损失</w:t>
            </w:r>
          </w:p>
          <w:p>
            <w:pPr>
              <w:pStyle w:val="TableParagraph"/>
              <w:spacing w:line="240"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-13,928,616.26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元，并购形成或</w:t>
            </w:r>
          </w:p>
          <w:p>
            <w:pPr>
              <w:pStyle w:val="TableParagraph"/>
              <w:spacing w:line="230" w:lineRule="auto" w:before="1"/>
              <w:ind w:left="103" w:right="183"/>
              <w:jc w:val="both"/>
              <w:rPr>
                <w:rFonts w:ascii="宋体" w:hAnsi="宋体" w:cs="宋体" w:eastAsia="宋体" w:hint="default"/>
                <w:sz w:val="18"/>
                <w:szCs w:val="18"/>
              </w:rPr>
            </w:pPr>
            <w:r>
              <w:rPr>
                <w:rFonts w:ascii="宋体" w:hAnsi="宋体" w:cs="宋体" w:eastAsia="宋体" w:hint="default"/>
                <w:sz w:val="18"/>
                <w:szCs w:val="18"/>
              </w:rPr>
              <w:t>有对价评估收益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17,918,900.00 </w:t>
            </w:r>
            <w:r>
              <w:rPr>
                <w:rFonts w:ascii="宋体" w:hAnsi="宋体" w:cs="宋体" w:eastAsia="宋体" w:hint="default"/>
                <w:sz w:val="18"/>
                <w:szCs w:val="18"/>
              </w:rPr>
              <w:t>元，股票增值权公允价值形成 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797,432.31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r>
        <w:trPr>
          <w:trHeight w:val="835"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21,022,341.99</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26.52%</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83"/>
              <w:jc w:val="left"/>
              <w:rPr>
                <w:rFonts w:ascii="宋体" w:hAnsi="宋体" w:cs="宋体" w:eastAsia="宋体" w:hint="default"/>
                <w:sz w:val="18"/>
                <w:szCs w:val="18"/>
              </w:rPr>
            </w:pPr>
            <w:r>
              <w:rPr>
                <w:rFonts w:ascii="宋体" w:hAnsi="宋体" w:cs="宋体" w:eastAsia="宋体" w:hint="default"/>
                <w:sz w:val="18"/>
                <w:szCs w:val="18"/>
              </w:rPr>
              <w:t>其中坏账损失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10,305,940.40 </w:t>
            </w:r>
            <w:r>
              <w:rPr>
                <w:rFonts w:ascii="宋体" w:hAnsi="宋体" w:cs="宋体" w:eastAsia="宋体" w:hint="default"/>
                <w:sz w:val="18"/>
                <w:szCs w:val="18"/>
              </w:rPr>
              <w:t>元，可供出售金融资产减值损 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9,044,944.72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四、资产及负债状况" w:id="40"/>
      <w:bookmarkEnd w:id="40"/>
      <w:r>
        <w:rPr/>
      </w:r>
      <w:r>
        <w:rPr/>
        <w:t>四、资产及负债状况</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资产构成重大变动情况" w:id="41"/>
      <w:bookmarkEnd w:id="41"/>
      <w:r>
        <w:rPr/>
      </w:r>
      <w:r>
        <w:rPr>
          <w:rFonts w:ascii="Times New Roman" w:hAnsi="Times New Roman" w:cs="Times New Roman" w:eastAsia="Times New Roman" w:hint="default"/>
        </w:rPr>
        <w:t>1</w:t>
      </w:r>
      <w:r>
        <w:rPr>
          <w:rFonts w:ascii="微软雅黑" w:hAnsi="微软雅黑" w:cs="微软雅黑" w:eastAsia="微软雅黑" w:hint="default"/>
        </w:rPr>
        <w:t>、资产构成重大变动情况</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275"/>
        <w:gridCol w:w="1477"/>
        <w:gridCol w:w="965"/>
        <w:gridCol w:w="1476"/>
        <w:gridCol w:w="965"/>
        <w:gridCol w:w="824"/>
        <w:gridCol w:w="2873"/>
      </w:tblGrid>
      <w:tr>
        <w:trPr>
          <w:trHeight w:val="38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24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316" w:right="13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8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11"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96" w:right="11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97" w:right="11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24" w:type="dxa"/>
            <w:vMerge/>
            <w:tcBorders>
              <w:left w:val="single" w:sz="4" w:space="0" w:color="000000"/>
              <w:bottom w:val="single" w:sz="4" w:space="0" w:color="000000"/>
              <w:right w:val="single" w:sz="4" w:space="0" w:color="000000"/>
            </w:tcBorders>
            <w:shd w:val="clear" w:color="auto" w:fill="D2D2D2"/>
          </w:tcPr>
          <w:p>
            <w:pPr/>
          </w:p>
        </w:tc>
        <w:tc>
          <w:tcPr>
            <w:tcW w:w="2873" w:type="dxa"/>
            <w:vMerge/>
            <w:tcBorders>
              <w:left w:val="single" w:sz="4" w:space="0" w:color="000000"/>
              <w:bottom w:val="single" w:sz="4" w:space="0" w:color="000000"/>
              <w:right w:val="single" w:sz="4" w:space="0" w:color="000000"/>
            </w:tcBorders>
            <w:shd w:val="clear" w:color="auto" w:fill="D2D2D2"/>
          </w:tcPr>
          <w:p>
            <w:pPr/>
          </w:p>
        </w:tc>
      </w:tr>
      <w:tr>
        <w:trPr>
          <w:trHeight w:val="539"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Times New Roman" w:hAnsi="Times New Roman" w:cs="Times New Roman" w:eastAsia="Times New Roman" w:hint="default"/>
                <w:sz w:val="18"/>
                <w:szCs w:val="18"/>
              </w:rPr>
            </w:pPr>
            <w:r>
              <w:rPr>
                <w:rFonts w:ascii="Times New Roman"/>
                <w:sz w:val="18"/>
              </w:rPr>
              <w:t>1,274,602,996.80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96" w:right="0"/>
              <w:jc w:val="left"/>
              <w:rPr>
                <w:rFonts w:ascii="Times New Roman" w:hAnsi="Times New Roman" w:cs="Times New Roman" w:eastAsia="Times New Roman" w:hint="default"/>
                <w:sz w:val="18"/>
                <w:szCs w:val="18"/>
              </w:rPr>
            </w:pPr>
            <w:r>
              <w:rPr>
                <w:rFonts w:ascii="Times New Roman"/>
                <w:sz w:val="18"/>
              </w:rPr>
              <w:t>47.96%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center"/>
              <w:rPr>
                <w:rFonts w:ascii="Times New Roman" w:hAnsi="Times New Roman" w:cs="Times New Roman" w:eastAsia="Times New Roman" w:hint="default"/>
                <w:sz w:val="18"/>
                <w:szCs w:val="18"/>
              </w:rPr>
            </w:pPr>
            <w:r>
              <w:rPr>
                <w:rFonts w:ascii="Times New Roman"/>
                <w:sz w:val="18"/>
              </w:rPr>
              <w:t>1,126,710,415.50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97" w:right="0"/>
              <w:jc w:val="left"/>
              <w:rPr>
                <w:rFonts w:ascii="Times New Roman" w:hAnsi="Times New Roman" w:cs="Times New Roman" w:eastAsia="Times New Roman" w:hint="default"/>
                <w:sz w:val="18"/>
                <w:szCs w:val="18"/>
              </w:rPr>
            </w:pPr>
            <w:r>
              <w:rPr>
                <w:rFonts w:ascii="Times New Roman"/>
                <w:sz w:val="18"/>
              </w:rPr>
              <w:t>59.10%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-11.14%</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02"/>
              <w:jc w:val="left"/>
              <w:rPr>
                <w:rFonts w:ascii="宋体" w:hAnsi="宋体" w:cs="宋体" w:eastAsia="宋体" w:hint="default"/>
                <w:sz w:val="18"/>
                <w:szCs w:val="18"/>
              </w:rPr>
            </w:pPr>
            <w:r>
              <w:rPr>
                <w:rFonts w:ascii="宋体" w:hAnsi="宋体" w:cs="宋体" w:eastAsia="宋体" w:hint="default"/>
                <w:spacing w:val="-3"/>
                <w:sz w:val="18"/>
                <w:szCs w:val="18"/>
              </w:rPr>
              <w:t>主要系报告期银行贷款增加、以及</w:t>
            </w:r>
            <w:r>
              <w:rPr>
                <w:rFonts w:ascii="宋体" w:hAnsi="宋体" w:cs="宋体" w:eastAsia="宋体" w:hint="default"/>
                <w:sz w:val="18"/>
                <w:szCs w:val="18"/>
              </w:rPr>
              <w:t> 经营活动净利润转化为现金流入</w:t>
            </w:r>
          </w:p>
        </w:tc>
      </w:tr>
    </w:tbl>
    <w:p>
      <w:pPr>
        <w:spacing w:after="0" w:line="232" w:lineRule="exact"/>
        <w:jc w:val="left"/>
        <w:rPr>
          <w:rFonts w:ascii="宋体" w:hAnsi="宋体" w:cs="宋体" w:eastAsia="宋体" w:hint="default"/>
          <w:sz w:val="18"/>
          <w:szCs w:val="18"/>
        </w:rPr>
        <w:sectPr>
          <w:pgSz w:w="11910" w:h="16840"/>
          <w:pgMar w:header="877" w:footer="979" w:top="1060" w:bottom="1160" w:left="0" w:right="0"/>
        </w:sectPr>
      </w:pPr>
    </w:p>
    <w:p>
      <w:pPr>
        <w:spacing w:line="240" w:lineRule="auto" w:before="4"/>
        <w:rPr>
          <w:rFonts w:ascii="宋体" w:hAnsi="宋体" w:cs="宋体" w:eastAsia="宋体" w:hint="default"/>
          <w:sz w:val="29"/>
          <w:szCs w:val="29"/>
        </w:rPr>
      </w:pPr>
    </w:p>
    <w:tbl>
      <w:tblPr>
        <w:tblW w:w="0" w:type="auto"/>
        <w:jc w:val="left"/>
        <w:tblInd w:w="1021" w:type="dxa"/>
        <w:tblLayout w:type="fixed"/>
        <w:tblCellMar>
          <w:top w:w="0" w:type="dxa"/>
          <w:left w:w="0" w:type="dxa"/>
          <w:bottom w:w="0" w:type="dxa"/>
          <w:right w:w="0" w:type="dxa"/>
        </w:tblCellMar>
        <w:tblLook w:val="01E0"/>
      </w:tblPr>
      <w:tblGrid>
        <w:gridCol w:w="1276"/>
        <w:gridCol w:w="1476"/>
        <w:gridCol w:w="965"/>
        <w:gridCol w:w="1476"/>
        <w:gridCol w:w="965"/>
        <w:gridCol w:w="824"/>
        <w:gridCol w:w="2873"/>
      </w:tblGrid>
      <w:tr>
        <w:trPr>
          <w:trHeight w:val="388"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24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32" w:lineRule="exact"/>
              <w:ind w:left="316" w:right="13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8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9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610"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96" w:right="116"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97" w:right="115"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24" w:type="dxa"/>
            <w:vMerge/>
            <w:tcBorders>
              <w:left w:val="single" w:sz="4" w:space="0" w:color="000000"/>
              <w:bottom w:val="single" w:sz="4" w:space="0" w:color="000000"/>
              <w:right w:val="single" w:sz="4" w:space="0" w:color="000000"/>
            </w:tcBorders>
            <w:shd w:val="clear" w:color="auto" w:fill="D2D2D2"/>
          </w:tcPr>
          <w:p>
            <w:pPr/>
          </w:p>
        </w:tc>
        <w:tc>
          <w:tcPr>
            <w:tcW w:w="2873" w:type="dxa"/>
            <w:vMerge/>
            <w:tcBorders>
              <w:left w:val="single" w:sz="4" w:space="0" w:color="000000"/>
              <w:bottom w:val="single" w:sz="4" w:space="0" w:color="000000"/>
              <w:right w:val="single" w:sz="4" w:space="0" w:color="000000"/>
            </w:tcBorders>
            <w:shd w:val="clear" w:color="auto" w:fill="D2D2D2"/>
          </w:tcPr>
          <w:p>
            <w:pPr/>
          </w:p>
        </w:tc>
      </w:tr>
      <w:tr>
        <w:trPr>
          <w:trHeight w:val="539"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导致总资产规模增加，货币资金金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额略有增加，但占比下降</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405,667,009.02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335,226,251.87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-2.32%</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59"/>
              <w:jc w:val="left"/>
              <w:rPr>
                <w:rFonts w:ascii="宋体" w:hAnsi="宋体" w:cs="宋体" w:eastAsia="宋体" w:hint="default"/>
                <w:sz w:val="18"/>
                <w:szCs w:val="18"/>
              </w:rPr>
            </w:pPr>
            <w:r>
              <w:rPr>
                <w:rFonts w:ascii="宋体" w:hAnsi="宋体" w:cs="宋体" w:eastAsia="宋体" w:hint="default"/>
                <w:sz w:val="18"/>
                <w:szCs w:val="18"/>
              </w:rPr>
              <w:t>主要系公司报告期收入增长所致， 金额略有增加，但占比略下降</w:t>
            </w:r>
          </w:p>
        </w:tc>
      </w:tr>
      <w:tr>
        <w:trPr>
          <w:trHeight w:val="60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8,463,149.40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16,708,781.83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-0.56%</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39"/>
              <w:jc w:val="left"/>
              <w:rPr>
                <w:rFonts w:ascii="宋体" w:hAnsi="宋体" w:cs="宋体" w:eastAsia="宋体" w:hint="default"/>
                <w:sz w:val="18"/>
                <w:szCs w:val="18"/>
              </w:rPr>
            </w:pPr>
            <w:r>
              <w:rPr>
                <w:rFonts w:ascii="宋体" w:hAnsi="宋体" w:cs="宋体" w:eastAsia="宋体" w:hint="default"/>
                <w:sz w:val="18"/>
                <w:szCs w:val="18"/>
              </w:rPr>
              <w:t>主要系公司报告期加快存货周转 速度，提高资金利用率所致</w:t>
            </w:r>
          </w:p>
        </w:tc>
      </w:tr>
      <w:tr>
        <w:trPr>
          <w:trHeight w:val="835"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3" w:right="261"/>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47,975,653.30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104,624,388.86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-3.68%</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38"/>
              <w:jc w:val="left"/>
              <w:rPr>
                <w:rFonts w:ascii="宋体" w:hAnsi="宋体" w:cs="宋体" w:eastAsia="宋体" w:hint="default"/>
                <w:sz w:val="18"/>
                <w:szCs w:val="18"/>
              </w:rPr>
            </w:pPr>
            <w:r>
              <w:rPr>
                <w:rFonts w:ascii="宋体" w:hAnsi="宋体" w:cs="宋体" w:eastAsia="宋体" w:hint="default"/>
                <w:sz w:val="18"/>
                <w:szCs w:val="18"/>
              </w:rPr>
              <w:t>主要系公司报告期内已签订不可 撤销的，出售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Point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z w:val="18"/>
                <w:szCs w:val="18"/>
              </w:rPr>
              <w:t> </w:t>
            </w:r>
            <w:r>
              <w:rPr>
                <w:rFonts w:ascii="宋体" w:hAnsi="宋体" w:cs="宋体" w:eastAsia="宋体" w:hint="default"/>
                <w:sz w:val="18"/>
                <w:szCs w:val="18"/>
              </w:rPr>
              <w:t>公司股权的协议所致</w:t>
            </w:r>
          </w:p>
        </w:tc>
      </w:tr>
      <w:tr>
        <w:trPr>
          <w:trHeight w:val="60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75,179,755.20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73,364,749.74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39"/>
              <w:jc w:val="left"/>
              <w:rPr>
                <w:rFonts w:ascii="宋体" w:hAnsi="宋体" w:cs="宋体" w:eastAsia="宋体" w:hint="default"/>
                <w:sz w:val="18"/>
                <w:szCs w:val="18"/>
              </w:rPr>
            </w:pPr>
            <w:r>
              <w:rPr>
                <w:rFonts w:ascii="宋体" w:hAnsi="宋体" w:cs="宋体" w:eastAsia="宋体" w:hint="default"/>
                <w:sz w:val="18"/>
                <w:szCs w:val="18"/>
              </w:rPr>
              <w:t>主要系公司报告期固定资产增金 额略有增加，但占比略下降</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666,543,140.00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25.08%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349,045,488.00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18.31%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6.77%</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39"/>
              <w:jc w:val="left"/>
              <w:rPr>
                <w:rFonts w:ascii="宋体" w:hAnsi="宋体" w:cs="宋体" w:eastAsia="宋体" w:hint="default"/>
                <w:sz w:val="18"/>
                <w:szCs w:val="18"/>
              </w:rPr>
            </w:pPr>
            <w:r>
              <w:rPr>
                <w:rFonts w:ascii="宋体" w:hAnsi="宋体" w:cs="宋体" w:eastAsia="宋体" w:hint="default"/>
                <w:sz w:val="18"/>
                <w:szCs w:val="18"/>
              </w:rPr>
              <w:t>主要系公司报告期加大财务杠杆 力度，银行贷款增加所致</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166,006,416.18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6.25%</w:t>
            </w:r>
          </w:p>
        </w:tc>
        <w:tc>
          <w:tcPr>
            <w:tcW w:w="1476"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6.25%</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173"/>
              <w:jc w:val="left"/>
              <w:rPr>
                <w:rFonts w:ascii="宋体" w:hAnsi="宋体" w:cs="宋体" w:eastAsia="宋体" w:hint="default"/>
                <w:sz w:val="18"/>
                <w:szCs w:val="18"/>
              </w:rPr>
            </w:pPr>
            <w:r>
              <w:rPr>
                <w:rFonts w:ascii="宋体" w:hAnsi="宋体" w:cs="宋体" w:eastAsia="宋体" w:hint="default"/>
                <w:sz w:val="18"/>
                <w:szCs w:val="18"/>
              </w:rPr>
              <w:t>系为收购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Rightware OY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新增的贷 款所致</w:t>
            </w:r>
          </w:p>
        </w:tc>
      </w:tr>
      <w:tr>
        <w:trPr>
          <w:trHeight w:val="834"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103" w:right="261"/>
              <w:jc w:val="left"/>
              <w:rPr>
                <w:rFonts w:ascii="宋体" w:hAnsi="宋体" w:cs="宋体" w:eastAsia="宋体" w:hint="default"/>
                <w:sz w:val="18"/>
                <w:szCs w:val="18"/>
              </w:rPr>
            </w:pPr>
            <w:r>
              <w:rPr>
                <w:rFonts w:ascii="宋体" w:hAnsi="宋体" w:cs="宋体" w:eastAsia="宋体" w:hint="default"/>
                <w:sz w:val="18"/>
                <w:szCs w:val="18"/>
              </w:rPr>
              <w:t>划分为持有 待售的资产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52,452,923.93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1.97%</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40"/>
              <w:ind w:left="103" w:right="138"/>
              <w:jc w:val="left"/>
              <w:rPr>
                <w:rFonts w:ascii="宋体" w:hAnsi="宋体" w:cs="宋体" w:eastAsia="宋体" w:hint="default"/>
                <w:sz w:val="18"/>
                <w:szCs w:val="18"/>
              </w:rPr>
            </w:pPr>
            <w:r>
              <w:rPr>
                <w:rFonts w:ascii="宋体" w:hAnsi="宋体" w:cs="宋体" w:eastAsia="宋体" w:hint="default"/>
                <w:sz w:val="18"/>
                <w:szCs w:val="18"/>
              </w:rPr>
              <w:t>主要系公司报告期内已签订不可 撤销的，出售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Point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Co.Ltd</w:t>
            </w:r>
            <w:r>
              <w:rPr>
                <w:rFonts w:ascii="Times New Roman" w:hAnsi="Times New Roman" w:cs="Times New Roman" w:eastAsia="Times New Roman" w:hint="default"/>
                <w:sz w:val="18"/>
                <w:szCs w:val="18"/>
              </w:rPr>
              <w:t> </w:t>
            </w:r>
            <w:r>
              <w:rPr>
                <w:rFonts w:ascii="宋体" w:hAnsi="宋体" w:cs="宋体" w:eastAsia="宋体" w:hint="default"/>
                <w:sz w:val="18"/>
                <w:szCs w:val="18"/>
              </w:rPr>
              <w:t>公司股权的协议所致</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42,129,448.70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8,647,668.05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59"/>
              <w:jc w:val="left"/>
              <w:rPr>
                <w:rFonts w:ascii="宋体" w:hAnsi="宋体" w:cs="宋体" w:eastAsia="宋体" w:hint="default"/>
                <w:sz w:val="18"/>
                <w:szCs w:val="18"/>
              </w:rPr>
            </w:pPr>
            <w:r>
              <w:rPr>
                <w:rFonts w:ascii="宋体" w:hAnsi="宋体" w:cs="宋体" w:eastAsia="宋体" w:hint="default"/>
                <w:sz w:val="18"/>
                <w:szCs w:val="18"/>
              </w:rPr>
              <w:t>主要系公司报告期业务规模增长、 预付供应商货款增加所致</w:t>
            </w:r>
          </w:p>
        </w:tc>
      </w:tr>
      <w:tr>
        <w:trPr>
          <w:trHeight w:val="407"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11,275,330.75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0.42%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8,555,376.72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0.45%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-0.03%</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834"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34"/>
              <w:ind w:left="103" w:right="261"/>
              <w:jc w:val="both"/>
              <w:rPr>
                <w:rFonts w:ascii="宋体" w:hAnsi="宋体" w:cs="宋体" w:eastAsia="宋体" w:hint="default"/>
                <w:sz w:val="18"/>
                <w:szCs w:val="18"/>
              </w:rPr>
            </w:pPr>
            <w:r>
              <w:rPr>
                <w:rFonts w:ascii="宋体" w:hAnsi="宋体" w:cs="宋体" w:eastAsia="宋体" w:hint="default"/>
                <w:sz w:val="18"/>
                <w:szCs w:val="18"/>
              </w:rPr>
              <w:t>一年内到期 的非流动资 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6,634,979.76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5,446,979.60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-0.04%</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261"/>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7,311,856.47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5,090,335.69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103" w:right="261"/>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151,891,508.11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93,127,919.06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0.84%</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39"/>
              <w:jc w:val="left"/>
              <w:rPr>
                <w:rFonts w:ascii="宋体" w:hAnsi="宋体" w:cs="宋体" w:eastAsia="宋体" w:hint="default"/>
                <w:sz w:val="18"/>
                <w:szCs w:val="18"/>
              </w:rPr>
            </w:pPr>
            <w:r>
              <w:rPr>
                <w:rFonts w:ascii="宋体" w:hAnsi="宋体" w:cs="宋体" w:eastAsia="宋体" w:hint="default"/>
                <w:sz w:val="18"/>
                <w:szCs w:val="18"/>
              </w:rPr>
              <w:t>主要系公司报告期对外战略性投 资入股非上市公司金额增加所致</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50,814,287.58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19,124,332.31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0.91%</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39"/>
              <w:jc w:val="left"/>
              <w:rPr>
                <w:rFonts w:ascii="宋体" w:hAnsi="宋体" w:cs="宋体" w:eastAsia="宋体" w:hint="default"/>
                <w:sz w:val="18"/>
                <w:szCs w:val="18"/>
              </w:rPr>
            </w:pPr>
            <w:r>
              <w:rPr>
                <w:rFonts w:ascii="宋体" w:hAnsi="宋体" w:cs="宋体" w:eastAsia="宋体" w:hint="default"/>
                <w:sz w:val="18"/>
                <w:szCs w:val="18"/>
              </w:rPr>
              <w:t>系公司报告期增加应收股权转让 款所致。</w:t>
            </w:r>
          </w:p>
        </w:tc>
      </w:tr>
      <w:tr>
        <w:trPr>
          <w:trHeight w:val="834"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236,581,271.33</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8.90%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28,227,300.22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7.42%</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40"/>
              <w:ind w:left="103" w:right="218"/>
              <w:jc w:val="left"/>
              <w:rPr>
                <w:rFonts w:ascii="宋体" w:hAnsi="宋体" w:cs="宋体" w:eastAsia="宋体" w:hint="default"/>
                <w:sz w:val="18"/>
                <w:szCs w:val="18"/>
              </w:rPr>
            </w:pPr>
            <w:r>
              <w:rPr>
                <w:rFonts w:ascii="宋体" w:hAnsi="宋体" w:cs="宋体" w:eastAsia="宋体" w:hint="default"/>
                <w:sz w:val="18"/>
                <w:szCs w:val="18"/>
              </w:rPr>
              <w:t>系公司报告期新收购的公司 </w:t>
            </w:r>
            <w:r>
              <w:rPr>
                <w:rFonts w:ascii="Times New Roman" w:hAnsi="Times New Roman" w:cs="Times New Roman" w:eastAsia="Times New Roman" w:hint="default"/>
                <w:sz w:val="18"/>
                <w:szCs w:val="18"/>
              </w:rPr>
              <w:t>Rightware OY</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的无形资产评估增 值所致</w:t>
            </w:r>
          </w:p>
        </w:tc>
      </w:tr>
      <w:tr>
        <w:trPr>
          <w:trHeight w:val="6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239,422,345.36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29,784,127.69</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7.45%</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系公司报告期收购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Rightware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OY</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834"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92,929,165.27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16,342,492.26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0.86%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2.64%</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59"/>
              <w:jc w:val="left"/>
              <w:rPr>
                <w:rFonts w:ascii="宋体" w:hAnsi="宋体" w:cs="宋体" w:eastAsia="宋体" w:hint="default"/>
                <w:sz w:val="18"/>
                <w:szCs w:val="18"/>
              </w:rPr>
            </w:pPr>
            <w:r>
              <w:rPr>
                <w:rFonts w:ascii="宋体" w:hAnsi="宋体" w:cs="宋体" w:eastAsia="宋体" w:hint="default"/>
                <w:sz w:val="18"/>
                <w:szCs w:val="18"/>
              </w:rPr>
              <w:t>主要系公司报告期采购规模增加、 尚未结算的应付服务费及货款增 长所致</w:t>
            </w:r>
          </w:p>
        </w:tc>
      </w:tr>
      <w:tr>
        <w:trPr>
          <w:trHeight w:val="6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209,779,923.24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275,638,056.41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-6.57%</w:t>
            </w:r>
          </w:p>
        </w:tc>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239"/>
              <w:jc w:val="left"/>
              <w:rPr>
                <w:rFonts w:ascii="宋体" w:hAnsi="宋体" w:cs="宋体" w:eastAsia="宋体" w:hint="default"/>
                <w:sz w:val="18"/>
                <w:szCs w:val="18"/>
              </w:rPr>
            </w:pPr>
            <w:r>
              <w:rPr>
                <w:rFonts w:ascii="宋体" w:hAnsi="宋体" w:cs="宋体" w:eastAsia="宋体" w:hint="default"/>
                <w:sz w:val="18"/>
                <w:szCs w:val="18"/>
              </w:rPr>
              <w:t>主要系公司报告期解锁了限制性 股票使得回购义务减少所致</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2、以公允价值计量的资产和负债" w:id="42"/>
      <w:bookmarkEnd w:id="42"/>
      <w:r>
        <w:rPr/>
      </w:r>
      <w:r>
        <w:rPr>
          <w:rFonts w:ascii="Times New Roman" w:hAnsi="Times New Roman" w:cs="Times New Roman" w:eastAsia="Times New Roman" w:hint="default"/>
        </w:rPr>
        <w:t>2</w:t>
      </w:r>
      <w:r>
        <w:rPr>
          <w:rFonts w:ascii="微软雅黑" w:hAnsi="微软雅黑" w:cs="微软雅黑" w:eastAsia="微软雅黑" w:hint="default"/>
        </w:rPr>
        <w:t>、以公允价值计量的资产和负债</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877" w:footer="979" w:top="1060" w:bottom="1160" w:left="0" w:right="0"/>
        </w:sectPr>
      </w:pPr>
    </w:p>
    <w:p>
      <w:pPr>
        <w:spacing w:line="240" w:lineRule="auto" w:before="10"/>
        <w:rPr>
          <w:rFonts w:ascii="宋体" w:hAnsi="宋体" w:cs="宋体" w:eastAsia="宋体" w:hint="default"/>
          <w:sz w:val="22"/>
          <w:szCs w:val="22"/>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499"/>
        <w:gridCol w:w="1252"/>
        <w:gridCol w:w="1221"/>
        <w:gridCol w:w="1158"/>
        <w:gridCol w:w="1158"/>
        <w:gridCol w:w="1158"/>
        <w:gridCol w:w="1158"/>
        <w:gridCol w:w="1252"/>
      </w:tblGrid>
      <w:tr>
        <w:trPr>
          <w:trHeight w:val="844" w:hRule="exact"/>
        </w:trPr>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56" w:right="15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23" w:right="122"/>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93" w:right="122"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6"/>
              <w:ind w:left="393" w:right="213"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6"/>
              <w:ind w:left="393" w:right="212"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88" w:hRule="exact"/>
        </w:trPr>
        <w:tc>
          <w:tcPr>
            <w:tcW w:w="985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17" w:hRule="exact"/>
        </w:trPr>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5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0.00</w:t>
            </w:r>
          </w:p>
        </w:tc>
        <w:tc>
          <w:tcPr>
            <w:tcW w:w="1221" w:type="dxa"/>
            <w:tcBorders>
              <w:top w:val="single" w:sz="12" w:space="0" w:color="D2D2D2"/>
              <w:left w:val="single" w:sz="4" w:space="0" w:color="000000"/>
              <w:bottom w:val="single" w:sz="4" w:space="0" w:color="000000"/>
              <w:right w:val="single" w:sz="4" w:space="0" w:color="000000"/>
            </w:tcBorders>
          </w:tcPr>
          <w:p>
            <w:pPr/>
          </w:p>
        </w:tc>
        <w:tc>
          <w:tcPr>
            <w:tcW w:w="1158" w:type="dxa"/>
            <w:tcBorders>
              <w:top w:val="single" w:sz="12" w:space="0" w:color="D2D2D2"/>
              <w:left w:val="single" w:sz="4" w:space="0" w:color="000000"/>
              <w:bottom w:val="single" w:sz="4" w:space="0" w:color="000000"/>
              <w:right w:val="single" w:sz="4" w:space="0" w:color="000000"/>
            </w:tcBorders>
          </w:tcPr>
          <w:p>
            <w:pPr/>
          </w:p>
        </w:tc>
        <w:tc>
          <w:tcPr>
            <w:tcW w:w="1158" w:type="dxa"/>
            <w:tcBorders>
              <w:top w:val="single" w:sz="12" w:space="0" w:color="D2D2D2"/>
              <w:left w:val="single" w:sz="4" w:space="0" w:color="000000"/>
              <w:bottom w:val="single" w:sz="4" w:space="0" w:color="000000"/>
              <w:right w:val="single" w:sz="4" w:space="0" w:color="000000"/>
            </w:tcBorders>
          </w:tcPr>
          <w:p>
            <w:pPr/>
          </w:p>
        </w:tc>
        <w:tc>
          <w:tcPr>
            <w:tcW w:w="1158" w:type="dxa"/>
            <w:tcBorders>
              <w:top w:val="single" w:sz="12" w:space="0" w:color="D2D2D2"/>
              <w:left w:val="single" w:sz="4" w:space="0" w:color="000000"/>
              <w:bottom w:val="single" w:sz="4" w:space="0" w:color="000000"/>
              <w:right w:val="single" w:sz="4" w:space="0" w:color="000000"/>
            </w:tcBorders>
          </w:tcPr>
          <w:p>
            <w:pPr/>
          </w:p>
        </w:tc>
        <w:tc>
          <w:tcPr>
            <w:tcW w:w="1158" w:type="dxa"/>
            <w:tcBorders>
              <w:top w:val="single" w:sz="12" w:space="0" w:color="D2D2D2"/>
              <w:left w:val="single" w:sz="4" w:space="0" w:color="000000"/>
              <w:bottom w:val="single" w:sz="4" w:space="0" w:color="000000"/>
              <w:right w:val="single" w:sz="4" w:space="0" w:color="000000"/>
            </w:tcBorders>
          </w:tcPr>
          <w:p>
            <w:pPr/>
          </w:p>
        </w:tc>
        <w:tc>
          <w:tcPr>
            <w:tcW w:w="125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45,292,000.00</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-3,846,128.54</w:t>
            </w:r>
          </w:p>
        </w:tc>
        <w:tc>
          <w:tcPr>
            <w:tcW w:w="1158"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41,445,871.46</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报告期内公司主要资产计量属性是否发生重大变化</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3"/>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3、截至报告期末的资产权利受限情况" w:id="43"/>
      <w:bookmarkEnd w:id="43"/>
      <w:r>
        <w:rPr/>
      </w:r>
      <w:r>
        <w:rPr>
          <w:rFonts w:ascii="Times New Roman" w:hAnsi="Times New Roman" w:cs="Times New Roman" w:eastAsia="Times New Roman" w:hint="default"/>
        </w:rPr>
        <w:t>3</w:t>
      </w:r>
      <w:r>
        <w:rPr>
          <w:rFonts w:ascii="微软雅黑" w:hAnsi="微软雅黑" w:cs="微软雅黑" w:eastAsia="微软雅黑" w:hint="default"/>
        </w:rPr>
        <w:t>、截至报告期末的资产权利受限情况</w:t>
      </w:r>
    </w:p>
    <w:p>
      <w:pPr>
        <w:spacing w:line="240" w:lineRule="auto" w:before="13"/>
        <w:rPr>
          <w:rFonts w:ascii="微软雅黑" w:hAnsi="微软雅黑" w:cs="微软雅黑" w:eastAsia="微软雅黑" w:hint="default"/>
          <w:sz w:val="21"/>
          <w:szCs w:val="21"/>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2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8" w:hRule="exact"/>
        </w:trPr>
        <w:tc>
          <w:tcPr>
            <w:tcW w:w="32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459,404,395.90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开立备用信用证质押</w:t>
            </w:r>
          </w:p>
        </w:tc>
      </w:tr>
      <w:tr>
        <w:trPr>
          <w:trHeight w:val="42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29,987,481.71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抵押</w:t>
            </w:r>
          </w:p>
        </w:tc>
      </w:tr>
    </w:tbl>
    <w:p>
      <w:pPr>
        <w:spacing w:line="240" w:lineRule="auto" w:before="12"/>
        <w:rPr>
          <w:rFonts w:ascii="微软雅黑" w:hAnsi="微软雅黑" w:cs="微软雅黑" w:eastAsia="微软雅黑" w:hint="default"/>
          <w:sz w:val="19"/>
          <w:szCs w:val="19"/>
        </w:rPr>
      </w:pPr>
    </w:p>
    <w:p>
      <w:pPr>
        <w:pStyle w:val="Heading2"/>
        <w:spacing w:line="397" w:lineRule="exact"/>
        <w:ind w:right="0"/>
        <w:jc w:val="left"/>
      </w:pPr>
      <w:bookmarkStart w:name="五、投资状况分析" w:id="44"/>
      <w:bookmarkEnd w:id="44"/>
      <w:r>
        <w:rPr/>
      </w:r>
      <w:r>
        <w:rPr/>
        <w:t>五、投资状况分析</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总体情况" w:id="45"/>
      <w:bookmarkEnd w:id="45"/>
      <w:r>
        <w:rPr/>
      </w:r>
      <w:r>
        <w:rPr>
          <w:rFonts w:ascii="Times New Roman" w:hAnsi="Times New Roman" w:cs="Times New Roman" w:eastAsia="Times New Roman" w:hint="default"/>
        </w:rPr>
        <w:t>1</w:t>
      </w:r>
      <w:r>
        <w:rPr>
          <w:rFonts w:ascii="微软雅黑" w:hAnsi="微软雅黑" w:cs="微软雅黑" w:eastAsia="微软雅黑" w:hint="default"/>
        </w:rPr>
        <w:t>、总体情况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7"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7"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47" w:right="0"/>
              <w:jc w:val="left"/>
              <w:rPr>
                <w:rFonts w:ascii="Times New Roman" w:hAnsi="Times New Roman" w:cs="Times New Roman" w:eastAsia="Times New Roman" w:hint="default"/>
                <w:sz w:val="18"/>
                <w:szCs w:val="18"/>
              </w:rPr>
            </w:pPr>
            <w:r>
              <w:rPr>
                <w:rFonts w:ascii="Times New Roman"/>
                <w:sz w:val="18"/>
              </w:rPr>
              <w:t>442,158,581.21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53" w:right="0"/>
              <w:jc w:val="left"/>
              <w:rPr>
                <w:rFonts w:ascii="Times New Roman" w:hAnsi="Times New Roman" w:cs="Times New Roman" w:eastAsia="Times New Roman" w:hint="default"/>
                <w:sz w:val="18"/>
                <w:szCs w:val="18"/>
              </w:rPr>
            </w:pPr>
            <w:r>
              <w:rPr>
                <w:rFonts w:ascii="Times New Roman"/>
                <w:sz w:val="18"/>
              </w:rPr>
              <w:t>411,893,839.17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7.35%</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2、报告期内获取的重大的股权投资情况" w:id="46"/>
      <w:bookmarkEnd w:id="46"/>
      <w:r>
        <w:rPr/>
      </w:r>
      <w:r>
        <w:rPr>
          <w:rFonts w:ascii="Times New Roman" w:hAnsi="Times New Roman" w:cs="Times New Roman" w:eastAsia="Times New Roman" w:hint="default"/>
        </w:rPr>
        <w:t>2</w:t>
      </w:r>
      <w:r>
        <w:rPr>
          <w:rFonts w:ascii="微软雅黑" w:hAnsi="微软雅黑" w:cs="微软雅黑" w:eastAsia="微软雅黑" w:hint="default"/>
        </w:rPr>
        <w:t>、报告期内获取的重大的股权投资情况</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3、报告期内正在进行的重大的非股权投资情况" w:id="47"/>
      <w:bookmarkEnd w:id="47"/>
      <w:r>
        <w:rPr/>
      </w:r>
      <w:r>
        <w:rPr>
          <w:rFonts w:ascii="Times New Roman" w:hAnsi="Times New Roman" w:cs="Times New Roman" w:eastAsia="Times New Roman" w:hint="default"/>
        </w:rPr>
        <w:t>3</w:t>
      </w:r>
      <w:r>
        <w:rPr>
          <w:rFonts w:ascii="微软雅黑" w:hAnsi="微软雅黑" w:cs="微软雅黑" w:eastAsia="微软雅黑" w:hint="default"/>
        </w:rPr>
        <w:t>、报告期内正在进行的重大的非股权投资情况</w:t>
      </w:r>
    </w:p>
    <w:p>
      <w:pPr>
        <w:spacing w:line="240" w:lineRule="auto" w:before="7"/>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4、以公允价值计量的金融资产" w:id="48"/>
      <w:bookmarkEnd w:id="48"/>
      <w:r>
        <w:rPr/>
      </w:r>
      <w:r>
        <w:rPr>
          <w:rFonts w:ascii="Times New Roman" w:hAnsi="Times New Roman" w:cs="Times New Roman" w:eastAsia="Times New Roman" w:hint="default"/>
        </w:rPr>
        <w:t>4</w:t>
      </w:r>
      <w:r>
        <w:rPr>
          <w:rFonts w:ascii="微软雅黑" w:hAnsi="微软雅黑" w:cs="微软雅黑" w:eastAsia="微软雅黑" w:hint="default"/>
        </w:rPr>
        <w:t>、以公允价值计量的金融资产</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5、募集资金使用情况" w:id="49"/>
      <w:bookmarkEnd w:id="49"/>
      <w:r>
        <w:rPr/>
      </w:r>
      <w:r>
        <w:rPr>
          <w:rFonts w:ascii="Times New Roman" w:hAnsi="Times New Roman" w:cs="Times New Roman" w:eastAsia="Times New Roman" w:hint="default"/>
        </w:rPr>
        <w:t>5</w:t>
      </w:r>
      <w:r>
        <w:rPr>
          <w:rFonts w:ascii="微软雅黑" w:hAnsi="微软雅黑" w:cs="微软雅黑" w:eastAsia="微软雅黑" w:hint="default"/>
        </w:rPr>
        <w:t>、募集资金使用情况</w:t>
      </w:r>
    </w:p>
    <w:p>
      <w:pPr>
        <w:spacing w:after="0" w:line="240" w:lineRule="auto"/>
        <w:jc w:val="left"/>
        <w:rPr>
          <w:rFonts w:ascii="微软雅黑" w:hAnsi="微软雅黑" w:cs="微软雅黑" w:eastAsia="微软雅黑" w:hint="default"/>
        </w:rPr>
        <w:sectPr>
          <w:pgSz w:w="11910" w:h="16840"/>
          <w:pgMar w:header="877" w:footer="979" w:top="1060" w:bottom="1160" w:left="0" w:right="0"/>
        </w:sectPr>
      </w:pPr>
    </w:p>
    <w:p>
      <w:pPr>
        <w:spacing w:line="240" w:lineRule="auto" w:before="9"/>
        <w:rPr>
          <w:rFonts w:ascii="微软雅黑" w:hAnsi="微软雅黑" w:cs="微软雅黑" w:eastAsia="微软雅黑" w:hint="default"/>
          <w:sz w:val="17"/>
          <w:szCs w:val="17"/>
        </w:rPr>
      </w:pPr>
    </w:p>
    <w:p>
      <w:pPr>
        <w:pStyle w:val="BodyText"/>
        <w:spacing w:line="240" w:lineRule="auto" w:before="35"/>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892"/>
        <w:gridCol w:w="898"/>
        <w:gridCol w:w="896"/>
        <w:gridCol w:w="898"/>
        <w:gridCol w:w="897"/>
        <w:gridCol w:w="895"/>
        <w:gridCol w:w="896"/>
        <w:gridCol w:w="897"/>
        <w:gridCol w:w="895"/>
        <w:gridCol w:w="896"/>
        <w:gridCol w:w="895"/>
      </w:tblGrid>
      <w:tr>
        <w:trPr>
          <w:trHeight w:val="1301"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00" w:lineRule="auto"/>
              <w:ind w:left="260" w:right="261"/>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00" w:lineRule="auto"/>
              <w:ind w:left="263" w:right="263"/>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74" w:right="170"/>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1"/>
              <w:ind w:left="173" w:right="173"/>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1"/>
              <w:ind w:left="173" w:right="171"/>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72" w:right="170"/>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72" w:right="173"/>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72" w:right="172"/>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1"/>
              <w:ind w:left="171" w:right="173"/>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72" w:right="173"/>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1"/>
              <w:ind w:left="172" w:right="170"/>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662" w:hRule="exact"/>
        </w:trPr>
        <w:tc>
          <w:tcPr>
            <w:tcW w:w="892"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98" w:type="dxa"/>
            <w:tcBorders>
              <w:top w:val="single" w:sz="4" w:space="0" w:color="000000"/>
              <w:left w:val="single" w:sz="4" w:space="0" w:color="000000"/>
              <w:bottom w:val="single" w:sz="17" w:space="0" w:color="D2D2D2"/>
              <w:right w:val="single" w:sz="4" w:space="0" w:color="000000"/>
            </w:tcBorders>
          </w:tcPr>
          <w:p>
            <w:pPr>
              <w:pStyle w:val="TableParagraph"/>
              <w:spacing w:line="302" w:lineRule="auto" w:before="31"/>
              <w:ind w:left="263" w:right="263"/>
              <w:jc w:val="left"/>
              <w:rPr>
                <w:rFonts w:ascii="宋体" w:hAnsi="宋体" w:cs="宋体" w:eastAsia="宋体" w:hint="default"/>
                <w:sz w:val="18"/>
                <w:szCs w:val="18"/>
              </w:rPr>
            </w:pPr>
            <w:r>
              <w:rPr>
                <w:rFonts w:ascii="宋体" w:hAnsi="宋体" w:cs="宋体" w:eastAsia="宋体" w:hint="default"/>
                <w:sz w:val="18"/>
                <w:szCs w:val="18"/>
              </w:rPr>
              <w:t>公开 发行</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53,054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17,837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53,054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17,837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17,837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17"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53,054</w:t>
            </w:r>
          </w:p>
        </w:tc>
        <w:tc>
          <w:tcPr>
            <w:tcW w:w="898"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17,837</w:t>
            </w:r>
          </w:p>
        </w:tc>
        <w:tc>
          <w:tcPr>
            <w:tcW w:w="897"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53,054</w:t>
            </w:r>
          </w:p>
        </w:tc>
        <w:tc>
          <w:tcPr>
            <w:tcW w:w="895"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17,837</w:t>
            </w:r>
          </w:p>
        </w:tc>
        <w:tc>
          <w:tcPr>
            <w:tcW w:w="89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17,837</w:t>
            </w:r>
          </w:p>
        </w:tc>
        <w:tc>
          <w:tcPr>
            <w:tcW w:w="897"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33.62%</w:t>
            </w:r>
          </w:p>
        </w:tc>
        <w:tc>
          <w:tcPr>
            <w:tcW w:w="895"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387" w:hRule="exact"/>
        </w:trPr>
        <w:tc>
          <w:tcPr>
            <w:tcW w:w="985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845" w:hRule="exact"/>
        </w:trPr>
        <w:tc>
          <w:tcPr>
            <w:tcW w:w="9856" w:type="dxa"/>
            <w:gridSpan w:val="11"/>
            <w:tcBorders>
              <w:top w:val="single" w:sz="12" w:space="0" w:color="D2D2D2"/>
              <w:left w:val="single" w:sz="4" w:space="0" w:color="000000"/>
              <w:bottom w:val="single" w:sz="4" w:space="0" w:color="000000"/>
              <w:right w:val="single" w:sz="4" w:space="0" w:color="000000"/>
            </w:tcBorders>
          </w:tcPr>
          <w:p>
            <w:pPr>
              <w:pStyle w:val="TableParagraph"/>
              <w:spacing w:line="241" w:lineRule="exact" w:before="33"/>
              <w:ind w:left="103" w:right="0"/>
              <w:jc w:val="left"/>
              <w:rPr>
                <w:rFonts w:ascii="宋体" w:hAnsi="宋体" w:cs="宋体" w:eastAsia="宋体" w:hint="default"/>
                <w:sz w:val="18"/>
                <w:szCs w:val="18"/>
              </w:rPr>
            </w:pPr>
            <w:r>
              <w:rPr>
                <w:rFonts w:ascii="宋体" w:hAnsi="宋体" w:cs="宋体" w:eastAsia="宋体" w:hint="default"/>
                <w:sz w:val="18"/>
                <w:szCs w:val="18"/>
              </w:rPr>
              <w:t>本报告期内</w:t>
            </w:r>
            <w:r>
              <w:rPr>
                <w:rFonts w:ascii="宋体" w:hAnsi="宋体" w:cs="宋体" w:eastAsia="宋体" w:hint="default"/>
                <w:spacing w:val="-13"/>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开第二届董事会第十七次会议审议通过</w:t>
            </w:r>
            <w:r>
              <w:rPr>
                <w:rFonts w:ascii="宋体" w:hAnsi="宋体" w:cs="宋体" w:eastAsia="宋体" w:hint="default"/>
                <w:spacing w:val="-13"/>
                <w:sz w:val="18"/>
                <w:szCs w:val="18"/>
              </w:rPr>
              <w:t>了</w:t>
            </w:r>
            <w:r>
              <w:rPr>
                <w:rFonts w:ascii="宋体" w:hAnsi="宋体" w:cs="宋体" w:eastAsia="宋体" w:hint="default"/>
                <w:sz w:val="18"/>
                <w:szCs w:val="18"/>
              </w:rPr>
              <w:t>《关于变更募集资金用途的议案</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同意</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将尚未使用的募集资金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17,837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Rightware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的收购。该议案经公司于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东大会审议通过。公司于本报告期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日将尚未使用的募集资金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万元汇出用于支付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Rightware</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的收购价款。</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814"/>
        <w:gridCol w:w="790"/>
        <w:gridCol w:w="792"/>
        <w:gridCol w:w="791"/>
        <w:gridCol w:w="792"/>
        <w:gridCol w:w="791"/>
        <w:gridCol w:w="860"/>
        <w:gridCol w:w="791"/>
        <w:gridCol w:w="846"/>
        <w:gridCol w:w="792"/>
        <w:gridCol w:w="797"/>
      </w:tblGrid>
      <w:tr>
        <w:trPr>
          <w:trHeight w:val="1301"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451" w:right="180"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19" w:right="119"/>
              <w:jc w:val="both"/>
              <w:rPr>
                <w:rFonts w:ascii="宋体" w:hAnsi="宋体" w:cs="宋体" w:eastAsia="宋体" w:hint="default"/>
                <w:sz w:val="18"/>
                <w:szCs w:val="18"/>
              </w:rPr>
            </w:pPr>
            <w:r>
              <w:rPr>
                <w:rFonts w:ascii="宋体" w:hAnsi="宋体" w:cs="宋体" w:eastAsia="宋体" w:hint="default"/>
                <w:sz w:val="18"/>
                <w:szCs w:val="18"/>
              </w:rPr>
              <w:t>是否已 变更项 目（含 部分变 更）</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0"/>
              <w:ind w:left="121" w:right="11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03" w:right="47" w:firstLine="16"/>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20" w:right="12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0"/>
              <w:ind w:left="101" w:right="47" w:firstLine="16"/>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03" w:right="11" w:firstLine="52"/>
              <w:jc w:val="left"/>
              <w:rPr>
                <w:rFonts w:ascii="宋体" w:hAnsi="宋体" w:cs="宋体" w:eastAsia="宋体" w:hint="default"/>
                <w:sz w:val="18"/>
                <w:szCs w:val="18"/>
              </w:rPr>
            </w:pPr>
            <w:r>
              <w:rPr>
                <w:rFonts w:ascii="宋体" w:hAnsi="宋体" w:cs="宋体" w:eastAsia="宋体" w:hint="default"/>
                <w:sz w:val="18"/>
                <w:szCs w:val="18"/>
              </w:rPr>
              <w:t>截至期 末投资 </w:t>
            </w:r>
            <w:r>
              <w:rPr>
                <w:rFonts w:ascii="宋体" w:hAnsi="宋体" w:cs="宋体" w:eastAsia="宋体" w:hint="default"/>
                <w:spacing w:val="-15"/>
                <w:sz w:val="18"/>
                <w:szCs w:val="18"/>
              </w:rPr>
              <w:t>进度（</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w:t>
            </w:r>
          </w:p>
          <w:p>
            <w:pPr>
              <w:pStyle w:val="TableParagraph"/>
              <w:spacing w:line="22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p>
            <w:pPr>
              <w:pStyle w:val="TableParagraph"/>
              <w:spacing w:line="242" w:lineRule="exact"/>
              <w:ind w:left="2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19" w:right="119"/>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47" w:right="14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37" w:lineRule="auto"/>
              <w:ind w:left="120" w:right="120"/>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2" w:right="122"/>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7" w:hRule="exact"/>
        </w:trPr>
        <w:tc>
          <w:tcPr>
            <w:tcW w:w="985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834"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40"/>
              <w:ind w:left="103" w:right="215"/>
              <w:jc w:val="both"/>
              <w:rPr>
                <w:rFonts w:ascii="宋体" w:hAnsi="宋体" w:cs="宋体" w:eastAsia="宋体" w:hint="default"/>
                <w:sz w:val="18"/>
                <w:szCs w:val="18"/>
              </w:rPr>
            </w:pPr>
            <w:r>
              <w:rPr>
                <w:rFonts w:ascii="宋体" w:hAnsi="宋体" w:cs="宋体" w:eastAsia="宋体" w:hint="default"/>
                <w:sz w:val="18"/>
                <w:szCs w:val="18"/>
              </w:rPr>
              <w:t>面向多模</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z w:val="18"/>
                <w:szCs w:val="18"/>
              </w:rPr>
              <w:t> </w:t>
            </w:r>
            <w:r>
              <w:rPr>
                <w:rFonts w:ascii="宋体" w:hAnsi="宋体" w:cs="宋体" w:eastAsia="宋体" w:hint="default"/>
                <w:sz w:val="18"/>
                <w:szCs w:val="18"/>
              </w:rPr>
              <w:t>智能 手机的操作系统开 发项目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15,993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15,993</w:t>
            </w: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15,993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1,659.65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54"/>
              <w:jc w:val="left"/>
              <w:rPr>
                <w:rFonts w:ascii="宋体" w:hAnsi="宋体" w:cs="宋体" w:eastAsia="宋体" w:hint="default"/>
                <w:sz w:val="18"/>
                <w:szCs w:val="18"/>
              </w:rPr>
            </w:pPr>
            <w:r>
              <w:rPr>
                <w:rFonts w:ascii="Times New Roman" w:hAnsi="Times New Roman" w:cs="Times New Roman" w:eastAsia="Times New Roman" w:hint="default"/>
                <w:sz w:val="18"/>
                <w:szCs w:val="18"/>
              </w:rPr>
              <w:t>IHV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认证实验室建 设项目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11,134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2,242</w:t>
            </w: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2,242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34"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40"/>
              <w:ind w:left="103" w:right="168"/>
              <w:jc w:val="left"/>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位芯片的下 一代平板电脑操作 系统开发项目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10,279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3,822</w:t>
            </w: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3,822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-581.12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58"/>
              <w:jc w:val="left"/>
              <w:rPr>
                <w:rFonts w:ascii="宋体" w:hAnsi="宋体" w:cs="宋体" w:eastAsia="宋体" w:hint="default"/>
                <w:sz w:val="18"/>
                <w:szCs w:val="18"/>
              </w:rPr>
            </w:pPr>
            <w:r>
              <w:rPr>
                <w:rFonts w:ascii="宋体" w:hAnsi="宋体" w:cs="宋体" w:eastAsia="宋体" w:hint="default"/>
                <w:sz w:val="18"/>
                <w:szCs w:val="18"/>
              </w:rPr>
              <w:t>创新技术研发中心 建设项目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6,432</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6,432</w:t>
            </w: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6,432</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4,922.88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58"/>
              <w:jc w:val="left"/>
              <w:rPr>
                <w:rFonts w:ascii="宋体" w:hAnsi="宋体" w:cs="宋体" w:eastAsia="宋体" w:hint="default"/>
                <w:sz w:val="18"/>
                <w:szCs w:val="18"/>
              </w:rPr>
            </w:pPr>
            <w:r>
              <w:rPr>
                <w:rFonts w:ascii="宋体" w:hAnsi="宋体" w:cs="宋体" w:eastAsia="宋体" w:hint="default"/>
                <w:sz w:val="18"/>
                <w:szCs w:val="18"/>
              </w:rPr>
              <w:t>企业级移动管理系 统开发项目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5,050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5,050</w:t>
            </w: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5,050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226.3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58"/>
              <w:jc w:val="left"/>
              <w:rPr>
                <w:rFonts w:ascii="宋体" w:hAnsi="宋体" w:cs="宋体" w:eastAsia="宋体" w:hint="default"/>
                <w:sz w:val="18"/>
                <w:szCs w:val="18"/>
              </w:rPr>
            </w:pPr>
            <w:r>
              <w:rPr>
                <w:rFonts w:ascii="宋体" w:hAnsi="宋体" w:cs="宋体" w:eastAsia="宋体" w:hint="default"/>
                <w:sz w:val="18"/>
                <w:szCs w:val="18"/>
              </w:rPr>
              <w:t>新一代智能电视操 作系统开发项目</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1,678</w:t>
            </w: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1,678</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81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Rightware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Oy</w:t>
            </w:r>
          </w:p>
        </w:tc>
        <w:tc>
          <w:tcPr>
            <w:tcW w:w="790" w:type="dxa"/>
            <w:tcBorders>
              <w:top w:val="single" w:sz="4" w:space="0" w:color="000000"/>
              <w:left w:val="single" w:sz="4" w:space="0" w:color="000000"/>
              <w:bottom w:val="single" w:sz="13" w:space="0" w:color="D2D2D2"/>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17,837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17,837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17,837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100.00%</w:t>
            </w:r>
          </w:p>
        </w:tc>
        <w:tc>
          <w:tcPr>
            <w:tcW w:w="791"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16.1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53,054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53,054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17,837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53,054</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6,639.91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1814"/>
        <w:gridCol w:w="790"/>
        <w:gridCol w:w="792"/>
        <w:gridCol w:w="791"/>
        <w:gridCol w:w="792"/>
        <w:gridCol w:w="791"/>
        <w:gridCol w:w="860"/>
        <w:gridCol w:w="791"/>
        <w:gridCol w:w="846"/>
        <w:gridCol w:w="792"/>
        <w:gridCol w:w="797"/>
      </w:tblGrid>
      <w:tr>
        <w:trPr>
          <w:trHeight w:val="407" w:hRule="exact"/>
        </w:trPr>
        <w:tc>
          <w:tcPr>
            <w:tcW w:w="985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17" w:hRule="exact"/>
        </w:trPr>
        <w:tc>
          <w:tcPr>
            <w:tcW w:w="181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0" w:type="dxa"/>
            <w:tcBorders>
              <w:top w:val="single" w:sz="4" w:space="0" w:color="000000"/>
              <w:left w:val="single" w:sz="4" w:space="0" w:color="000000"/>
              <w:bottom w:val="single" w:sz="17" w:space="0" w:color="D2D2D2"/>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17" w:space="0" w:color="D2D2D2"/>
              <w:right w:val="single" w:sz="4" w:space="0" w:color="000000"/>
            </w:tcBorders>
          </w:tcPr>
          <w:p>
            <w:pPr/>
          </w:p>
        </w:tc>
        <w:tc>
          <w:tcPr>
            <w:tcW w:w="791" w:type="dxa"/>
            <w:tcBorders>
              <w:top w:val="single" w:sz="4" w:space="0" w:color="000000"/>
              <w:left w:val="single" w:sz="4" w:space="0" w:color="000000"/>
              <w:bottom w:val="single" w:sz="17" w:space="0" w:color="D2D2D2"/>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17" w:space="0" w:color="D2D2D2"/>
              <w:right w:val="single" w:sz="4" w:space="0" w:color="000000"/>
            </w:tcBorders>
          </w:tcPr>
          <w:p>
            <w:pPr/>
          </w:p>
        </w:tc>
        <w:tc>
          <w:tcPr>
            <w:tcW w:w="797" w:type="dxa"/>
            <w:tcBorders>
              <w:top w:val="single" w:sz="4" w:space="0" w:color="000000"/>
              <w:left w:val="single" w:sz="4" w:space="0" w:color="000000"/>
              <w:bottom w:val="single" w:sz="17" w:space="0" w:color="D2D2D2"/>
              <w:right w:val="single" w:sz="4" w:space="0" w:color="000000"/>
            </w:tcBorders>
          </w:tcPr>
          <w:p>
            <w:pPr/>
          </w:p>
        </w:tc>
      </w:tr>
      <w:tr>
        <w:trPr>
          <w:trHeight w:val="398"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84" w:right="0"/>
              <w:jc w:val="left"/>
              <w:rPr>
                <w:rFonts w:ascii="Times New Roman" w:hAnsi="Times New Roman" w:cs="Times New Roman" w:eastAsia="Times New Roman" w:hint="default"/>
                <w:sz w:val="18"/>
                <w:szCs w:val="18"/>
              </w:rPr>
            </w:pPr>
            <w:r>
              <w:rPr>
                <w:rFonts w:ascii="Times New Roman"/>
                <w:sz w:val="18"/>
              </w:rPr>
              <w:t>53,054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83" w:right="0"/>
              <w:jc w:val="left"/>
              <w:rPr>
                <w:rFonts w:ascii="Times New Roman" w:hAnsi="Times New Roman" w:cs="Times New Roman" w:eastAsia="Times New Roman" w:hint="default"/>
                <w:sz w:val="18"/>
                <w:szCs w:val="18"/>
              </w:rPr>
            </w:pPr>
            <w:r>
              <w:rPr>
                <w:rFonts w:ascii="Times New Roman"/>
                <w:sz w:val="18"/>
              </w:rPr>
              <w:t>53,054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83" w:right="0"/>
              <w:jc w:val="left"/>
              <w:rPr>
                <w:rFonts w:ascii="Times New Roman" w:hAnsi="Times New Roman" w:cs="Times New Roman" w:eastAsia="Times New Roman" w:hint="default"/>
                <w:sz w:val="18"/>
                <w:szCs w:val="18"/>
              </w:rPr>
            </w:pPr>
            <w:r>
              <w:rPr>
                <w:rFonts w:ascii="Times New Roman"/>
                <w:sz w:val="18"/>
              </w:rPr>
              <w:t>17,837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82" w:right="0"/>
              <w:jc w:val="left"/>
              <w:rPr>
                <w:rFonts w:ascii="Times New Roman" w:hAnsi="Times New Roman" w:cs="Times New Roman" w:eastAsia="Times New Roman" w:hint="default"/>
                <w:sz w:val="18"/>
                <w:szCs w:val="18"/>
              </w:rPr>
            </w:pPr>
            <w:r>
              <w:rPr>
                <w:rFonts w:ascii="Times New Roman"/>
                <w:sz w:val="18"/>
              </w:rPr>
              <w:t>53,054</w:t>
            </w:r>
          </w:p>
        </w:tc>
        <w:tc>
          <w:tcPr>
            <w:tcW w:w="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01"/>
              <w:jc w:val="right"/>
              <w:rPr>
                <w:rFonts w:ascii="Times New Roman" w:hAnsi="Times New Roman" w:cs="Times New Roman" w:eastAsia="Times New Roman" w:hint="default"/>
                <w:sz w:val="18"/>
                <w:szCs w:val="18"/>
              </w:rPr>
            </w:pPr>
            <w:r>
              <w:rPr>
                <w:rFonts w:ascii="Times New Roman"/>
                <w:sz w:val="18"/>
              </w:rPr>
              <w:t>--</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Times New Roman" w:hAnsi="Times New Roman" w:cs="Times New Roman" w:eastAsia="Times New Roman" w:hint="default"/>
                <w:sz w:val="18"/>
                <w:szCs w:val="18"/>
              </w:rPr>
            </w:pPr>
            <w:r>
              <w:rPr>
                <w:rFonts w:ascii="Times New Roman"/>
                <w:sz w:val="18"/>
              </w:rPr>
              <w:t>6,639.91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02"/>
              <w:jc w:val="right"/>
              <w:rPr>
                <w:rFonts w:ascii="Times New Roman" w:hAnsi="Times New Roman" w:cs="Times New Roman" w:eastAsia="Times New Roman" w:hint="default"/>
                <w:sz w:val="18"/>
                <w:szCs w:val="18"/>
              </w:rPr>
            </w:pPr>
            <w:r>
              <w:rPr>
                <w:rFonts w:ascii="Times New Roman"/>
                <w:sz w:val="18"/>
              </w:rPr>
              <w:t>--</w:t>
            </w:r>
          </w:p>
        </w:tc>
      </w:tr>
      <w:tr>
        <w:trPr>
          <w:trHeight w:val="834"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03" w:right="7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8042" w:type="dxa"/>
            <w:gridSpan w:val="10"/>
            <w:tcBorders>
              <w:top w:val="single" w:sz="13"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42"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32" w:lineRule="exact"/>
              <w:ind w:left="103" w:right="2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8" w:lineRule="auto" w:before="42"/>
              <w:ind w:left="103" w:right="1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年第二次临时股东大会审议通过了《关于变更募集资金用途的议案》，</w:t>
            </w:r>
            <w:r>
              <w:rPr>
                <w:rFonts w:ascii="宋体" w:hAnsi="宋体" w:cs="宋体" w:eastAsia="宋体" w:hint="default"/>
                <w:sz w:val="18"/>
                <w:szCs w:val="18"/>
              </w:rPr>
              <w:t> </w:t>
            </w:r>
            <w:r>
              <w:rPr>
                <w:rFonts w:ascii="宋体" w:hAnsi="宋体" w:cs="宋体" w:eastAsia="宋体" w:hint="default"/>
                <w:spacing w:val="-4"/>
                <w:w w:val="99"/>
                <w:sz w:val="18"/>
                <w:szCs w:val="18"/>
              </w:rPr>
              <w:t>公司募集资金投资以下项目的市场环境已发生重大变化：（一）</w:t>
            </w:r>
            <w:r>
              <w:rPr>
                <w:rFonts w:ascii="Times New Roman" w:hAnsi="Times New Roman" w:cs="Times New Roman" w:eastAsia="Times New Roman" w:hint="default"/>
                <w:spacing w:val="-4"/>
                <w:w w:val="99"/>
                <w:sz w:val="18"/>
                <w:szCs w:val="18"/>
              </w:rPr>
              <w:t>IHV</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认证实验室建设项目本项目拟建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设独立的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IHV </w:t>
            </w:r>
            <w:r>
              <w:rPr>
                <w:rFonts w:ascii="宋体" w:hAnsi="宋体" w:cs="宋体" w:eastAsia="宋体" w:hint="default"/>
                <w:sz w:val="18"/>
                <w:szCs w:val="18"/>
              </w:rPr>
              <w:t>实验室，面向智能手机、平板电脑、智能电视、可穿戴设备等领域，提供元器件测试 认证服务。鉴于近年来平板电脑、智能电视和可穿戴设备的市场总体增长缓慢，需求下降，公司战 </w:t>
            </w:r>
            <w:r>
              <w:rPr>
                <w:rFonts w:ascii="宋体" w:hAnsi="宋体" w:cs="宋体" w:eastAsia="宋体" w:hint="default"/>
                <w:spacing w:val="-3"/>
                <w:sz w:val="18"/>
                <w:szCs w:val="18"/>
              </w:rPr>
              <w:t>略方向调整到智能车载和智能硬件，因此拟终止该项目建设。（二）面向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位芯片的下一代平板电</w:t>
            </w:r>
          </w:p>
          <w:p>
            <w:pPr>
              <w:pStyle w:val="TableParagraph"/>
              <w:spacing w:line="232" w:lineRule="auto"/>
              <w:ind w:left="103" w:right="11"/>
              <w:jc w:val="left"/>
              <w:rPr>
                <w:rFonts w:ascii="宋体" w:hAnsi="宋体" w:cs="宋体" w:eastAsia="宋体" w:hint="default"/>
                <w:sz w:val="18"/>
                <w:szCs w:val="18"/>
              </w:rPr>
            </w:pPr>
            <w:r>
              <w:rPr>
                <w:rFonts w:ascii="宋体" w:hAnsi="宋体" w:cs="宋体" w:eastAsia="宋体" w:hint="default"/>
                <w:spacing w:val="-3"/>
                <w:sz w:val="18"/>
                <w:szCs w:val="18"/>
              </w:rPr>
              <w:t>脑操作系统开发项目受到大屏幕手机快速发展的影响，平板电脑市场增长从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年后开始大幅下降， 包括苹果、三星等曾在平板电脑市场上发展强劲的厂商也受到了较大影响。高通、英特尔、微软、 谷歌等产业链上游厂商也减少了对平板电脑产品的投入。公司在平板电脑方向上的客户需求也大为 </w:t>
            </w:r>
            <w:r>
              <w:rPr>
                <w:rFonts w:ascii="宋体" w:hAnsi="宋体" w:cs="宋体" w:eastAsia="宋体" w:hint="default"/>
                <w:spacing w:val="-3"/>
                <w:sz w:val="18"/>
                <w:szCs w:val="18"/>
              </w:rPr>
              <w:t>降低。公司战略方向调整到智能车载和智能硬件，因此拟终止该项目建设。（三）新一代智能电视操</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作系统开发项目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年后，国家对互联网电视政策不断收紧，限制牌照发放，对市场上没有牌照的 互联网电视、机顶盒产品进行清理。相关行业迅速降温。而国际上相应产品发展也较缓慢。面对市 场需求骤减的形势以及公司战略方向的调整，拟终止该项目建设。</w:t>
            </w:r>
          </w:p>
        </w:tc>
      </w:tr>
      <w:tr>
        <w:trPr>
          <w:trHeight w:val="407" w:hRule="exact"/>
        </w:trPr>
        <w:tc>
          <w:tcPr>
            <w:tcW w:w="1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9"/>
              <w:ind w:left="103" w:right="101"/>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途及使用进展情况</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8" w:hRule="exact"/>
        </w:trPr>
        <w:tc>
          <w:tcPr>
            <w:tcW w:w="1814" w:type="dxa"/>
            <w:vMerge/>
            <w:tcBorders>
              <w:left w:val="single" w:sz="4" w:space="0" w:color="000000"/>
              <w:bottom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2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1814" w:type="dxa"/>
            <w:vMerge/>
            <w:tcBorders>
              <w:left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4" w:type="dxa"/>
            <w:vMerge/>
            <w:tcBorders>
              <w:left w:val="single" w:sz="4" w:space="0" w:color="000000"/>
              <w:bottom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60"/>
              <w:ind w:left="103" w:right="2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1814" w:type="dxa"/>
            <w:vMerge/>
            <w:tcBorders>
              <w:left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14" w:type="dxa"/>
            <w:vMerge/>
            <w:tcBorders>
              <w:left w:val="single" w:sz="4" w:space="0" w:color="000000"/>
              <w:bottom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37" w:lineRule="auto"/>
              <w:ind w:left="103" w:right="2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35" w:hRule="exact"/>
        </w:trPr>
        <w:tc>
          <w:tcPr>
            <w:tcW w:w="1814" w:type="dxa"/>
            <w:vMerge/>
            <w:tcBorders>
              <w:left w:val="single" w:sz="4" w:space="0" w:color="000000"/>
              <w:bottom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8" w:lineRule="auto" w:before="42"/>
              <w:ind w:left="103" w:right="102"/>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日召开的第二届董事会第七次会议审议通过了《关于使用募集资金置换已预 </w:t>
            </w:r>
            <w:r>
              <w:rPr>
                <w:rFonts w:ascii="宋体" w:hAnsi="宋体" w:cs="宋体" w:eastAsia="宋体" w:hint="default"/>
                <w:spacing w:val="-3"/>
                <w:sz w:val="18"/>
                <w:szCs w:val="18"/>
              </w:rPr>
              <w:t>先投入募投项目的自有资金的议案》，同意以公开发行股票募集资金置换预先已投入募集资金投资项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35,217.00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万元。。致同会计师事务所（特殊普通合伙）于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4"/>
                <w:sz w:val="18"/>
                <w:szCs w:val="18"/>
              </w:rPr>
              <w:t>日出具了《关</w:t>
            </w:r>
            <w:r>
              <w:rPr>
                <w:rFonts w:ascii="宋体" w:hAnsi="宋体" w:cs="宋体" w:eastAsia="宋体" w:hint="default"/>
                <w:sz w:val="18"/>
                <w:szCs w:val="18"/>
              </w:rPr>
              <w:t> </w:t>
            </w:r>
            <w:r>
              <w:rPr>
                <w:rFonts w:ascii="宋体" w:hAnsi="宋体" w:cs="宋体" w:eastAsia="宋体" w:hint="default"/>
                <w:spacing w:val="-3"/>
                <w:sz w:val="18"/>
                <w:szCs w:val="18"/>
              </w:rPr>
              <w:t>于中科创达软件股份有限公司以自筹资金预先投入募集资金投资项目情况鉴证报告》（致同专字</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pacing w:val="-29"/>
                <w:sz w:val="18"/>
                <w:szCs w:val="18"/>
              </w:rPr>
              <w:t>）</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ZA3176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报告期公司累计以自筹资金预先投入募集资金投资项目的实际投资额为</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35,217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7" w:hRule="exact"/>
        </w:trPr>
        <w:tc>
          <w:tcPr>
            <w:tcW w:w="1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7"/>
              <w:ind w:left="103" w:right="2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68" w:hRule="exact"/>
        </w:trPr>
        <w:tc>
          <w:tcPr>
            <w:tcW w:w="1814" w:type="dxa"/>
            <w:vMerge/>
            <w:tcBorders>
              <w:left w:val="single" w:sz="4" w:space="0" w:color="000000"/>
              <w:bottom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日第二届董事会第七次会议审议通过了《关于使用部分闲置募集资金暂时补</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充流动资金的议案</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宋体" w:hAnsi="宋体" w:cs="宋体" w:eastAsia="宋体" w:hint="default"/>
                <w:sz w:val="18"/>
                <w:szCs w:val="18"/>
              </w:rPr>
              <w:t>同意公司将部分闲置募集资金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万元用于暂时补充流动资金</w:t>
            </w:r>
            <w:r>
              <w:rPr>
                <w:rFonts w:ascii="宋体" w:hAnsi="宋体" w:cs="宋体" w:eastAsia="宋体" w:hint="default"/>
                <w:spacing w:val="-26"/>
                <w:sz w:val="18"/>
                <w:szCs w:val="18"/>
              </w:rPr>
              <w:t>，</w:t>
            </w:r>
            <w:r>
              <w:rPr>
                <w:rFonts w:ascii="宋体" w:hAnsi="宋体" w:cs="宋体" w:eastAsia="宋体" w:hint="default"/>
                <w:sz w:val="18"/>
                <w:szCs w:val="18"/>
              </w:rPr>
              <w:t>使用期限不</w:t>
            </w:r>
          </w:p>
          <w:p>
            <w:pPr>
              <w:pStyle w:val="TableParagraph"/>
              <w:spacing w:line="233"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个月。上述暂时用于补充流动资金的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17,600 </w:t>
            </w:r>
            <w:r>
              <w:rPr>
                <w:rFonts w:ascii="宋体" w:hAnsi="宋体" w:cs="宋体" w:eastAsia="宋体" w:hint="default"/>
                <w:sz w:val="18"/>
                <w:szCs w:val="18"/>
              </w:rPr>
              <w:t>万元闲置募集资金已于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w:t>
            </w:r>
          </w:p>
        </w:tc>
      </w:tr>
      <w:tr>
        <w:trPr>
          <w:trHeight w:val="407" w:hRule="exact"/>
        </w:trPr>
        <w:tc>
          <w:tcPr>
            <w:tcW w:w="1814"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34"/>
              <w:ind w:left="103" w:right="258"/>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28" w:hRule="exact"/>
        </w:trPr>
        <w:tc>
          <w:tcPr>
            <w:tcW w:w="1814" w:type="dxa"/>
            <w:vMerge/>
            <w:tcBorders>
              <w:left w:val="single" w:sz="4" w:space="0" w:color="000000"/>
              <w:bottom w:val="single" w:sz="4" w:space="0" w:color="000000"/>
              <w:right w:val="single" w:sz="4" w:space="0" w:color="000000"/>
            </w:tcBorders>
            <w:shd w:val="clear" w:color="auto" w:fill="D2D2D2"/>
          </w:tcPr>
          <w:p>
            <w:pPr/>
          </w:p>
        </w:tc>
        <w:tc>
          <w:tcPr>
            <w:tcW w:w="8042" w:type="dxa"/>
            <w:gridSpan w:val="10"/>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2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539"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258"/>
              <w:jc w:val="left"/>
              <w:rPr>
                <w:rFonts w:ascii="宋体" w:hAnsi="宋体" w:cs="宋体" w:eastAsia="宋体" w:hint="default"/>
                <w:sz w:val="18"/>
                <w:szCs w:val="18"/>
              </w:rPr>
            </w:pPr>
            <w:r>
              <w:rPr>
                <w:rFonts w:ascii="宋体" w:hAnsi="宋体" w:cs="宋体" w:eastAsia="宋体" w:hint="default"/>
                <w:sz w:val="18"/>
                <w:szCs w:val="18"/>
              </w:rPr>
              <w:t>募集资金使用及披 露中存在的问题或</w:t>
            </w:r>
          </w:p>
        </w:tc>
        <w:tc>
          <w:tcPr>
            <w:tcW w:w="804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427" w:lineRule="exact"/>
        <w:ind w:left="102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93.3pt;height:21.4pt;mso-position-horizontal-relative:char;mso-position-vertical-relative:line" coordorigin="0,0" coordsize="9866,428">
            <v:group style="position:absolute;left:10;top:14;width:104;height:297" coordorigin="10,14" coordsize="104,297">
              <v:shape style="position:absolute;left:10;top:14;width:104;height:297" coordorigin="10,14" coordsize="104,297" path="m10,311l113,311,113,14,10,14,10,311xe" filled="true" fillcolor="#d2d2d2" stroked="false">
                <v:path arrowok="t"/>
                <v:fill type="solid"/>
              </v:shape>
            </v:group>
            <v:group style="position:absolute;left:1710;top:14;width:104;height:297" coordorigin="1710,14" coordsize="104,297">
              <v:shape style="position:absolute;left:1710;top:14;width:104;height:297" coordorigin="1710,14" coordsize="104,297" path="m1710,311l1814,311,1814,14,1710,14,1710,311xe" filled="true" fillcolor="#d2d2d2" stroked="false">
                <v:path arrowok="t"/>
                <v:fill type="solid"/>
              </v:shape>
            </v:group>
            <v:group style="position:absolute;left:10;top:311;width:1804;height:101" coordorigin="10,311" coordsize="1804,101">
              <v:shape style="position:absolute;left:10;top:311;width:1804;height:101" coordorigin="10,311" coordsize="1804,101" path="m10,412l1814,412,1814,311,10,311,10,412xe" filled="true" fillcolor="#d2d2d2" stroked="false">
                <v:path arrowok="t"/>
                <v:fill type="solid"/>
              </v:shape>
            </v:group>
            <v:group style="position:absolute;left:113;top:14;width:1598;height:297" coordorigin="113,14" coordsize="1598,297">
              <v:shape style="position:absolute;left:113;top:14;width:1598;height:297" coordorigin="113,14" coordsize="1598,297" path="m113,311l1710,311,1710,14,113,14,113,311xe" filled="true" fillcolor="#d2d2d2" stroked="false">
                <v:path arrowok="t"/>
                <v:fill type="solid"/>
              </v:shape>
            </v:group>
            <v:group style="position:absolute;left:10;top:10;width:1804;height:2" coordorigin="10,10" coordsize="1804,2">
              <v:shape style="position:absolute;left:10;top:10;width:1804;height:2" coordorigin="10,10" coordsize="1804,0" path="m10,10l1814,10e" filled="false" stroked="true" strokeweight=".48pt" strokecolor="#000000">
                <v:path arrowok="t"/>
              </v:shape>
            </v:group>
            <v:group style="position:absolute;left:1823;top:10;width:8033;height:2" coordorigin="1823,10" coordsize="8033,2">
              <v:shape style="position:absolute;left:1823;top:10;width:8033;height:2" coordorigin="1823,10" coordsize="8033,0" path="m1823,10l9856,10e" filled="false" stroked="true" strokeweight=".48pt" strokecolor="#000000">
                <v:path arrowok="t"/>
              </v:shape>
            </v:group>
            <v:group style="position:absolute;left:5;top:5;width:2;height:418" coordorigin="5,5" coordsize="2,418">
              <v:shape style="position:absolute;left:5;top:5;width:2;height:418" coordorigin="5,5" coordsize="0,418" path="m5,5l5,422e" filled="false" stroked="true" strokeweight=".48pt" strokecolor="#000000">
                <v:path arrowok="t"/>
              </v:shape>
            </v:group>
            <v:group style="position:absolute;left:10;top:418;width:1804;height:2" coordorigin="10,418" coordsize="1804,2">
              <v:shape style="position:absolute;left:10;top:418;width:1804;height:2" coordorigin="10,418" coordsize="1804,0" path="m10,418l1814,418e" filled="false" stroked="true" strokeweight=".48pt" strokecolor="#000000">
                <v:path arrowok="t"/>
              </v:shape>
            </v:group>
            <v:group style="position:absolute;left:1818;top:5;width:2;height:418" coordorigin="1818,5" coordsize="2,418">
              <v:shape style="position:absolute;left:1818;top:5;width:2;height:418" coordorigin="1818,5" coordsize="0,418" path="m1818,5l1818,422e" filled="false" stroked="true" strokeweight=".48pt" strokecolor="#000000">
                <v:path arrowok="t"/>
              </v:shape>
            </v:group>
            <v:group style="position:absolute;left:1823;top:418;width:8033;height:2" coordorigin="1823,418" coordsize="8033,2">
              <v:shape style="position:absolute;left:1823;top:418;width:8033;height:2" coordorigin="1823,418" coordsize="8033,0" path="m1823,418l9856,418e" filled="false" stroked="true" strokeweight=".48pt" strokecolor="#000000">
                <v:path arrowok="t"/>
              </v:shape>
            </v:group>
            <v:group style="position:absolute;left:9860;top:5;width:2;height:418" coordorigin="9860,5" coordsize="2,418">
              <v:shape style="position:absolute;left:9860;top:5;width:2;height:418" coordorigin="9860,5" coordsize="0,418" path="m9860,5l9860,422e" filled="false" stroked="true" strokeweight=".48pt" strokecolor="#000000">
                <v:path arrowok="t"/>
              </v:shape>
              <v:shape style="position:absolute;left:5;top:10;width:1814;height:408" type="#_x0000_t202" filled="false" stroked="false">
                <v:textbox inset="0,0,0,0">
                  <w:txbxContent>
                    <w:p>
                      <w:pPr>
                        <w:spacing w:line="210" w:lineRule="exact" w:before="0"/>
                        <w:ind w:left="108" w:right="0" w:firstLine="0"/>
                        <w:jc w:val="left"/>
                        <w:rPr>
                          <w:rFonts w:ascii="宋体" w:hAnsi="宋体" w:cs="宋体" w:eastAsia="宋体" w:hint="default"/>
                          <w:sz w:val="18"/>
                          <w:szCs w:val="18"/>
                        </w:rPr>
                      </w:pPr>
                      <w:r>
                        <w:rPr>
                          <w:rFonts w:ascii="宋体" w:hAnsi="宋体" w:cs="宋体" w:eastAsia="宋体" w:hint="default"/>
                          <w:sz w:val="18"/>
                          <w:szCs w:val="18"/>
                        </w:rPr>
                        <w:t>其他情况</w:t>
                      </w:r>
                    </w:p>
                  </w:txbxContent>
                </v:textbox>
                <w10:wrap type="none"/>
              </v:shape>
            </v:group>
          </v:group>
        </w:pict>
      </w:r>
      <w:r>
        <w:rPr>
          <w:rFonts w:ascii="Times New Roman" w:hAnsi="Times New Roman" w:cs="Times New Roman" w:eastAsia="Times New Roman" w:hint="default"/>
          <w:position w:val="-8"/>
          <w:sz w:val="20"/>
          <w:szCs w:val="20"/>
        </w:rPr>
      </w:r>
    </w:p>
    <w:p>
      <w:pPr>
        <w:spacing w:line="240" w:lineRule="auto" w:before="5"/>
        <w:rPr>
          <w:rFonts w:ascii="Times New Roman" w:hAnsi="Times New Roman" w:cs="Times New Roman" w:eastAsia="Times New Roman" w:hint="default"/>
          <w:sz w:val="12"/>
          <w:szCs w:val="12"/>
        </w:rPr>
      </w:pPr>
    </w:p>
    <w:p>
      <w:pPr>
        <w:pStyle w:val="Heading4"/>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987"/>
        <w:gridCol w:w="986"/>
        <w:gridCol w:w="986"/>
        <w:gridCol w:w="987"/>
        <w:gridCol w:w="985"/>
        <w:gridCol w:w="984"/>
        <w:gridCol w:w="985"/>
        <w:gridCol w:w="984"/>
        <w:gridCol w:w="985"/>
        <w:gridCol w:w="985"/>
      </w:tblGrid>
      <w:tr>
        <w:trPr>
          <w:trHeight w:val="1301" w:hRule="exact"/>
        </w:trPr>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308" w:right="126"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128" w:right="126"/>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2"/>
              <w:ind w:left="103" w:right="61" w:firstLine="25"/>
              <w:jc w:val="both"/>
              <w:rPr>
                <w:rFonts w:ascii="宋体" w:hAnsi="宋体" w:cs="宋体" w:eastAsia="宋体"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28" w:right="126"/>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27" w:right="126"/>
              <w:jc w:val="both"/>
              <w:rPr>
                <w:rFonts w:ascii="宋体" w:hAnsi="宋体" w:cs="宋体" w:eastAsia="宋体" w:hint="default"/>
                <w:sz w:val="18"/>
                <w:szCs w:val="18"/>
              </w:rPr>
            </w:pPr>
            <w:r>
              <w:rPr>
                <w:rFonts w:ascii="宋体" w:hAnsi="宋体" w:cs="宋体" w:eastAsia="宋体" w:hint="default"/>
                <w:sz w:val="18"/>
                <w:szCs w:val="18"/>
              </w:rPr>
              <w:t>截至期末 实际累计 投入金额</w:t>
            </w:r>
          </w:p>
          <w:p>
            <w:pPr>
              <w:pStyle w:val="TableParagraph"/>
              <w:spacing w:line="227" w:lineRule="exact"/>
              <w:ind w:left="2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27" w:right="125"/>
              <w:jc w:val="center"/>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18" w:lineRule="exact"/>
              <w:ind w:left="90" w:right="0"/>
              <w:jc w:val="center"/>
              <w:rPr>
                <w:rFonts w:ascii="宋体" w:hAnsi="宋体" w:cs="宋体" w:eastAsia="宋体" w:hint="default"/>
                <w:sz w:val="18"/>
                <w:szCs w:val="18"/>
              </w:rPr>
            </w:pP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3</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w:t>
            </w:r>
            <w:r>
              <w:rPr>
                <w:rFonts w:ascii="宋体" w:hAnsi="宋体" w:cs="宋体" w:eastAsia="宋体" w:hint="default"/>
                <w:spacing w:val="-21"/>
                <w:sz w:val="18"/>
                <w:szCs w:val="18"/>
              </w:rPr>
              <w:t>（</w:t>
            </w:r>
            <w:r>
              <w:rPr>
                <w:rFonts w:ascii="Times New Roman" w:hAnsi="Times New Roman" w:cs="Times New Roman" w:eastAsia="Times New Roman" w:hint="default"/>
                <w:spacing w:val="-21"/>
                <w:sz w:val="18"/>
                <w:szCs w:val="18"/>
              </w:rPr>
              <w:t>2</w:t>
            </w:r>
            <w:r>
              <w:rPr>
                <w:rFonts w:ascii="宋体" w:hAnsi="宋体" w:cs="宋体" w:eastAsia="宋体" w:hint="default"/>
                <w:spacing w:val="-21"/>
                <w:sz w:val="18"/>
                <w:szCs w:val="18"/>
              </w:rPr>
              <w:t>）</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2"/>
              <w:ind w:left="127" w:right="126"/>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32" w:lineRule="exact"/>
              <w:ind w:left="127" w:right="126"/>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7" w:right="126"/>
              <w:jc w:val="center"/>
              <w:rPr>
                <w:rFonts w:ascii="宋体" w:hAnsi="宋体" w:cs="宋体" w:eastAsia="宋体" w:hint="default"/>
                <w:sz w:val="18"/>
                <w:szCs w:val="18"/>
              </w:rPr>
            </w:pPr>
            <w:r>
              <w:rPr>
                <w:rFonts w:ascii="宋体" w:hAnsi="宋体" w:cs="宋体" w:eastAsia="宋体" w:hint="default"/>
                <w:sz w:val="18"/>
                <w:szCs w:val="18"/>
              </w:rPr>
              <w:t>变更后的 项目可行 性是否发 生重大变 化</w:t>
            </w:r>
          </w:p>
        </w:tc>
      </w:tr>
      <w:tr>
        <w:trPr>
          <w:trHeight w:val="3169" w:hRule="exact"/>
        </w:trPr>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52" w:lineRule="auto"/>
              <w:ind w:left="103" w:right="121"/>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 </w:t>
            </w:r>
            <w:r>
              <w:rPr>
                <w:rFonts w:ascii="Times New Roman" w:hAnsi="Times New Roman" w:cs="Times New Roman" w:eastAsia="Times New Roman" w:hint="default"/>
                <w:sz w:val="18"/>
                <w:szCs w:val="18"/>
              </w:rPr>
              <w:t>Rightware Oy</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7"/>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IHV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 实验室建 设项目、 面向</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位 芯片的下 一代平板 电脑操作 系统开发 项目、新 一代智能 电视操作 系统开发 项目</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17,837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17,837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17,837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985"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17,837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17,837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17,837</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16.1</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27" w:right="0"/>
              <w:jc w:val="left"/>
              <w:rPr>
                <w:rFonts w:ascii="Times New Roman" w:hAnsi="Times New Roman" w:cs="Times New Roman" w:eastAsia="Times New Roman" w:hint="default"/>
                <w:sz w:val="18"/>
                <w:szCs w:val="18"/>
              </w:rPr>
            </w:pPr>
            <w:r>
              <w:rPr>
                <w:rFonts w:ascii="Times New Roman"/>
                <w:sz w:val="18"/>
              </w:rPr>
              <w:t>--</w:t>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1535" w:hRule="exact"/>
        </w:trPr>
        <w:tc>
          <w:tcPr>
            <w:tcW w:w="29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32" w:lineRule="exact"/>
              <w:ind w:left="103" w:right="144"/>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 况说明（分具体项目）</w:t>
            </w:r>
          </w:p>
        </w:tc>
        <w:tc>
          <w:tcPr>
            <w:tcW w:w="6896" w:type="dxa"/>
            <w:gridSpan w:val="7"/>
            <w:tcBorders>
              <w:top w:val="single" w:sz="13" w:space="0" w:color="D2D2D2"/>
              <w:left w:val="single" w:sz="4" w:space="0" w:color="000000"/>
              <w:bottom w:val="single" w:sz="4" w:space="0" w:color="000000"/>
              <w:right w:val="single" w:sz="4" w:space="0" w:color="000000"/>
            </w:tcBorders>
          </w:tcPr>
          <w:p>
            <w:pPr>
              <w:pStyle w:val="TableParagraph"/>
              <w:spacing w:line="230" w:lineRule="auto" w:before="29"/>
              <w:ind w:left="103" w:right="101"/>
              <w:jc w:val="both"/>
              <w:rPr>
                <w:rFonts w:ascii="宋体" w:hAnsi="宋体" w:cs="宋体" w:eastAsia="宋体" w:hint="default"/>
                <w:sz w:val="18"/>
                <w:szCs w:val="18"/>
              </w:rPr>
            </w:pPr>
            <w:r>
              <w:rPr>
                <w:rFonts w:ascii="宋体" w:hAnsi="宋体" w:cs="宋体" w:eastAsia="宋体" w:hint="default"/>
                <w:sz w:val="18"/>
                <w:szCs w:val="18"/>
              </w:rPr>
              <w:t>公司第二届董事会第十七次会议及</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年第二次临时股东大会审议通过《关于变更募</w:t>
            </w:r>
            <w:r>
              <w:rPr>
                <w:rFonts w:ascii="宋体" w:hAnsi="宋体" w:cs="宋体" w:eastAsia="宋体" w:hint="default"/>
                <w:sz w:val="18"/>
                <w:szCs w:val="18"/>
              </w:rPr>
              <w:t> </w:t>
            </w:r>
            <w:r>
              <w:rPr>
                <w:rFonts w:ascii="宋体" w:hAnsi="宋体" w:cs="宋体" w:eastAsia="宋体" w:hint="default"/>
                <w:spacing w:val="-3"/>
                <w:sz w:val="18"/>
                <w:szCs w:val="18"/>
              </w:rPr>
              <w:t>集资金用途的议案》由于公司原募投项目，</w:t>
            </w:r>
            <w:r>
              <w:rPr>
                <w:rFonts w:ascii="Times New Roman" w:hAnsi="Times New Roman" w:cs="Times New Roman" w:eastAsia="Times New Roman" w:hint="default"/>
                <w:spacing w:val="-3"/>
                <w:sz w:val="18"/>
                <w:szCs w:val="18"/>
              </w:rPr>
              <w:t>IHV</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认证实验室建设项目、面向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位芯片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的下一代平板电脑操作系统开发项目、新一代智能电视操作系统开发项目，由于市场 增长缓慢和市场和客户需求降低等因素，公司决定终止其项目建设。公司将上述项目 剩余募集资金，共计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17,837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万元人民币，用于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Rightware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Oy</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的收购。详细内容见巨潮 资讯网于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5"/>
                <w:sz w:val="18"/>
                <w:szCs w:val="18"/>
              </w:rPr>
              <w:t>日披露的《关于变更募集资金用途的公告》。</w:t>
            </w:r>
          </w:p>
        </w:tc>
      </w:tr>
      <w:tr>
        <w:trPr>
          <w:trHeight w:val="601" w:hRule="exact"/>
        </w:trPr>
        <w:tc>
          <w:tcPr>
            <w:tcW w:w="29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44"/>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 和原因（分具体项目）</w:t>
            </w:r>
          </w:p>
        </w:tc>
        <w:tc>
          <w:tcPr>
            <w:tcW w:w="68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01" w:hRule="exact"/>
        </w:trPr>
        <w:tc>
          <w:tcPr>
            <w:tcW w:w="29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44"/>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89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六、重大资产和股权出售" w:id="53"/>
      <w:bookmarkEnd w:id="53"/>
      <w:r>
        <w:rPr/>
      </w:r>
      <w:r>
        <w:rPr/>
        <w:t>六、重大资产和股权出售</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出售重大资产情况" w:id="54"/>
      <w:bookmarkEnd w:id="54"/>
      <w:r>
        <w:rPr/>
      </w:r>
      <w:r>
        <w:rPr>
          <w:rFonts w:ascii="Times New Roman" w:hAnsi="Times New Roman" w:cs="Times New Roman" w:eastAsia="Times New Roman" w:hint="default"/>
        </w:rPr>
        <w:t>1</w:t>
      </w:r>
      <w:r>
        <w:rPr>
          <w:rFonts w:ascii="微软雅黑" w:hAnsi="微软雅黑" w:cs="微软雅黑" w:eastAsia="微软雅黑" w:hint="default"/>
        </w:rPr>
        <w:t>、出售重大资产情况</w:t>
      </w:r>
    </w:p>
    <w:p>
      <w:pPr>
        <w:spacing w:line="240" w:lineRule="auto" w:before="6"/>
        <w:rPr>
          <w:rFonts w:ascii="微软雅黑" w:hAnsi="微软雅黑" w:cs="微软雅黑" w:eastAsia="微软雅黑" w:hint="default"/>
          <w:sz w:val="23"/>
          <w:szCs w:val="23"/>
        </w:rPr>
      </w:pPr>
    </w:p>
    <w:p>
      <w:pPr>
        <w:pStyle w:val="BodyText"/>
        <w:spacing w:line="470" w:lineRule="auto"/>
        <w:ind w:right="7602"/>
        <w:jc w:val="left"/>
        <w:rPr>
          <w:rFonts w:ascii="微软雅黑" w:hAnsi="微软雅黑" w:cs="微软雅黑" w:eastAsia="微软雅黑"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公司报告期未出售重大资产。 </w:t>
      </w:r>
      <w:bookmarkStart w:name="2、出售重大股权情况" w:id="55"/>
      <w:bookmarkEnd w:id="55"/>
      <w:r>
        <w:rPr/>
      </w:r>
      <w:r>
        <w:rPr>
          <w:rFonts w:ascii="Times New Roman" w:hAnsi="Times New Roman" w:cs="Times New Roman" w:eastAsia="Times New Roman" w:hint="default"/>
        </w:rPr>
        <w:t>2</w:t>
      </w:r>
      <w:r>
        <w:rPr>
          <w:rFonts w:ascii="微软雅黑" w:hAnsi="微软雅黑" w:cs="微软雅黑" w:eastAsia="微软雅黑" w:hint="default"/>
        </w:rPr>
        <w:t>、出售重大股权情况</w:t>
      </w:r>
    </w:p>
    <w:p>
      <w:pPr>
        <w:pStyle w:val="BodyText"/>
        <w:spacing w:line="240" w:lineRule="auto" w:before="1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2"/>
        <w:spacing w:line="240" w:lineRule="auto" w:before="53"/>
        <w:ind w:left="1133" w:right="0"/>
        <w:jc w:val="left"/>
      </w:pPr>
      <w:bookmarkStart w:name="七、主要控股参股公司分析" w:id="56"/>
      <w:bookmarkEnd w:id="56"/>
      <w:r>
        <w:rPr/>
      </w:r>
      <w:r>
        <w:rPr/>
        <w:t>七、主要控股参股公司分析</w:t>
      </w:r>
    </w:p>
    <w:p>
      <w:pPr>
        <w:spacing w:line="240" w:lineRule="auto" w:before="11"/>
        <w:rPr>
          <w:rFonts w:ascii="微软雅黑" w:hAnsi="微软雅黑" w:cs="微软雅黑" w:eastAsia="微软雅黑" w:hint="default"/>
          <w:sz w:val="27"/>
          <w:szCs w:val="27"/>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40" w:lineRule="auto"/>
        <w:ind w:right="0"/>
        <w:jc w:val="left"/>
      </w:pPr>
      <w:r>
        <w:rPr/>
        <w:t>主要子公司及对公司净利润影响达</w:t>
      </w:r>
      <w:r>
        <w:rPr>
          <w:spacing w:val="-54"/>
        </w:rPr>
        <w:t> </w:t>
      </w:r>
      <w:r>
        <w:rPr>
          <w:rFonts w:ascii="Times New Roman" w:hAnsi="Times New Roman" w:cs="Times New Roman" w:eastAsia="Times New Roman" w:hint="default"/>
        </w:rPr>
        <w:t>10%</w:t>
      </w:r>
      <w:r>
        <w:rPr/>
        <w:t>以上的参股公司情况</w:t>
      </w:r>
    </w:p>
    <w:p>
      <w:pPr>
        <w:spacing w:line="240" w:lineRule="auto" w:before="7"/>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747"/>
        <w:gridCol w:w="892"/>
        <w:gridCol w:w="734"/>
        <w:gridCol w:w="1256"/>
        <w:gridCol w:w="1258"/>
        <w:gridCol w:w="1256"/>
        <w:gridCol w:w="1258"/>
        <w:gridCol w:w="1226"/>
        <w:gridCol w:w="1228"/>
      </w:tblGrid>
      <w:tr>
        <w:trPr>
          <w:trHeight w:val="662" w:hRule="exact"/>
        </w:trPr>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200" w:right="198"/>
              <w:jc w:val="left"/>
              <w:rPr>
                <w:rFonts w:ascii="宋体" w:hAnsi="宋体" w:cs="宋体" w:eastAsia="宋体" w:hint="default"/>
                <w:sz w:val="18"/>
                <w:szCs w:val="18"/>
              </w:rPr>
            </w:pPr>
            <w:r>
              <w:rPr>
                <w:rFonts w:ascii="宋体" w:hAnsi="宋体" w:cs="宋体" w:eastAsia="宋体" w:hint="default"/>
                <w:spacing w:val="-12"/>
                <w:sz w:val="18"/>
                <w:szCs w:val="18"/>
              </w:rPr>
              <w:t>公司 名称</w:t>
            </w:r>
            <w:r>
              <w:rPr>
                <w:rFonts w:ascii="宋体" w:hAnsi="宋体" w:cs="宋体" w:eastAsia="宋体" w:hint="default"/>
                <w:sz w:val="18"/>
                <w:szCs w:val="18"/>
              </w:rPr>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公司类型</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194" w:right="192"/>
              <w:jc w:val="left"/>
              <w:rPr>
                <w:rFonts w:ascii="宋体" w:hAnsi="宋体" w:cs="宋体" w:eastAsia="宋体" w:hint="default"/>
                <w:sz w:val="18"/>
                <w:szCs w:val="18"/>
              </w:rPr>
            </w:pPr>
            <w:r>
              <w:rPr>
                <w:rFonts w:ascii="宋体" w:hAnsi="宋体" w:cs="宋体" w:eastAsia="宋体" w:hint="default"/>
                <w:spacing w:val="-12"/>
                <w:sz w:val="18"/>
                <w:szCs w:val="18"/>
              </w:rPr>
              <w:t>主要 业务</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pacing w:val="-12"/>
                <w:sz w:val="18"/>
                <w:szCs w:val="18"/>
              </w:rPr>
              <w:t>注册资本</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pacing w:val="-12"/>
                <w:sz w:val="18"/>
                <w:szCs w:val="18"/>
              </w:rPr>
              <w:t>总资产</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pacing w:val="-12"/>
                <w:sz w:val="18"/>
                <w:szCs w:val="18"/>
              </w:rPr>
              <w:t>净资产</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pacing w:val="-12"/>
                <w:sz w:val="18"/>
                <w:szCs w:val="18"/>
              </w:rPr>
              <w:t>营业收入</w:t>
            </w:r>
            <w:r>
              <w:rPr>
                <w:rFonts w:ascii="宋体" w:hAnsi="宋体" w:cs="宋体" w:eastAsia="宋体" w:hint="default"/>
                <w:sz w:val="18"/>
                <w:szCs w:val="18"/>
              </w:rPr>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营业利润</w:t>
            </w:r>
            <w:r>
              <w:rPr>
                <w:rFonts w:ascii="宋体" w:hAnsi="宋体" w:cs="宋体" w:eastAsia="宋体" w:hint="default"/>
                <w:sz w:val="18"/>
                <w:szCs w:val="18"/>
              </w:rPr>
            </w:r>
          </w:p>
        </w:tc>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pacing w:val="-12"/>
                <w:sz w:val="18"/>
                <w:szCs w:val="18"/>
              </w:rPr>
              <w:t>净利润</w:t>
            </w:r>
            <w:r>
              <w:rPr>
                <w:rFonts w:ascii="宋体" w:hAnsi="宋体" w:cs="宋体" w:eastAsia="宋体" w:hint="default"/>
                <w:sz w:val="18"/>
                <w:szCs w:val="18"/>
              </w:rPr>
            </w:r>
          </w:p>
        </w:tc>
      </w:tr>
      <w:tr>
        <w:trPr>
          <w:trHeight w:val="1068"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29"/>
              <w:jc w:val="both"/>
              <w:rPr>
                <w:rFonts w:ascii="宋体" w:hAnsi="宋体" w:cs="宋体" w:eastAsia="宋体" w:hint="default"/>
                <w:sz w:val="18"/>
                <w:szCs w:val="18"/>
              </w:rPr>
            </w:pPr>
            <w:r>
              <w:rPr>
                <w:rFonts w:ascii="宋体" w:hAnsi="宋体" w:cs="宋体" w:eastAsia="宋体" w:hint="default"/>
                <w:spacing w:val="-12"/>
                <w:sz w:val="18"/>
                <w:szCs w:val="18"/>
              </w:rPr>
              <w:t>成都中 科创达 软件有 限公司</w:t>
            </w:r>
            <w:r>
              <w:rPr>
                <w:rFonts w:ascii="宋体" w:hAnsi="宋体" w:cs="宋体" w:eastAsia="宋体" w:hint="default"/>
                <w:sz w:val="18"/>
                <w:szCs w:val="18"/>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pacing w:val="-12"/>
                <w:sz w:val="18"/>
                <w:szCs w:val="18"/>
              </w:rPr>
              <w:t>子公司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115"/>
              <w:jc w:val="both"/>
              <w:rPr>
                <w:rFonts w:ascii="宋体" w:hAnsi="宋体" w:cs="宋体" w:eastAsia="宋体" w:hint="default"/>
                <w:sz w:val="18"/>
                <w:szCs w:val="18"/>
              </w:rPr>
            </w:pPr>
            <w:r>
              <w:rPr>
                <w:rFonts w:ascii="宋体" w:hAnsi="宋体" w:cs="宋体" w:eastAsia="宋体" w:hint="default"/>
                <w:spacing w:val="-12"/>
                <w:sz w:val="18"/>
                <w:szCs w:val="18"/>
              </w:rPr>
              <w:t>销售及 开发服 </w:t>
            </w:r>
            <w:r>
              <w:rPr>
                <w:rFonts w:ascii="宋体" w:hAnsi="宋体" w:cs="宋体" w:eastAsia="宋体" w:hint="default"/>
                <w:sz w:val="18"/>
                <w:szCs w:val="18"/>
              </w:rPr>
              <w:t>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30,000,000.00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81,835,722.54</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74,440,539.22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77,865,800.13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pacing w:val="-7"/>
                <w:sz w:val="18"/>
              </w:rPr>
              <w:t>11,577,424.78</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10,345,974.94</w:t>
            </w:r>
          </w:p>
        </w:tc>
      </w:tr>
      <w:tr>
        <w:trPr>
          <w:trHeight w:val="1301"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29"/>
              <w:jc w:val="both"/>
              <w:rPr>
                <w:rFonts w:ascii="宋体" w:hAnsi="宋体" w:cs="宋体" w:eastAsia="宋体" w:hint="default"/>
                <w:sz w:val="18"/>
                <w:szCs w:val="18"/>
              </w:rPr>
            </w:pPr>
            <w:r>
              <w:rPr>
                <w:rFonts w:ascii="宋体" w:hAnsi="宋体" w:cs="宋体" w:eastAsia="宋体" w:hint="default"/>
                <w:spacing w:val="-12"/>
                <w:sz w:val="18"/>
                <w:szCs w:val="18"/>
              </w:rPr>
              <w:t>南京中 科创达 软件科 技有限 公司</w:t>
            </w:r>
            <w:r>
              <w:rPr>
                <w:rFonts w:ascii="宋体" w:hAnsi="宋体" w:cs="宋体" w:eastAsia="宋体" w:hint="default"/>
                <w:sz w:val="18"/>
                <w:szCs w:val="18"/>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子公司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37" w:lineRule="auto"/>
              <w:ind w:left="103" w:right="115"/>
              <w:jc w:val="both"/>
              <w:rPr>
                <w:rFonts w:ascii="宋体" w:hAnsi="宋体" w:cs="宋体" w:eastAsia="宋体" w:hint="default"/>
                <w:sz w:val="18"/>
                <w:szCs w:val="18"/>
              </w:rPr>
            </w:pPr>
            <w:r>
              <w:rPr>
                <w:rFonts w:ascii="宋体" w:hAnsi="宋体" w:cs="宋体" w:eastAsia="宋体" w:hint="default"/>
                <w:spacing w:val="-12"/>
                <w:sz w:val="18"/>
                <w:szCs w:val="18"/>
              </w:rPr>
              <w:t>销售及 开发服 </w:t>
            </w:r>
            <w:r>
              <w:rPr>
                <w:rFonts w:ascii="宋体" w:hAnsi="宋体" w:cs="宋体" w:eastAsia="宋体" w:hint="default"/>
                <w:sz w:val="18"/>
                <w:szCs w:val="18"/>
              </w:rPr>
              <w:t>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20,000,000.00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96,580,517.95</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65,573,027.88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100,780,561.81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pacing w:val="-6"/>
                <w:sz w:val="18"/>
              </w:rPr>
              <w:t>14,825,931.62</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7"/>
                <w:sz w:val="18"/>
              </w:rPr>
              <w:t>13,506,411.98</w:t>
            </w:r>
          </w:p>
        </w:tc>
      </w:tr>
      <w:tr>
        <w:trPr>
          <w:trHeight w:val="83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29"/>
              <w:jc w:val="both"/>
              <w:rPr>
                <w:rFonts w:ascii="宋体" w:hAnsi="宋体" w:cs="宋体" w:eastAsia="宋体" w:hint="default"/>
                <w:sz w:val="18"/>
                <w:szCs w:val="18"/>
              </w:rPr>
            </w:pPr>
            <w:r>
              <w:rPr>
                <w:rFonts w:ascii="宋体" w:hAnsi="宋体" w:cs="宋体" w:eastAsia="宋体" w:hint="default"/>
                <w:spacing w:val="-12"/>
                <w:sz w:val="18"/>
                <w:szCs w:val="18"/>
              </w:rPr>
              <w:t>香港天 集有限 公司</w:t>
            </w:r>
            <w:r>
              <w:rPr>
                <w:rFonts w:ascii="宋体" w:hAnsi="宋体" w:cs="宋体" w:eastAsia="宋体" w:hint="default"/>
                <w:sz w:val="18"/>
                <w:szCs w:val="18"/>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子公司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3" w:right="115"/>
              <w:jc w:val="left"/>
              <w:rPr>
                <w:rFonts w:ascii="宋体" w:hAnsi="宋体" w:cs="宋体" w:eastAsia="宋体" w:hint="default"/>
                <w:sz w:val="18"/>
                <w:szCs w:val="18"/>
              </w:rPr>
            </w:pPr>
            <w:r>
              <w:rPr>
                <w:rFonts w:ascii="宋体" w:hAnsi="宋体" w:cs="宋体" w:eastAsia="宋体" w:hint="default"/>
                <w:spacing w:val="-12"/>
                <w:sz w:val="18"/>
                <w:szCs w:val="18"/>
              </w:rPr>
              <w:t>企业管 理服务</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395,936,470.00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7"/>
                <w:sz w:val="18"/>
              </w:rPr>
              <w:t>911,570,350.43</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379,990,473.52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5"/>
                <w:sz w:val="18"/>
              </w:rPr>
              <w:t>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pacing w:val="-6"/>
                <w:sz w:val="18"/>
              </w:rPr>
              <w:t>-9,022,277.05</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-9,022,277.05</w:t>
            </w:r>
          </w:p>
        </w:tc>
      </w:tr>
      <w:tr>
        <w:trPr>
          <w:trHeight w:val="1535"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29"/>
              <w:jc w:val="both"/>
              <w:rPr>
                <w:rFonts w:ascii="宋体" w:hAnsi="宋体" w:cs="宋体" w:eastAsia="宋体" w:hint="default"/>
                <w:sz w:val="18"/>
                <w:szCs w:val="18"/>
              </w:rPr>
            </w:pPr>
            <w:r>
              <w:rPr>
                <w:rFonts w:ascii="宋体" w:hAnsi="宋体" w:cs="宋体" w:eastAsia="宋体" w:hint="default"/>
                <w:spacing w:val="-12"/>
                <w:sz w:val="18"/>
                <w:szCs w:val="18"/>
              </w:rPr>
              <w:t>中科创 达软件 科技</w:t>
            </w:r>
            <w:r>
              <w:rPr>
                <w:rFonts w:ascii="宋体" w:hAnsi="宋体" w:cs="宋体" w:eastAsia="宋体" w:hint="default"/>
                <w:sz w:val="18"/>
                <w:szCs w:val="18"/>
              </w:rPr>
            </w:r>
          </w:p>
          <w:p>
            <w:pPr>
              <w:pStyle w:val="TableParagraph"/>
              <w:spacing w:line="237" w:lineRule="auto"/>
              <w:ind w:left="103" w:right="117"/>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宋体" w:hAnsi="宋体" w:cs="宋体" w:eastAsia="宋体" w:hint="default"/>
                <w:sz w:val="18"/>
                <w:szCs w:val="18"/>
              </w:rPr>
              <w:t> </w:t>
            </w:r>
            <w:r>
              <w:rPr>
                <w:rFonts w:ascii="宋体" w:hAnsi="宋体" w:cs="宋体" w:eastAsia="宋体" w:hint="default"/>
                <w:spacing w:val="-8"/>
                <w:sz w:val="18"/>
                <w:szCs w:val="18"/>
              </w:rPr>
              <w:t>本）有</w:t>
            </w:r>
            <w:r>
              <w:rPr>
                <w:rFonts w:ascii="宋体" w:hAnsi="宋体" w:cs="宋体" w:eastAsia="宋体" w:hint="default"/>
                <w:sz w:val="18"/>
                <w:szCs w:val="18"/>
              </w:rPr>
              <w:t> </w:t>
            </w:r>
            <w:r>
              <w:rPr>
                <w:rFonts w:ascii="宋体" w:hAnsi="宋体" w:cs="宋体" w:eastAsia="宋体" w:hint="default"/>
                <w:spacing w:val="-12"/>
                <w:sz w:val="18"/>
                <w:szCs w:val="18"/>
              </w:rPr>
              <w:t>限公司</w:t>
            </w:r>
            <w:r>
              <w:rPr>
                <w:rFonts w:ascii="宋体" w:hAnsi="宋体" w:cs="宋体" w:eastAsia="宋体" w:hint="default"/>
                <w:sz w:val="18"/>
                <w:szCs w:val="18"/>
              </w:rPr>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
              <w:jc w:val="center"/>
              <w:rPr>
                <w:rFonts w:ascii="宋体" w:hAnsi="宋体" w:cs="宋体" w:eastAsia="宋体" w:hint="default"/>
                <w:sz w:val="18"/>
                <w:szCs w:val="18"/>
              </w:rPr>
            </w:pPr>
            <w:r>
              <w:rPr>
                <w:rFonts w:ascii="宋体" w:hAnsi="宋体" w:cs="宋体" w:eastAsia="宋体" w:hint="default"/>
                <w:spacing w:val="-12"/>
                <w:sz w:val="18"/>
                <w:szCs w:val="18"/>
              </w:rPr>
              <w:t>子公司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9"/>
              <w:ind w:left="103" w:right="115"/>
              <w:jc w:val="both"/>
              <w:rPr>
                <w:rFonts w:ascii="宋体" w:hAnsi="宋体" w:cs="宋体" w:eastAsia="宋体" w:hint="default"/>
                <w:sz w:val="18"/>
                <w:szCs w:val="18"/>
              </w:rPr>
            </w:pPr>
            <w:r>
              <w:rPr>
                <w:rFonts w:ascii="宋体" w:hAnsi="宋体" w:cs="宋体" w:eastAsia="宋体" w:hint="default"/>
                <w:spacing w:val="-12"/>
                <w:sz w:val="18"/>
                <w:szCs w:val="18"/>
              </w:rPr>
              <w:t>销售及 开发服 </w:t>
            </w:r>
            <w:r>
              <w:rPr>
                <w:rFonts w:ascii="宋体" w:hAnsi="宋体" w:cs="宋体" w:eastAsia="宋体" w:hint="default"/>
                <w:sz w:val="18"/>
                <w:szCs w:val="18"/>
              </w:rPr>
              <w:t>务</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9,391,939.05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54,277,738.69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13,286,444.53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95,365,154.65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pacing w:val="-6"/>
                <w:sz w:val="18"/>
              </w:rPr>
              <w:t>8,671,347.79</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8,669,201.72</w:t>
            </w:r>
          </w:p>
        </w:tc>
      </w:tr>
      <w:tr>
        <w:trPr>
          <w:trHeight w:val="1068" w:hRule="exact"/>
        </w:trPr>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29"/>
              <w:jc w:val="both"/>
              <w:rPr>
                <w:rFonts w:ascii="宋体" w:hAnsi="宋体" w:cs="宋体" w:eastAsia="宋体" w:hint="default"/>
                <w:sz w:val="18"/>
                <w:szCs w:val="18"/>
              </w:rPr>
            </w:pPr>
            <w:r>
              <w:rPr>
                <w:rFonts w:ascii="宋体" w:hAnsi="宋体" w:cs="宋体" w:eastAsia="宋体" w:hint="default"/>
                <w:spacing w:val="-12"/>
                <w:sz w:val="18"/>
                <w:szCs w:val="18"/>
              </w:rPr>
              <w:t>中科创 达香港 有限公 </w:t>
            </w:r>
            <w:r>
              <w:rPr>
                <w:rFonts w:ascii="宋体" w:hAnsi="宋体" w:cs="宋体" w:eastAsia="宋体" w:hint="default"/>
                <w:sz w:val="18"/>
                <w:szCs w:val="18"/>
              </w:rPr>
              <w:t>司</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pacing w:val="-12"/>
                <w:sz w:val="18"/>
                <w:szCs w:val="18"/>
              </w:rPr>
              <w:t>子公司</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15"/>
              <w:jc w:val="both"/>
              <w:rPr>
                <w:rFonts w:ascii="宋体" w:hAnsi="宋体" w:cs="宋体" w:eastAsia="宋体" w:hint="default"/>
                <w:sz w:val="18"/>
                <w:szCs w:val="18"/>
              </w:rPr>
            </w:pPr>
            <w:r>
              <w:rPr>
                <w:rFonts w:ascii="宋体" w:hAnsi="宋体" w:cs="宋体" w:eastAsia="宋体" w:hint="default"/>
                <w:spacing w:val="-12"/>
                <w:sz w:val="18"/>
                <w:szCs w:val="18"/>
              </w:rPr>
              <w:t>移动操 作系统 解决方 </w:t>
            </w:r>
            <w:r>
              <w:rPr>
                <w:rFonts w:ascii="宋体" w:hAnsi="宋体" w:cs="宋体" w:eastAsia="宋体" w:hint="default"/>
                <w:sz w:val="18"/>
                <w:szCs w:val="18"/>
              </w:rPr>
              <w:t>案</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7"/>
                <w:sz w:val="18"/>
              </w:rPr>
              <w:t>611,900.00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192,698,992.47</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6"/>
                <w:sz w:val="18"/>
              </w:rPr>
              <w:t>-1,108,961.12</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140,170,504.41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pacing w:val="-6"/>
                <w:sz w:val="18"/>
              </w:rPr>
              <w:t>-10,190,129.26</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-10,190,129.26</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报告期内取得和处置子公司的情况</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284"/>
        <w:gridCol w:w="3285"/>
        <w:gridCol w:w="3287"/>
      </w:tblGrid>
      <w:tr>
        <w:trPr>
          <w:trHeight w:val="407"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中科创达（重庆）汽车科技有限公司</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0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南京中创盎赛软件科技有限公司</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0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QuantumX</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0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南京慧行汽车科技有限公司</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0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重庆协同创新智能汽车研究院有限公司</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0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收购取得</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主要控股参股公司情况说明</w:t>
      </w:r>
    </w:p>
    <w:p>
      <w:pPr>
        <w:spacing w:after="0" w:line="240" w:lineRule="auto"/>
        <w:jc w:val="left"/>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pStyle w:val="Heading2"/>
        <w:spacing w:line="240" w:lineRule="auto" w:before="53"/>
        <w:ind w:left="1133" w:right="0"/>
        <w:jc w:val="both"/>
      </w:pPr>
      <w:bookmarkStart w:name="八、公司控制的结构化主体情况" w:id="57"/>
      <w:bookmarkEnd w:id="57"/>
      <w:r>
        <w:rPr/>
      </w:r>
      <w:r>
        <w:rPr/>
        <w:t>八、公司控制的结构化主体情况</w:t>
      </w:r>
    </w:p>
    <w:p>
      <w:pPr>
        <w:spacing w:line="240" w:lineRule="auto" w:before="11"/>
        <w:rPr>
          <w:rFonts w:ascii="微软雅黑" w:hAnsi="微软雅黑" w:cs="微软雅黑" w:eastAsia="微软雅黑" w:hint="default"/>
          <w:sz w:val="27"/>
          <w:szCs w:val="27"/>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both"/>
      </w:pPr>
      <w:bookmarkStart w:name="九、公司未来发展的展望" w:id="58"/>
      <w:bookmarkEnd w:id="58"/>
      <w:r>
        <w:rPr/>
      </w:r>
      <w:r>
        <w:rPr/>
        <w:t>九、公司未来发展的展望</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一）公司发展战略" w:id="59"/>
      <w:bookmarkEnd w:id="59"/>
      <w:r>
        <w:rPr/>
      </w:r>
      <w:r>
        <w:rPr>
          <w:rFonts w:ascii="微软雅黑" w:hAnsi="微软雅黑" w:cs="微软雅黑" w:eastAsia="微软雅黑" w:hint="default"/>
        </w:rPr>
        <w:t>（一）公司发展战略</w:t>
      </w:r>
    </w:p>
    <w:p>
      <w:pPr>
        <w:spacing w:line="240" w:lineRule="auto" w:before="6"/>
        <w:rPr>
          <w:rFonts w:ascii="微软雅黑" w:hAnsi="微软雅黑" w:cs="微软雅黑" w:eastAsia="微软雅黑" w:hint="default"/>
          <w:sz w:val="23"/>
          <w:szCs w:val="23"/>
        </w:rPr>
      </w:pPr>
    </w:p>
    <w:p>
      <w:pPr>
        <w:pStyle w:val="BodyText"/>
        <w:spacing w:line="295" w:lineRule="auto"/>
        <w:ind w:left="1134" w:right="1131" w:firstLine="420"/>
        <w:jc w:val="both"/>
      </w:pPr>
      <w:r>
        <w:rPr>
          <w:spacing w:val="-1"/>
        </w:rPr>
        <w:t>在智能互联的大趋势下，公司以“创建丰富多彩的智能世界”为使命，始终专注于研发以智能操作系</w:t>
      </w:r>
      <w:r>
        <w:rPr/>
        <w:t> </w:t>
      </w:r>
      <w:r>
        <w:rPr>
          <w:spacing w:val="-1"/>
        </w:rPr>
        <w:t>统、人工智能视觉算法、智能语音、安全为核心的智能平台技术，公司通过并购视觉技术领先的保加利亚</w:t>
      </w:r>
      <w:r>
        <w:rPr>
          <w:spacing w:val="-86"/>
        </w:rPr>
        <w:t> </w:t>
      </w:r>
      <w:r>
        <w:rPr>
          <w:spacing w:val="-86"/>
        </w:rPr>
      </w:r>
      <w:r>
        <w:rPr>
          <w:rFonts w:ascii="Times New Roman" w:hAnsi="Times New Roman" w:cs="Times New Roman" w:eastAsia="Times New Roman" w:hint="default"/>
        </w:rPr>
        <w:t>MM Solutions</w:t>
      </w:r>
      <w:r>
        <w:rPr>
          <w:rFonts w:ascii="Times New Roman" w:hAnsi="Times New Roman" w:cs="Times New Roman" w:eastAsia="Times New Roman" w:hint="default"/>
          <w:spacing w:val="-37"/>
        </w:rPr>
        <w:t> </w:t>
      </w:r>
      <w:r>
        <w:rPr/>
        <w:t>公司，在智能视觉领域已经居于世界领先水平。公司将继续增强智能视觉、智能语音、安全 </w:t>
      </w:r>
      <w:r>
        <w:rPr>
          <w:spacing w:val="-1"/>
        </w:rPr>
        <w:t>等智能中间件技术，从而为各种智能设备提供智能大脑、智能眼睛、智能耳朵等相关技术。依托智能平台</w:t>
      </w:r>
      <w:r>
        <w:rPr>
          <w:spacing w:val="-86"/>
        </w:rPr>
        <w:t> </w:t>
      </w:r>
      <w:r>
        <w:rPr>
          <w:spacing w:val="-86"/>
        </w:rPr>
      </w:r>
      <w:r>
        <w:rPr>
          <w:spacing w:val="-1"/>
        </w:rPr>
        <w:t>技术，深耕智能手机、智能汽车、智能物联网三大市场。国际化，也将是公司的一个战略举措。公司将积</w:t>
      </w:r>
      <w:r>
        <w:rPr>
          <w:spacing w:val="-83"/>
        </w:rPr>
        <w:t> </w:t>
      </w:r>
      <w:r>
        <w:rPr>
          <w:spacing w:val="-83"/>
        </w:rPr>
      </w:r>
      <w:r>
        <w:rPr>
          <w:spacing w:val="-1"/>
        </w:rPr>
        <w:t>极建立全球行销渠道，强化欧美市场布局，新建印度、马来西亚子公司，加之公司一直深耕的日本、韩国</w:t>
      </w:r>
      <w:r>
        <w:rPr>
          <w:spacing w:val="-83"/>
        </w:rPr>
        <w:t> </w:t>
      </w:r>
      <w:r>
        <w:rPr>
          <w:spacing w:val="-83"/>
        </w:rPr>
      </w:r>
      <w:r>
        <w:rPr>
          <w:spacing w:val="-1"/>
        </w:rPr>
        <w:t>市场，初步建立一个全覆盖的全球行销网络，以扩大公司的全球市场占有率，并逐步探索实现研发资源的</w:t>
      </w:r>
      <w:r>
        <w:rPr>
          <w:spacing w:val="-83"/>
        </w:rPr>
        <w:t> </w:t>
      </w:r>
      <w:r>
        <w:rPr>
          <w:spacing w:val="-83"/>
        </w:rPr>
      </w:r>
      <w:r>
        <w:rPr/>
        <w:t>全球布局。</w:t>
      </w:r>
    </w:p>
    <w:p>
      <w:pPr>
        <w:spacing w:line="240" w:lineRule="auto" w:before="5"/>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二）2018年度公司经营计划" w:id="60"/>
      <w:bookmarkEnd w:id="60"/>
      <w:r>
        <w:rPr/>
      </w:r>
      <w:r>
        <w:rPr>
          <w:rFonts w:ascii="微软雅黑" w:hAnsi="微软雅黑" w:cs="微软雅黑" w:eastAsia="微软雅黑" w:hint="default"/>
        </w:rPr>
        <w:t>（二）</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rFonts w:ascii="微软雅黑" w:hAnsi="微软雅黑" w:cs="微软雅黑" w:eastAsia="微软雅黑" w:hint="default"/>
        </w:rPr>
        <w:t>年度公司经营计划</w:t>
      </w:r>
    </w:p>
    <w:p>
      <w:pPr>
        <w:spacing w:line="240" w:lineRule="auto" w:before="7"/>
        <w:rPr>
          <w:rFonts w:ascii="微软雅黑" w:hAnsi="微软雅黑" w:cs="微软雅黑" w:eastAsia="微软雅黑" w:hint="default"/>
          <w:sz w:val="23"/>
          <w:szCs w:val="23"/>
        </w:rPr>
      </w:pPr>
    </w:p>
    <w:p>
      <w:pPr>
        <w:pStyle w:val="BodyText"/>
        <w:spacing w:line="280" w:lineRule="auto"/>
        <w:ind w:left="1133" w:right="1129"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spacing w:val="-2"/>
        </w:rPr>
        <w:t>年，公司在保持原有智能手机业务持续增长的同时，智能汽车和智能物联网业务收入分别较上年</w:t>
      </w:r>
      <w:r>
        <w:rPr/>
        <w:t> </w:t>
      </w:r>
      <w:r>
        <w:rPr>
          <w:spacing w:val="-1"/>
        </w:rPr>
        <w:t>增有大幅增长，业务模式和技术能力得到了市场和客户的认可。</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1"/>
        </w:rPr>
        <w:t> </w:t>
      </w:r>
      <w:r>
        <w:rPr>
          <w:spacing w:val="-2"/>
        </w:rPr>
        <w:t>年，公司将继续加快智能汽车、智能</w:t>
      </w:r>
      <w:r>
        <w:rPr/>
        <w:t> 物联网业务的发展速度，进一步巩固和提升技术优势。具体经营计划包括：</w:t>
      </w:r>
    </w:p>
    <w:p>
      <w:pPr>
        <w:pStyle w:val="BodyText"/>
        <w:spacing w:line="558" w:lineRule="exact" w:before="46"/>
        <w:ind w:left="1553" w:right="1093"/>
        <w:jc w:val="left"/>
      </w:pPr>
      <w:r>
        <w:rPr>
          <w:rFonts w:ascii="Times New Roman" w:hAnsi="Times New Roman" w:cs="Times New Roman" w:eastAsia="Times New Roman" w:hint="default"/>
        </w:rPr>
        <w:t>1</w:t>
      </w:r>
      <w:r>
        <w:rPr/>
        <w:t>、持续巩固和提升智能手机业务优势 智能手机业务是公司目前的核心业务，随着公司技术实力的持续提升、战略客户合作的进一步深入，</w:t>
      </w:r>
    </w:p>
    <w:p>
      <w:pPr>
        <w:pStyle w:val="BodyText"/>
        <w:spacing w:line="275" w:lineRule="exact"/>
        <w:ind w:left="1133" w:right="0"/>
        <w:jc w:val="both"/>
      </w:pPr>
      <w:r>
        <w:rPr>
          <w:spacing w:val="-2"/>
        </w:rPr>
        <w:t>未来智能手机业务预计会保持持续稳定增长，并为公司发展新业务提供稳定的盈利及现金流保障。</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9"/>
        </w:rPr>
        <w:t> </w:t>
      </w:r>
      <w:r>
        <w:rPr/>
        <w:t>年</w:t>
      </w:r>
    </w:p>
    <w:p>
      <w:pPr>
        <w:pStyle w:val="BodyText"/>
        <w:spacing w:line="288" w:lineRule="auto" w:before="50"/>
        <w:ind w:left="1133" w:right="1131"/>
        <w:jc w:val="both"/>
      </w:pPr>
      <w:r>
        <w:rPr>
          <w:spacing w:val="-1"/>
        </w:rPr>
        <w:t>公司将进一步加强与各类芯片厂商的合作，依托公司在智能视觉、人工智能等方面的技术优势，抓住智能</w:t>
      </w:r>
      <w:r>
        <w:rPr>
          <w:spacing w:val="-83"/>
        </w:rPr>
        <w:t> </w:t>
      </w:r>
      <w:r>
        <w:rPr>
          <w:spacing w:val="-83"/>
        </w:rPr>
      </w:r>
      <w:r>
        <w:rPr/>
        <w:t>终端的行业机会（尤其是 </w:t>
      </w:r>
      <w:r>
        <w:rPr>
          <w:rFonts w:ascii="Times New Roman" w:hAnsi="Times New Roman" w:cs="Times New Roman" w:eastAsia="Times New Roman" w:hint="default"/>
        </w:rPr>
        <w:t>5G</w:t>
      </w:r>
      <w:r>
        <w:rPr>
          <w:rFonts w:ascii="Times New Roman" w:hAnsi="Times New Roman" w:cs="Times New Roman" w:eastAsia="Times New Roman" w:hint="default"/>
          <w:spacing w:val="-19"/>
        </w:rPr>
        <w:t> </w:t>
      </w:r>
      <w:r>
        <w:rPr/>
        <w:t>开始逐步商用），打造行业精品解决方案，并继续提升全球化服务能力，努 力开拓具备重大商业潜力的海外市场。</w:t>
      </w:r>
    </w:p>
    <w:p>
      <w:pPr>
        <w:spacing w:line="240" w:lineRule="auto" w:before="6"/>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2</w:t>
      </w:r>
      <w:r>
        <w:rPr/>
        <w:t>、加大智能汽车业务拓展力度</w:t>
      </w:r>
    </w:p>
    <w:p>
      <w:pPr>
        <w:spacing w:line="240" w:lineRule="auto" w:before="7"/>
        <w:rPr>
          <w:rFonts w:ascii="宋体" w:hAnsi="宋体" w:cs="宋体" w:eastAsia="宋体" w:hint="default"/>
          <w:sz w:val="20"/>
          <w:szCs w:val="20"/>
        </w:rPr>
      </w:pPr>
    </w:p>
    <w:p>
      <w:pPr>
        <w:pStyle w:val="BodyText"/>
        <w:spacing w:line="283" w:lineRule="auto"/>
        <w:ind w:left="1134" w:right="1019" w:firstLine="420"/>
        <w:jc w:val="left"/>
      </w:pPr>
      <w:r>
        <w:rPr/>
        <w:t>公司自 </w:t>
      </w: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t>年进行智能汽车业务领域，经过发展，已经成为业内知名汽车软件系统供应商。公司已 经与多家国内外知名车厂及一级供应商建立了合作关系。汽车前装市场进入门槛高，但进入后客户粘性较 </w:t>
      </w:r>
      <w:r>
        <w:rPr>
          <w:spacing w:val="-4"/>
        </w:rPr>
        <w:t>大。</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2"/>
        </w:rPr>
        <w:t> </w:t>
      </w:r>
      <w:r>
        <w:rPr/>
        <w:t>年公司将借助现有客户基础持续在智能汽车市场发力，并继续整合全球销售渠道，重点提升欧美 及韩国的市场份额。公司将通过加强核心产品的交付能力建设，形成竞争壁垒。公司已于</w:t>
      </w:r>
      <w:r>
        <w:rPr>
          <w:spacing w:val="-3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日完成了对芬兰</w:t>
      </w:r>
      <w:r>
        <w:rPr>
          <w:spacing w:val="-57"/>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5"/>
        </w:rPr>
        <w:t> </w:t>
      </w:r>
      <w:r>
        <w:rPr/>
        <w:t>公司的收购。</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年，公司将大力建设</w:t>
      </w:r>
      <w:r>
        <w:rPr>
          <w:spacing w:val="-57"/>
        </w:rPr>
        <w:t> </w:t>
      </w:r>
      <w:r>
        <w:rPr>
          <w:rFonts w:ascii="Times New Roman" w:hAnsi="Times New Roman" w:cs="Times New Roman" w:eastAsia="Times New Roman" w:hint="default"/>
        </w:rPr>
        <w:t>Kanzi</w:t>
      </w:r>
      <w:r>
        <w:rPr>
          <w:rFonts w:ascii="Times New Roman" w:hAnsi="Times New Roman" w:cs="Times New Roman" w:eastAsia="Times New Roman" w:hint="default"/>
          <w:spacing w:val="-15"/>
        </w:rPr>
        <w:t> </w:t>
      </w:r>
      <w:r>
        <w:rPr/>
        <w:t>生态和</w:t>
      </w:r>
      <w:r>
        <w:rPr>
          <w:spacing w:val="-57"/>
        </w:rPr>
        <w:t> </w:t>
      </w:r>
      <w:r>
        <w:rPr>
          <w:rFonts w:ascii="Times New Roman" w:hAnsi="Times New Roman" w:cs="Times New Roman" w:eastAsia="Times New Roman" w:hint="default"/>
        </w:rPr>
        <w:t>Kanzi</w:t>
      </w:r>
      <w:r>
        <w:rPr>
          <w:rFonts w:ascii="Times New Roman" w:hAnsi="Times New Roman" w:cs="Times New Roman" w:eastAsia="Times New Roman" w:hint="default"/>
          <w:spacing w:val="-15"/>
        </w:rPr>
        <w:t> </w:t>
      </w:r>
      <w:r>
        <w:rPr/>
        <w:t>的服务、支持能力， 以实现有效整合和业务协同，以保证并购效果的最优化。</w:t>
      </w:r>
    </w:p>
    <w:p>
      <w:pPr>
        <w:spacing w:line="240" w:lineRule="auto" w:before="1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3</w:t>
      </w:r>
      <w:r>
        <w:rPr/>
        <w:t>、巩固智能物联网领域的技术优势和客户基础</w:t>
      </w:r>
    </w:p>
    <w:p>
      <w:pPr>
        <w:spacing w:after="0" w:line="240" w:lineRule="auto"/>
        <w:jc w:val="left"/>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80" w:lineRule="auto" w:before="35"/>
        <w:ind w:left="1133" w:right="1129" w:firstLine="420"/>
        <w:jc w:val="both"/>
      </w:pPr>
      <w:r>
        <w:rPr>
          <w:spacing w:val="-2"/>
        </w:rPr>
        <w:t>公司在智能物联网领域已经形成了面向智能相机、</w:t>
      </w:r>
      <w:r>
        <w:rPr>
          <w:rFonts w:ascii="Times New Roman" w:hAnsi="Times New Roman" w:cs="Times New Roman" w:eastAsia="Times New Roman" w:hint="default"/>
          <w:spacing w:val="-2"/>
        </w:rPr>
        <w:t>VR/AR</w:t>
      </w:r>
      <w:r>
        <w:rPr>
          <w:spacing w:val="-2"/>
        </w:rPr>
        <w:t>、机器人、工业</w:t>
      </w:r>
      <w:r>
        <w:rPr>
          <w:spacing w:val="-39"/>
        </w:rPr>
        <w:t> </w:t>
      </w:r>
      <w:r>
        <w:rPr>
          <w:rFonts w:ascii="Times New Roman" w:hAnsi="Times New Roman" w:cs="Times New Roman" w:eastAsia="Times New Roman" w:hint="default"/>
          <w:spacing w:val="-3"/>
        </w:rPr>
        <w:t>IoT</w:t>
      </w:r>
      <w:r>
        <w:rPr>
          <w:spacing w:val="-3"/>
        </w:rPr>
        <w:t>、无人机的“芯片</w:t>
      </w:r>
      <w:r>
        <w:rPr>
          <w:rFonts w:ascii="Times New Roman" w:hAnsi="Times New Roman" w:cs="Times New Roman" w:eastAsia="Times New Roman" w:hint="default"/>
          <w:spacing w:val="-3"/>
        </w:rPr>
        <w:t>+</w:t>
      </w:r>
      <w:r>
        <w:rPr>
          <w:spacing w:val="-3"/>
        </w:rPr>
        <w:t>操作</w:t>
      </w:r>
      <w:r>
        <w:rPr/>
        <w:t> 系统</w:t>
      </w:r>
      <w:r>
        <w:rPr>
          <w:rFonts w:ascii="Times New Roman" w:hAnsi="Times New Roman" w:cs="Times New Roman" w:eastAsia="Times New Roman" w:hint="default"/>
        </w:rPr>
        <w:t>+</w:t>
      </w:r>
      <w:r>
        <w:rPr/>
        <w:t>核心算法”的模块化产品，客户遍及行业主流厂商。</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年公司将以</w:t>
      </w:r>
      <w:r>
        <w:rPr>
          <w:spacing w:val="-62"/>
        </w:rPr>
        <w:t> </w:t>
      </w:r>
      <w:r>
        <w:rPr>
          <w:rFonts w:ascii="Times New Roman" w:hAnsi="Times New Roman" w:cs="Times New Roman" w:eastAsia="Times New Roman" w:hint="default"/>
        </w:rPr>
        <w:t>SoM</w:t>
      </w:r>
      <w:r>
        <w:rPr>
          <w:rFonts w:ascii="Times New Roman" w:hAnsi="Times New Roman" w:cs="Times New Roman" w:eastAsia="Times New Roman" w:hint="default"/>
          <w:spacing w:val="-18"/>
        </w:rPr>
        <w:t> </w:t>
      </w:r>
      <w:r>
        <w:rPr>
          <w:spacing w:val="-3"/>
        </w:rPr>
        <w:t>产品、智能视觉、智能语</w:t>
      </w:r>
      <w:r>
        <w:rPr/>
        <w:t> 音、</w:t>
      </w:r>
      <w:r>
        <w:rPr>
          <w:rFonts w:ascii="Times New Roman" w:hAnsi="Times New Roman" w:cs="Times New Roman" w:eastAsia="Times New Roman" w:hint="default"/>
        </w:rPr>
        <w:t>FoTA</w:t>
      </w:r>
      <w:r>
        <w:rPr>
          <w:rFonts w:ascii="Times New Roman" w:hAnsi="Times New Roman" w:cs="Times New Roman" w:eastAsia="Times New Roman" w:hint="default"/>
          <w:spacing w:val="45"/>
        </w:rPr>
        <w:t> </w:t>
      </w:r>
      <w:r>
        <w:rPr/>
        <w:t>等技术为切入点，构建智能物联网生态，强化垂直行业产品和智能系统平台技术，抓住市场机</w:t>
      </w:r>
      <w:r>
        <w:rPr>
          <w:spacing w:val="-103"/>
        </w:rPr>
        <w:t> </w:t>
      </w:r>
      <w:r>
        <w:rPr>
          <w:spacing w:val="-103"/>
        </w:rPr>
      </w:r>
      <w:r>
        <w:rPr/>
        <w:t>遇，积累更多行业客户，尤其是欧美和日本客户，确保营业收入的持续快速增长。</w:t>
      </w:r>
    </w:p>
    <w:p>
      <w:pPr>
        <w:pStyle w:val="BodyText"/>
        <w:spacing w:line="560" w:lineRule="exact" w:before="45"/>
        <w:ind w:left="1553" w:right="0"/>
        <w:jc w:val="left"/>
      </w:pPr>
      <w:r>
        <w:rPr>
          <w:rFonts w:ascii="Times New Roman" w:hAnsi="Times New Roman" w:cs="Times New Roman" w:eastAsia="Times New Roman" w:hint="default"/>
        </w:rPr>
        <w:t>4</w:t>
      </w:r>
      <w:r>
        <w:rPr/>
        <w:t>、以智能视觉技术为切入点，积极进入人工智能领域 </w:t>
      </w:r>
      <w:r>
        <w:rPr>
          <w:spacing w:val="-1"/>
        </w:rPr>
        <w:t>随着人工智能技术的快速发展，用户需求不断涌现。公司将依托在智能视觉方面已经积累起来的技术</w:t>
      </w:r>
    </w:p>
    <w:p>
      <w:pPr>
        <w:pStyle w:val="BodyText"/>
        <w:spacing w:line="273" w:lineRule="exact"/>
        <w:ind w:left="1133" w:right="0"/>
        <w:jc w:val="both"/>
        <w:rPr>
          <w:rFonts w:ascii="Times New Roman" w:hAnsi="Times New Roman" w:cs="Times New Roman" w:eastAsia="Times New Roman" w:hint="default"/>
        </w:rPr>
      </w:pPr>
      <w:r>
        <w:rPr/>
        <w:t>基础，研发和优化面向智能终端、场景端的图形图像算法及整体解决方案落地。公司已于</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28</w:t>
      </w:r>
    </w:p>
    <w:p>
      <w:pPr>
        <w:pStyle w:val="BodyText"/>
        <w:spacing w:line="280" w:lineRule="auto" w:before="50"/>
        <w:ind w:left="1133" w:right="1057"/>
        <w:jc w:val="both"/>
      </w:pPr>
      <w:r>
        <w:rPr/>
        <w:t>日完成对</w:t>
      </w:r>
      <w:r>
        <w:rPr>
          <w:spacing w:val="-53"/>
        </w:rPr>
        <w:t> </w:t>
      </w:r>
      <w:r>
        <w:rPr>
          <w:rFonts w:ascii="Times New Roman" w:hAnsi="Times New Roman" w:cs="Times New Roman" w:eastAsia="Times New Roman" w:hint="default"/>
        </w:rPr>
        <w:t>MM</w:t>
      </w:r>
      <w:r>
        <w:rPr>
          <w:rFonts w:ascii="Times New Roman" w:hAnsi="Times New Roman" w:cs="Times New Roman" w:eastAsia="Times New Roman" w:hint="default"/>
          <w:spacing w:val="-1"/>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3"/>
        </w:rPr>
        <w:t> </w:t>
      </w:r>
      <w:r>
        <w:rPr/>
        <w:t>公司的收购。通过本次收购，公司将充分整合双方的核心技术，为垂直行业赋能， 提升公司在全球嵌入式视觉及人工智能领域的市场竞争地位。</w:t>
      </w:r>
    </w:p>
    <w:p>
      <w:pPr>
        <w:pStyle w:val="BodyText"/>
        <w:spacing w:line="560" w:lineRule="exact" w:before="44"/>
        <w:ind w:left="1553" w:right="0"/>
        <w:jc w:val="left"/>
      </w:pPr>
      <w:r>
        <w:rPr>
          <w:rFonts w:ascii="Times New Roman" w:hAnsi="Times New Roman" w:cs="Times New Roman" w:eastAsia="Times New Roman" w:hint="default"/>
        </w:rPr>
        <w:t>5</w:t>
      </w:r>
      <w:r>
        <w:rPr/>
        <w:t>、进一步引进和培养人才 </w:t>
      </w:r>
      <w:r>
        <w:rPr>
          <w:spacing w:val="-1"/>
        </w:rPr>
        <w:t>人才是公司的核心竞争力。公司成立以来一直坚持以人为本，注重人才的引进和培养。公司的人才引</w:t>
      </w:r>
    </w:p>
    <w:p>
      <w:pPr>
        <w:pStyle w:val="BodyText"/>
        <w:spacing w:line="257" w:lineRule="exact"/>
        <w:ind w:left="1133" w:right="0"/>
        <w:jc w:val="both"/>
      </w:pPr>
      <w:r>
        <w:rPr/>
        <w:t>进将集中体现在技术人才、营销人才和管理人才三大领域。同时，公司将探索先进的人才培养制度，为优</w:t>
      </w:r>
    </w:p>
    <w:p>
      <w:pPr>
        <w:pStyle w:val="BodyText"/>
        <w:spacing w:line="240" w:lineRule="auto" w:before="66"/>
        <w:ind w:left="1133" w:right="0"/>
        <w:jc w:val="both"/>
      </w:pPr>
      <w:r>
        <w:rPr/>
        <w:t>秀人才提供良好的职业发展平台。</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三）可能面对的风险" w:id="61"/>
      <w:bookmarkEnd w:id="61"/>
      <w:r>
        <w:rPr/>
      </w:r>
      <w:r>
        <w:rPr>
          <w:rFonts w:ascii="微软雅黑" w:hAnsi="微软雅黑" w:cs="微软雅黑" w:eastAsia="微软雅黑" w:hint="default"/>
        </w:rPr>
        <w:t>（三）可能面对的风险</w:t>
      </w:r>
    </w:p>
    <w:p>
      <w:pPr>
        <w:pStyle w:val="BodyText"/>
        <w:spacing w:line="540" w:lineRule="atLeast" w:before="155"/>
        <w:ind w:right="0"/>
        <w:jc w:val="left"/>
      </w:pPr>
      <w:r>
        <w:rPr>
          <w:rFonts w:ascii="Times New Roman" w:hAnsi="Times New Roman" w:cs="Times New Roman" w:eastAsia="Times New Roman" w:hint="default"/>
        </w:rPr>
        <w:t>1</w:t>
      </w:r>
      <w:r>
        <w:rPr/>
        <w:t>、下游市场不确定性较高的风险 </w:t>
      </w:r>
      <w:r>
        <w:rPr>
          <w:spacing w:val="-1"/>
        </w:rPr>
        <w:t>公司主营业务面向的领域主要包括智能手机、智能汽车和智能物联网，其中智能物联网是公司大力拓</w:t>
      </w:r>
    </w:p>
    <w:p>
      <w:pPr>
        <w:pStyle w:val="BodyText"/>
        <w:spacing w:line="297" w:lineRule="auto" w:before="64"/>
        <w:ind w:left="1134" w:right="1025"/>
        <w:jc w:val="both"/>
      </w:pPr>
      <w:r>
        <w:rPr/>
        <w:t>展的战略业务。智能物联网业务具有海量的市场规模，但与传统的智能手机业务相比在行业发展趋势、市 场竞争格局、市场参与者特点等方面均有较大差异。并且由于市场刚刚起步，市场存在热点分散，此起彼 </w:t>
      </w:r>
      <w:r>
        <w:rPr>
          <w:spacing w:val="-3"/>
        </w:rPr>
        <w:t>伏的现象。如果公司不能把握行业特点，客户拓展进度和订单数量不及预期，将对公司业绩造成不利影响。</w:t>
      </w:r>
    </w:p>
    <w:p>
      <w:pPr>
        <w:spacing w:line="240" w:lineRule="auto" w:before="10"/>
        <w:rPr>
          <w:rFonts w:ascii="宋体" w:hAnsi="宋体" w:cs="宋体" w:eastAsia="宋体" w:hint="default"/>
          <w:sz w:val="17"/>
          <w:szCs w:val="17"/>
        </w:rPr>
      </w:pPr>
    </w:p>
    <w:p>
      <w:pPr>
        <w:pStyle w:val="BodyText"/>
        <w:spacing w:line="297" w:lineRule="auto"/>
        <w:ind w:left="1134" w:right="1131" w:firstLine="420"/>
        <w:jc w:val="both"/>
      </w:pPr>
      <w:r>
        <w:rPr>
          <w:spacing w:val="-1"/>
        </w:rPr>
        <w:t>针对上述风险，公司组建针对不同领域的专业市场团队，加强与客户的沟通和协作，积极了解客户需</w:t>
      </w:r>
      <w:r>
        <w:rPr/>
        <w:t> 求，已经取得部分确定的订单。公司通过预收货款、分期采购和交付等方式进一步降低财务风险。</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w:t>
      </w:r>
      <w:r>
        <w:rPr/>
        <w:t>、应收账款发生坏账的风险</w:t>
      </w:r>
    </w:p>
    <w:p>
      <w:pPr>
        <w:spacing w:line="240" w:lineRule="auto" w:before="6"/>
        <w:rPr>
          <w:rFonts w:ascii="宋体" w:hAnsi="宋体" w:cs="宋体" w:eastAsia="宋体" w:hint="default"/>
          <w:sz w:val="20"/>
          <w:szCs w:val="20"/>
        </w:rPr>
      </w:pPr>
    </w:p>
    <w:p>
      <w:pPr>
        <w:pStyle w:val="BodyText"/>
        <w:spacing w:line="290" w:lineRule="auto"/>
        <w:ind w:left="1133" w:right="1130" w:firstLine="420"/>
        <w:jc w:val="both"/>
      </w:pPr>
      <w:r>
        <w:rPr/>
        <w:t>截至报告期末，公司应收账款余额</w:t>
      </w:r>
      <w:r>
        <w:rPr>
          <w:spacing w:val="-42"/>
        </w:rPr>
        <w:t> </w:t>
      </w:r>
      <w:r>
        <w:rPr>
          <w:rFonts w:ascii="Times New Roman" w:hAnsi="Times New Roman" w:cs="Times New Roman" w:eastAsia="Times New Roman" w:hint="default"/>
        </w:rPr>
        <w:t>40,566.70</w:t>
      </w:r>
      <w:r>
        <w:rPr>
          <w:rFonts w:ascii="Times New Roman" w:hAnsi="Times New Roman" w:cs="Times New Roman" w:eastAsia="Times New Roman" w:hint="default"/>
          <w:spacing w:val="-10"/>
        </w:rPr>
        <w:t> </w:t>
      </w:r>
      <w:r>
        <w:rPr/>
        <w:t>万元，占资产总额的比例为</w:t>
      </w:r>
      <w:r>
        <w:rPr>
          <w:spacing w:val="-42"/>
        </w:rPr>
        <w:t> </w:t>
      </w:r>
      <w:r>
        <w:rPr>
          <w:rFonts w:ascii="Times New Roman" w:hAnsi="Times New Roman" w:cs="Times New Roman" w:eastAsia="Times New Roman" w:hint="default"/>
        </w:rPr>
        <w:t>15.26%</w:t>
      </w:r>
      <w:r>
        <w:rPr/>
        <w:t>。应收账款已按照坏 </w:t>
      </w:r>
      <w:r>
        <w:rPr>
          <w:spacing w:val="-1"/>
        </w:rPr>
        <w:t>账准备计提政策提取了坏账准备。尽管公司报告期内并未出现大额坏账，但应收账款绝对金额及占总资产</w:t>
      </w:r>
      <w:r>
        <w:rPr>
          <w:spacing w:val="-81"/>
        </w:rPr>
        <w:t> </w:t>
      </w:r>
      <w:r>
        <w:rPr>
          <w:spacing w:val="-81"/>
        </w:rPr>
      </w:r>
      <w:r>
        <w:rPr/>
        <w:t>的相对比重仍然较高，不能排除未来出现应收账款无法收回而损害公司利益的情形。</w:t>
      </w:r>
    </w:p>
    <w:p>
      <w:pPr>
        <w:spacing w:line="240" w:lineRule="auto" w:before="4"/>
        <w:rPr>
          <w:rFonts w:ascii="宋体" w:hAnsi="宋体" w:cs="宋体" w:eastAsia="宋体" w:hint="default"/>
          <w:sz w:val="18"/>
          <w:szCs w:val="18"/>
        </w:rPr>
      </w:pPr>
    </w:p>
    <w:p>
      <w:pPr>
        <w:pStyle w:val="BodyText"/>
        <w:spacing w:line="297" w:lineRule="auto"/>
        <w:ind w:left="1133" w:right="1131" w:firstLine="420"/>
        <w:jc w:val="both"/>
      </w:pPr>
      <w:r>
        <w:rPr>
          <w:spacing w:val="-1"/>
        </w:rPr>
        <w:t>针对上述风险，公司进一步加强与客户的沟通，并通过分阶段预收款等方式控制财务风险。同时公司</w:t>
      </w:r>
      <w:r>
        <w:rPr/>
        <w:t> 注重与客户建立长期合作关系，不断为客户创造价值。</w:t>
      </w:r>
    </w:p>
    <w:p>
      <w:pPr>
        <w:pStyle w:val="BodyText"/>
        <w:spacing w:line="560" w:lineRule="exact" w:before="30"/>
        <w:ind w:right="0"/>
        <w:jc w:val="left"/>
      </w:pPr>
      <w:r>
        <w:rPr>
          <w:rFonts w:ascii="Times New Roman" w:hAnsi="Times New Roman" w:cs="Times New Roman" w:eastAsia="Times New Roman" w:hint="default"/>
        </w:rPr>
        <w:t>3</w:t>
      </w:r>
      <w:r>
        <w:rPr/>
        <w:t>、客户集中度较高的风险 </w:t>
      </w:r>
      <w:r>
        <w:rPr>
          <w:spacing w:val="-1"/>
        </w:rPr>
        <w:t>公司面向智能手机行业的客户主要为大型国际知名芯片厂商和智能终端厂商。报告期内公司来自前五</w:t>
      </w:r>
    </w:p>
    <w:p>
      <w:pPr>
        <w:pStyle w:val="BodyText"/>
        <w:spacing w:line="273" w:lineRule="exact"/>
        <w:ind w:left="1134" w:right="0"/>
        <w:jc w:val="both"/>
      </w:pPr>
      <w:r>
        <w:rPr/>
        <w:t>名客户的收入占营业收入的比重分别为</w:t>
      </w:r>
      <w:r>
        <w:rPr>
          <w:spacing w:val="-55"/>
        </w:rPr>
        <w:t> </w:t>
      </w:r>
      <w:r>
        <w:rPr>
          <w:rFonts w:ascii="Times New Roman" w:hAnsi="Times New Roman" w:cs="Times New Roman" w:eastAsia="Times New Roman" w:hint="default"/>
        </w:rPr>
        <w:t>13.95%</w:t>
      </w:r>
      <w:r>
        <w:rPr/>
        <w:t>、</w:t>
      </w:r>
      <w:r>
        <w:rPr>
          <w:rFonts w:ascii="Times New Roman" w:hAnsi="Times New Roman" w:cs="Times New Roman" w:eastAsia="Times New Roman" w:hint="default"/>
        </w:rPr>
        <w:t>10.57%</w:t>
      </w:r>
      <w:r>
        <w:rPr/>
        <w:t>、</w:t>
      </w:r>
      <w:r>
        <w:rPr>
          <w:rFonts w:ascii="Times New Roman" w:hAnsi="Times New Roman" w:cs="Times New Roman" w:eastAsia="Times New Roman" w:hint="default"/>
        </w:rPr>
        <w:t>7.07%</w:t>
      </w:r>
      <w:r>
        <w:rPr/>
        <w:t>、</w:t>
      </w:r>
      <w:r>
        <w:rPr>
          <w:rFonts w:ascii="Times New Roman" w:hAnsi="Times New Roman" w:cs="Times New Roman" w:eastAsia="Times New Roman" w:hint="default"/>
        </w:rPr>
        <w:t>6.50%</w:t>
      </w:r>
      <w:r>
        <w:rPr/>
        <w:t>和</w:t>
      </w:r>
      <w:r>
        <w:rPr>
          <w:spacing w:val="-56"/>
        </w:rPr>
        <w:t> </w:t>
      </w:r>
      <w:r>
        <w:rPr>
          <w:rFonts w:ascii="Times New Roman" w:hAnsi="Times New Roman" w:cs="Times New Roman" w:eastAsia="Times New Roman" w:hint="default"/>
        </w:rPr>
        <w:t>5.34%</w:t>
      </w:r>
      <w:r>
        <w:rPr/>
        <w:t>，客户集中度较高。</w:t>
      </w:r>
    </w:p>
    <w:p>
      <w:pPr>
        <w:spacing w:line="240" w:lineRule="auto" w:before="7"/>
        <w:rPr>
          <w:rFonts w:ascii="宋体" w:hAnsi="宋体" w:cs="宋体" w:eastAsia="宋体" w:hint="default"/>
          <w:sz w:val="20"/>
          <w:szCs w:val="20"/>
        </w:rPr>
      </w:pPr>
    </w:p>
    <w:p>
      <w:pPr>
        <w:pStyle w:val="BodyText"/>
        <w:spacing w:line="240" w:lineRule="auto"/>
        <w:ind w:left="1553" w:right="0"/>
        <w:jc w:val="left"/>
      </w:pPr>
      <w:r>
        <w:rPr/>
        <w:t>针对上述风险，公司在不断引领和满足客户需求的同时，持续拓展新的市场和客户，努力扩大客户规</w:t>
      </w:r>
    </w:p>
    <w:p>
      <w:pPr>
        <w:spacing w:after="0" w:line="240" w:lineRule="auto"/>
        <w:jc w:val="left"/>
        <w:sectPr>
          <w:pgSz w:w="11910" w:h="16840"/>
          <w:pgMar w:header="877" w:footer="979" w:top="1060" w:bottom="1160" w:left="0" w:right="0"/>
        </w:sectPr>
      </w:pPr>
    </w:p>
    <w:p>
      <w:pPr>
        <w:spacing w:line="240" w:lineRule="auto" w:before="1"/>
        <w:rPr>
          <w:rFonts w:ascii="宋体" w:hAnsi="宋体" w:cs="宋体" w:eastAsia="宋体" w:hint="default"/>
          <w:sz w:val="23"/>
          <w:szCs w:val="23"/>
        </w:rPr>
      </w:pPr>
    </w:p>
    <w:p>
      <w:pPr>
        <w:pStyle w:val="BodyText"/>
        <w:spacing w:line="240" w:lineRule="auto" w:before="35"/>
        <w:ind w:left="1133" w:right="0"/>
        <w:jc w:val="left"/>
      </w:pPr>
      <w:r>
        <w:rPr/>
        <w:t>模、提升自身的技术实力，持续为客户创造长期价值。</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4</w:t>
      </w:r>
      <w:r>
        <w:rPr/>
        <w:t>、跨境并购整合失败的风险</w:t>
      </w:r>
    </w:p>
    <w:p>
      <w:pPr>
        <w:spacing w:line="240" w:lineRule="auto" w:before="7"/>
        <w:rPr>
          <w:rFonts w:ascii="宋体" w:hAnsi="宋体" w:cs="宋体" w:eastAsia="宋体" w:hint="default"/>
          <w:sz w:val="20"/>
          <w:szCs w:val="20"/>
        </w:rPr>
      </w:pPr>
    </w:p>
    <w:p>
      <w:pPr>
        <w:pStyle w:val="BodyText"/>
        <w:spacing w:line="288" w:lineRule="auto"/>
        <w:ind w:left="1134" w:right="1131" w:firstLine="420"/>
        <w:jc w:val="both"/>
      </w:pPr>
      <w:r>
        <w:rPr>
          <w:spacing w:val="-3"/>
        </w:rPr>
        <w:t>截至报告期末，公司商誉</w:t>
      </w:r>
      <w:r>
        <w:rPr>
          <w:spacing w:val="-58"/>
        </w:rPr>
        <w:t> </w:t>
      </w:r>
      <w:r>
        <w:rPr>
          <w:rFonts w:ascii="Times New Roman" w:hAnsi="Times New Roman" w:cs="Times New Roman" w:eastAsia="Times New Roman" w:hint="default"/>
        </w:rPr>
        <w:t>23,942.23</w:t>
      </w:r>
      <w:r>
        <w:rPr>
          <w:rFonts w:ascii="Times New Roman" w:hAnsi="Times New Roman" w:cs="Times New Roman" w:eastAsia="Times New Roman" w:hint="default"/>
          <w:spacing w:val="-16"/>
        </w:rPr>
        <w:t> </w:t>
      </w:r>
      <w:r>
        <w:rPr>
          <w:spacing w:val="-3"/>
        </w:rPr>
        <w:t>万元，占资产总额的比例为</w:t>
      </w:r>
      <w:r>
        <w:rPr>
          <w:spacing w:val="-58"/>
        </w:rPr>
        <w:t> </w:t>
      </w:r>
      <w:r>
        <w:rPr>
          <w:rFonts w:ascii="Times New Roman" w:hAnsi="Times New Roman" w:cs="Times New Roman" w:eastAsia="Times New Roman" w:hint="default"/>
        </w:rPr>
        <w:t>9.01%</w:t>
      </w:r>
      <w:r>
        <w:rPr/>
        <w:t>。公司上市后充分借助资本市场 </w:t>
      </w:r>
      <w:r>
        <w:rPr>
          <w:spacing w:val="-1"/>
        </w:rPr>
        <w:t>的力量加快发展，积极收购境外优质资产。由于管理水平差异、文化差异等因素还可能存在收购后未能有</w:t>
      </w:r>
      <w:r>
        <w:rPr>
          <w:spacing w:val="-83"/>
        </w:rPr>
        <w:t> </w:t>
      </w:r>
      <w:r>
        <w:rPr>
          <w:spacing w:val="-83"/>
        </w:rPr>
      </w:r>
      <w:r>
        <w:rPr/>
        <w:t>效整合的风险。</w:t>
      </w:r>
    </w:p>
    <w:p>
      <w:pPr>
        <w:spacing w:line="240" w:lineRule="auto" w:before="6"/>
        <w:rPr>
          <w:rFonts w:ascii="宋体" w:hAnsi="宋体" w:cs="宋体" w:eastAsia="宋体" w:hint="default"/>
          <w:sz w:val="18"/>
          <w:szCs w:val="18"/>
        </w:rPr>
      </w:pPr>
    </w:p>
    <w:p>
      <w:pPr>
        <w:pStyle w:val="BodyText"/>
        <w:spacing w:line="297" w:lineRule="auto"/>
        <w:ind w:left="1134" w:right="1131" w:firstLine="420"/>
        <w:jc w:val="both"/>
      </w:pPr>
      <w:r>
        <w:rPr>
          <w:spacing w:val="-1"/>
        </w:rPr>
        <w:t>针对上述风险，公司与被并购公司讨论确定战略愿景与定位，认真细致地分析业务发展战略及发展计</w:t>
      </w:r>
      <w:r>
        <w:rPr/>
        <w:t> </w:t>
      </w:r>
      <w:r>
        <w:rPr>
          <w:spacing w:val="-1"/>
        </w:rPr>
        <w:t>划，明确经营重点及产品研发方向。尊重被并购公司原有企业文化，并将公司文化适当融入，保证核心管</w:t>
      </w:r>
      <w:r>
        <w:rPr>
          <w:spacing w:val="-86"/>
        </w:rPr>
        <w:t> </w:t>
      </w:r>
      <w:r>
        <w:rPr>
          <w:spacing w:val="-86"/>
        </w:rPr>
      </w:r>
      <w:r>
        <w:rPr/>
        <w:t>理团队、业务团队的稳定性，提升并购整合的成功率。</w:t>
      </w:r>
    </w:p>
    <w:p>
      <w:pPr>
        <w:pStyle w:val="BodyText"/>
        <w:spacing w:line="560" w:lineRule="exact" w:before="30"/>
        <w:ind w:right="1119"/>
        <w:jc w:val="left"/>
        <w:rPr>
          <w:rFonts w:ascii="Times New Roman" w:hAnsi="Times New Roman" w:cs="Times New Roman" w:eastAsia="Times New Roman" w:hint="default"/>
        </w:rPr>
      </w:pPr>
      <w:r>
        <w:rPr>
          <w:rFonts w:ascii="Times New Roman" w:hAnsi="Times New Roman" w:cs="Times New Roman" w:eastAsia="Times New Roman" w:hint="default"/>
        </w:rPr>
        <w:t>5</w:t>
      </w:r>
      <w:r>
        <w:rPr/>
        <w:t>、研发投入效果不及预期的风险 作为以技术为本的操作系统厂商，公司十分重视研发投入。最近三年公司研发费用分别为</w:t>
      </w:r>
      <w:r>
        <w:rPr>
          <w:spacing w:val="78"/>
        </w:rPr>
        <w:t> </w:t>
      </w:r>
      <w:r>
        <w:rPr>
          <w:rFonts w:ascii="Times New Roman" w:hAnsi="Times New Roman" w:cs="Times New Roman" w:eastAsia="Times New Roman" w:hint="default"/>
        </w:rPr>
        <w:t>14,439.44</w:t>
      </w:r>
    </w:p>
    <w:p>
      <w:pPr>
        <w:pStyle w:val="BodyText"/>
        <w:spacing w:line="273" w:lineRule="exact"/>
        <w:ind w:left="1133" w:right="0"/>
        <w:jc w:val="left"/>
      </w:pPr>
      <w:r>
        <w:rPr/>
        <w:t>万元、</w:t>
      </w:r>
      <w:r>
        <w:rPr>
          <w:rFonts w:ascii="Times New Roman" w:hAnsi="Times New Roman" w:cs="Times New Roman" w:eastAsia="Times New Roman" w:hint="default"/>
        </w:rPr>
        <w:t>14,665.99</w:t>
      </w:r>
      <w:r>
        <w:rPr>
          <w:rFonts w:ascii="Times New Roman" w:hAnsi="Times New Roman" w:cs="Times New Roman" w:eastAsia="Times New Roman" w:hint="default"/>
          <w:spacing w:val="-12"/>
        </w:rPr>
        <w:t> </w:t>
      </w:r>
      <w:r>
        <w:rPr/>
        <w:t>万元和</w:t>
      </w:r>
      <w:r>
        <w:rPr>
          <w:spacing w:val="-56"/>
        </w:rPr>
        <w:t> </w:t>
      </w:r>
      <w:r>
        <w:rPr>
          <w:rFonts w:ascii="Times New Roman" w:hAnsi="Times New Roman" w:cs="Times New Roman" w:eastAsia="Times New Roman" w:hint="default"/>
        </w:rPr>
        <w:t>11,576.91</w:t>
      </w:r>
      <w:r>
        <w:rPr>
          <w:rFonts w:ascii="Times New Roman" w:hAnsi="Times New Roman" w:cs="Times New Roman" w:eastAsia="Times New Roman" w:hint="default"/>
          <w:spacing w:val="-12"/>
        </w:rPr>
        <w:t> </w:t>
      </w:r>
      <w:r>
        <w:rPr/>
        <w:t>万元，占同期营业收入的比重分别达到</w:t>
      </w:r>
      <w:r>
        <w:rPr>
          <w:spacing w:val="-54"/>
        </w:rPr>
        <w:t> </w:t>
      </w:r>
      <w:r>
        <w:rPr>
          <w:rFonts w:ascii="Times New Roman" w:hAnsi="Times New Roman" w:cs="Times New Roman" w:eastAsia="Times New Roman" w:hint="default"/>
        </w:rPr>
        <w:t>12.42%</w:t>
      </w:r>
      <w:r>
        <w:rPr/>
        <w:t>、</w:t>
      </w:r>
      <w:r>
        <w:rPr>
          <w:rFonts w:ascii="Times New Roman" w:hAnsi="Times New Roman" w:cs="Times New Roman" w:eastAsia="Times New Roman" w:hint="default"/>
        </w:rPr>
        <w:t>17.3%</w:t>
      </w:r>
      <w:r>
        <w:rPr/>
        <w:t>和</w:t>
      </w:r>
      <w:r>
        <w:rPr>
          <w:spacing w:val="-55"/>
        </w:rPr>
        <w:t> </w:t>
      </w:r>
      <w:r>
        <w:rPr>
          <w:rFonts w:ascii="Times New Roman" w:hAnsi="Times New Roman" w:cs="Times New Roman" w:eastAsia="Times New Roman" w:hint="default"/>
        </w:rPr>
        <w:t>18.81%</w:t>
      </w:r>
      <w:r>
        <w:rPr/>
        <w:t>，研发</w:t>
      </w:r>
    </w:p>
    <w:p>
      <w:pPr>
        <w:pStyle w:val="BodyText"/>
        <w:spacing w:line="297" w:lineRule="auto" w:before="50"/>
        <w:ind w:left="1133" w:right="0"/>
        <w:jc w:val="left"/>
      </w:pPr>
      <w:r>
        <w:rPr>
          <w:spacing w:val="-1"/>
        </w:rPr>
        <w:t>投入较高。如果公司研发投入未能取得预期效果、未能形成新产品和知识产权并最终取得销售收入，将对</w:t>
      </w:r>
      <w:r>
        <w:rPr>
          <w:spacing w:val="-83"/>
        </w:rPr>
        <w:t> </w:t>
      </w:r>
      <w:r>
        <w:rPr>
          <w:spacing w:val="-83"/>
        </w:rPr>
      </w:r>
      <w:r>
        <w:rPr/>
        <w:t>公司业绩造成不利影响。</w:t>
      </w:r>
    </w:p>
    <w:p>
      <w:pPr>
        <w:spacing w:line="240" w:lineRule="auto" w:before="10"/>
        <w:rPr>
          <w:rFonts w:ascii="宋体" w:hAnsi="宋体" w:cs="宋体" w:eastAsia="宋体" w:hint="default"/>
          <w:sz w:val="17"/>
          <w:szCs w:val="17"/>
        </w:rPr>
      </w:pPr>
    </w:p>
    <w:p>
      <w:pPr>
        <w:pStyle w:val="BodyText"/>
        <w:spacing w:line="297" w:lineRule="auto"/>
        <w:ind w:left="1133" w:right="1131" w:firstLine="420"/>
        <w:jc w:val="both"/>
      </w:pPr>
      <w:r>
        <w:rPr>
          <w:spacing w:val="-1"/>
        </w:rPr>
        <w:t>针对上述风险，公司建立了完善的研发流程，重视项目立项的可行性分析，重视对行业和技术发展趋</w:t>
      </w:r>
      <w:r>
        <w:rPr/>
        <w:t> </w:t>
      </w:r>
      <w:r>
        <w:rPr>
          <w:spacing w:val="-1"/>
        </w:rPr>
        <w:t>势的研究，紧贴客户和市场需求，部分研发项目已取得一定的客户订单，尽量降低研发失败的可能性和不</w:t>
      </w:r>
      <w:r>
        <w:rPr>
          <w:spacing w:val="-83"/>
        </w:rPr>
        <w:t> </w:t>
      </w:r>
      <w:r>
        <w:rPr>
          <w:spacing w:val="-83"/>
        </w:rPr>
      </w:r>
      <w:r>
        <w:rPr/>
        <w:t>利影响。</w:t>
      </w:r>
    </w:p>
    <w:p>
      <w:pPr>
        <w:spacing w:line="240" w:lineRule="auto" w:before="5"/>
        <w:rPr>
          <w:rFonts w:ascii="宋体" w:hAnsi="宋体" w:cs="宋体" w:eastAsia="宋体" w:hint="default"/>
          <w:sz w:val="23"/>
          <w:szCs w:val="23"/>
        </w:rPr>
      </w:pPr>
    </w:p>
    <w:p>
      <w:pPr>
        <w:pStyle w:val="Heading2"/>
        <w:spacing w:line="240" w:lineRule="auto"/>
        <w:ind w:left="1133" w:right="0"/>
        <w:jc w:val="left"/>
      </w:pPr>
      <w:bookmarkStart w:name="十、接待调研、沟通、采访等活动登记表" w:id="62"/>
      <w:bookmarkEnd w:id="62"/>
      <w:r>
        <w:rPr/>
      </w:r>
      <w:r>
        <w:rPr/>
        <w:t>十、接待调研、沟通、采访等活动登记表</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报告期内接待调研、沟通、采访等活动登记表" w:id="63"/>
      <w:bookmarkEnd w:id="63"/>
      <w:r>
        <w:rPr/>
      </w:r>
      <w:r>
        <w:rPr>
          <w:rFonts w:ascii="Times New Roman" w:hAnsi="Times New Roman" w:cs="Times New Roman" w:eastAsia="Times New Roman" w:hint="default"/>
        </w:rPr>
        <w:t>1</w:t>
      </w:r>
      <w:r>
        <w:rPr>
          <w:rFonts w:ascii="微软雅黑" w:hAnsi="微软雅黑" w:cs="微软雅黑" w:eastAsia="微软雅黑" w:hint="default"/>
        </w:rPr>
        <w:t>、报告期内接待调研、沟通、采访等活动登记表</w:t>
      </w:r>
    </w:p>
    <w:p>
      <w:pPr>
        <w:spacing w:line="240" w:lineRule="auto" w:before="7"/>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2243"/>
        <w:gridCol w:w="2243"/>
        <w:gridCol w:w="2242"/>
        <w:gridCol w:w="3128"/>
      </w:tblGrid>
      <w:tr>
        <w:trPr>
          <w:trHeight w:val="382"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626" w:hRule="exact"/>
        </w:trPr>
        <w:tc>
          <w:tcPr>
            <w:tcW w:w="224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42"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128" w:type="dxa"/>
            <w:tcBorders>
              <w:top w:val="single" w:sz="8" w:space="0" w:color="D2D2D2"/>
              <w:left w:val="single" w:sz="4" w:space="0" w:color="000000"/>
              <w:bottom w:val="single" w:sz="4" w:space="0" w:color="000000"/>
              <w:right w:val="single" w:sz="4" w:space="0" w:color="000000"/>
            </w:tcBorders>
          </w:tcPr>
          <w:p>
            <w:pPr>
              <w:pStyle w:val="TableParagraph"/>
              <w:spacing w:line="232" w:lineRule="exact" w:before="76"/>
              <w:ind w:left="103" w:right="133"/>
              <w:jc w:val="left"/>
              <w:rPr>
                <w:rFonts w:ascii="宋体" w:hAnsi="宋体" w:cs="宋体" w:eastAsia="宋体" w:hint="default"/>
                <w:sz w:val="18"/>
                <w:szCs w:val="18"/>
              </w:rPr>
            </w:pPr>
            <w:r>
              <w:rPr>
                <w:rFonts w:ascii="宋体" w:hAnsi="宋体" w:cs="宋体" w:eastAsia="宋体" w:hint="default"/>
                <w:sz w:val="18"/>
                <w:szCs w:val="18"/>
              </w:rPr>
              <w:t>互动易平台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 活动记录表</w:t>
            </w:r>
          </w:p>
        </w:tc>
      </w:tr>
      <w:tr>
        <w:trPr>
          <w:trHeight w:val="601" w:hRule="exac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756"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39"/>
              <w:jc w:val="left"/>
              <w:rPr>
                <w:rFonts w:ascii="宋体" w:hAnsi="宋体" w:cs="宋体" w:eastAsia="宋体" w:hint="default"/>
                <w:sz w:val="18"/>
                <w:szCs w:val="18"/>
              </w:rPr>
            </w:pPr>
            <w:r>
              <w:rPr>
                <w:rFonts w:ascii="宋体" w:hAnsi="宋体" w:cs="宋体" w:eastAsia="宋体" w:hint="default"/>
                <w:sz w:val="18"/>
                <w:szCs w:val="18"/>
              </w:rPr>
              <w:t>互动易平台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 活动记录表</w:t>
            </w:r>
          </w:p>
        </w:tc>
      </w:tr>
    </w:tbl>
    <w:p>
      <w:pPr>
        <w:spacing w:after="0" w:line="232" w:lineRule="exact"/>
        <w:jc w:val="left"/>
        <w:rPr>
          <w:rFonts w:ascii="宋体" w:hAnsi="宋体" w:cs="宋体" w:eastAsia="宋体" w:hint="default"/>
          <w:sz w:val="18"/>
          <w:szCs w:val="18"/>
        </w:rPr>
        <w:sectPr>
          <w:pgSz w:w="11910" w:h="16840"/>
          <w:pgMar w:header="87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1"/>
        <w:spacing w:line="441" w:lineRule="exact"/>
        <w:ind w:left="4753" w:right="0"/>
        <w:jc w:val="left"/>
        <w:rPr>
          <w:b w:val="0"/>
          <w:bCs w:val="0"/>
        </w:rPr>
      </w:pPr>
      <w:bookmarkStart w:name="第五节 重要事项" w:id="64"/>
      <w:bookmarkEnd w:id="64"/>
      <w:r>
        <w:rPr>
          <w:b w:val="0"/>
          <w:bCs w:val="0"/>
        </w:rPr>
      </w:r>
      <w:bookmarkStart w:name="_bookmark4" w:id="65"/>
      <w:bookmarkEnd w:id="65"/>
      <w:r>
        <w:rPr>
          <w:b w:val="0"/>
          <w:bCs w:val="0"/>
        </w:rPr>
      </w:r>
      <w:r>
        <w:rPr/>
        <w:t>第五节</w:t>
      </w:r>
      <w:r>
        <w:rPr>
          <w:spacing w:val="64"/>
        </w:rPr>
        <w:t> </w:t>
      </w:r>
      <w:r>
        <w:rPr/>
        <w:t>重要事项</w:t>
      </w:r>
      <w:r>
        <w:rPr>
          <w:b w:val="0"/>
          <w:bCs w:val="0"/>
        </w:rPr>
      </w:r>
    </w:p>
    <w:p>
      <w:pPr>
        <w:spacing w:line="240" w:lineRule="auto" w:before="0"/>
        <w:rPr>
          <w:rFonts w:ascii="微软雅黑" w:hAnsi="微软雅黑" w:cs="微软雅黑" w:eastAsia="微软雅黑" w:hint="default"/>
          <w:b/>
          <w:bCs/>
          <w:sz w:val="32"/>
          <w:szCs w:val="32"/>
        </w:rPr>
      </w:pPr>
    </w:p>
    <w:p>
      <w:pPr>
        <w:spacing w:line="240" w:lineRule="auto" w:before="9"/>
        <w:rPr>
          <w:rFonts w:ascii="微软雅黑" w:hAnsi="微软雅黑" w:cs="微软雅黑" w:eastAsia="微软雅黑" w:hint="default"/>
          <w:b/>
          <w:bCs/>
          <w:sz w:val="20"/>
          <w:szCs w:val="20"/>
        </w:rPr>
      </w:pPr>
    </w:p>
    <w:p>
      <w:pPr>
        <w:pStyle w:val="Heading2"/>
        <w:spacing w:line="240" w:lineRule="auto"/>
        <w:ind w:right="0"/>
        <w:jc w:val="left"/>
      </w:pPr>
      <w:bookmarkStart w:name="一、公司普通股利润分配及资本公积金转增股本情况" w:id="66"/>
      <w:bookmarkEnd w:id="66"/>
      <w:r>
        <w:rPr/>
      </w:r>
      <w:r>
        <w:rPr/>
        <w:t>一、公司普通股利润分配及资本公积金转增股本情况</w:t>
      </w:r>
    </w:p>
    <w:p>
      <w:pPr>
        <w:spacing w:line="240" w:lineRule="auto" w:before="11"/>
        <w:rPr>
          <w:rFonts w:ascii="微软雅黑" w:hAnsi="微软雅黑" w:cs="微软雅黑" w:eastAsia="微软雅黑" w:hint="default"/>
          <w:sz w:val="27"/>
          <w:szCs w:val="27"/>
        </w:rPr>
      </w:pPr>
    </w:p>
    <w:p>
      <w:pPr>
        <w:pStyle w:val="BodyText"/>
        <w:spacing w:line="240" w:lineRule="auto"/>
        <w:ind w:left="1553" w:right="0"/>
        <w:jc w:val="left"/>
      </w:pPr>
      <w:r>
        <w:rPr/>
        <w:t>报告期内普通股利润分配政策，特别是现金分红政策的制定、执行或调整情况</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0"/>
          <w:szCs w:val="20"/>
        </w:rPr>
      </w:pPr>
    </w:p>
    <w:p>
      <w:pPr>
        <w:pStyle w:val="BodyText"/>
        <w:spacing w:line="240" w:lineRule="auto"/>
        <w:ind w:right="0"/>
        <w:jc w:val="left"/>
        <w:rPr>
          <w:rFonts w:ascii="Times New Roman" w:hAnsi="Times New Roman" w:cs="Times New Roman" w:eastAsia="Times New Roman" w:hint="default"/>
        </w:rPr>
      </w:pPr>
      <w:r>
        <w:rPr/>
        <w:t>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日召开</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年年度股东大会，审议通过</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年年度利润分配预案：以公司</w:t>
      </w:r>
      <w:r>
        <w:rPr>
          <w:spacing w:val="-56"/>
        </w:rPr>
        <w:t> </w:t>
      </w:r>
      <w:r>
        <w:rPr>
          <w:rFonts w:ascii="Times New Roman" w:hAnsi="Times New Roman" w:cs="Times New Roman" w:eastAsia="Times New Roman" w:hint="default"/>
        </w:rPr>
        <w:t>2016</w:t>
      </w:r>
    </w:p>
    <w:p>
      <w:pPr>
        <w:pStyle w:val="BodyText"/>
        <w:spacing w:line="240" w:lineRule="auto" w:before="49"/>
        <w:ind w:left="1133" w:right="0"/>
        <w:jc w:val="left"/>
      </w:pP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日的总股本</w:t>
      </w:r>
      <w:r>
        <w:rPr>
          <w:spacing w:val="-54"/>
        </w:rPr>
        <w:t> </w:t>
      </w:r>
      <w:r>
        <w:rPr>
          <w:rFonts w:ascii="Times New Roman" w:hAnsi="Times New Roman" w:cs="Times New Roman" w:eastAsia="Times New Roman" w:hint="default"/>
        </w:rPr>
        <w:t>403,059,644</w:t>
      </w:r>
      <w:r>
        <w:rPr>
          <w:rFonts w:ascii="Times New Roman" w:hAnsi="Times New Roman" w:cs="Times New Roman" w:eastAsia="Times New Roman" w:hint="default"/>
          <w:spacing w:val="-11"/>
        </w:rPr>
        <w:t> </w:t>
      </w:r>
      <w:r>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股派发现金红利人民币</w:t>
      </w:r>
      <w:r>
        <w:rPr>
          <w:spacing w:val="-53"/>
        </w:rPr>
        <w:t> </w:t>
      </w:r>
      <w:r>
        <w:rPr>
          <w:rFonts w:ascii="Times New Roman" w:hAnsi="Times New Roman" w:cs="Times New Roman" w:eastAsia="Times New Roman" w:hint="default"/>
        </w:rPr>
        <w:t>0.70</w:t>
      </w:r>
      <w:r>
        <w:rPr>
          <w:rFonts w:ascii="Times New Roman" w:hAnsi="Times New Roman" w:cs="Times New Roman" w:eastAsia="Times New Roman" w:hint="default"/>
          <w:spacing w:val="-11"/>
        </w:rPr>
        <w:t> </w:t>
      </w:r>
      <w:r>
        <w:rPr/>
        <w:t>元（含税），</w:t>
      </w:r>
    </w:p>
    <w:p>
      <w:pPr>
        <w:pStyle w:val="BodyText"/>
        <w:spacing w:line="240" w:lineRule="auto" w:before="50"/>
        <w:ind w:left="1134" w:right="0"/>
        <w:jc w:val="left"/>
      </w:pPr>
      <w:r>
        <w:rPr/>
        <w:t>合计现金分红总额为</w:t>
      </w:r>
      <w:r>
        <w:rPr>
          <w:spacing w:val="-55"/>
        </w:rPr>
        <w:t> </w:t>
      </w:r>
      <w:r>
        <w:rPr>
          <w:rFonts w:ascii="Times New Roman" w:hAnsi="Times New Roman" w:cs="Times New Roman" w:eastAsia="Times New Roman" w:hint="default"/>
        </w:rPr>
        <w:t>28,214,175.08</w:t>
      </w:r>
      <w:r>
        <w:rPr>
          <w:rFonts w:ascii="Times New Roman" w:hAnsi="Times New Roman" w:cs="Times New Roman" w:eastAsia="Times New Roman" w:hint="default"/>
          <w:spacing w:val="-13"/>
        </w:rPr>
        <w:t> </w:t>
      </w:r>
      <w:r>
        <w:rPr/>
        <w:t>元。</w:t>
      </w:r>
    </w:p>
    <w:p>
      <w:pPr>
        <w:spacing w:line="240" w:lineRule="auto" w:before="6"/>
        <w:rPr>
          <w:rFonts w:ascii="宋体" w:hAnsi="宋体" w:cs="宋体" w:eastAsia="宋体" w:hint="default"/>
          <w:sz w:val="20"/>
          <w:szCs w:val="20"/>
        </w:rPr>
      </w:pPr>
    </w:p>
    <w:p>
      <w:pPr>
        <w:pStyle w:val="BodyText"/>
        <w:spacing w:line="297" w:lineRule="auto"/>
        <w:ind w:left="1134" w:right="1119" w:firstLine="420"/>
        <w:jc w:val="left"/>
      </w:pPr>
      <w:r>
        <w:rPr>
          <w:spacing w:val="-1"/>
        </w:rPr>
        <w:t>由于公司部分股权激励对象离职，部分已获授但尚未解锁的限制性股票已完成回购注销。公司总股本</w:t>
      </w:r>
      <w:r>
        <w:rPr/>
        <w:t> 变更为</w:t>
      </w:r>
      <w:r>
        <w:rPr>
          <w:spacing w:val="-54"/>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2"/>
        </w:rPr>
        <w:t> </w:t>
      </w:r>
      <w:r>
        <w:rPr/>
        <w:t>股，按照“分配总额不变”的原则，按照目前股本总额重新计算的</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年度利润分配</w:t>
      </w:r>
    </w:p>
    <w:p>
      <w:pPr>
        <w:pStyle w:val="BodyText"/>
        <w:spacing w:line="285" w:lineRule="exact"/>
        <w:ind w:left="1134" w:right="0"/>
        <w:jc w:val="left"/>
      </w:pPr>
      <w:r>
        <w:rPr/>
        <w:t>方案为：以公司现有总股本</w:t>
      </w:r>
      <w:r>
        <w:rPr>
          <w:spacing w:val="-54"/>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1"/>
        </w:rPr>
        <w:t> </w:t>
      </w:r>
      <w:r>
        <w:rPr/>
        <w:t>股为基数，向全体股东每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股派</w:t>
      </w:r>
      <w:r>
        <w:rPr>
          <w:spacing w:val="-55"/>
        </w:rPr>
        <w:t> </w:t>
      </w:r>
      <w:r>
        <w:rPr>
          <w:rFonts w:ascii="Times New Roman" w:hAnsi="Times New Roman" w:cs="Times New Roman" w:eastAsia="Times New Roman" w:hint="default"/>
        </w:rPr>
        <w:t>0.700298</w:t>
      </w:r>
      <w:r>
        <w:rPr>
          <w:rFonts w:ascii="Times New Roman" w:hAnsi="Times New Roman" w:cs="Times New Roman" w:eastAsia="Times New Roman" w:hint="default"/>
          <w:spacing w:val="-11"/>
        </w:rPr>
        <w:t> </w:t>
      </w:r>
      <w:r>
        <w:rPr/>
        <w:t>元人民币现金。</w:t>
      </w:r>
    </w:p>
    <w:p>
      <w:pPr>
        <w:spacing w:line="240" w:lineRule="auto" w:before="6"/>
        <w:rPr>
          <w:rFonts w:ascii="宋体" w:hAnsi="宋体" w:cs="宋体" w:eastAsia="宋体" w:hint="default"/>
          <w:sz w:val="20"/>
          <w:szCs w:val="20"/>
        </w:rPr>
      </w:pPr>
    </w:p>
    <w:p>
      <w:pPr>
        <w:pStyle w:val="BodyText"/>
        <w:spacing w:line="240" w:lineRule="auto"/>
        <w:ind w:right="0"/>
        <w:jc w:val="left"/>
      </w:pPr>
      <w:r>
        <w:rPr/>
        <w:t>该利润分配方案已于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日实施完毕。</w:t>
      </w:r>
    </w:p>
    <w:p>
      <w:pPr>
        <w:spacing w:line="240" w:lineRule="auto" w:before="1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5470"/>
        <w:gridCol w:w="4385"/>
      </w:tblGrid>
      <w:tr>
        <w:trPr>
          <w:trHeight w:val="388"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7" w:hRule="exact"/>
        </w:trPr>
        <w:tc>
          <w:tcPr>
            <w:tcW w:w="5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38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5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5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5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5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35"/>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 了充分保护：</w:t>
            </w:r>
          </w:p>
        </w:tc>
        <w:tc>
          <w:tcPr>
            <w:tcW w:w="4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5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公司报告期利润分配预案及资本公积金转增股本预案与公司章程和分红管理办法等的相关规定一致</w:t>
      </w:r>
    </w:p>
    <w:p>
      <w:pPr>
        <w:spacing w:line="240" w:lineRule="auto" w:before="8"/>
        <w:rPr>
          <w:rFonts w:ascii="宋体" w:hAnsi="宋体" w:cs="宋体" w:eastAsia="宋体" w:hint="default"/>
          <w:sz w:val="21"/>
          <w:szCs w:val="21"/>
        </w:rPr>
      </w:pPr>
    </w:p>
    <w:p>
      <w:pPr>
        <w:pStyle w:val="BodyText"/>
        <w:spacing w:line="475" w:lineRule="auto"/>
        <w:ind w:left="1553" w:right="27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公司报告期利润分配预案及资本公积金转增股本预案符合公司章程等的相关规定。 本年度利润分配及资本公积金转增股本预案</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828"/>
        <w:gridCol w:w="6027"/>
      </w:tblGrid>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828"/>
        <w:gridCol w:w="6027"/>
      </w:tblGrid>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403,878,622</w:t>
            </w:r>
          </w:p>
        </w:tc>
      </w:tr>
      <w:tr>
        <w:trPr>
          <w:trHeight w:val="408"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32,310,289.76</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333,291,780.12</w:t>
            </w:r>
          </w:p>
        </w:tc>
      </w:tr>
      <w:tr>
        <w:trPr>
          <w:trHeight w:val="41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6027"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387"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17" w:hRule="exact"/>
        </w:trPr>
        <w:tc>
          <w:tcPr>
            <w:tcW w:w="9856" w:type="dxa"/>
            <w:gridSpan w:val="2"/>
            <w:tcBorders>
              <w:top w:val="single" w:sz="8" w:space="0" w:color="D2D2D2"/>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6"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32"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01" w:hRule="exact"/>
        </w:trPr>
        <w:tc>
          <w:tcPr>
            <w:tcW w:w="9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3" w:right="0"/>
              <w:jc w:val="left"/>
              <w:rPr>
                <w:rFonts w:ascii="宋体" w:hAnsi="宋体" w:cs="宋体" w:eastAsia="宋体" w:hint="default"/>
                <w:sz w:val="18"/>
                <w:szCs w:val="18"/>
              </w:rPr>
            </w:pPr>
            <w:r>
              <w:rPr>
                <w:rFonts w:ascii="宋体" w:hAnsi="宋体" w:cs="宋体" w:eastAsia="宋体" w:hint="default"/>
                <w:sz w:val="18"/>
                <w:szCs w:val="18"/>
              </w:rPr>
              <w:t>以公司本次董事会召开日的总股本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403,878</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622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，共计分</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32,310,289.76 </w:t>
            </w:r>
            <w:r>
              <w:rPr>
                <w:rFonts w:ascii="宋体" w:hAnsi="宋体" w:cs="宋体" w:eastAsia="宋体" w:hint="default"/>
                <w:sz w:val="18"/>
                <w:szCs w:val="18"/>
              </w:rPr>
              <w:t>元。</w:t>
            </w:r>
          </w:p>
        </w:tc>
      </w:tr>
    </w:tbl>
    <w:p>
      <w:pPr>
        <w:spacing w:line="240" w:lineRule="auto" w:before="4"/>
        <w:rPr>
          <w:rFonts w:ascii="宋体" w:hAnsi="宋体" w:cs="宋体" w:eastAsia="宋体" w:hint="default"/>
          <w:sz w:val="11"/>
          <w:szCs w:val="11"/>
        </w:rPr>
      </w:pPr>
    </w:p>
    <w:p>
      <w:pPr>
        <w:pStyle w:val="BodyText"/>
        <w:spacing w:line="240" w:lineRule="auto" w:before="35"/>
        <w:ind w:left="1530" w:right="0"/>
        <w:jc w:val="left"/>
      </w:pPr>
      <w:r>
        <w:rPr>
          <w:spacing w:val="-12"/>
        </w:rPr>
        <w:t>公司</w:t>
      </w:r>
      <w:r>
        <w:rPr/>
        <w:t>近</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12"/>
        </w:rPr>
        <w:t>年（包括本报告期）的普通股股利分配方案（预案</w:t>
      </w:r>
      <w:r>
        <w:rPr>
          <w:spacing w:val="-111"/>
        </w:rPr>
        <w:t>）</w:t>
      </w:r>
      <w:r>
        <w:rPr>
          <w:spacing w:val="-12"/>
        </w:rPr>
        <w:t>、资</w:t>
      </w:r>
      <w:r>
        <w:rPr>
          <w:spacing w:val="-14"/>
        </w:rPr>
        <w:t>本</w:t>
      </w:r>
      <w:r>
        <w:rPr>
          <w:spacing w:val="-12"/>
        </w:rPr>
        <w:t>公积金转增股本方案（预案）情</w:t>
      </w:r>
      <w:r>
        <w:rPr/>
        <w:t>况</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9"/>
        </w:rPr>
        <w:t> </w:t>
      </w:r>
      <w:r>
        <w:rPr>
          <w:spacing w:val="-3"/>
        </w:rPr>
        <w:t>年度利润分配方案：以截至</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日的公司总股本</w:t>
      </w:r>
      <w:r>
        <w:rPr>
          <w:spacing w:val="-51"/>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spacing w:val="-3"/>
        </w:rPr>
        <w:t>万股为基数，向全体股东</w:t>
      </w:r>
    </w:p>
    <w:p>
      <w:pPr>
        <w:pStyle w:val="BodyText"/>
        <w:spacing w:line="240" w:lineRule="auto" w:before="50"/>
        <w:ind w:left="1133" w:right="0"/>
        <w:jc w:val="left"/>
      </w:pPr>
      <w:r>
        <w:rPr/>
        <w:t>每</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股分配现金股利人民币</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t>元（含税），共计分配现金股利</w:t>
      </w:r>
      <w:r>
        <w:rPr>
          <w:spacing w:val="-52"/>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13"/>
        </w:rPr>
        <w:t> </w:t>
      </w:r>
      <w:r>
        <w:rPr/>
        <w:t>元，以资本公积金向全体</w:t>
      </w:r>
    </w:p>
    <w:p>
      <w:pPr>
        <w:pStyle w:val="BodyText"/>
        <w:spacing w:line="240" w:lineRule="auto" w:before="50"/>
        <w:ind w:left="1134" w:right="0"/>
        <w:jc w:val="left"/>
      </w:pPr>
      <w:r>
        <w:rPr/>
        <w:t>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股。</w:t>
      </w:r>
    </w:p>
    <w:p>
      <w:pPr>
        <w:spacing w:line="240" w:lineRule="auto" w:before="6"/>
        <w:rPr>
          <w:rFonts w:ascii="宋体" w:hAnsi="宋体" w:cs="宋体" w:eastAsia="宋体" w:hint="default"/>
          <w:sz w:val="20"/>
          <w:szCs w:val="20"/>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9"/>
        </w:rPr>
        <w:t>2</w:t>
      </w:r>
      <w:r>
        <w:rPr>
          <w:spacing w:val="-9"/>
        </w:rPr>
        <w:t>、</w:t>
      </w:r>
      <w:r>
        <w:rPr>
          <w:rFonts w:ascii="Times New Roman" w:hAnsi="Times New Roman" w:cs="Times New Roman" w:eastAsia="Times New Roman" w:hint="default"/>
          <w:spacing w:val="-9"/>
        </w:rPr>
        <w:t>2016</w:t>
      </w:r>
      <w:r>
        <w:rPr>
          <w:rFonts w:ascii="Times New Roman" w:hAnsi="Times New Roman" w:cs="Times New Roman" w:eastAsia="Times New Roman" w:hint="default"/>
          <w:spacing w:val="-8"/>
        </w:rPr>
        <w:t> </w:t>
      </w:r>
      <w:r>
        <w:rPr>
          <w:spacing w:val="-4"/>
        </w:rPr>
        <w:t>年度利润分配预案：以公司现有总股本</w:t>
      </w:r>
      <w:r>
        <w:rPr>
          <w:spacing w:val="-48"/>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7"/>
        </w:rPr>
        <w:t> </w:t>
      </w:r>
      <w:r>
        <w:rPr>
          <w:spacing w:val="-5"/>
        </w:rPr>
        <w:t>股为基数，向全体股东每</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股派</w:t>
      </w:r>
      <w:r>
        <w:rPr>
          <w:spacing w:val="-49"/>
        </w:rPr>
        <w:t> </w:t>
      </w:r>
      <w:r>
        <w:rPr>
          <w:rFonts w:ascii="Times New Roman" w:hAnsi="Times New Roman" w:cs="Times New Roman" w:eastAsia="Times New Roman" w:hint="default"/>
        </w:rPr>
        <w:t>0.700298</w:t>
      </w:r>
    </w:p>
    <w:p>
      <w:pPr>
        <w:pStyle w:val="BodyText"/>
        <w:spacing w:line="240" w:lineRule="auto" w:before="50"/>
        <w:ind w:left="1133" w:right="0"/>
        <w:jc w:val="left"/>
      </w:pPr>
      <w:r>
        <w:rPr/>
        <w:t>元人民币现金。该利润分配方案已于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日实施完毕。</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3"/>
        </w:rPr>
        <w:t> </w:t>
      </w:r>
      <w:r>
        <w:rPr/>
        <w:t>年度利润分配方案：以公司本次董事会召开日的总股本</w:t>
      </w:r>
      <w:r>
        <w:rPr>
          <w:spacing w:val="-68"/>
        </w:rPr>
        <w:t> </w:t>
      </w:r>
      <w:r>
        <w:rPr>
          <w:rFonts w:ascii="Times New Roman" w:hAnsi="Times New Roman" w:cs="Times New Roman" w:eastAsia="Times New Roman" w:hint="default"/>
        </w:rPr>
        <w:t>403,878,622</w:t>
      </w:r>
      <w:r>
        <w:rPr>
          <w:rFonts w:ascii="Times New Roman" w:hAnsi="Times New Roman" w:cs="Times New Roman" w:eastAsia="Times New Roman" w:hint="default"/>
          <w:spacing w:val="-22"/>
        </w:rPr>
        <w:t> </w:t>
      </w:r>
      <w:r>
        <w:rPr/>
        <w:t>股为基数，向全体股东每</w:t>
      </w:r>
    </w:p>
    <w:p>
      <w:pPr>
        <w:pStyle w:val="BodyText"/>
        <w:spacing w:line="460" w:lineRule="auto" w:before="50"/>
        <w:ind w:left="1553" w:right="3387" w:hanging="42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股派发现金股利人民币</w:t>
      </w:r>
      <w:r>
        <w:rPr>
          <w:spacing w:val="-54"/>
        </w:rPr>
        <w:t> </w:t>
      </w:r>
      <w:r>
        <w:rPr>
          <w:rFonts w:ascii="Times New Roman" w:hAnsi="Times New Roman" w:cs="Times New Roman" w:eastAsia="Times New Roman" w:hint="default"/>
        </w:rPr>
        <w:t>0.8</w:t>
      </w:r>
      <w:r>
        <w:rPr>
          <w:rFonts w:ascii="Times New Roman" w:hAnsi="Times New Roman" w:cs="Times New Roman" w:eastAsia="Times New Roman" w:hint="default"/>
          <w:spacing w:val="-11"/>
        </w:rPr>
        <w:t> </w:t>
      </w:r>
      <w:r>
        <w:rPr/>
        <w:t>元（含税），共计分配现金股利</w:t>
      </w:r>
      <w:r>
        <w:rPr>
          <w:spacing w:val="-55"/>
        </w:rPr>
        <w:t> </w:t>
      </w:r>
      <w:r>
        <w:rPr>
          <w:rFonts w:ascii="Times New Roman" w:hAnsi="Times New Roman" w:cs="Times New Roman" w:eastAsia="Times New Roman" w:hint="default"/>
        </w:rPr>
        <w:t>32,310,289.76</w:t>
      </w:r>
      <w:r>
        <w:rPr>
          <w:rFonts w:ascii="Times New Roman" w:hAnsi="Times New Roman" w:cs="Times New Roman" w:eastAsia="Times New Roman" w:hint="default"/>
          <w:spacing w:val="-11"/>
        </w:rPr>
        <w:t> </w:t>
      </w:r>
      <w:r>
        <w:rPr/>
        <w:t>元。 公司近三年（包括本报告期）普通股现金分红情况表</w:t>
      </w:r>
    </w:p>
    <w:p>
      <w:pPr>
        <w:spacing w:before="96"/>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200"/>
        <w:gridCol w:w="1470"/>
        <w:gridCol w:w="2058"/>
        <w:gridCol w:w="2044"/>
        <w:gridCol w:w="1440"/>
        <w:gridCol w:w="1643"/>
      </w:tblGrid>
      <w:tr>
        <w:trPr>
          <w:trHeight w:val="83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2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3" w:right="123"/>
              <w:jc w:val="center"/>
              <w:rPr>
                <w:rFonts w:ascii="宋体" w:hAnsi="宋体" w:cs="宋体" w:eastAsia="宋体" w:hint="default"/>
                <w:sz w:val="18"/>
                <w:szCs w:val="18"/>
              </w:rPr>
            </w:pPr>
            <w:r>
              <w:rPr>
                <w:rFonts w:ascii="宋体" w:hAnsi="宋体" w:cs="宋体" w:eastAsia="宋体" w:hint="default"/>
                <w:sz w:val="18"/>
                <w:szCs w:val="18"/>
              </w:rPr>
              <w:t>分红年度合并报表中归 属于上市公司普通股股 东的净利润</w:t>
            </w:r>
          </w:p>
        </w:tc>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16" w:right="115"/>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73" w:right="174"/>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66" w:right="185"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32,310,289.76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78,044,301.23</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41.40%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28,214,175.08</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120,282,199.78</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23.46%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116,609,383.31</w:t>
            </w:r>
          </w:p>
        </w:tc>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42.88%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公司报告期内盈利且母公司可供普通股股东分配利润为正但未提出普通股现金红利分配预案</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left"/>
      </w:pPr>
      <w:bookmarkStart w:name="二、承诺事项履行情况" w:id="67"/>
      <w:bookmarkEnd w:id="67"/>
      <w:r>
        <w:rPr/>
      </w:r>
      <w:r>
        <w:rPr/>
        <w:t>二、承诺事项履行情况</w:t>
      </w:r>
    </w:p>
    <w:p>
      <w:pPr>
        <w:spacing w:line="240" w:lineRule="auto" w:before="12"/>
        <w:rPr>
          <w:rFonts w:ascii="微软雅黑" w:hAnsi="微软雅黑" w:cs="微软雅黑" w:eastAsia="微软雅黑" w:hint="default"/>
          <w:sz w:val="23"/>
          <w:szCs w:val="23"/>
        </w:rPr>
      </w:pPr>
    </w:p>
    <w:p>
      <w:pPr>
        <w:pStyle w:val="BodyText"/>
        <w:spacing w:line="357" w:lineRule="auto"/>
        <w:ind w:left="1133" w:right="0" w:firstLine="420"/>
        <w:jc w:val="left"/>
        <w:rPr>
          <w:rFonts w:ascii="微软雅黑" w:hAnsi="微软雅黑" w:cs="微软雅黑" w:eastAsia="微软雅黑" w:hint="default"/>
        </w:rPr>
      </w:pPr>
      <w:bookmarkStart w:name="1、公司实际控制人、股东、关联方、收购人以及公司等承诺相关方在报告期内履行完毕及" w:id="68"/>
      <w:bookmarkEnd w:id="68"/>
      <w:r>
        <w:rPr/>
      </w:r>
      <w:r>
        <w:rPr>
          <w:rFonts w:ascii="Times New Roman" w:hAnsi="Times New Roman" w:cs="Times New Roman" w:eastAsia="Times New Roman" w:hint="default"/>
        </w:rPr>
        <w:t>1</w:t>
      </w:r>
      <w:r>
        <w:rPr>
          <w:rFonts w:ascii="微软雅黑" w:hAnsi="微软雅黑" w:cs="微软雅黑" w:eastAsia="微软雅黑" w:hint="default"/>
        </w:rPr>
        <w:t>、公司实际控制人、股东、关联方、收购人以及公司等承诺相关方在报告期内履行完毕及截至报告 期末尚未履行完毕的承诺事项</w:t>
      </w:r>
    </w:p>
    <w:p>
      <w:pPr>
        <w:spacing w:after="0" w:line="357" w:lineRule="auto"/>
        <w:jc w:val="left"/>
        <w:rPr>
          <w:rFonts w:ascii="微软雅黑" w:hAnsi="微软雅黑" w:cs="微软雅黑" w:eastAsia="微软雅黑" w:hint="default"/>
        </w:rPr>
        <w:sectPr>
          <w:pgSz w:w="11910" w:h="16840"/>
          <w:pgMar w:header="877" w:footer="979" w:top="1060" w:bottom="1160" w:left="0" w:right="0"/>
        </w:sectPr>
      </w:pPr>
    </w:p>
    <w:p>
      <w:pPr>
        <w:spacing w:line="240" w:lineRule="auto" w:before="9"/>
        <w:rPr>
          <w:rFonts w:ascii="微软雅黑" w:hAnsi="微软雅黑" w:cs="微软雅黑" w:eastAsia="微软雅黑" w:hint="default"/>
          <w:sz w:val="17"/>
          <w:szCs w:val="17"/>
        </w:rPr>
      </w:pPr>
    </w:p>
    <w:p>
      <w:pPr>
        <w:pStyle w:val="BodyText"/>
        <w:spacing w:line="240" w:lineRule="auto" w:before="35"/>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87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832"/>
        <w:gridCol w:w="1340"/>
        <w:gridCol w:w="1542"/>
        <w:gridCol w:w="5909"/>
        <w:gridCol w:w="1213"/>
        <w:gridCol w:w="1168"/>
        <w:gridCol w:w="1171"/>
      </w:tblGrid>
      <w:tr>
        <w:trPr>
          <w:trHeight w:val="38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40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4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845"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103" w:right="276"/>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340" w:type="dxa"/>
            <w:tcBorders>
              <w:top w:val="single" w:sz="8" w:space="0" w:color="D2D2D2"/>
              <w:left w:val="single" w:sz="4" w:space="0" w:color="000000"/>
              <w:bottom w:val="single" w:sz="4" w:space="0" w:color="000000"/>
              <w:right w:val="single" w:sz="4" w:space="0" w:color="000000"/>
            </w:tcBorders>
          </w:tcPr>
          <w:p>
            <w:pPr/>
          </w:p>
        </w:tc>
        <w:tc>
          <w:tcPr>
            <w:tcW w:w="1542" w:type="dxa"/>
            <w:tcBorders>
              <w:top w:val="single" w:sz="8" w:space="0" w:color="D2D2D2"/>
              <w:left w:val="single" w:sz="4" w:space="0" w:color="000000"/>
              <w:bottom w:val="single" w:sz="4" w:space="0" w:color="000000"/>
              <w:right w:val="single" w:sz="4" w:space="0" w:color="000000"/>
            </w:tcBorders>
          </w:tcPr>
          <w:p>
            <w:pPr/>
          </w:p>
        </w:tc>
        <w:tc>
          <w:tcPr>
            <w:tcW w:w="5909" w:type="dxa"/>
            <w:tcBorders>
              <w:top w:val="single" w:sz="8" w:space="0" w:color="D2D2D2"/>
              <w:left w:val="single" w:sz="4" w:space="0" w:color="000000"/>
              <w:bottom w:val="single" w:sz="4" w:space="0" w:color="000000"/>
              <w:right w:val="single" w:sz="4" w:space="0" w:color="000000"/>
            </w:tcBorders>
          </w:tcPr>
          <w:p>
            <w:pPr/>
          </w:p>
        </w:tc>
        <w:tc>
          <w:tcPr>
            <w:tcW w:w="1213" w:type="dxa"/>
            <w:tcBorders>
              <w:top w:val="single" w:sz="8" w:space="0" w:color="D2D2D2"/>
              <w:left w:val="single" w:sz="4" w:space="0" w:color="000000"/>
              <w:bottom w:val="single" w:sz="4" w:space="0" w:color="000000"/>
              <w:right w:val="single" w:sz="4" w:space="0" w:color="000000"/>
            </w:tcBorders>
          </w:tcPr>
          <w:p>
            <w:pPr/>
          </w:p>
        </w:tc>
        <w:tc>
          <w:tcPr>
            <w:tcW w:w="1168" w:type="dxa"/>
            <w:tcBorders>
              <w:top w:val="single" w:sz="8" w:space="0" w:color="D2D2D2"/>
              <w:left w:val="single" w:sz="4" w:space="0" w:color="000000"/>
              <w:bottom w:val="single" w:sz="4" w:space="0" w:color="000000"/>
              <w:right w:val="single" w:sz="4" w:space="0" w:color="000000"/>
            </w:tcBorders>
          </w:tcPr>
          <w:p>
            <w:pPr/>
          </w:p>
        </w:tc>
        <w:tc>
          <w:tcPr>
            <w:tcW w:w="1171" w:type="dxa"/>
            <w:tcBorders>
              <w:top w:val="single" w:sz="8" w:space="0" w:color="D2D2D2"/>
              <w:left w:val="single" w:sz="4" w:space="0" w:color="000000"/>
              <w:bottom w:val="single" w:sz="4" w:space="0" w:color="000000"/>
              <w:right w:val="single" w:sz="4" w:space="0" w:color="000000"/>
            </w:tcBorders>
          </w:tcPr>
          <w:p>
            <w:pPr/>
          </w:p>
        </w:tc>
      </w:tr>
      <w:tr>
        <w:trPr>
          <w:trHeight w:val="2235" w:hRule="exact"/>
        </w:trPr>
        <w:tc>
          <w:tcPr>
            <w:tcW w:w="18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02" w:lineRule="auto"/>
              <w:ind w:left="103" w:right="456"/>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6"/>
              <w:ind w:left="103" w:right="167"/>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38"/>
              <w:ind w:left="10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、本次交易完成后，本人与中科创达及其控制的其他企业将尽可能的避 免和减少关联交易。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、对于确有必要且无法避免的关联交易，本人将遵 </w:t>
            </w:r>
            <w:r>
              <w:rPr>
                <w:rFonts w:ascii="宋体" w:hAnsi="宋体" w:cs="宋体" w:eastAsia="宋体" w:hint="default"/>
                <w:spacing w:val="-8"/>
                <w:sz w:val="18"/>
                <w:szCs w:val="18"/>
              </w:rPr>
              <w:t>循市场化的公正、公平、公开原则，按照有关法律法规、规范性文件和《公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司章程》等有关规定，履行包括回避表决等合法程序，不通过关联关系谋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求特殊利益，不会进行任何有损中科创达及中科创达其他股东利益，特别</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是中小股东利益的关联交易。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、本人及本人的关联方将不以任何方式违 </w:t>
            </w:r>
            <w:r>
              <w:rPr>
                <w:rFonts w:ascii="宋体" w:hAnsi="宋体" w:cs="宋体" w:eastAsia="宋体" w:hint="default"/>
                <w:spacing w:val="-3"/>
                <w:sz w:val="18"/>
                <w:szCs w:val="18"/>
              </w:rPr>
              <w:t>法违规占用中科创达及其控制的其他企业的资金、资产，亦不要求中科创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达及其控制的其他企业为本人及本人的关联方进行违规担保。本人同意， 若违反上述承诺，将承担因此而给中科创达及其股东造成的一切损失。</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36"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4"/>
              <w:ind w:left="103" w:right="167"/>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38"/>
              <w:ind w:left="10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、本次交易完成后，本人与中科创达及其控制的其他企业将尽可能的避 免和减少关联交易。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、对于确有必要且无法避免的关联交易，本人将遵 </w:t>
            </w:r>
            <w:r>
              <w:rPr>
                <w:rFonts w:ascii="宋体" w:hAnsi="宋体" w:cs="宋体" w:eastAsia="宋体" w:hint="default"/>
                <w:spacing w:val="-8"/>
                <w:sz w:val="18"/>
                <w:szCs w:val="18"/>
              </w:rPr>
              <w:t>循市场化的公正、公平、公开原则，按照有关法律法规、规范性文件和《公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司章程》等有关规定，履行包括回避表决等合法程序，不通过关联关系谋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求特殊利益，不会进行任何有损中科创达及中科创达其他股东利益，特别</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是中小股东利益的关联交易。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、本人及本人的关联方将不以任何方式违 </w:t>
            </w:r>
            <w:r>
              <w:rPr>
                <w:rFonts w:ascii="宋体" w:hAnsi="宋体" w:cs="宋体" w:eastAsia="宋体" w:hint="default"/>
                <w:spacing w:val="-3"/>
                <w:sz w:val="18"/>
                <w:szCs w:val="18"/>
              </w:rPr>
              <w:t>法违规占用中科创达及其控制的其他企业的资金、资产，亦不要求中科创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达及其控制的其他企业为本人及本人的关联方进行违规担保。本人同意， 若违反上述承诺，将承担因此而给中科创达及其股东造成的一切损失。</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0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32" w:lineRule="exact"/>
              <w:ind w:left="103" w:right="276"/>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38"/>
              <w:ind w:left="103" w:right="11"/>
              <w:jc w:val="left"/>
              <w:rPr>
                <w:rFonts w:ascii="宋体" w:hAnsi="宋体" w:cs="宋体" w:eastAsia="宋体" w:hint="default"/>
                <w:sz w:val="18"/>
                <w:szCs w:val="18"/>
              </w:rPr>
            </w:pPr>
            <w:r>
              <w:rPr>
                <w:rFonts w:ascii="宋体" w:hAnsi="宋体" w:cs="宋体" w:eastAsia="宋体" w:hint="default"/>
                <w:spacing w:val="-5"/>
                <w:sz w:val="18"/>
                <w:szCs w:val="18"/>
              </w:rPr>
              <w:t>本公司控股股东、实际控制人、公司董事长赵鸿飞就所持股份的限售安排、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自愿锁定股份、延长锁定期限的承诺就公司股票的锁定期限承诺如下：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自公司股票在深圳证券交易所创业板上市交易之日起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 或委托他人管理其在公司首次公开发行股票前直接或间接持有的公司股 份，也不由公司回购该部分股份。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、在担任公司董事、监事或高级管理 </w:t>
            </w:r>
            <w:r>
              <w:rPr>
                <w:rFonts w:ascii="宋体" w:hAnsi="宋体" w:cs="宋体" w:eastAsia="宋体" w:hint="default"/>
                <w:spacing w:val="-3"/>
                <w:sz w:val="18"/>
                <w:szCs w:val="18"/>
              </w:rPr>
              <w:t>人员期间，如实并及时申报直接或间接持有公司股份及其变动情况；在上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述承诺期限届满后，每年转让直接或间接持有的公司股份不超过直接或间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接持有公司股份总数的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；离职后六个月内，不转让直接或间接持有的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公司股份；在公司股票上市之日起六个月内申报离职的，自申报离职之日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起十八个月内不转让直接持有的公司的股份；在公司股票上市之日起第七</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个月至第十二个月之间申报离职的，自申报离职之日起十二个月内不转让</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直接持有的公司股份；若申报离职，则自离职信息申报之日起六个月内， 增持的公司股份也将按上述承诺予以锁定。</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、公司股票上市后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center"/>
        <w:rPr>
          <w:rFonts w:ascii="宋体" w:hAnsi="宋体" w:cs="宋体" w:eastAsia="宋体" w:hint="default"/>
          <w:sz w:val="18"/>
          <w:szCs w:val="18"/>
        </w:rPr>
        <w:sectPr>
          <w:headerReference w:type="default" r:id="rId12"/>
          <w:footerReference w:type="default" r:id="rId13"/>
          <w:pgSz w:w="16840" w:h="11910" w:orient="landscape"/>
          <w:pgMar w:header="877" w:footer="979" w:top="1100" w:bottom="1160" w:left="1220" w:right="0"/>
          <w:pgNumType w:start="33"/>
        </w:sectPr>
      </w:pPr>
    </w:p>
    <w:tbl>
      <w:tblPr>
        <w:tblW w:w="0" w:type="auto"/>
        <w:jc w:val="left"/>
        <w:tblInd w:w="107" w:type="dxa"/>
        <w:tblLayout w:type="fixed"/>
        <w:tblCellMar>
          <w:top w:w="0" w:type="dxa"/>
          <w:left w:w="0" w:type="dxa"/>
          <w:bottom w:w="0" w:type="dxa"/>
          <w:right w:w="0" w:type="dxa"/>
        </w:tblCellMar>
        <w:tblLook w:val="01E0"/>
      </w:tblPr>
      <w:tblGrid>
        <w:gridCol w:w="1832"/>
        <w:gridCol w:w="1340"/>
        <w:gridCol w:w="1542"/>
        <w:gridCol w:w="5909"/>
        <w:gridCol w:w="1213"/>
        <w:gridCol w:w="1168"/>
        <w:gridCol w:w="1171"/>
      </w:tblGrid>
      <w:tr>
        <w:trPr>
          <w:trHeight w:val="38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16" w:hRule="exact"/>
        </w:trPr>
        <w:tc>
          <w:tcPr>
            <w:tcW w:w="1832" w:type="dxa"/>
            <w:vMerge w:val="restart"/>
            <w:tcBorders>
              <w:top w:val="single" w:sz="4" w:space="0" w:color="000000"/>
              <w:left w:val="single" w:sz="4" w:space="0" w:color="000000"/>
              <w:right w:val="single" w:sz="4" w:space="0" w:color="000000"/>
            </w:tcBorders>
            <w:shd w:val="clear" w:color="auto" w:fill="D2D2D2"/>
          </w:tcPr>
          <w:p>
            <w:pPr/>
          </w:p>
        </w:tc>
        <w:tc>
          <w:tcPr>
            <w:tcW w:w="1340" w:type="dxa"/>
            <w:tcBorders>
              <w:top w:val="single" w:sz="12" w:space="0" w:color="D2D2D2"/>
              <w:left w:val="single" w:sz="4" w:space="0" w:color="000000"/>
              <w:bottom w:val="single" w:sz="4" w:space="0" w:color="000000"/>
              <w:right w:val="single" w:sz="4" w:space="0" w:color="000000"/>
            </w:tcBorders>
          </w:tcPr>
          <w:p>
            <w:pPr/>
          </w:p>
        </w:tc>
        <w:tc>
          <w:tcPr>
            <w:tcW w:w="1542" w:type="dxa"/>
            <w:tcBorders>
              <w:top w:val="single" w:sz="12" w:space="0" w:color="D2D2D2"/>
              <w:left w:val="single" w:sz="4" w:space="0" w:color="000000"/>
              <w:bottom w:val="single" w:sz="4" w:space="0" w:color="000000"/>
              <w:right w:val="single" w:sz="4" w:space="0" w:color="000000"/>
            </w:tcBorders>
          </w:tcPr>
          <w:p>
            <w:pPr/>
          </w:p>
        </w:tc>
        <w:tc>
          <w:tcPr>
            <w:tcW w:w="5909" w:type="dxa"/>
            <w:tcBorders>
              <w:top w:val="single" w:sz="12" w:space="0" w:color="D2D2D2"/>
              <w:left w:val="single" w:sz="4" w:space="0" w:color="000000"/>
              <w:bottom w:val="single" w:sz="4" w:space="0" w:color="000000"/>
              <w:right w:val="single" w:sz="4" w:space="0" w:color="000000"/>
            </w:tcBorders>
          </w:tcPr>
          <w:p>
            <w:pPr>
              <w:pStyle w:val="TableParagraph"/>
              <w:spacing w:line="193" w:lineRule="exact"/>
              <w:ind w:left="103" w:right="0"/>
              <w:jc w:val="left"/>
              <w:rPr>
                <w:rFonts w:ascii="宋体" w:hAnsi="宋体" w:cs="宋体" w:eastAsia="宋体" w:hint="default"/>
                <w:sz w:val="18"/>
                <w:szCs w:val="18"/>
              </w:rPr>
            </w:pPr>
            <w:r>
              <w:rPr>
                <w:rFonts w:ascii="宋体" w:hAnsi="宋体" w:cs="宋体" w:eastAsia="宋体" w:hint="default"/>
                <w:sz w:val="18"/>
                <w:szCs w:val="18"/>
              </w:rPr>
              <w:t>如股票连续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个交易日的收盘价（如果因派发现金红利、送股、转增股</w:t>
            </w:r>
          </w:p>
          <w:p>
            <w:pPr>
              <w:pStyle w:val="TableParagraph"/>
              <w:spacing w:line="234" w:lineRule="exact" w:before="15"/>
              <w:ind w:left="103" w:right="102"/>
              <w:jc w:val="left"/>
              <w:rPr>
                <w:rFonts w:ascii="宋体" w:hAnsi="宋体" w:cs="宋体" w:eastAsia="宋体" w:hint="default"/>
                <w:sz w:val="18"/>
                <w:szCs w:val="18"/>
              </w:rPr>
            </w:pPr>
            <w:r>
              <w:rPr>
                <w:rFonts w:ascii="宋体" w:hAnsi="宋体" w:cs="宋体" w:eastAsia="宋体" w:hint="default"/>
                <w:spacing w:val="-3"/>
                <w:sz w:val="18"/>
                <w:szCs w:val="18"/>
              </w:rPr>
              <w:t>本、增发新股等原因进行除权、除息的，须按照深圳证券交易所的有关规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定作复权处理，下同）低于发行价，或者上市后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个月期末收盘价低于发</w:t>
            </w:r>
          </w:p>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行价，持有发行人股票的锁定期限自动延长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13" w:type="dxa"/>
            <w:tcBorders>
              <w:top w:val="single" w:sz="12" w:space="0" w:color="D2D2D2"/>
              <w:left w:val="single" w:sz="4" w:space="0" w:color="000000"/>
              <w:bottom w:val="single" w:sz="4" w:space="0" w:color="000000"/>
              <w:right w:val="single" w:sz="4" w:space="0" w:color="000000"/>
            </w:tcBorders>
          </w:tcPr>
          <w:p>
            <w:pPr/>
          </w:p>
        </w:tc>
        <w:tc>
          <w:tcPr>
            <w:tcW w:w="1168" w:type="dxa"/>
            <w:tcBorders>
              <w:top w:val="single" w:sz="12" w:space="0" w:color="D2D2D2"/>
              <w:left w:val="single" w:sz="4" w:space="0" w:color="000000"/>
              <w:bottom w:val="single" w:sz="4" w:space="0" w:color="000000"/>
              <w:right w:val="single" w:sz="4" w:space="0" w:color="000000"/>
            </w:tcBorders>
          </w:tcPr>
          <w:p>
            <w:pPr/>
          </w:p>
        </w:tc>
        <w:tc>
          <w:tcPr>
            <w:tcW w:w="1171" w:type="dxa"/>
            <w:tcBorders>
              <w:top w:val="single" w:sz="12" w:space="0" w:color="D2D2D2"/>
              <w:left w:val="single" w:sz="4" w:space="0" w:color="000000"/>
              <w:bottom w:val="single" w:sz="4" w:space="0" w:color="000000"/>
              <w:right w:val="single" w:sz="4" w:space="0" w:color="000000"/>
            </w:tcBorders>
          </w:tcPr>
          <w:p>
            <w:pPr/>
          </w:p>
        </w:tc>
      </w:tr>
      <w:tr>
        <w:trPr>
          <w:trHeight w:val="1769" w:hRule="exact"/>
        </w:trPr>
        <w:tc>
          <w:tcPr>
            <w:tcW w:w="1832" w:type="dxa"/>
            <w:vMerge/>
            <w:tcBorders>
              <w:left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25" w:lineRule="auto"/>
              <w:ind w:left="103"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Qualcomm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6"/>
                <w:sz w:val="18"/>
                <w:szCs w:val="18"/>
              </w:rPr>
              <w:t>Inc.</w:t>
            </w:r>
            <w:r>
              <w:rPr>
                <w:rFonts w:ascii="宋体" w:hAnsi="宋体" w:cs="宋体" w:eastAsia="宋体" w:hint="default"/>
                <w:spacing w:val="-6"/>
                <w:sz w:val="18"/>
                <w:szCs w:val="18"/>
              </w:rPr>
              <w:t>；展讯通信</w:t>
            </w:r>
          </w:p>
          <w:p>
            <w:pPr>
              <w:pStyle w:val="TableParagraph"/>
              <w:spacing w:line="234" w:lineRule="exact" w:before="9"/>
              <w:ind w:left="125" w:right="122"/>
              <w:jc w:val="center"/>
              <w:rPr>
                <w:rFonts w:ascii="宋体" w:hAnsi="宋体" w:cs="宋体" w:eastAsia="宋体" w:hint="default"/>
                <w:sz w:val="18"/>
                <w:szCs w:val="18"/>
              </w:rPr>
            </w:pPr>
            <w:r>
              <w:rPr>
                <w:rFonts w:ascii="宋体" w:hAnsi="宋体" w:cs="宋体" w:eastAsia="宋体" w:hint="default"/>
                <w:sz w:val="18"/>
                <w:szCs w:val="18"/>
              </w:rPr>
              <w:t>（天津）有限 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2"/>
              <w:ind w:left="103" w:right="1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、自公司本次发行并在证券交易所上市之日起十二个月内，不转让或者 </w:t>
            </w:r>
            <w:r>
              <w:rPr>
                <w:rFonts w:ascii="宋体" w:hAnsi="宋体" w:cs="宋体" w:eastAsia="宋体" w:hint="default"/>
                <w:spacing w:val="-3"/>
                <w:sz w:val="18"/>
                <w:szCs w:val="18"/>
              </w:rPr>
              <w:t>委托他人管理其直接或间接持有的公司本次发行前已发行的股份，也不由</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公司回购直接或间接持有的公司本次发行前已发行的股份。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、自公司本 </w:t>
            </w:r>
            <w:r>
              <w:rPr>
                <w:rFonts w:ascii="宋体" w:hAnsi="宋体" w:cs="宋体" w:eastAsia="宋体" w:hint="default"/>
                <w:spacing w:val="-3"/>
                <w:sz w:val="18"/>
                <w:szCs w:val="18"/>
              </w:rPr>
              <w:t>次发行并在证券交易所上市之日起二十四个月内，累计转让或出售的股份</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总数不超过持有的公司本次发行前股份总数的</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50%</w:t>
            </w:r>
            <w:r>
              <w:rPr>
                <w:rFonts w:ascii="宋体" w:hAnsi="宋体" w:cs="宋体" w:eastAsia="宋体" w:hint="default"/>
                <w:spacing w:val="-7"/>
                <w:sz w:val="18"/>
                <w:szCs w:val="18"/>
              </w:rPr>
              <w:t>；自公司本次发行并在</w:t>
            </w:r>
            <w:r>
              <w:rPr>
                <w:rFonts w:ascii="宋体" w:hAnsi="宋体" w:cs="宋体" w:eastAsia="宋体" w:hint="default"/>
                <w:sz w:val="18"/>
                <w:szCs w:val="18"/>
              </w:rPr>
              <w:t> </w:t>
            </w:r>
            <w:r>
              <w:rPr>
                <w:rFonts w:ascii="宋体" w:hAnsi="宋体" w:cs="宋体" w:eastAsia="宋体" w:hint="default"/>
                <w:spacing w:val="-3"/>
                <w:sz w:val="18"/>
                <w:szCs w:val="18"/>
              </w:rPr>
              <w:t>证券交易所上市之日起三十六个月内，累计转让或出售的股份总数不超过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持有的公司本次发行前股份总数的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三年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2235" w:hRule="exact"/>
        </w:trPr>
        <w:tc>
          <w:tcPr>
            <w:tcW w:w="1832" w:type="dxa"/>
            <w:vMerge/>
            <w:tcBorders>
              <w:left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32" w:lineRule="exact"/>
              <w:ind w:left="215" w:right="122" w:hanging="90"/>
              <w:jc w:val="left"/>
              <w:rPr>
                <w:rFonts w:ascii="宋体" w:hAnsi="宋体" w:cs="宋体" w:eastAsia="宋体" w:hint="default"/>
                <w:sz w:val="18"/>
                <w:szCs w:val="18"/>
              </w:rPr>
            </w:pPr>
            <w:r>
              <w:rPr>
                <w:rFonts w:ascii="宋体" w:hAnsi="宋体" w:cs="宋体" w:eastAsia="宋体" w:hint="default"/>
                <w:sz w:val="18"/>
                <w:szCs w:val="18"/>
              </w:rPr>
              <w:t>耿增强；吴安 华；邹鹏程</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6"/>
              <w:ind w:left="103"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、自公司本次发行并在深圳证券交易所上市之日起十二个月内，不转让 </w:t>
            </w:r>
            <w:r>
              <w:rPr>
                <w:rFonts w:ascii="宋体" w:hAnsi="宋体" w:cs="宋体" w:eastAsia="宋体" w:hint="default"/>
                <w:spacing w:val="-3"/>
                <w:sz w:val="18"/>
                <w:szCs w:val="18"/>
              </w:rPr>
              <w:t>或者委托他人管理其直接或间接持有的公司本次发行前已持有的股份，也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不由本公司回购直接或间接持有的公司本次发行前已发行的股份；离职后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六个月内，不转让直接或间接持有的公司股份；在公司股票上市之日起六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个月内申报离职的，自申报离职之日起十八个月内不转让直接持有的公司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的股份；在公司股票上市之日起第七个月至第十二个月之间申报离职的， 自申报离职之日起十二个月内不转让直接持有的公司股份；若申报离职， </w:t>
            </w:r>
            <w:r>
              <w:rPr>
                <w:rFonts w:ascii="宋体" w:hAnsi="宋体" w:cs="宋体" w:eastAsia="宋体" w:hint="default"/>
                <w:spacing w:val="-3"/>
                <w:sz w:val="18"/>
                <w:szCs w:val="18"/>
              </w:rPr>
              <w:t>则自离职信息申报之日起六个月内，增持的公司股份也将按上述承诺予以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锁定。</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2703" w:hRule="exact"/>
        </w:trPr>
        <w:tc>
          <w:tcPr>
            <w:tcW w:w="1832" w:type="dxa"/>
            <w:vMerge/>
            <w:tcBorders>
              <w:left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2" w:lineRule="auto"/>
              <w:ind w:left="103" w:right="102" w:firstLine="2"/>
              <w:jc w:val="center"/>
              <w:rPr>
                <w:rFonts w:ascii="宋体" w:hAnsi="宋体" w:cs="宋体" w:eastAsia="宋体" w:hint="default"/>
                <w:sz w:val="18"/>
                <w:szCs w:val="18"/>
              </w:rPr>
            </w:pPr>
            <w:r>
              <w:rPr>
                <w:rFonts w:ascii="宋体" w:hAnsi="宋体" w:cs="宋体" w:eastAsia="宋体" w:hint="default"/>
                <w:sz w:val="18"/>
                <w:szCs w:val="18"/>
              </w:rPr>
              <w:t>陈晓华；大洋 中科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株式 会社；越超有 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0"/>
              <w:ind w:left="103" w:right="102"/>
              <w:jc w:val="left"/>
              <w:rPr>
                <w:rFonts w:ascii="宋体" w:hAnsi="宋体" w:cs="宋体" w:eastAsia="宋体" w:hint="default"/>
                <w:sz w:val="18"/>
                <w:szCs w:val="18"/>
              </w:rPr>
            </w:pPr>
            <w:r>
              <w:rPr>
                <w:rFonts w:ascii="宋体" w:hAnsi="宋体" w:cs="宋体" w:eastAsia="宋体" w:hint="default"/>
                <w:spacing w:val="-4"/>
                <w:sz w:val="18"/>
                <w:szCs w:val="18"/>
              </w:rPr>
              <w:t>就所持有公司股票的减持意向承诺如下：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、作为持有发行人</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w:t>
            </w:r>
            <w:r>
              <w:rPr>
                <w:rFonts w:ascii="宋体" w:hAnsi="宋体" w:cs="宋体" w:eastAsia="宋体" w:hint="default"/>
                <w:spacing w:val="-85"/>
                <w:sz w:val="18"/>
                <w:szCs w:val="18"/>
              </w:rPr>
              <w:t> </w:t>
            </w:r>
            <w:r>
              <w:rPr>
                <w:rFonts w:ascii="宋体" w:hAnsi="宋体" w:cs="宋体" w:eastAsia="宋体" w:hint="default"/>
                <w:spacing w:val="-3"/>
                <w:sz w:val="18"/>
                <w:szCs w:val="18"/>
              </w:rPr>
              <w:t>的股东，按照法律法规及监管要求，持有发行人的股票，并严格履行发行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人首次公开发行股票招股说明书披露的股票锁定承诺。</w:t>
            </w:r>
            <w:r>
              <w:rPr>
                <w:rFonts w:ascii="Times New Roman" w:hAnsi="Times New Roman" w:cs="Times New Roman" w:eastAsia="Times New Roman" w:hint="default"/>
                <w:sz w:val="18"/>
                <w:szCs w:val="18"/>
              </w:rPr>
              <w:t>2</w:t>
            </w:r>
            <w:r>
              <w:rPr>
                <w:rFonts w:ascii="宋体" w:hAnsi="宋体" w:cs="宋体" w:eastAsia="宋体" w:hint="default"/>
                <w:sz w:val="18"/>
                <w:szCs w:val="18"/>
              </w:rPr>
              <w:t>、减持发行人股 </w:t>
            </w:r>
            <w:r>
              <w:rPr>
                <w:rFonts w:ascii="宋体" w:hAnsi="宋体" w:cs="宋体" w:eastAsia="宋体" w:hint="default"/>
                <w:spacing w:val="-3"/>
                <w:sz w:val="18"/>
                <w:szCs w:val="18"/>
              </w:rPr>
              <w:t>份的价格根据当时的二级市场价格确定，并应符合相关法律法规及证券交</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易所规则要求；在发行人首次公开发行前所持有的发行人股份在锁定期满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后两年内减持的，转让价格不低于首次公开发行股票之时的发行价。</w:t>
            </w:r>
            <w:r>
              <w:rPr>
                <w:rFonts w:ascii="Times New Roman" w:hAnsi="Times New Roman" w:cs="Times New Roman" w:eastAsia="Times New Roman" w:hint="default"/>
                <w:sz w:val="18"/>
                <w:szCs w:val="18"/>
              </w:rPr>
              <w:t>3</w:t>
            </w:r>
            <w:r>
              <w:rPr>
                <w:rFonts w:ascii="宋体" w:hAnsi="宋体" w:cs="宋体" w:eastAsia="宋体" w:hint="default"/>
                <w:sz w:val="18"/>
                <w:szCs w:val="18"/>
              </w:rPr>
              <w:t>、 持有的公司股票锁定期届满后两年内合计减持不超过持有公司首次公开 发行时的股份总数的</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、在减持发行人股份前，应提前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个交易日 </w:t>
            </w:r>
            <w:r>
              <w:rPr>
                <w:rFonts w:ascii="宋体" w:hAnsi="宋体" w:cs="宋体" w:eastAsia="宋体" w:hint="default"/>
                <w:spacing w:val="-3"/>
                <w:sz w:val="18"/>
                <w:szCs w:val="18"/>
              </w:rPr>
              <w:t>予以公告，并按照深圳证券交易所的规则及时、准确、完整地履行信息披</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露义务。</w:t>
            </w:r>
            <w:r>
              <w:rPr>
                <w:rFonts w:ascii="Times New Roman" w:hAnsi="Times New Roman" w:cs="Times New Roman" w:eastAsia="Times New Roman" w:hint="default"/>
                <w:sz w:val="18"/>
                <w:szCs w:val="18"/>
              </w:rPr>
              <w:t>5</w:t>
            </w:r>
            <w:r>
              <w:rPr>
                <w:rFonts w:ascii="宋体" w:hAnsi="宋体" w:cs="宋体" w:eastAsia="宋体" w:hint="default"/>
                <w:sz w:val="18"/>
                <w:szCs w:val="18"/>
              </w:rPr>
              <w:t>、在上述承诺履行期间，陈晓华职务变更、离职等原因不影响 减持意向承诺的效力，在此期间仍将继续履行上述承诺。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三年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1240"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6"/>
              <w:ind w:left="103" w:right="101"/>
              <w:jc w:val="both"/>
              <w:rPr>
                <w:rFonts w:ascii="宋体" w:hAnsi="宋体" w:cs="宋体" w:eastAsia="宋体" w:hint="default"/>
                <w:sz w:val="18"/>
                <w:szCs w:val="18"/>
              </w:rPr>
            </w:pPr>
            <w:r>
              <w:rPr>
                <w:rFonts w:ascii="宋体" w:hAnsi="宋体" w:cs="宋体" w:eastAsia="宋体" w:hint="default"/>
                <w:sz w:val="18"/>
                <w:szCs w:val="18"/>
              </w:rPr>
              <w:t>就所持有公司股票的减持意向承诺如下：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、作为发行人的控股股东，在 </w:t>
            </w:r>
            <w:r>
              <w:rPr>
                <w:rFonts w:ascii="宋体" w:hAnsi="宋体" w:cs="宋体" w:eastAsia="宋体" w:hint="default"/>
                <w:spacing w:val="-3"/>
                <w:sz w:val="18"/>
                <w:szCs w:val="18"/>
              </w:rPr>
              <w:t>上述锁定期满后，在不影响控股股东地位的前提下，可根据需要以集中竞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价交易、大宗交易或其他合法的方式适当转让部分发行人股票。在上述锁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定期满后二十四个月内，如拟转让持有的发行人股票，则每十二个月转让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数量不超过赵鸿飞所持发行人股票数量的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，且转让价格（如果因派发</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center"/>
        <w:rPr>
          <w:rFonts w:ascii="宋体" w:hAnsi="宋体" w:cs="宋体" w:eastAsia="宋体" w:hint="default"/>
          <w:sz w:val="18"/>
          <w:szCs w:val="18"/>
        </w:rPr>
        <w:sectPr>
          <w:pgSz w:w="16840" w:h="11910" w:orient="landscape"/>
          <w:pgMar w:header="877" w:footer="979" w:top="1160" w:bottom="1160" w:left="1220" w:right="0"/>
        </w:sectPr>
      </w:pPr>
    </w:p>
    <w:tbl>
      <w:tblPr>
        <w:tblW w:w="0" w:type="auto"/>
        <w:jc w:val="left"/>
        <w:tblInd w:w="107" w:type="dxa"/>
        <w:tblLayout w:type="fixed"/>
        <w:tblCellMar>
          <w:top w:w="0" w:type="dxa"/>
          <w:left w:w="0" w:type="dxa"/>
          <w:bottom w:w="0" w:type="dxa"/>
          <w:right w:w="0" w:type="dxa"/>
        </w:tblCellMar>
        <w:tblLook w:val="01E0"/>
      </w:tblPr>
      <w:tblGrid>
        <w:gridCol w:w="1832"/>
        <w:gridCol w:w="1340"/>
        <w:gridCol w:w="1542"/>
        <w:gridCol w:w="5909"/>
        <w:gridCol w:w="1213"/>
        <w:gridCol w:w="1168"/>
        <w:gridCol w:w="1171"/>
      </w:tblGrid>
      <w:tr>
        <w:trPr>
          <w:trHeight w:val="38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49" w:hRule="exact"/>
        </w:trPr>
        <w:tc>
          <w:tcPr>
            <w:tcW w:w="1832" w:type="dxa"/>
            <w:vMerge w:val="restart"/>
            <w:tcBorders>
              <w:top w:val="single" w:sz="4" w:space="0" w:color="000000"/>
              <w:left w:val="single" w:sz="4" w:space="0" w:color="000000"/>
              <w:right w:val="single" w:sz="4" w:space="0" w:color="000000"/>
            </w:tcBorders>
            <w:shd w:val="clear" w:color="auto" w:fill="D2D2D2"/>
          </w:tcPr>
          <w:p>
            <w:pPr/>
          </w:p>
        </w:tc>
        <w:tc>
          <w:tcPr>
            <w:tcW w:w="1340" w:type="dxa"/>
            <w:tcBorders>
              <w:top w:val="single" w:sz="12" w:space="0" w:color="D2D2D2"/>
              <w:left w:val="single" w:sz="4" w:space="0" w:color="000000"/>
              <w:bottom w:val="single" w:sz="4" w:space="0" w:color="000000"/>
              <w:right w:val="single" w:sz="4" w:space="0" w:color="000000"/>
            </w:tcBorders>
          </w:tcPr>
          <w:p>
            <w:pPr/>
          </w:p>
        </w:tc>
        <w:tc>
          <w:tcPr>
            <w:tcW w:w="1542" w:type="dxa"/>
            <w:tcBorders>
              <w:top w:val="single" w:sz="12" w:space="0" w:color="D2D2D2"/>
              <w:left w:val="single" w:sz="4" w:space="0" w:color="000000"/>
              <w:bottom w:val="single" w:sz="4" w:space="0" w:color="000000"/>
              <w:right w:val="single" w:sz="4" w:space="0" w:color="000000"/>
            </w:tcBorders>
          </w:tcPr>
          <w:p>
            <w:pPr/>
          </w:p>
        </w:tc>
        <w:tc>
          <w:tcPr>
            <w:tcW w:w="5909" w:type="dxa"/>
            <w:tcBorders>
              <w:top w:val="single" w:sz="12" w:space="0" w:color="D2D2D2"/>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现金红利、送股、转增股本、增发新股等原因进行除权、除息的，须按照</w:t>
            </w:r>
          </w:p>
          <w:p>
            <w:pPr>
              <w:pStyle w:val="TableParagraph"/>
              <w:spacing w:line="230" w:lineRule="auto" w:before="7"/>
              <w:ind w:left="103" w:right="12"/>
              <w:jc w:val="left"/>
              <w:rPr>
                <w:rFonts w:ascii="宋体" w:hAnsi="宋体" w:cs="宋体" w:eastAsia="宋体" w:hint="default"/>
                <w:sz w:val="18"/>
                <w:szCs w:val="18"/>
              </w:rPr>
            </w:pPr>
            <w:r>
              <w:rPr>
                <w:rFonts w:ascii="宋体" w:hAnsi="宋体" w:cs="宋体" w:eastAsia="宋体" w:hint="default"/>
                <w:spacing w:val="-3"/>
                <w:sz w:val="18"/>
                <w:szCs w:val="18"/>
              </w:rPr>
              <w:t>深圳证券交易所的有关规定作复权处理，下同）不低于发行价。在减持所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持有的发行人股份前，应提前三个交易日予以公告，并在六个月内完成， </w:t>
            </w:r>
            <w:r>
              <w:rPr>
                <w:rFonts w:ascii="宋体" w:hAnsi="宋体" w:cs="宋体" w:eastAsia="宋体" w:hint="default"/>
                <w:spacing w:val="-4"/>
                <w:sz w:val="18"/>
                <w:szCs w:val="18"/>
              </w:rPr>
              <w:t>并按照深圳证券交易所的规则及时、准确、完整地履行信息披露义务。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作为发行人的控股股东，按照法律法规及监管要求，持有发行人的股票， </w:t>
            </w:r>
            <w:r>
              <w:rPr>
                <w:rFonts w:ascii="宋体" w:hAnsi="宋体" w:cs="宋体" w:eastAsia="宋体" w:hint="default"/>
                <w:spacing w:val="-3"/>
                <w:sz w:val="18"/>
                <w:szCs w:val="18"/>
              </w:rPr>
              <w:t>并严格履行发行人首次公开发行股票招股说明书披露的股票锁定承诺。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在上述承诺履行期间，职务变更、离职等原因不影响锁定期限承诺第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项和减持意向承诺的效力，在此期间仍将继续履行上述承诺。</w:t>
            </w:r>
          </w:p>
        </w:tc>
        <w:tc>
          <w:tcPr>
            <w:tcW w:w="1213" w:type="dxa"/>
            <w:tcBorders>
              <w:top w:val="single" w:sz="12" w:space="0" w:color="D2D2D2"/>
              <w:left w:val="single" w:sz="4" w:space="0" w:color="000000"/>
              <w:bottom w:val="single" w:sz="4" w:space="0" w:color="000000"/>
              <w:right w:val="single" w:sz="4" w:space="0" w:color="000000"/>
            </w:tcBorders>
          </w:tcPr>
          <w:p>
            <w:pPr/>
          </w:p>
        </w:tc>
        <w:tc>
          <w:tcPr>
            <w:tcW w:w="1168" w:type="dxa"/>
            <w:tcBorders>
              <w:top w:val="single" w:sz="12" w:space="0" w:color="D2D2D2"/>
              <w:left w:val="single" w:sz="4" w:space="0" w:color="000000"/>
              <w:bottom w:val="single" w:sz="4" w:space="0" w:color="000000"/>
              <w:right w:val="single" w:sz="4" w:space="0" w:color="000000"/>
            </w:tcBorders>
          </w:tcPr>
          <w:p>
            <w:pPr/>
          </w:p>
        </w:tc>
        <w:tc>
          <w:tcPr>
            <w:tcW w:w="1171" w:type="dxa"/>
            <w:tcBorders>
              <w:top w:val="single" w:sz="12" w:space="0" w:color="D2D2D2"/>
              <w:left w:val="single" w:sz="4" w:space="0" w:color="000000"/>
              <w:bottom w:val="single" w:sz="4" w:space="0" w:color="000000"/>
              <w:right w:val="single" w:sz="4" w:space="0" w:color="000000"/>
            </w:tcBorders>
          </w:tcPr>
          <w:p>
            <w:pPr/>
          </w:p>
        </w:tc>
      </w:tr>
      <w:tr>
        <w:trPr>
          <w:trHeight w:val="7077"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
              <w:ind w:left="103" w:right="101"/>
              <w:jc w:val="left"/>
              <w:rPr>
                <w:rFonts w:ascii="宋体" w:hAnsi="宋体" w:cs="宋体" w:eastAsia="宋体" w:hint="default"/>
                <w:sz w:val="18"/>
                <w:szCs w:val="18"/>
              </w:rPr>
            </w:pPr>
            <w:r>
              <w:rPr>
                <w:rFonts w:ascii="宋体" w:hAnsi="宋体" w:cs="宋体" w:eastAsia="宋体" w:hint="default"/>
                <w:spacing w:val="-3"/>
                <w:sz w:val="18"/>
                <w:szCs w:val="18"/>
              </w:rPr>
              <w:t>为避免因同业竞争损害公司及其他股东的利益，公司控股股东和实际控制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8"/>
                <w:sz w:val="18"/>
                <w:szCs w:val="18"/>
              </w:rPr>
              <w:t>人赵鸿飞出具《避免同业竞争承诺函》（以下简称“承诺函”）承诺：除公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司及其子公司、启元合创（现已注销）外，本人（包括近亲属）没有其他</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直接或间接控制的企业，本人目前不存在自营、与他人共同经营或为他人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经营与公司及其子公司相同、相似业务的情形，与公司及其子公司之间不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存在同业竞争；在本人直接或间接持有公司股份期间，本人及本人所控制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的其他企业将不采取参股、控股、联营、合营、合作或者其他任何方式直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接或间接从事与公司及其子公司业务范围相同、相似或构成实质竞争的业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务，如本人或本人所控制的其他企业获得的商业机会与公司及其子公司主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营业务发生同业竞争或可能发生同业竞争的，本人将立即通知公司，尽力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将该商业机会给予公司，以确保公司及其全体股东利益不受损害；如本人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违反上述承诺，则因此而取得的相关收益将全部归公司所有，如因此给公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司及其他股东造成损失的，本人将及时、足额赔偿公司及其他股东因此遭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受的全部损失。公司控股股东和实际控制人赵鸿飞出具《减少关联交易的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承诺函》，承诺：如果本公司因最近三年的关联交易事项、关联方资金占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用事项而受到任何处罚、产生任何纠纷或者遭受任何经济损失，赵鸿飞将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承担全部责任，以确保本公司及其公众股东不致因此而遭受损失。赵鸿飞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将善意履行作为本公司大股东、实际控制人的义务，不利用本人所处实际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控制人地位，就本公司与赵鸿飞或赵鸿飞控制的其他企业相关的任何关联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交易采取任何行动，故意促使本公司的股东大会或董事会作出侵犯本公司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和其他股东合法权益的决议。如果本公司必须与赵鸿飞或赵鸿飞控制的其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他企业发生任何关联交易，则赵鸿飞承诺将严格遵守本公司公司章程及其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他规定，依法履行审批程序。如赵鸿飞或赵鸿飞控制的其他企业违反上述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承诺并造成本公司经济损失的，赵鸿飞同意赔偿相应损失。公司控股股东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和实际控制人赵鸿飞出具《减少关联交易的承诺函》，承诺：如果本公司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因最近三年的关联交易事项、关联方资金占用事项而受到任何处罚、产生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任何纠纷或者遭受任何经济损失，赵鸿飞将承担全部责任，以确保本公司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及其公众股东不致因此而遭受损失。赵鸿飞将善意履行作为本公司大股 </w:t>
            </w:r>
            <w:r>
              <w:rPr>
                <w:rFonts w:ascii="宋体" w:hAnsi="宋体" w:cs="宋体" w:eastAsia="宋体" w:hint="default"/>
                <w:spacing w:val="-3"/>
                <w:sz w:val="18"/>
                <w:szCs w:val="18"/>
              </w:rPr>
              <w:t>东、实际控制人的义务，不利用本人所处实际控制人地位，就本公司与赵</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鸿飞或赵鸿飞控制的其他企业相关的任何关联交易采取任何行动，故意促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center"/>
        <w:rPr>
          <w:rFonts w:ascii="宋体" w:hAnsi="宋体" w:cs="宋体" w:eastAsia="宋体" w:hint="default"/>
          <w:sz w:val="18"/>
          <w:szCs w:val="18"/>
        </w:rPr>
        <w:sectPr>
          <w:pgSz w:w="16840" w:h="11910" w:orient="landscape"/>
          <w:pgMar w:header="877" w:footer="979" w:top="1160" w:bottom="1160" w:left="1220" w:right="0"/>
        </w:sectPr>
      </w:pPr>
    </w:p>
    <w:tbl>
      <w:tblPr>
        <w:tblW w:w="0" w:type="auto"/>
        <w:jc w:val="left"/>
        <w:tblInd w:w="107" w:type="dxa"/>
        <w:tblLayout w:type="fixed"/>
        <w:tblCellMar>
          <w:top w:w="0" w:type="dxa"/>
          <w:left w:w="0" w:type="dxa"/>
          <w:bottom w:w="0" w:type="dxa"/>
          <w:right w:w="0" w:type="dxa"/>
        </w:tblCellMar>
        <w:tblLook w:val="01E0"/>
      </w:tblPr>
      <w:tblGrid>
        <w:gridCol w:w="1832"/>
        <w:gridCol w:w="1340"/>
        <w:gridCol w:w="1542"/>
        <w:gridCol w:w="5909"/>
        <w:gridCol w:w="1213"/>
        <w:gridCol w:w="1168"/>
        <w:gridCol w:w="1171"/>
      </w:tblGrid>
      <w:tr>
        <w:trPr>
          <w:trHeight w:val="38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16" w:hRule="exact"/>
        </w:trPr>
        <w:tc>
          <w:tcPr>
            <w:tcW w:w="1832" w:type="dxa"/>
            <w:vMerge w:val="restart"/>
            <w:tcBorders>
              <w:top w:val="single" w:sz="4" w:space="0" w:color="000000"/>
              <w:left w:val="single" w:sz="4" w:space="0" w:color="000000"/>
              <w:right w:val="single" w:sz="4" w:space="0" w:color="000000"/>
            </w:tcBorders>
            <w:shd w:val="clear" w:color="auto" w:fill="D2D2D2"/>
          </w:tcPr>
          <w:p>
            <w:pPr/>
          </w:p>
        </w:tc>
        <w:tc>
          <w:tcPr>
            <w:tcW w:w="1340" w:type="dxa"/>
            <w:tcBorders>
              <w:top w:val="single" w:sz="12" w:space="0" w:color="D2D2D2"/>
              <w:left w:val="single" w:sz="4" w:space="0" w:color="000000"/>
              <w:bottom w:val="single" w:sz="4" w:space="0" w:color="000000"/>
              <w:right w:val="single" w:sz="4" w:space="0" w:color="000000"/>
            </w:tcBorders>
          </w:tcPr>
          <w:p>
            <w:pPr/>
          </w:p>
        </w:tc>
        <w:tc>
          <w:tcPr>
            <w:tcW w:w="1542" w:type="dxa"/>
            <w:tcBorders>
              <w:top w:val="single" w:sz="12" w:space="0" w:color="D2D2D2"/>
              <w:left w:val="single" w:sz="4" w:space="0" w:color="000000"/>
              <w:bottom w:val="single" w:sz="4" w:space="0" w:color="000000"/>
              <w:right w:val="single" w:sz="4" w:space="0" w:color="000000"/>
            </w:tcBorders>
          </w:tcPr>
          <w:p>
            <w:pPr/>
          </w:p>
        </w:tc>
        <w:tc>
          <w:tcPr>
            <w:tcW w:w="5909" w:type="dxa"/>
            <w:tcBorders>
              <w:top w:val="single" w:sz="12" w:space="0" w:color="D2D2D2"/>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z w:val="18"/>
                <w:szCs w:val="18"/>
              </w:rPr>
              <w:t>使本公司的股东大会或董事会作出侵犯本公司和其他股东合法权益的决</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议。如果本公司必须与赵鸿飞或赵鸿飞控制的其他企业发生任何关联交 </w:t>
            </w:r>
            <w:r>
              <w:rPr>
                <w:rFonts w:ascii="宋体" w:hAnsi="宋体" w:cs="宋体" w:eastAsia="宋体" w:hint="default"/>
                <w:spacing w:val="-3"/>
                <w:sz w:val="18"/>
                <w:szCs w:val="18"/>
              </w:rPr>
              <w:t>易，则赵鸿飞承诺将严格遵守本公司公司章程及其他规定，依法履行审批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程序。如赵鸿飞或赵鸿飞控制的其他企业违反上述承诺并造成本公司经济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损失的，赵鸿飞同意赔偿相应损失。公司控股股东和实际控制人赵鸿飞已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出具防止资金占用的承诺函，承诺赵鸿飞及赵鸿飞直接或间接控制的所有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企业（如有）将不以代垫费用或其他支出、直接或间接借款、代偿债务等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任何方式占用本公司及其子公司的资金，且将严格遵守中国证监会关于上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市公司法人治理的有关规定，避免与本公司发生与正常生产经营无关的资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金往来行为。</w:t>
            </w:r>
          </w:p>
        </w:tc>
        <w:tc>
          <w:tcPr>
            <w:tcW w:w="1213" w:type="dxa"/>
            <w:tcBorders>
              <w:top w:val="single" w:sz="12" w:space="0" w:color="D2D2D2"/>
              <w:left w:val="single" w:sz="4" w:space="0" w:color="000000"/>
              <w:bottom w:val="single" w:sz="4" w:space="0" w:color="000000"/>
              <w:right w:val="single" w:sz="4" w:space="0" w:color="000000"/>
            </w:tcBorders>
          </w:tcPr>
          <w:p>
            <w:pPr/>
          </w:p>
        </w:tc>
        <w:tc>
          <w:tcPr>
            <w:tcW w:w="1168" w:type="dxa"/>
            <w:tcBorders>
              <w:top w:val="single" w:sz="12" w:space="0" w:color="D2D2D2"/>
              <w:left w:val="single" w:sz="4" w:space="0" w:color="000000"/>
              <w:bottom w:val="single" w:sz="4" w:space="0" w:color="000000"/>
              <w:right w:val="single" w:sz="4" w:space="0" w:color="000000"/>
            </w:tcBorders>
          </w:tcPr>
          <w:p>
            <w:pPr/>
          </w:p>
        </w:tc>
        <w:tc>
          <w:tcPr>
            <w:tcW w:w="1171" w:type="dxa"/>
            <w:tcBorders>
              <w:top w:val="single" w:sz="12" w:space="0" w:color="D2D2D2"/>
              <w:left w:val="single" w:sz="4" w:space="0" w:color="000000"/>
              <w:bottom w:val="single" w:sz="4" w:space="0" w:color="000000"/>
              <w:right w:val="single" w:sz="4" w:space="0" w:color="000000"/>
            </w:tcBorders>
          </w:tcPr>
          <w:p>
            <w:pPr/>
          </w:p>
        </w:tc>
      </w:tr>
      <w:tr>
        <w:trPr>
          <w:trHeight w:val="2937" w:hRule="exact"/>
        </w:trPr>
        <w:tc>
          <w:tcPr>
            <w:tcW w:w="1832" w:type="dxa"/>
            <w:vMerge/>
            <w:tcBorders>
              <w:left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越超有限公司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20"/>
              <w:ind w:left="103" w:right="12"/>
              <w:jc w:val="left"/>
              <w:rPr>
                <w:rFonts w:ascii="宋体" w:hAnsi="宋体" w:cs="宋体" w:eastAsia="宋体" w:hint="default"/>
                <w:sz w:val="18"/>
                <w:szCs w:val="18"/>
              </w:rPr>
            </w:pPr>
            <w:r>
              <w:rPr>
                <w:rFonts w:ascii="宋体" w:hAnsi="宋体" w:cs="宋体" w:eastAsia="宋体" w:hint="default"/>
                <w:sz w:val="18"/>
                <w:szCs w:val="18"/>
              </w:rPr>
              <w:t>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以上的股东越超公司出具承诺，承诺目前未开展智能手 </w:t>
            </w:r>
            <w:r>
              <w:rPr>
                <w:rFonts w:ascii="宋体" w:hAnsi="宋体" w:cs="宋体" w:eastAsia="宋体" w:hint="default"/>
                <w:spacing w:val="-3"/>
                <w:sz w:val="18"/>
                <w:szCs w:val="18"/>
              </w:rPr>
              <w:t>机、平板电脑、电视等终端设备软件开发与服务业务，将来截至越超公司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在本公司持股</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以上的期间：（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）控制的企业不以任何方式参与任何与</w:t>
            </w:r>
            <w:r>
              <w:rPr>
                <w:rFonts w:ascii="宋体" w:hAnsi="宋体" w:cs="宋体" w:eastAsia="宋体" w:hint="default"/>
                <w:spacing w:val="-78"/>
                <w:sz w:val="18"/>
                <w:szCs w:val="18"/>
              </w:rPr>
              <w:t> </w:t>
            </w:r>
            <w:r>
              <w:rPr>
                <w:rFonts w:ascii="宋体" w:hAnsi="宋体" w:cs="宋体" w:eastAsia="宋体" w:hint="default"/>
                <w:spacing w:val="-5"/>
                <w:sz w:val="18"/>
                <w:szCs w:val="18"/>
              </w:rPr>
              <w:t>本公司主营业务构成同业竞争的业务或活动。（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）如所控制的企业获得的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商业机会与本公司主营业务发生同业竞争或可能发生同业竞争的，将立即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通知本公司，尽力将该商业机会给予本公司，以确保本公司及其其他股东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利益不受损害。此外，持有公司股份</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以上的股东越超公司、大洋中科、 </w:t>
            </w:r>
            <w:r>
              <w:rPr>
                <w:rFonts w:ascii="宋体" w:hAnsi="宋体" w:cs="宋体" w:eastAsia="宋体" w:hint="default"/>
                <w:spacing w:val="-3"/>
                <w:sz w:val="18"/>
                <w:szCs w:val="18"/>
              </w:rPr>
              <w:t>陈晓华分别出具承诺，承诺将善意履行作为公司股东的义务，不利用所处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股东地位，就本公司与其相关的任何关联交易采取任何行动，故意促使本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公司的股东大会或董事会作出侵犯本公司和其他股东合法权益的决议；如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果本公司必须与其发生任何关联交易，则承诺将严格遵守本公司公司章程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及其他规定，依法履行审批程序。</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2469" w:hRule="exact"/>
        </w:trPr>
        <w:tc>
          <w:tcPr>
            <w:tcW w:w="1832" w:type="dxa"/>
            <w:vMerge/>
            <w:tcBorders>
              <w:left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30" w:lineRule="auto"/>
              <w:ind w:left="103" w:right="102" w:firstLine="2"/>
              <w:jc w:val="center"/>
              <w:rPr>
                <w:rFonts w:ascii="宋体" w:hAnsi="宋体" w:cs="宋体" w:eastAsia="宋体" w:hint="default"/>
                <w:sz w:val="18"/>
                <w:szCs w:val="18"/>
              </w:rPr>
            </w:pPr>
            <w:r>
              <w:rPr>
                <w:rFonts w:ascii="宋体" w:hAnsi="宋体" w:cs="宋体" w:eastAsia="宋体" w:hint="default"/>
                <w:sz w:val="18"/>
                <w:szCs w:val="18"/>
              </w:rPr>
              <w:t>陈晓华；大洋 中科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株式 会社</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6"/>
              <w:ind w:left="103" w:right="101"/>
              <w:jc w:val="both"/>
              <w:rPr>
                <w:rFonts w:ascii="宋体" w:hAnsi="宋体" w:cs="宋体" w:eastAsia="宋体" w:hint="default"/>
                <w:sz w:val="18"/>
                <w:szCs w:val="18"/>
              </w:rPr>
            </w:pPr>
            <w:r>
              <w:rPr>
                <w:rFonts w:ascii="宋体" w:hAnsi="宋体" w:cs="宋体" w:eastAsia="宋体" w:hint="default"/>
                <w:sz w:val="18"/>
                <w:szCs w:val="18"/>
              </w:rPr>
              <w:t>其他持有公司股份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以上的股东大洋中科、陈晓华分别出具书面承诺， </w:t>
            </w:r>
            <w:r>
              <w:rPr>
                <w:rFonts w:ascii="宋体" w:hAnsi="宋体" w:cs="宋体" w:eastAsia="宋体" w:hint="default"/>
                <w:spacing w:val="-3"/>
                <w:sz w:val="18"/>
                <w:szCs w:val="18"/>
              </w:rPr>
              <w:t>承诺目前未开展智能手机、平板电脑、电视等终端设备软件开发与服务业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务，将来也不以任何方式（包括但不限于单独经营、通过合资经营或拥有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另一公司或企业的股份及其他权益）直接或间接参与任何与本公司主营业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务构成同业竞争的业务或活动。此外，持有公司股份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以上的股东越超 </w:t>
            </w:r>
            <w:r>
              <w:rPr>
                <w:rFonts w:ascii="宋体" w:hAnsi="宋体" w:cs="宋体" w:eastAsia="宋体" w:hint="default"/>
                <w:spacing w:val="-3"/>
                <w:sz w:val="18"/>
                <w:szCs w:val="18"/>
              </w:rPr>
              <w:t>公司、大洋中科、陈晓华分别出具承诺，承诺将善意履行作为公司股东的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义务，不利用所处股东地位，就本公司与其相关的任何关联交易采取任何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行动，故意促使本公司的股东大会或董事会作出侵犯本公司和其他股东合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法权益的决议；如果本公司必须与其发生任何关联交易，则承诺将严格遵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守本公司公司章程及其他规定，依法履行审批程序。</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1240"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9"/>
              <w:ind w:left="125" w:right="122"/>
              <w:jc w:val="left"/>
              <w:rPr>
                <w:rFonts w:ascii="宋体" w:hAnsi="宋体" w:cs="宋体" w:eastAsia="宋体" w:hint="default"/>
                <w:sz w:val="18"/>
                <w:szCs w:val="18"/>
              </w:rPr>
            </w:pPr>
            <w:r>
              <w:rPr>
                <w:rFonts w:ascii="宋体" w:hAnsi="宋体" w:cs="宋体" w:eastAsia="宋体" w:hint="default"/>
                <w:sz w:val="18"/>
                <w:szCs w:val="18"/>
              </w:rPr>
              <w:t>中科创达软件 股份有限公司</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0"/>
              <w:ind w:left="10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）自公司股票上市交易后三年内首次触发启动条件，和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或自公司股票</w:t>
            </w:r>
            <w:r>
              <w:rPr>
                <w:rFonts w:ascii="宋体" w:hAnsi="宋体" w:cs="宋体" w:eastAsia="宋体" w:hint="default"/>
                <w:spacing w:val="-87"/>
                <w:sz w:val="18"/>
                <w:szCs w:val="18"/>
              </w:rPr>
              <w:t> </w:t>
            </w:r>
            <w:r>
              <w:rPr>
                <w:rFonts w:ascii="宋体" w:hAnsi="宋体" w:cs="宋体" w:eastAsia="宋体" w:hint="default"/>
                <w:sz w:val="18"/>
                <w:szCs w:val="18"/>
              </w:rPr>
              <w:t>上市交易后三年内首次触发启动条件之日起每隔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个月任一时点触发启 </w:t>
            </w:r>
            <w:r>
              <w:rPr>
                <w:rFonts w:ascii="宋体" w:hAnsi="宋体" w:cs="宋体" w:eastAsia="宋体" w:hint="default"/>
                <w:spacing w:val="-3"/>
                <w:sz w:val="18"/>
                <w:szCs w:val="18"/>
              </w:rPr>
              <w:t>动条件，为稳定公司股价之目的，公司应在符合《上市公司回购社会公众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股份管理办法（试行）》及《关于上市公司以集中竞价交易方式回购股份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的补充规定》等相关法律法规、规范性文件的规定、且不应导致公司股权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2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center"/>
        <w:rPr>
          <w:rFonts w:ascii="宋体" w:hAnsi="宋体" w:cs="宋体" w:eastAsia="宋体" w:hint="default"/>
          <w:sz w:val="18"/>
          <w:szCs w:val="18"/>
        </w:rPr>
        <w:sectPr>
          <w:pgSz w:w="16840" w:h="11910" w:orient="landscape"/>
          <w:pgMar w:header="877" w:footer="979" w:top="1160" w:bottom="1160" w:left="1220" w:right="0"/>
        </w:sectPr>
      </w:pPr>
    </w:p>
    <w:p>
      <w:pPr>
        <w:spacing w:line="240" w:lineRule="auto" w:before="5"/>
        <w:rPr>
          <w:rFonts w:ascii="Times New Roman" w:hAnsi="Times New Roman" w:cs="Times New Roman" w:eastAsia="Times New Roman" w:hint="default"/>
          <w:sz w:val="17"/>
          <w:szCs w:val="17"/>
        </w:rPr>
      </w:pPr>
      <w:r>
        <w:rPr/>
        <w:pict>
          <v:shape style="position:absolute;margin-left:66.360001pt;margin-top:57.210007pt;width:709.5pt;height:477.8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2"/>
                    <w:gridCol w:w="1340"/>
                    <w:gridCol w:w="1542"/>
                    <w:gridCol w:w="5909"/>
                    <w:gridCol w:w="1213"/>
                    <w:gridCol w:w="1168"/>
                    <w:gridCol w:w="1171"/>
                  </w:tblGrid>
                  <w:tr>
                    <w:trPr>
                      <w:trHeight w:val="38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40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4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51" w:hRule="exact"/>
                    </w:trPr>
                    <w:tc>
                      <w:tcPr>
                        <w:tcW w:w="1832" w:type="dxa"/>
                        <w:vMerge w:val="restart"/>
                        <w:tcBorders>
                          <w:top w:val="single" w:sz="4" w:space="0" w:color="000000"/>
                          <w:left w:val="single" w:sz="4" w:space="0" w:color="000000"/>
                          <w:right w:val="single" w:sz="4" w:space="0" w:color="000000"/>
                        </w:tcBorders>
                        <w:shd w:val="clear" w:color="auto" w:fill="D2D2D2"/>
                      </w:tcPr>
                      <w:p>
                        <w:pPr/>
                      </w:p>
                    </w:tc>
                    <w:tc>
                      <w:tcPr>
                        <w:tcW w:w="1340" w:type="dxa"/>
                        <w:tcBorders>
                          <w:top w:val="single" w:sz="12" w:space="0" w:color="D2D2D2"/>
                          <w:left w:val="single" w:sz="4" w:space="0" w:color="000000"/>
                          <w:bottom w:val="single" w:sz="4" w:space="0" w:color="000000"/>
                          <w:right w:val="single" w:sz="4" w:space="0" w:color="000000"/>
                        </w:tcBorders>
                      </w:tcPr>
                      <w:p>
                        <w:pPr/>
                      </w:p>
                    </w:tc>
                    <w:tc>
                      <w:tcPr>
                        <w:tcW w:w="1542" w:type="dxa"/>
                        <w:tcBorders>
                          <w:top w:val="single" w:sz="12" w:space="0" w:color="D2D2D2"/>
                          <w:left w:val="single" w:sz="4" w:space="0" w:color="000000"/>
                          <w:bottom w:val="single" w:sz="4" w:space="0" w:color="000000"/>
                          <w:right w:val="single" w:sz="4" w:space="0" w:color="000000"/>
                        </w:tcBorders>
                      </w:tcPr>
                      <w:p>
                        <w:pPr/>
                      </w:p>
                    </w:tc>
                    <w:tc>
                      <w:tcPr>
                        <w:tcW w:w="5909" w:type="dxa"/>
                        <w:tcBorders>
                          <w:top w:val="single" w:sz="12" w:space="0" w:color="D2D2D2"/>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分布不符合上市条件的前提下</w:t>
                        </w:r>
                        <w:r>
                          <w:rPr>
                            <w:rFonts w:ascii="宋体" w:hAnsi="宋体" w:cs="宋体" w:eastAsia="宋体" w:hint="default"/>
                            <w:spacing w:val="-23"/>
                            <w:sz w:val="18"/>
                            <w:szCs w:val="18"/>
                          </w:rPr>
                          <w:t>，</w:t>
                        </w:r>
                        <w:r>
                          <w:rPr>
                            <w:rFonts w:ascii="宋体" w:hAnsi="宋体" w:cs="宋体" w:eastAsia="宋体" w:hint="default"/>
                            <w:sz w:val="18"/>
                            <w:szCs w:val="18"/>
                          </w:rPr>
                          <w:t>向社会公众股东回购股份</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3"/>
                            <w:sz w:val="18"/>
                            <w:szCs w:val="18"/>
                          </w:rPr>
                          <w:t>）</w:t>
                        </w:r>
                        <w:r>
                          <w:rPr>
                            <w:rFonts w:ascii="宋体" w:hAnsi="宋体" w:cs="宋体" w:eastAsia="宋体" w:hint="default"/>
                            <w:sz w:val="18"/>
                            <w:szCs w:val="18"/>
                          </w:rPr>
                          <w:t>公司股东</w:t>
                        </w:r>
                      </w:p>
                      <w:p>
                        <w:pPr>
                          <w:pStyle w:val="TableParagraph"/>
                          <w:spacing w:line="232" w:lineRule="auto"/>
                          <w:ind w:left="103" w:right="11"/>
                          <w:jc w:val="left"/>
                          <w:rPr>
                            <w:rFonts w:ascii="宋体" w:hAnsi="宋体" w:cs="宋体" w:eastAsia="宋体" w:hint="default"/>
                            <w:sz w:val="18"/>
                            <w:szCs w:val="18"/>
                          </w:rPr>
                        </w:pPr>
                        <w:r>
                          <w:rPr>
                            <w:rFonts w:ascii="宋体" w:hAnsi="宋体" w:cs="宋体" w:eastAsia="宋体" w:hint="default"/>
                            <w:spacing w:val="-3"/>
                            <w:sz w:val="18"/>
                            <w:szCs w:val="18"/>
                          </w:rPr>
                          <w:t>大会对回购股份做出决议，须经出席会议的股东所持表决权的三分之二以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上通过，公司控股股东承诺就该等回购事宜在股东大会中投赞成票。（</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宋体" w:hAnsi="宋体" w:cs="宋体" w:eastAsia="宋体" w:hint="default"/>
                            <w:spacing w:val="-81"/>
                            <w:sz w:val="18"/>
                            <w:szCs w:val="18"/>
                          </w:rPr>
                          <w:t> </w:t>
                        </w:r>
                        <w:r>
                          <w:rPr>
                            <w:rFonts w:ascii="宋体" w:hAnsi="宋体" w:cs="宋体" w:eastAsia="宋体" w:hint="default"/>
                            <w:spacing w:val="-3"/>
                            <w:sz w:val="18"/>
                            <w:szCs w:val="18"/>
                          </w:rPr>
                          <w:t>公司为稳定股价之目的进行股份回购的，除应符合相关法律法规、规范性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文件之规定之外，还应符合下列各项：</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）公司用于回购股份的资金总额 累计不超过公司首次公开发行新股所募集资金的总额；</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）公司单次用于 回购股份的资金不得低于人民币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）公司单次回购股份不超 过公司总股本的</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；如上述第</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）项与本项冲突的，按照本项执行。（</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z w:val="18"/>
                            <w:szCs w:val="18"/>
                          </w:rPr>
                          <w:t> 公司董事会公告回购股份预案后，公司股票收盘价格连续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个交易日超 </w:t>
                        </w:r>
                        <w:r>
                          <w:rPr>
                            <w:rFonts w:ascii="宋体" w:hAnsi="宋体" w:cs="宋体" w:eastAsia="宋体" w:hint="default"/>
                            <w:spacing w:val="-3"/>
                            <w:sz w:val="18"/>
                            <w:szCs w:val="18"/>
                          </w:rPr>
                          <w:t>过最近一期经审计的每股净资产，公司董事会应作出决议终止回购股份事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宜，且在未来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个月内不再启动股份回购事宜。（</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）在公司符合本预案规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定的回购股份的相关条件的情况下，公司董事会经综合考虑公司经营发展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实际情况、公司所处行业情况、公司股价的二级市场表现情况、公司现金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流量状况、社会资金成本和外部融资环境等因素，认为公司不宜或暂无须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回购股票的，经董事会决议通过并经半数以上独立董事同意后，应将不回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购股票以稳定股价事宜提交股东大会审议，并经出席会议的股东所持表决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权的三分之二以上通过。</w:t>
                        </w:r>
                      </w:p>
                    </w:tc>
                    <w:tc>
                      <w:tcPr>
                        <w:tcW w:w="1213" w:type="dxa"/>
                        <w:tcBorders>
                          <w:top w:val="single" w:sz="12" w:space="0" w:color="D2D2D2"/>
                          <w:left w:val="single" w:sz="4" w:space="0" w:color="000000"/>
                          <w:bottom w:val="single" w:sz="4" w:space="0" w:color="000000"/>
                          <w:right w:val="single" w:sz="4" w:space="0" w:color="000000"/>
                        </w:tcBorders>
                      </w:tcPr>
                      <w:p>
                        <w:pPr/>
                      </w:p>
                    </w:tc>
                    <w:tc>
                      <w:tcPr>
                        <w:tcW w:w="1168" w:type="dxa"/>
                        <w:tcBorders>
                          <w:top w:val="single" w:sz="12" w:space="0" w:color="D2D2D2"/>
                          <w:left w:val="single" w:sz="4" w:space="0" w:color="000000"/>
                          <w:bottom w:val="single" w:sz="4" w:space="0" w:color="000000"/>
                          <w:right w:val="single" w:sz="4" w:space="0" w:color="000000"/>
                        </w:tcBorders>
                      </w:tcPr>
                      <w:p>
                        <w:pPr/>
                      </w:p>
                    </w:tc>
                    <w:tc>
                      <w:tcPr>
                        <w:tcW w:w="1171" w:type="dxa"/>
                        <w:tcBorders>
                          <w:top w:val="single" w:sz="12" w:space="0" w:color="D2D2D2"/>
                          <w:left w:val="single" w:sz="4" w:space="0" w:color="000000"/>
                          <w:bottom w:val="single" w:sz="4" w:space="0" w:color="000000"/>
                          <w:right w:val="single" w:sz="4" w:space="0" w:color="000000"/>
                        </w:tcBorders>
                      </w:tcPr>
                      <w:p>
                        <w:pPr/>
                      </w:p>
                    </w:tc>
                  </w:tr>
                  <w:tr>
                    <w:trPr>
                      <w:trHeight w:val="2936" w:hRule="exact"/>
                    </w:trPr>
                    <w:tc>
                      <w:tcPr>
                        <w:tcW w:w="1832" w:type="dxa"/>
                        <w:vMerge/>
                        <w:tcBorders>
                          <w:left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41"/>
                          <w:ind w:left="103" w:right="3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公司上市后三年内，如公司股票收盘价格连续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个交易日低于最近一期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经审计的每股净资产（最近一期审计基准日后，因利润分配、资本公积金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转增股本、增发、配股等情况导致公司净资产或股份总数出现变化的，每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9"/>
                            <w:sz w:val="18"/>
                            <w:szCs w:val="18"/>
                          </w:rPr>
                          <w:t>股净资产相应进行调整）（以下简称“启动条件”），则公司应按本预案启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动稳定股价措施。（二）稳定股价的具体措施</w:t>
                        </w:r>
                        <w:r>
                          <w:rPr>
                            <w:rFonts w:ascii="宋体" w:hAnsi="宋体" w:cs="宋体" w:eastAsia="宋体" w:hint="default"/>
                            <w:spacing w:val="-42"/>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、控股股东增持（</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）自公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司股票上市交易后三年内首次触发启动条件，和</w:t>
                        </w:r>
                        <w:r>
                          <w:rPr>
                            <w:rFonts w:ascii="Times New Roman" w:hAnsi="Times New Roman" w:cs="Times New Roman" w:eastAsia="Times New Roman" w:hint="default"/>
                            <w:sz w:val="18"/>
                            <w:szCs w:val="18"/>
                          </w:rPr>
                          <w:t>/</w:t>
                        </w:r>
                        <w:r>
                          <w:rPr>
                            <w:rFonts w:ascii="宋体" w:hAnsi="宋体" w:cs="宋体" w:eastAsia="宋体" w:hint="default"/>
                            <w:sz w:val="18"/>
                            <w:szCs w:val="18"/>
                          </w:rPr>
                          <w:t>或自公司股票上市交易 后三年内首次触发启动条件之日起每隔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5"/>
                            <w:sz w:val="18"/>
                            <w:szCs w:val="18"/>
                          </w:rPr>
                          <w:t>个月任一时点触发启动条件，为</w:t>
                        </w:r>
                        <w:r>
                          <w:rPr>
                            <w:rFonts w:ascii="宋体" w:hAnsi="宋体" w:cs="宋体" w:eastAsia="宋体" w:hint="default"/>
                            <w:sz w:val="18"/>
                            <w:szCs w:val="18"/>
                          </w:rPr>
                          <w:t> 稳定公司股价之目的，公司控股股东应在符合《上市公司收购管理办法》 </w:t>
                        </w:r>
                        <w:r>
                          <w:rPr>
                            <w:rFonts w:ascii="宋体" w:hAnsi="宋体" w:cs="宋体" w:eastAsia="宋体" w:hint="default"/>
                            <w:spacing w:val="-5"/>
                            <w:sz w:val="18"/>
                            <w:szCs w:val="18"/>
                          </w:rPr>
                          <w:t>及《创业板信息披露业务备忘录第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号－股东及其一致行动人增持股份业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务管理》等法律法规、规范性文件的规定、且不应导致公司股权分布不符</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合上市条件的前提下，对公司股票进行增持。（</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）控股股东承诺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）其单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次增持总金额不应少于人民币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三年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r>
                    <w:trPr>
                      <w:trHeight w:val="2173"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7" w:lineRule="auto"/>
                          <w:ind w:left="125" w:right="122"/>
                          <w:jc w:val="center"/>
                          <w:rPr>
                            <w:rFonts w:ascii="宋体" w:hAnsi="宋体" w:cs="宋体" w:eastAsia="宋体" w:hint="default"/>
                            <w:sz w:val="18"/>
                            <w:szCs w:val="18"/>
                          </w:rPr>
                        </w:pPr>
                        <w:r>
                          <w:rPr>
                            <w:rFonts w:ascii="宋体" w:hAnsi="宋体" w:cs="宋体" w:eastAsia="宋体" w:hint="default"/>
                            <w:sz w:val="18"/>
                            <w:szCs w:val="18"/>
                          </w:rPr>
                          <w:t>陈晓华；耿增 强；吴安华； 邹鹏程</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）自公司股票上市交易后三年内首次触发启动条件，和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或自公司股票</w:t>
                        </w:r>
                        <w:r>
                          <w:rPr>
                            <w:rFonts w:ascii="宋体" w:hAnsi="宋体" w:cs="宋体" w:eastAsia="宋体" w:hint="default"/>
                            <w:spacing w:val="-87"/>
                            <w:sz w:val="18"/>
                            <w:szCs w:val="18"/>
                          </w:rPr>
                          <w:t> </w:t>
                        </w:r>
                        <w:r>
                          <w:rPr>
                            <w:rFonts w:ascii="宋体" w:hAnsi="宋体" w:cs="宋体" w:eastAsia="宋体" w:hint="default"/>
                            <w:sz w:val="18"/>
                            <w:szCs w:val="18"/>
                          </w:rPr>
                          <w:t>上市交易后三年内首次触发启动条件之日起每隔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个月任一时点触发启 </w:t>
                        </w:r>
                        <w:r>
                          <w:rPr>
                            <w:rFonts w:ascii="宋体" w:hAnsi="宋体" w:cs="宋体" w:eastAsia="宋体" w:hint="default"/>
                            <w:spacing w:val="-3"/>
                            <w:sz w:val="18"/>
                            <w:szCs w:val="18"/>
                          </w:rPr>
                          <w:t>动条件，为稳定公司股价之目的，公司全体董事、高级管理人员应在符合</w:t>
                        </w:r>
                      </w:p>
                      <w:p>
                        <w:pPr>
                          <w:pStyle w:val="TableParagraph"/>
                          <w:spacing w:line="232" w:lineRule="exact" w:before="2"/>
                          <w:ind w:left="103" w:right="12"/>
                          <w:jc w:val="left"/>
                          <w:rPr>
                            <w:rFonts w:ascii="宋体" w:hAnsi="宋体" w:cs="宋体" w:eastAsia="宋体" w:hint="default"/>
                            <w:sz w:val="18"/>
                            <w:szCs w:val="18"/>
                          </w:rPr>
                        </w:pPr>
                        <w:r>
                          <w:rPr>
                            <w:rFonts w:ascii="宋体" w:hAnsi="宋体" w:cs="宋体" w:eastAsia="宋体" w:hint="default"/>
                            <w:spacing w:val="-3"/>
                            <w:sz w:val="18"/>
                            <w:szCs w:val="18"/>
                          </w:rPr>
                          <w:t>《上市公司收购管理办法》及《上市公司董事、监事和高级管理人员所持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本公司股份及其变动管理规则》等法律法规、规范性文件的规定、且不应</w:t>
                        </w:r>
                      </w:p>
                      <w:p>
                        <w:pPr>
                          <w:pStyle w:val="TableParagraph"/>
                          <w:spacing w:line="225"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导致公司股权分布不符合上市条件的前提下，对公司股票进行增持。（</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有义务增持的公司董事、高级管理人员承诺，其用于单次及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或连续十二 </w:t>
                        </w:r>
                        <w:r>
                          <w:rPr>
                            <w:rFonts w:ascii="宋体" w:hAnsi="宋体" w:cs="宋体" w:eastAsia="宋体" w:hint="default"/>
                            <w:spacing w:val="-3"/>
                            <w:sz w:val="18"/>
                            <w:szCs w:val="18"/>
                          </w:rPr>
                          <w:t>个月增持公司股份的货币资金不少于该等董事、高级管理人员上年度薪酬</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总和（税前，下同）的</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，但不超过该等董事、高级管理人员上年度的</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三年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正在履行</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877" w:footer="979" w:top="1160" w:bottom="1200" w:left="1220" w:right="0"/>
        </w:sectPr>
      </w:pPr>
    </w:p>
    <w:tbl>
      <w:tblPr>
        <w:tblW w:w="0" w:type="auto"/>
        <w:jc w:val="left"/>
        <w:tblInd w:w="107" w:type="dxa"/>
        <w:tblLayout w:type="fixed"/>
        <w:tblCellMar>
          <w:top w:w="0" w:type="dxa"/>
          <w:left w:w="0" w:type="dxa"/>
          <w:bottom w:w="0" w:type="dxa"/>
          <w:right w:w="0" w:type="dxa"/>
        </w:tblCellMar>
        <w:tblLook w:val="01E0"/>
      </w:tblPr>
      <w:tblGrid>
        <w:gridCol w:w="1832"/>
        <w:gridCol w:w="1340"/>
        <w:gridCol w:w="1542"/>
        <w:gridCol w:w="5909"/>
        <w:gridCol w:w="1213"/>
        <w:gridCol w:w="1168"/>
        <w:gridCol w:w="1171"/>
      </w:tblGrid>
      <w:tr>
        <w:trPr>
          <w:trHeight w:val="38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40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50"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0" w:type="dxa"/>
            <w:tcBorders>
              <w:top w:val="single" w:sz="12" w:space="0" w:color="D2D2D2"/>
              <w:left w:val="single" w:sz="4" w:space="0" w:color="000000"/>
              <w:bottom w:val="single" w:sz="4" w:space="0" w:color="000000"/>
              <w:right w:val="single" w:sz="4" w:space="0" w:color="000000"/>
            </w:tcBorders>
          </w:tcPr>
          <w:p>
            <w:pPr/>
          </w:p>
        </w:tc>
        <w:tc>
          <w:tcPr>
            <w:tcW w:w="1542" w:type="dxa"/>
            <w:tcBorders>
              <w:top w:val="single" w:sz="12" w:space="0" w:color="D2D2D2"/>
              <w:left w:val="single" w:sz="4" w:space="0" w:color="000000"/>
              <w:bottom w:val="single" w:sz="4" w:space="0" w:color="000000"/>
              <w:right w:val="single" w:sz="4" w:space="0" w:color="000000"/>
            </w:tcBorders>
          </w:tcPr>
          <w:p>
            <w:pPr/>
          </w:p>
        </w:tc>
        <w:tc>
          <w:tcPr>
            <w:tcW w:w="5909" w:type="dxa"/>
            <w:tcBorders>
              <w:top w:val="single" w:sz="12" w:space="0" w:color="D2D2D2"/>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薪酬总和。公司全体董事、高级管理人员对该等增持义务的履行承担连带</w:t>
            </w:r>
          </w:p>
          <w:p>
            <w:pPr>
              <w:pStyle w:val="TableParagraph"/>
              <w:spacing w:line="232" w:lineRule="auto" w:before="5"/>
              <w:ind w:left="103" w:right="102"/>
              <w:jc w:val="left"/>
              <w:rPr>
                <w:rFonts w:ascii="宋体" w:hAnsi="宋体" w:cs="宋体" w:eastAsia="宋体" w:hint="default"/>
                <w:sz w:val="18"/>
                <w:szCs w:val="18"/>
              </w:rPr>
            </w:pPr>
            <w:r>
              <w:rPr>
                <w:rFonts w:ascii="宋体" w:hAnsi="宋体" w:cs="宋体" w:eastAsia="宋体" w:hint="default"/>
                <w:spacing w:val="-6"/>
                <w:sz w:val="18"/>
                <w:szCs w:val="18"/>
              </w:rPr>
              <w:t>责任。（</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）公司在首次公开发行</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股股票上市后三年内新聘任的董事和 </w:t>
            </w:r>
            <w:r>
              <w:rPr>
                <w:rFonts w:ascii="宋体" w:hAnsi="宋体" w:cs="宋体" w:eastAsia="宋体" w:hint="default"/>
                <w:spacing w:val="-3"/>
                <w:sz w:val="18"/>
                <w:szCs w:val="18"/>
              </w:rPr>
              <w:t>高级管理人员应当遵守本预案关于公司董事、高级管理人员的义务及责任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的规定，公司及公司控股股东、现有董事、高级管理人员应当促成公司新</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聘任的该等董事、高级管理人员遵守本预案并签署相关承诺。</w:t>
            </w:r>
          </w:p>
        </w:tc>
        <w:tc>
          <w:tcPr>
            <w:tcW w:w="1213" w:type="dxa"/>
            <w:tcBorders>
              <w:top w:val="single" w:sz="12" w:space="0" w:color="D2D2D2"/>
              <w:left w:val="single" w:sz="4" w:space="0" w:color="000000"/>
              <w:bottom w:val="single" w:sz="4" w:space="0" w:color="000000"/>
              <w:right w:val="single" w:sz="4" w:space="0" w:color="000000"/>
            </w:tcBorders>
          </w:tcPr>
          <w:p>
            <w:pPr/>
          </w:p>
        </w:tc>
        <w:tc>
          <w:tcPr>
            <w:tcW w:w="1168" w:type="dxa"/>
            <w:tcBorders>
              <w:top w:val="single" w:sz="12" w:space="0" w:color="D2D2D2"/>
              <w:left w:val="single" w:sz="4" w:space="0" w:color="000000"/>
              <w:bottom w:val="single" w:sz="4" w:space="0" w:color="000000"/>
              <w:right w:val="single" w:sz="4" w:space="0" w:color="000000"/>
            </w:tcBorders>
          </w:tcPr>
          <w:p>
            <w:pPr/>
          </w:p>
        </w:tc>
        <w:tc>
          <w:tcPr>
            <w:tcW w:w="1171" w:type="dxa"/>
            <w:tcBorders>
              <w:top w:val="single" w:sz="12" w:space="0" w:color="D2D2D2"/>
              <w:left w:val="single" w:sz="4" w:space="0" w:color="000000"/>
              <w:bottom w:val="single" w:sz="4" w:space="0" w:color="000000"/>
              <w:right w:val="single" w:sz="4" w:space="0" w:color="000000"/>
            </w:tcBorders>
          </w:tcPr>
          <w:p>
            <w:pPr/>
          </w:p>
        </w:tc>
      </w:tr>
      <w:tr>
        <w:trPr>
          <w:trHeight w:val="407"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340"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590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1768" w:hRule="exact"/>
        </w:trPr>
        <w:tc>
          <w:tcPr>
            <w:tcW w:w="18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276"/>
              <w:jc w:val="left"/>
              <w:rPr>
                <w:rFonts w:ascii="宋体" w:hAnsi="宋体" w:cs="宋体" w:eastAsia="宋体" w:hint="default"/>
                <w:sz w:val="18"/>
                <w:szCs w:val="18"/>
              </w:rPr>
            </w:pPr>
            <w:r>
              <w:rPr>
                <w:rFonts w:ascii="宋体" w:hAnsi="宋体" w:cs="宋体" w:eastAsia="宋体" w:hint="default"/>
                <w:sz w:val="18"/>
                <w:szCs w:val="18"/>
              </w:rPr>
              <w:t>其他对公司中小股 东所作承诺</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耿增强</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23"/>
              <w:ind w:left="103" w:right="35"/>
              <w:jc w:val="left"/>
              <w:rPr>
                <w:rFonts w:ascii="宋体" w:hAnsi="宋体" w:cs="宋体" w:eastAsia="宋体" w:hint="default"/>
                <w:sz w:val="18"/>
                <w:szCs w:val="18"/>
              </w:rPr>
            </w:pPr>
            <w:r>
              <w:rPr>
                <w:rFonts w:ascii="宋体" w:hAnsi="宋体" w:cs="宋体" w:eastAsia="宋体" w:hint="default"/>
                <w:sz w:val="18"/>
                <w:szCs w:val="18"/>
              </w:rPr>
              <w:t>本人耿增强，现为公司董事、总经理。本人现直接持有公司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5,858,546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股份，占公司总股本的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1.4535%</w:t>
            </w:r>
            <w:r>
              <w:rPr>
                <w:rFonts w:ascii="宋体" w:hAnsi="宋体" w:cs="宋体" w:eastAsia="宋体" w:hint="default"/>
                <w:sz w:val="18"/>
                <w:szCs w:val="18"/>
              </w:rPr>
              <w:t>。上述股份的来源为公司首次公开发行前 已发行股份，已于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日解除限售并上市流通。基于对公司 未来发展的信心，本人承诺自愿将目前持有的公司股份追加一年锁定期， 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日的期间内，不进行转让或者委</w:t>
            </w:r>
            <w:r>
              <w:rPr>
                <w:rFonts w:ascii="宋体" w:hAnsi="宋体" w:cs="宋体" w:eastAsia="宋体" w:hint="default"/>
                <w:sz w:val="18"/>
                <w:szCs w:val="18"/>
              </w:rPr>
              <w:t> </w:t>
            </w:r>
            <w:r>
              <w:rPr>
                <w:rFonts w:ascii="宋体" w:hAnsi="宋体" w:cs="宋体" w:eastAsia="宋体" w:hint="default"/>
                <w:spacing w:val="-3"/>
                <w:sz w:val="18"/>
                <w:szCs w:val="18"/>
              </w:rPr>
              <w:t>托他人管理，也不由公司回购所持有的股份。若在锁定期间违反承诺减持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公司股份，将减持股份的全部所得上缴公司。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36" w:hRule="exact"/>
        </w:trPr>
        <w:tc>
          <w:tcPr>
            <w:tcW w:w="1832" w:type="dxa"/>
            <w:vMerge/>
            <w:tcBorders>
              <w:left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 w:right="0"/>
              <w:jc w:val="center"/>
              <w:rPr>
                <w:rFonts w:ascii="宋体" w:hAnsi="宋体" w:cs="宋体" w:eastAsia="宋体" w:hint="default"/>
                <w:sz w:val="18"/>
                <w:szCs w:val="18"/>
              </w:rPr>
            </w:pPr>
            <w:r>
              <w:rPr>
                <w:rFonts w:ascii="宋体" w:hAnsi="宋体" w:cs="宋体" w:eastAsia="宋体" w:hint="default"/>
                <w:sz w:val="18"/>
                <w:szCs w:val="18"/>
              </w:rPr>
              <w:t>吴安华</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90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2"/>
              <w:ind w:left="103" w:right="64"/>
              <w:jc w:val="left"/>
              <w:rPr>
                <w:rFonts w:ascii="宋体" w:hAnsi="宋体" w:cs="宋体" w:eastAsia="宋体" w:hint="default"/>
                <w:sz w:val="18"/>
                <w:szCs w:val="18"/>
              </w:rPr>
            </w:pPr>
            <w:r>
              <w:rPr>
                <w:rFonts w:ascii="宋体" w:hAnsi="宋体" w:cs="宋体" w:eastAsia="宋体" w:hint="default"/>
                <w:sz w:val="18"/>
                <w:szCs w:val="18"/>
              </w:rPr>
              <w:t>本人吴安华，现为公司董事、副总经理。本人现直接持有公司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6,169,489 </w:t>
            </w:r>
            <w:r>
              <w:rPr>
                <w:rFonts w:ascii="宋体" w:hAnsi="宋体" w:cs="宋体" w:eastAsia="宋体" w:hint="default"/>
                <w:spacing w:val="-3"/>
                <w:sz w:val="18"/>
                <w:szCs w:val="18"/>
              </w:rPr>
              <w:t>股股份，通过达孜县创达立咨询有限公司和达孜县创达信科技有限公司间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5,865,841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股股份，合计持有公司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12,035,330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股股份，占公司 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2.9860%</w:t>
            </w:r>
            <w:r>
              <w:rPr>
                <w:rFonts w:ascii="宋体" w:hAnsi="宋体" w:cs="宋体" w:eastAsia="宋体" w:hint="default"/>
                <w:sz w:val="18"/>
                <w:szCs w:val="18"/>
              </w:rPr>
              <w:t>。上述股份的来源为公司首次公开发行前已发行股份， 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日解除限售并上市流通。基于对公司未来发展的信 </w:t>
            </w:r>
            <w:r>
              <w:rPr>
                <w:rFonts w:ascii="宋体" w:hAnsi="宋体" w:cs="宋体" w:eastAsia="宋体" w:hint="default"/>
                <w:spacing w:val="-3"/>
                <w:sz w:val="18"/>
                <w:szCs w:val="18"/>
              </w:rPr>
              <w:t>心，本人承诺自愿将目前直接和间接持有的公司股份追加一年锁定期，自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日的期间内，不进行转让或者委托 </w:t>
            </w:r>
            <w:r>
              <w:rPr>
                <w:rFonts w:ascii="宋体" w:hAnsi="宋体" w:cs="宋体" w:eastAsia="宋体" w:hint="default"/>
                <w:spacing w:val="-3"/>
                <w:sz w:val="18"/>
                <w:szCs w:val="18"/>
              </w:rPr>
              <w:t>他人管理，也不由公司回购所持有的股份。若在锁定期间违反承诺减持公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司股份，将减持股份的全部所得上缴公司。</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486"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武楠</w:t>
            </w:r>
          </w:p>
        </w:tc>
        <w:tc>
          <w:tcPr>
            <w:tcW w:w="154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909" w:type="dxa"/>
            <w:tcBorders>
              <w:top w:val="single" w:sz="4" w:space="0" w:color="000000"/>
              <w:left w:val="single" w:sz="4" w:space="0" w:color="000000"/>
              <w:bottom w:val="single" w:sz="17" w:space="0" w:color="D2D2D2"/>
              <w:right w:val="single" w:sz="4" w:space="0" w:color="000000"/>
            </w:tcBorders>
          </w:tcPr>
          <w:p>
            <w:pPr>
              <w:pStyle w:val="TableParagraph"/>
              <w:spacing w:line="230" w:lineRule="auto" w:before="20"/>
              <w:ind w:left="103" w:right="101"/>
              <w:jc w:val="left"/>
              <w:rPr>
                <w:rFonts w:ascii="宋体" w:hAnsi="宋体" w:cs="宋体" w:eastAsia="宋体" w:hint="default"/>
                <w:sz w:val="18"/>
                <w:szCs w:val="18"/>
              </w:rPr>
            </w:pPr>
            <w:r>
              <w:rPr>
                <w:rFonts w:ascii="宋体" w:hAnsi="宋体" w:cs="宋体" w:eastAsia="宋体" w:hint="default"/>
                <w:spacing w:val="-3"/>
                <w:sz w:val="18"/>
                <w:szCs w:val="18"/>
              </w:rPr>
              <w:t>本人武楠，现为公司董事、财务总监、董事会秘书。本人现直接持有公司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144,623 </w:t>
            </w:r>
            <w:r>
              <w:rPr>
                <w:rFonts w:ascii="宋体" w:hAnsi="宋体" w:cs="宋体" w:eastAsia="宋体" w:hint="default"/>
                <w:sz w:val="18"/>
                <w:szCs w:val="18"/>
              </w:rPr>
              <w:t>股股份，通过达孜县创达立咨询有限公司间接持有公司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802,033 </w:t>
            </w:r>
            <w:r>
              <w:rPr>
                <w:rFonts w:ascii="宋体" w:hAnsi="宋体" w:cs="宋体" w:eastAsia="宋体" w:hint="default"/>
                <w:sz w:val="18"/>
                <w:szCs w:val="18"/>
              </w:rPr>
              <w:t>股股份，合计持有公司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946,656 </w:t>
            </w:r>
            <w:r>
              <w:rPr>
                <w:rFonts w:ascii="宋体" w:hAnsi="宋体" w:cs="宋体" w:eastAsia="宋体" w:hint="default"/>
                <w:sz w:val="18"/>
                <w:szCs w:val="18"/>
              </w:rPr>
              <w:t>股股份，占公司总股本的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0.2349%</w:t>
            </w:r>
            <w:r>
              <w:rPr>
                <w:rFonts w:ascii="宋体" w:hAnsi="宋体" w:cs="宋体" w:eastAsia="宋体" w:hint="default"/>
                <w:sz w:val="18"/>
                <w:szCs w:val="18"/>
              </w:rPr>
              <w:t>。上述 股份的来源为公司首次公开发行前已发行股份和员工股权激励计划授予 的股份，其中间接持有的公司首次公开发行前已发行股份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802,033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股已于</w:t>
            </w:r>
          </w:p>
          <w:p>
            <w:pPr>
              <w:pStyle w:val="TableParagraph"/>
              <w:spacing w:line="22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日解除限售并上市流通。基于对公司未来发展的信心，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本人承诺自愿将目前直接和间接持有的公司股份追加锁定期，自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30" w:lineRule="auto" w:before="1"/>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日的期间内，不进行转让或者委托他人管 </w:t>
            </w:r>
            <w:r>
              <w:rPr>
                <w:rFonts w:ascii="宋体" w:hAnsi="宋体" w:cs="宋体" w:eastAsia="宋体" w:hint="default"/>
                <w:spacing w:val="-5"/>
                <w:sz w:val="18"/>
                <w:szCs w:val="18"/>
              </w:rPr>
              <w:t>理，也不由公司回购所持有的股份。若在锁定期间违反承诺减持公司股份，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将减持股份的全部所得上缴公司。</w:t>
            </w:r>
          </w:p>
        </w:tc>
        <w:tc>
          <w:tcPr>
            <w:tcW w:w="1213"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1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8"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1171"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7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2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34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6840" w:h="11910" w:orient="landscape"/>
          <w:pgMar w:header="877" w:footer="979" w:top="1160" w:bottom="1160" w:left="1220" w:right="0"/>
        </w:sectPr>
      </w:pPr>
    </w:p>
    <w:p>
      <w:pPr>
        <w:spacing w:line="240" w:lineRule="auto" w:before="6"/>
        <w:rPr>
          <w:rFonts w:ascii="Times New Roman" w:hAnsi="Times New Roman" w:cs="Times New Roman" w:eastAsia="Times New Roman" w:hint="default"/>
          <w:sz w:val="27"/>
          <w:szCs w:val="27"/>
        </w:rPr>
      </w:pPr>
    </w:p>
    <w:p>
      <w:pPr>
        <w:pStyle w:val="BodyText"/>
        <w:spacing w:line="324" w:lineRule="exact"/>
        <w:ind w:left="1553" w:right="0"/>
        <w:jc w:val="left"/>
        <w:rPr>
          <w:rFonts w:ascii="微软雅黑" w:hAnsi="微软雅黑" w:cs="微软雅黑" w:eastAsia="微软雅黑" w:hint="default"/>
        </w:rPr>
      </w:pPr>
      <w:bookmarkStart w:name="2、公司资产或项目存在盈利预测，且报告期仍处在盈利预测期间，公司就资产或项目达到" w:id="69"/>
      <w:bookmarkEnd w:id="69"/>
      <w:r>
        <w:rPr/>
      </w:r>
      <w:r>
        <w:rPr>
          <w:rFonts w:ascii="Times New Roman" w:hAnsi="Times New Roman" w:cs="Times New Roman" w:eastAsia="Times New Roman" w:hint="default"/>
        </w:rPr>
        <w:t>2</w:t>
      </w:r>
      <w:r>
        <w:rPr>
          <w:rFonts w:ascii="微软雅黑" w:hAnsi="微软雅黑" w:cs="微软雅黑" w:eastAsia="微软雅黑" w:hint="default"/>
        </w:rPr>
        <w:t>、公司资产或项目存在盈利预测，且报告期仍处在盈利预测期间，公司就资产或项目达到原盈利预</w:t>
      </w:r>
    </w:p>
    <w:p>
      <w:pPr>
        <w:pStyle w:val="BodyText"/>
        <w:spacing w:line="240" w:lineRule="auto" w:before="177"/>
        <w:ind w:left="1133" w:right="0"/>
        <w:jc w:val="both"/>
        <w:rPr>
          <w:rFonts w:ascii="微软雅黑" w:hAnsi="微软雅黑" w:cs="微软雅黑" w:eastAsia="微软雅黑" w:hint="default"/>
        </w:rPr>
      </w:pPr>
      <w:r>
        <w:rPr>
          <w:rFonts w:ascii="微软雅黑" w:hAnsi="微软雅黑" w:cs="微软雅黑" w:eastAsia="微软雅黑" w:hint="default"/>
        </w:rPr>
        <w:t>测及其原因做出说明</w:t>
      </w:r>
    </w:p>
    <w:p>
      <w:pPr>
        <w:spacing w:line="240" w:lineRule="auto" w:before="7"/>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both"/>
      </w:pPr>
      <w:bookmarkStart w:name="三、控股股东及其关联方对上市公司的非经营性占用资金情况" w:id="70"/>
      <w:bookmarkEnd w:id="70"/>
      <w:r>
        <w:rPr/>
      </w:r>
      <w:r>
        <w:rPr/>
        <w:t>三、控股股东及其关联方对上市公司的非经营性占用资金情况</w:t>
      </w:r>
    </w:p>
    <w:p>
      <w:pPr>
        <w:spacing w:line="240" w:lineRule="auto" w:before="11"/>
        <w:rPr>
          <w:rFonts w:ascii="微软雅黑" w:hAnsi="微软雅黑" w:cs="微软雅黑" w:eastAsia="微软雅黑" w:hint="default"/>
          <w:sz w:val="27"/>
          <w:szCs w:val="27"/>
        </w:rPr>
      </w:pPr>
    </w:p>
    <w:p>
      <w:pPr>
        <w:pStyle w:val="BodyText"/>
        <w:spacing w:line="460" w:lineRule="auto"/>
        <w:ind w:right="3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公司报告期不存在控股股东及其关联方对上市公司的非经营性占用资金。</w:t>
      </w:r>
    </w:p>
    <w:p>
      <w:pPr>
        <w:pStyle w:val="Heading2"/>
        <w:spacing w:line="240" w:lineRule="auto" w:before="162"/>
        <w:ind w:left="1133" w:right="0"/>
        <w:jc w:val="both"/>
      </w:pPr>
      <w:bookmarkStart w:name="四、董事会对最近一期“非标准审计报告”相关情况的说明" w:id="71"/>
      <w:bookmarkEnd w:id="71"/>
      <w:r>
        <w:rPr/>
      </w:r>
      <w:r>
        <w:rPr/>
        <w:t>四、董事会对最近一期</w:t>
      </w:r>
      <w:r>
        <w:rPr>
          <w:rFonts w:ascii="宋体" w:hAnsi="宋体" w:cs="宋体" w:eastAsia="宋体" w:hint="default"/>
        </w:rPr>
        <w:t>“</w:t>
      </w:r>
      <w:r>
        <w:rPr/>
        <w:t>非标准审计报告</w:t>
      </w:r>
      <w:r>
        <w:rPr>
          <w:rFonts w:ascii="宋体" w:hAnsi="宋体" w:cs="宋体" w:eastAsia="宋体" w:hint="default"/>
        </w:rPr>
        <w:t>”</w:t>
      </w:r>
      <w:r>
        <w:rPr/>
        <w:t>相关情况的说明</w:t>
      </w:r>
    </w:p>
    <w:p>
      <w:pPr>
        <w:spacing w:line="240" w:lineRule="auto" w:before="11"/>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357" w:lineRule="auto"/>
        <w:ind w:right="1130"/>
        <w:jc w:val="left"/>
      </w:pPr>
      <w:bookmarkStart w:name="五、董事会、监事会、独立董事（如有）对会计师事务所本报告期“非标准审计报告”的说" w:id="72"/>
      <w:bookmarkEnd w:id="72"/>
      <w:r>
        <w:rPr/>
      </w:r>
      <w:r>
        <w:rPr>
          <w:spacing w:val="3"/>
        </w:rPr>
        <w:t>五、董事会、监事会、独立董事（如有）对会计师事务所本报告期</w:t>
      </w:r>
      <w:r>
        <w:rPr>
          <w:rFonts w:ascii="宋体" w:hAnsi="宋体" w:cs="宋体" w:eastAsia="宋体" w:hint="default"/>
          <w:spacing w:val="3"/>
        </w:rPr>
        <w:t>“</w:t>
      </w:r>
      <w:r>
        <w:rPr>
          <w:spacing w:val="3"/>
        </w:rPr>
        <w:t>非标准审</w:t>
      </w:r>
      <w:r>
        <w:rPr>
          <w:w w:val="99"/>
        </w:rPr>
        <w:t> </w:t>
      </w:r>
      <w:r>
        <w:rPr/>
        <w:t>计报告</w:t>
      </w:r>
      <w:r>
        <w:rPr>
          <w:rFonts w:ascii="宋体" w:hAnsi="宋体" w:cs="宋体" w:eastAsia="宋体" w:hint="default"/>
        </w:rPr>
        <w:t>”</w:t>
      </w:r>
      <w:r>
        <w:rPr/>
        <w:t>的说明</w:t>
      </w:r>
    </w:p>
    <w:p>
      <w:pPr>
        <w:spacing w:line="240" w:lineRule="auto" w:before="3"/>
        <w:rPr>
          <w:rFonts w:ascii="微软雅黑" w:hAnsi="微软雅黑" w:cs="微软雅黑" w:eastAsia="微软雅黑" w:hint="default"/>
          <w:sz w:val="17"/>
          <w:szCs w:val="1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both"/>
      </w:pPr>
      <w:bookmarkStart w:name="六、董事会关于报告期会计政策、会计估计变更或重大会计差错更正的说明" w:id="73"/>
      <w:bookmarkEnd w:id="73"/>
      <w:r>
        <w:rPr/>
      </w:r>
      <w:r>
        <w:rPr/>
        <w:t>六、董事会关于报告期会计政策、会计估计变更或重大会计差错更正的说明</w:t>
      </w:r>
    </w:p>
    <w:p>
      <w:pPr>
        <w:spacing w:line="240" w:lineRule="auto" w:before="12"/>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80" w:lineRule="auto"/>
        <w:ind w:left="1133" w:right="1132" w:firstLine="420"/>
        <w:jc w:val="both"/>
      </w:pPr>
      <w:r>
        <w:rPr>
          <w:rFonts w:ascii="Times New Roman" w:hAnsi="Times New Roman" w:cs="Times New Roman" w:eastAsia="Times New Roman" w:hint="default"/>
        </w:rPr>
        <w:t>1.</w:t>
      </w:r>
      <w:r>
        <w:rPr/>
        <w:t>财政部于</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4"/>
        </w:rPr>
        <w:t>日印发《企业会计准则第</w:t>
      </w:r>
      <w:r>
        <w:rPr>
          <w:spacing w:val="-57"/>
        </w:rPr>
        <w:t> </w:t>
      </w:r>
      <w:r>
        <w:rPr>
          <w:rFonts w:ascii="Times New Roman" w:hAnsi="Times New Roman" w:cs="Times New Roman" w:eastAsia="Times New Roman" w:hint="default"/>
        </w:rPr>
        <w:t>42</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持有待售的非流动资产、处置组和终止 </w:t>
      </w:r>
      <w:r>
        <w:rPr>
          <w:spacing w:val="-9"/>
        </w:rPr>
        <w:t>经营》（财会</w:t>
      </w:r>
      <w:r>
        <w:rPr>
          <w:rFonts w:ascii="Times New Roman" w:hAnsi="Times New Roman" w:cs="Times New Roman" w:eastAsia="Times New Roman" w:hint="default"/>
          <w:spacing w:val="-9"/>
        </w:rPr>
        <w:t>[2017]13</w:t>
      </w:r>
      <w:r>
        <w:rPr>
          <w:rFonts w:ascii="Times New Roman" w:hAnsi="Times New Roman" w:cs="Times New Roman" w:eastAsia="Times New Roman" w:hint="default"/>
          <w:spacing w:val="35"/>
        </w:rPr>
        <w:t> </w:t>
      </w:r>
      <w:r>
        <w:rPr>
          <w:spacing w:val="-5"/>
        </w:rPr>
        <w:t>号），对持有待售的非流动资产或处置组的分类、计量和列报作出了规定，在利润表</w:t>
      </w:r>
      <w:r>
        <w:rPr>
          <w:spacing w:val="-102"/>
        </w:rPr>
        <w:t> </w:t>
      </w:r>
      <w:r>
        <w:rPr>
          <w:spacing w:val="-102"/>
        </w:rPr>
      </w:r>
      <w:r>
        <w:rPr/>
        <w:t>中分别列示持续经营损益和终止经营损益，并采用未来适用法进行处理。</w:t>
      </w:r>
    </w:p>
    <w:p>
      <w:pPr>
        <w:spacing w:line="240" w:lineRule="auto" w:before="12"/>
        <w:rPr>
          <w:rFonts w:ascii="宋体" w:hAnsi="宋体" w:cs="宋体" w:eastAsia="宋体" w:hint="default"/>
          <w:sz w:val="18"/>
          <w:szCs w:val="18"/>
        </w:rPr>
      </w:pPr>
    </w:p>
    <w:p>
      <w:pPr>
        <w:pStyle w:val="BodyText"/>
        <w:spacing w:line="288" w:lineRule="auto"/>
        <w:ind w:left="1133" w:right="1021" w:firstLine="420"/>
        <w:jc w:val="left"/>
      </w:pPr>
      <w:r>
        <w:rPr>
          <w:rFonts w:ascii="Times New Roman" w:hAnsi="Times New Roman" w:cs="Times New Roman" w:eastAsia="Times New Roman" w:hint="default"/>
        </w:rPr>
        <w:t>2.</w:t>
      </w:r>
      <w:r>
        <w:rPr/>
        <w:t>财务部于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8"/>
        </w:rPr>
        <w:t>日印发《关于修订印发一般企业财务报表格式的通知》（财会</w:t>
      </w:r>
      <w:r>
        <w:rPr>
          <w:rFonts w:ascii="Times New Roman" w:hAnsi="Times New Roman" w:cs="Times New Roman" w:eastAsia="Times New Roman" w:hint="default"/>
          <w:spacing w:val="-8"/>
        </w:rPr>
        <w:t>[2017]30</w:t>
      </w:r>
      <w:r>
        <w:rPr>
          <w:rFonts w:ascii="Times New Roman" w:hAnsi="Times New Roman" w:cs="Times New Roman" w:eastAsia="Times New Roman" w:hint="default"/>
          <w:spacing w:val="2"/>
        </w:rPr>
        <w:t> </w:t>
      </w:r>
      <w:r>
        <w:rPr>
          <w:spacing w:val="-35"/>
        </w:rPr>
        <w:t>号），</w:t>
      </w:r>
      <w:r>
        <w:rPr/>
        <w:t> 在利润表中新增“资产处置收益”行项目，相应删除“营业外收入”和“营业外支出”项下的“其中：非 流动资产处置利得”和“其中：非流动资产处置损失”项目。</w:t>
      </w:r>
    </w:p>
    <w:p>
      <w:pPr>
        <w:spacing w:line="240" w:lineRule="auto" w:before="7"/>
        <w:rPr>
          <w:rFonts w:ascii="宋体" w:hAnsi="宋体" w:cs="宋体" w:eastAsia="宋体" w:hint="default"/>
          <w:sz w:val="18"/>
          <w:szCs w:val="18"/>
        </w:rPr>
      </w:pPr>
    </w:p>
    <w:p>
      <w:pPr>
        <w:pStyle w:val="BodyText"/>
        <w:spacing w:line="240" w:lineRule="auto"/>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财务部印</w:t>
      </w:r>
      <w:r>
        <w:rPr>
          <w:spacing w:val="-2"/>
        </w:rPr>
        <w:t>发</w:t>
      </w:r>
      <w:r>
        <w:rPr/>
        <w:t>《企业会计准则第</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政府补助</w:t>
      </w:r>
      <w:r>
        <w:rPr>
          <w:spacing w:val="-105"/>
        </w:rPr>
        <w:t>》</w:t>
      </w:r>
      <w:r>
        <w:rPr/>
        <w:t>（</w:t>
      </w:r>
      <w:r>
        <w:rPr>
          <w:rFonts w:ascii="Times New Roman" w:hAnsi="Times New Roman" w:cs="Times New Roman" w:eastAsia="Times New Roman" w:hint="default"/>
        </w:rPr>
        <w:t>2017</w:t>
      </w:r>
      <w:r>
        <w:rPr>
          <w:spacing w:val="-2"/>
        </w:rPr>
        <w:t>）</w:t>
      </w:r>
      <w:r>
        <w:rPr/>
        <w:t>自</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日起施行，</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p>
    <w:p>
      <w:pPr>
        <w:pStyle w:val="BodyText"/>
        <w:spacing w:line="290" w:lineRule="auto" w:before="49"/>
        <w:ind w:left="1133" w:right="1131"/>
        <w:jc w:val="both"/>
      </w:pPr>
      <w:r>
        <w:rPr/>
        <w:t>月 </w:t>
      </w:r>
      <w:r>
        <w:rPr>
          <w:rFonts w:ascii="Times New Roman" w:hAnsi="Times New Roman" w:cs="Times New Roman" w:eastAsia="Times New Roman" w:hint="default"/>
        </w:rPr>
        <w:t>1 </w:t>
      </w:r>
      <w:r>
        <w:rPr/>
        <w:t>日存在的政府补助和 </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年新增的政府补助适用该准则。根据该准则，对于与企业日常活动相关的 </w:t>
      </w:r>
      <w:r>
        <w:rPr>
          <w:spacing w:val="-1"/>
        </w:rPr>
        <w:t>政府补助，在计入利润表时，按照经济业务实质，由原计入营业外收入改为计入其他收益；与企业日常经</w:t>
      </w:r>
      <w:r>
        <w:rPr>
          <w:spacing w:val="-84"/>
        </w:rPr>
        <w:t> </w:t>
      </w:r>
      <w:r>
        <w:rPr>
          <w:spacing w:val="-84"/>
        </w:rPr>
      </w:r>
      <w:r>
        <w:rPr/>
        <w:t>营活动无关的政府补助，计入营业外收入。</w:t>
      </w:r>
    </w:p>
    <w:p>
      <w:pPr>
        <w:spacing w:line="240" w:lineRule="auto" w:before="4"/>
        <w:rPr>
          <w:rFonts w:ascii="宋体" w:hAnsi="宋体" w:cs="宋体" w:eastAsia="宋体" w:hint="default"/>
          <w:sz w:val="18"/>
          <w:szCs w:val="18"/>
        </w:rPr>
      </w:pPr>
    </w:p>
    <w:p>
      <w:pPr>
        <w:pStyle w:val="BodyText"/>
        <w:spacing w:line="240" w:lineRule="auto"/>
        <w:ind w:right="0"/>
        <w:jc w:val="left"/>
      </w:pPr>
      <w:r>
        <w:rPr/>
        <w:t>由于上述会计准则的颁布，公司需对原会计政策进行相应变更，并按以上文件规定的起始日开始执行</w:t>
      </w:r>
    </w:p>
    <w:p>
      <w:pPr>
        <w:spacing w:after="0" w:line="240" w:lineRule="auto"/>
        <w:jc w:val="left"/>
        <w:sectPr>
          <w:headerReference w:type="default" r:id="rId14"/>
          <w:footerReference w:type="default" r:id="rId15"/>
          <w:pgSz w:w="11910" w:h="16840"/>
          <w:pgMar w:header="877" w:footer="979" w:top="1100" w:bottom="1160" w:left="0" w:right="0"/>
          <w:pgNumType w:start="39"/>
        </w:sectPr>
      </w:pPr>
    </w:p>
    <w:p>
      <w:pPr>
        <w:spacing w:line="240" w:lineRule="auto" w:before="1"/>
        <w:rPr>
          <w:rFonts w:ascii="宋体" w:hAnsi="宋体" w:cs="宋体" w:eastAsia="宋体" w:hint="default"/>
          <w:sz w:val="19"/>
          <w:szCs w:val="19"/>
        </w:rPr>
      </w:pPr>
    </w:p>
    <w:p>
      <w:pPr>
        <w:pStyle w:val="BodyText"/>
        <w:spacing w:line="240" w:lineRule="auto" w:before="35"/>
        <w:ind w:left="1133" w:right="0"/>
        <w:jc w:val="left"/>
      </w:pPr>
      <w:r>
        <w:rPr/>
        <w:t>上述会计准则。</w:t>
      </w:r>
    </w:p>
    <w:p>
      <w:pPr>
        <w:spacing w:line="240" w:lineRule="auto" w:before="8"/>
        <w:rPr>
          <w:rFonts w:ascii="宋体" w:hAnsi="宋体" w:cs="宋体" w:eastAsia="宋体" w:hint="default"/>
          <w:sz w:val="21"/>
          <w:szCs w:val="21"/>
        </w:rPr>
      </w:pPr>
    </w:p>
    <w:p>
      <w:pPr>
        <w:pStyle w:val="BodyText"/>
        <w:spacing w:line="280" w:lineRule="auto"/>
        <w:ind w:left="1134" w:right="1114" w:firstLine="420"/>
        <w:jc w:val="left"/>
      </w:pPr>
      <w:r>
        <w:rPr/>
        <w:t>公司执行财政部制定的《企业会计准则第 </w:t>
      </w:r>
      <w:r>
        <w:rPr>
          <w:rFonts w:ascii="Times New Roman" w:hAnsi="Times New Roman" w:cs="Times New Roman" w:eastAsia="Times New Roman" w:hint="default"/>
        </w:rPr>
        <w:t>42</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持有待售的非流动资产、处置组和终止经营》， 会计政策变更采用未来适用法处理，对公司的经营成果无影响。</w:t>
      </w:r>
    </w:p>
    <w:p>
      <w:pPr>
        <w:spacing w:line="240" w:lineRule="auto" w:before="12"/>
        <w:rPr>
          <w:rFonts w:ascii="宋体" w:hAnsi="宋体" w:cs="宋体" w:eastAsia="宋体" w:hint="default"/>
          <w:sz w:val="18"/>
          <w:szCs w:val="18"/>
        </w:rPr>
      </w:pPr>
    </w:p>
    <w:p>
      <w:pPr>
        <w:pStyle w:val="BodyText"/>
        <w:spacing w:line="280" w:lineRule="auto"/>
        <w:ind w:left="1134" w:right="1116" w:firstLine="420"/>
        <w:jc w:val="left"/>
      </w:pPr>
      <w:r>
        <w:rPr/>
        <w:t>公司按照《企业会计准则第 </w:t>
      </w:r>
      <w:r>
        <w:rPr>
          <w:rFonts w:ascii="Times New Roman" w:hAnsi="Times New Roman" w:cs="Times New Roman" w:eastAsia="Times New Roman" w:hint="default"/>
        </w:rPr>
        <w:t>30</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财务报表列报》等相关规定，对此项会计政策变更采用追溯调 整法，</w:t>
      </w:r>
      <w:r>
        <w:rPr>
          <w:rFonts w:ascii="Times New Roman" w:hAnsi="Times New Roman" w:cs="Times New Roman" w:eastAsia="Times New Roman" w:hint="default"/>
        </w:rPr>
        <w:t>2017 </w:t>
      </w:r>
      <w:r>
        <w:rPr/>
        <w:t>年度计入资产处置收益金额</w:t>
      </w:r>
      <w:r>
        <w:rPr>
          <w:rFonts w:ascii="Times New Roman" w:hAnsi="Times New Roman" w:cs="Times New Roman" w:eastAsia="Times New Roman" w:hint="default"/>
        </w:rPr>
        <w:t>-54,582.66</w:t>
      </w:r>
      <w:r>
        <w:rPr>
          <w:rFonts w:ascii="Times New Roman" w:hAnsi="Times New Roman" w:cs="Times New Roman" w:eastAsia="Times New Roman" w:hint="default"/>
          <w:spacing w:val="-22"/>
        </w:rPr>
        <w:t> </w:t>
      </w:r>
      <w:r>
        <w:rPr/>
        <w:t>元。</w:t>
      </w:r>
    </w:p>
    <w:p>
      <w:pPr>
        <w:spacing w:line="240" w:lineRule="auto" w:before="5"/>
        <w:rPr>
          <w:rFonts w:ascii="宋体" w:hAnsi="宋体" w:cs="宋体" w:eastAsia="宋体" w:hint="default"/>
          <w:sz w:val="17"/>
          <w:szCs w:val="17"/>
        </w:rPr>
      </w:pPr>
    </w:p>
    <w:p>
      <w:pPr>
        <w:pStyle w:val="BodyText"/>
        <w:spacing w:line="240" w:lineRule="auto"/>
        <w:ind w:right="0"/>
        <w:jc w:val="left"/>
      </w:pPr>
      <w:r>
        <w:rPr/>
        <w:t>《企业会计准则第</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2017</w:t>
      </w:r>
      <w:r>
        <w:rPr/>
        <w:t>）的相关规定，对</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年度计入其他收益的政府补助</w:t>
      </w:r>
    </w:p>
    <w:p>
      <w:pPr>
        <w:pStyle w:val="BodyText"/>
        <w:spacing w:line="240" w:lineRule="auto" w:before="50"/>
        <w:ind w:left="1134" w:right="0"/>
        <w:jc w:val="left"/>
      </w:pPr>
      <w:r>
        <w:rPr/>
        <w:t>金额为</w:t>
      </w:r>
      <w:r>
        <w:rPr>
          <w:spacing w:val="-53"/>
        </w:rPr>
        <w:t> </w:t>
      </w:r>
      <w:r>
        <w:rPr>
          <w:rFonts w:ascii="Times New Roman" w:hAnsi="Times New Roman" w:cs="Times New Roman" w:eastAsia="Times New Roman" w:hint="default"/>
        </w:rPr>
        <w:t>30,494,989.50</w:t>
      </w:r>
      <w:r>
        <w:rPr>
          <w:rFonts w:ascii="Times New Roman" w:hAnsi="Times New Roman" w:cs="Times New Roman" w:eastAsia="Times New Roman" w:hint="default"/>
          <w:spacing w:val="-11"/>
        </w:rPr>
        <w:t> </w:t>
      </w:r>
      <w:r>
        <w:rPr/>
        <w:t>元。</w:t>
      </w:r>
    </w:p>
    <w:p>
      <w:pPr>
        <w:spacing w:line="240" w:lineRule="auto" w:before="7"/>
        <w:rPr>
          <w:rFonts w:ascii="宋体" w:hAnsi="宋体" w:cs="宋体" w:eastAsia="宋体" w:hint="default"/>
          <w:sz w:val="20"/>
          <w:szCs w:val="20"/>
        </w:rPr>
      </w:pPr>
    </w:p>
    <w:p>
      <w:pPr>
        <w:pStyle w:val="BodyText"/>
        <w:spacing w:line="240" w:lineRule="auto"/>
        <w:ind w:right="0"/>
        <w:jc w:val="left"/>
      </w:pPr>
      <w:r>
        <w:rPr/>
        <w:t>本次会计政策变更对中科创达公司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年度净利润、截至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日的总资产、净资产均不</w:t>
      </w:r>
    </w:p>
    <w:p>
      <w:pPr>
        <w:pStyle w:val="BodyText"/>
        <w:spacing w:line="280" w:lineRule="auto" w:before="49"/>
        <w:ind w:left="1134" w:right="1127"/>
        <w:jc w:val="left"/>
      </w:pPr>
      <w:r>
        <w:rPr/>
        <w:t>产生影响。“资产处置收益”科目的追溯调整对</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年度净利润、截至</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日的总资产、净</w:t>
      </w:r>
      <w:r>
        <w:rPr>
          <w:spacing w:val="-2"/>
        </w:rPr>
        <w:t> </w:t>
      </w:r>
      <w:r>
        <w:rPr/>
        <w:t>资产均不产生影响。</w:t>
      </w:r>
    </w:p>
    <w:p>
      <w:pPr>
        <w:spacing w:line="240" w:lineRule="auto" w:before="5"/>
        <w:rPr>
          <w:rFonts w:ascii="宋体" w:hAnsi="宋体" w:cs="宋体" w:eastAsia="宋体" w:hint="default"/>
          <w:sz w:val="24"/>
          <w:szCs w:val="24"/>
        </w:rPr>
      </w:pPr>
    </w:p>
    <w:p>
      <w:pPr>
        <w:pStyle w:val="Heading2"/>
        <w:spacing w:line="240" w:lineRule="auto"/>
        <w:ind w:right="0"/>
        <w:jc w:val="left"/>
      </w:pPr>
      <w:bookmarkStart w:name="七、与上年度财务报告相比，合并报表范围发生变化的情况说明" w:id="74"/>
      <w:bookmarkEnd w:id="74"/>
      <w:r>
        <w:rPr/>
      </w:r>
      <w:r>
        <w:rPr/>
        <w:t>七、与上年度财务报告相比，合并报表范围发生变化的情况说明</w:t>
      </w:r>
    </w:p>
    <w:p>
      <w:pPr>
        <w:spacing w:line="240" w:lineRule="auto" w:before="12"/>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40" w:lineRule="auto"/>
        <w:ind w:right="0"/>
        <w:jc w:val="left"/>
      </w:pPr>
      <w:r>
        <w:rPr/>
        <w:t>详见本报告“第十一节财务报告</w:t>
      </w:r>
      <w:r>
        <w:rPr>
          <w:spacing w:val="-22"/>
        </w:rPr>
        <w:t> </w:t>
      </w:r>
      <w:r>
        <w:rPr/>
        <w:t>八、合并范围的变更”</w:t>
      </w:r>
    </w:p>
    <w:p>
      <w:pPr>
        <w:spacing w:line="240" w:lineRule="auto" w:before="2"/>
        <w:rPr>
          <w:rFonts w:ascii="宋体" w:hAnsi="宋体" w:cs="宋体" w:eastAsia="宋体" w:hint="default"/>
          <w:sz w:val="27"/>
          <w:szCs w:val="27"/>
        </w:rPr>
      </w:pPr>
    </w:p>
    <w:p>
      <w:pPr>
        <w:pStyle w:val="Heading2"/>
        <w:spacing w:line="240" w:lineRule="auto"/>
        <w:ind w:left="1133" w:right="0"/>
        <w:jc w:val="left"/>
      </w:pPr>
      <w:bookmarkStart w:name="八、聘任、解聘会计师事务所情况" w:id="75"/>
      <w:bookmarkEnd w:id="75"/>
      <w:r>
        <w:rPr/>
      </w:r>
      <w:r>
        <w:rPr/>
        <w:t>八、聘任、解聘会计师事务所情况</w:t>
      </w:r>
    </w:p>
    <w:p>
      <w:pPr>
        <w:spacing w:line="240" w:lineRule="auto" w:before="12"/>
        <w:rPr>
          <w:rFonts w:ascii="微软雅黑" w:hAnsi="微软雅黑" w:cs="微软雅黑" w:eastAsia="微软雅黑" w:hint="default"/>
          <w:sz w:val="27"/>
          <w:szCs w:val="27"/>
        </w:rPr>
      </w:pPr>
    </w:p>
    <w:p>
      <w:pPr>
        <w:pStyle w:val="BodyText"/>
        <w:spacing w:line="240" w:lineRule="auto"/>
        <w:ind w:left="1553" w:right="0"/>
        <w:jc w:val="left"/>
      </w:pPr>
      <w:r>
        <w:rPr/>
        <w:t>现聘任的会计事务所</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935"/>
        <w:gridCol w:w="4920"/>
      </w:tblGrid>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pacing w:val="-3"/>
                <w:sz w:val="18"/>
              </w:rPr>
              <w:t>110</w:t>
            </w:r>
          </w:p>
        </w:tc>
      </w:tr>
      <w:tr>
        <w:trPr>
          <w:trHeight w:val="408"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李万军、蔡中伏</w:t>
            </w:r>
          </w:p>
        </w:tc>
      </w:tr>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是否改聘会计师事务所</w:t>
      </w:r>
    </w:p>
    <w:p>
      <w:pPr>
        <w:spacing w:line="240" w:lineRule="auto" w:before="8"/>
        <w:rPr>
          <w:rFonts w:ascii="宋体" w:hAnsi="宋体" w:cs="宋体" w:eastAsia="宋体" w:hint="default"/>
          <w:sz w:val="21"/>
          <w:szCs w:val="21"/>
        </w:rPr>
      </w:pPr>
    </w:p>
    <w:p>
      <w:pPr>
        <w:pStyle w:val="BodyText"/>
        <w:spacing w:line="460" w:lineRule="auto"/>
        <w:ind w:right="71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是否在审计期间改聘会计师事务所</w:t>
      </w:r>
    </w:p>
    <w:p>
      <w:pPr>
        <w:pStyle w:val="BodyText"/>
        <w:spacing w:line="460" w:lineRule="auto" w:before="90"/>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更换会计师事务所是否履行审批程序</w:t>
      </w:r>
    </w:p>
    <w:p>
      <w:pPr>
        <w:pStyle w:val="BodyText"/>
        <w:spacing w:line="240" w:lineRule="auto" w:before="9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t>聘任、解聘会计师事务所情况说明</w:t>
      </w:r>
    </w:p>
    <w:p>
      <w:pPr>
        <w:spacing w:line="240" w:lineRule="auto" w:before="8"/>
        <w:rPr>
          <w:rFonts w:ascii="宋体" w:hAnsi="宋体" w:cs="宋体" w:eastAsia="宋体" w:hint="default"/>
          <w:sz w:val="21"/>
          <w:szCs w:val="21"/>
        </w:rPr>
      </w:pPr>
    </w:p>
    <w:p>
      <w:pPr>
        <w:pStyle w:val="BodyText"/>
        <w:spacing w:line="290" w:lineRule="auto"/>
        <w:ind w:left="1133" w:right="1025" w:firstLine="420"/>
        <w:jc w:val="both"/>
      </w:pPr>
      <w:r>
        <w:rPr/>
        <w:t>公司召开第二届董事会第二十二次会议和第二届监事会第十八次会议，以及 </w:t>
      </w:r>
      <w:r>
        <w:rPr>
          <w:rFonts w:ascii="Times New Roman" w:hAnsi="Times New Roman" w:cs="Times New Roman" w:eastAsia="Times New Roman" w:hint="default"/>
        </w:rPr>
        <w:t>2018</w:t>
      </w:r>
      <w:r>
        <w:rPr>
          <w:rFonts w:ascii="Times New Roman" w:hAnsi="Times New Roman" w:cs="Times New Roman" w:eastAsia="Times New Roman" w:hint="default"/>
          <w:spacing w:val="30"/>
        </w:rPr>
        <w:t> </w:t>
      </w:r>
      <w:r>
        <w:rPr/>
        <w:t>年第一次临时股东 大会审议通过《关于更换会计师事务所的议案》。鉴于致同的审计工作团队已经连续多年为公司提供审计 服务，同时考虑到公司国际化业务的发展和未来审计的需要，经双方友好协商，决定</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年度不再续约。</w:t>
      </w:r>
    </w:p>
    <w:p>
      <w:pPr>
        <w:pStyle w:val="BodyText"/>
        <w:spacing w:line="240" w:lineRule="auto"/>
        <w:ind w:left="1133" w:right="0"/>
        <w:jc w:val="left"/>
      </w:pPr>
      <w:r>
        <w:rPr/>
        <w:t>公司聘任安永华明会计师事务所（特殊普通合伙）（以下简称“安永”）为公司的</w:t>
      </w:r>
      <w:r>
        <w:rPr>
          <w:spacing w:val="-6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年年度审计机构。</w:t>
      </w:r>
    </w:p>
    <w:p>
      <w:pPr>
        <w:spacing w:line="240" w:lineRule="auto" w:before="7"/>
        <w:rPr>
          <w:rFonts w:ascii="宋体" w:hAnsi="宋体" w:cs="宋体" w:eastAsia="宋体" w:hint="default"/>
          <w:sz w:val="20"/>
          <w:szCs w:val="20"/>
        </w:rPr>
      </w:pPr>
    </w:p>
    <w:p>
      <w:pPr>
        <w:pStyle w:val="BodyText"/>
        <w:spacing w:line="297" w:lineRule="auto"/>
        <w:ind w:left="1134" w:right="1131" w:firstLine="420"/>
        <w:jc w:val="both"/>
      </w:pPr>
      <w:r>
        <w:rPr>
          <w:spacing w:val="-1"/>
        </w:rPr>
        <w:t>安永在执业过程中坚持独立审计原则，客观、公正、公允，勤勉尽责。由于未能就工时及费用问题达</w:t>
      </w:r>
      <w:r>
        <w:rPr/>
        <w:t> </w:t>
      </w:r>
      <w:r>
        <w:rPr>
          <w:spacing w:val="-1"/>
        </w:rPr>
        <w:t>成一致，经双方友好协商，决定终止本次年度审计业务约定书。第二届董事会第二十九次会议和公司第二</w:t>
      </w:r>
      <w:r>
        <w:rPr>
          <w:spacing w:val="-83"/>
        </w:rPr>
        <w:t> </w:t>
      </w:r>
      <w:r>
        <w:rPr>
          <w:spacing w:val="-83"/>
        </w:rPr>
      </w:r>
      <w:r>
        <w:rPr/>
        <w:t>届监事会第二十四次会议，及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年第二次临时股东大会审议通过《关于更换会计师事务所的议案》同</w:t>
      </w:r>
    </w:p>
    <w:p>
      <w:pPr>
        <w:pStyle w:val="BodyText"/>
        <w:spacing w:line="460" w:lineRule="auto"/>
        <w:ind w:left="1553" w:right="3312" w:hanging="420"/>
        <w:jc w:val="left"/>
      </w:pPr>
      <w:r>
        <w:rPr/>
        <w:t>意聘请亚太（集团）会计师事务所（特殊普通合伙）为公司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年度审计机构。 聘请内部控制审计会计师事务所、财务顾问或保荐人情况</w:t>
      </w:r>
    </w:p>
    <w:p>
      <w:pPr>
        <w:pStyle w:val="BodyText"/>
        <w:spacing w:line="240" w:lineRule="auto" w:before="91"/>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97" w:lineRule="auto"/>
        <w:ind w:left="1134" w:right="0" w:firstLine="420"/>
        <w:jc w:val="left"/>
      </w:pPr>
      <w:r>
        <w:rPr>
          <w:spacing w:val="-1"/>
        </w:rPr>
        <w:t>本年度，公司因重大资产重组和发行可转换债券事项，聘请招商证券股份有限公司为财务顾问和保荐</w:t>
      </w:r>
      <w:r>
        <w:rPr/>
        <w:t> 机构，期间共支付财务顾问费及保荐费合计</w:t>
      </w:r>
      <w:r>
        <w:rPr>
          <w:spacing w:val="-53"/>
        </w:rPr>
        <w:t> </w:t>
      </w:r>
      <w:r>
        <w:rPr>
          <w:rFonts w:ascii="Times New Roman" w:hAnsi="Times New Roman" w:cs="Times New Roman" w:eastAsia="Times New Roman" w:hint="default"/>
        </w:rPr>
        <w:t>150</w:t>
      </w:r>
      <w:r>
        <w:rPr>
          <w:rFonts w:ascii="Times New Roman" w:hAnsi="Times New Roman" w:cs="Times New Roman" w:eastAsia="Times New Roman" w:hint="default"/>
          <w:spacing w:val="-11"/>
        </w:rPr>
        <w:t> </w:t>
      </w:r>
      <w:r>
        <w:rPr/>
        <w:t>万元。</w:t>
      </w:r>
    </w:p>
    <w:p>
      <w:pPr>
        <w:spacing w:line="240" w:lineRule="auto" w:before="8"/>
        <w:rPr>
          <w:rFonts w:ascii="宋体" w:hAnsi="宋体" w:cs="宋体" w:eastAsia="宋体" w:hint="default"/>
          <w:sz w:val="21"/>
          <w:szCs w:val="21"/>
        </w:rPr>
      </w:pPr>
    </w:p>
    <w:p>
      <w:pPr>
        <w:pStyle w:val="Heading2"/>
        <w:spacing w:line="240" w:lineRule="auto"/>
        <w:ind w:left="1133" w:right="0"/>
        <w:jc w:val="left"/>
      </w:pPr>
      <w:bookmarkStart w:name="九、年度报告披露后面临暂停上市和终止上市情况" w:id="76"/>
      <w:bookmarkEnd w:id="76"/>
      <w:r>
        <w:rPr/>
      </w:r>
      <w:r>
        <w:rPr/>
        <w:t>九、年度报告披露后面临暂停上市和终止上市情况</w:t>
      </w:r>
    </w:p>
    <w:p>
      <w:pPr>
        <w:spacing w:line="240" w:lineRule="auto" w:before="12"/>
        <w:rPr>
          <w:rFonts w:ascii="微软雅黑" w:hAnsi="微软雅黑" w:cs="微软雅黑" w:eastAsia="微软雅黑" w:hint="default"/>
          <w:sz w:val="27"/>
          <w:szCs w:val="27"/>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left"/>
      </w:pPr>
      <w:bookmarkStart w:name="十、破产重整相关事项" w:id="77"/>
      <w:bookmarkEnd w:id="77"/>
      <w:r>
        <w:rPr/>
      </w:r>
      <w:r>
        <w:rPr/>
        <w:t>十、破产重整相关事项</w:t>
      </w:r>
    </w:p>
    <w:p>
      <w:pPr>
        <w:spacing w:line="240" w:lineRule="auto" w:before="11"/>
        <w:rPr>
          <w:rFonts w:ascii="微软雅黑" w:hAnsi="微软雅黑" w:cs="微软雅黑" w:eastAsia="微软雅黑" w:hint="default"/>
          <w:sz w:val="27"/>
          <w:szCs w:val="27"/>
        </w:rPr>
      </w:pPr>
    </w:p>
    <w:p>
      <w:pPr>
        <w:pStyle w:val="BodyText"/>
        <w:spacing w:line="460" w:lineRule="auto"/>
        <w:ind w:right="67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公司报告期未发生破产重整相关事项。</w:t>
      </w:r>
    </w:p>
    <w:p>
      <w:pPr>
        <w:pStyle w:val="Heading2"/>
        <w:spacing w:line="240" w:lineRule="auto" w:before="162"/>
        <w:ind w:right="0"/>
        <w:jc w:val="left"/>
      </w:pPr>
      <w:bookmarkStart w:name="十一、重大诉讼、仲裁事项" w:id="78"/>
      <w:bookmarkEnd w:id="78"/>
      <w:r>
        <w:rPr/>
      </w:r>
      <w:r>
        <w:rPr/>
        <w:t>十一、重大诉讼、仲裁事项</w:t>
      </w:r>
    </w:p>
    <w:p>
      <w:pPr>
        <w:spacing w:line="240" w:lineRule="auto" w:before="11"/>
        <w:rPr>
          <w:rFonts w:ascii="微软雅黑" w:hAnsi="微软雅黑" w:cs="微软雅黑" w:eastAsia="微软雅黑" w:hint="default"/>
          <w:sz w:val="27"/>
          <w:szCs w:val="27"/>
        </w:rPr>
      </w:pPr>
    </w:p>
    <w:p>
      <w:pPr>
        <w:pStyle w:val="BodyText"/>
        <w:spacing w:line="460" w:lineRule="auto"/>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本年度公司无重大诉讼、仲裁事项。</w:t>
      </w:r>
    </w:p>
    <w:p>
      <w:pPr>
        <w:pStyle w:val="Heading2"/>
        <w:spacing w:line="240" w:lineRule="auto" w:before="161"/>
        <w:ind w:right="0"/>
        <w:jc w:val="left"/>
      </w:pPr>
      <w:bookmarkStart w:name="十二、处罚及整改情况" w:id="79"/>
      <w:bookmarkEnd w:id="79"/>
      <w:r>
        <w:rPr/>
      </w:r>
      <w:r>
        <w:rPr/>
        <w:t>十二、处罚及整改情况</w:t>
      </w:r>
    </w:p>
    <w:p>
      <w:pPr>
        <w:spacing w:line="240" w:lineRule="auto" w:before="12"/>
        <w:rPr>
          <w:rFonts w:ascii="微软雅黑" w:hAnsi="微软雅黑" w:cs="微软雅黑" w:eastAsia="微软雅黑" w:hint="default"/>
          <w:sz w:val="27"/>
          <w:szCs w:val="27"/>
        </w:rPr>
      </w:pPr>
    </w:p>
    <w:p>
      <w:pPr>
        <w:pStyle w:val="BodyText"/>
        <w:spacing w:line="460" w:lineRule="auto"/>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公司报告期不存在处罚及整改情况。</w:t>
      </w:r>
    </w:p>
    <w:p>
      <w:pPr>
        <w:spacing w:after="0" w:line="460" w:lineRule="auto"/>
        <w:jc w:val="left"/>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Heading2"/>
        <w:spacing w:line="397" w:lineRule="exact"/>
        <w:ind w:left="1133" w:right="0"/>
        <w:jc w:val="both"/>
      </w:pPr>
      <w:bookmarkStart w:name="十三、公司及其控股股东、实际控制人的诚信状况" w:id="80"/>
      <w:bookmarkEnd w:id="80"/>
      <w:r>
        <w:rPr/>
      </w:r>
      <w:r>
        <w:rPr/>
        <w:t>十三、公司及其控股股东、实际控制人的诚信状况</w:t>
      </w:r>
    </w:p>
    <w:p>
      <w:pPr>
        <w:pStyle w:val="BodyText"/>
        <w:spacing w:line="540" w:lineRule="atLeast" w:before="22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w:t>
      </w:r>
      <w:r>
        <w:rPr>
          <w:spacing w:val="-1"/>
        </w:rPr>
        <w:t>报告期内，公司及控股股东、实际控制人的诚信状况良好，不存在未履行法院生效判决、所负数额较</w:t>
      </w:r>
    </w:p>
    <w:p>
      <w:pPr>
        <w:pStyle w:val="BodyText"/>
        <w:spacing w:line="240" w:lineRule="auto" w:before="66"/>
        <w:ind w:left="1134" w:right="0"/>
        <w:jc w:val="both"/>
      </w:pPr>
      <w:r>
        <w:rPr/>
        <w:t>大的债务到期未清偿等情况。</w:t>
      </w:r>
    </w:p>
    <w:p>
      <w:pPr>
        <w:spacing w:line="240" w:lineRule="auto" w:before="1"/>
        <w:rPr>
          <w:rFonts w:ascii="宋体" w:hAnsi="宋体" w:cs="宋体" w:eastAsia="宋体" w:hint="default"/>
          <w:sz w:val="27"/>
          <w:szCs w:val="27"/>
        </w:rPr>
      </w:pPr>
    </w:p>
    <w:p>
      <w:pPr>
        <w:pStyle w:val="Heading2"/>
        <w:spacing w:line="240" w:lineRule="auto"/>
        <w:ind w:right="0"/>
        <w:jc w:val="both"/>
      </w:pPr>
      <w:bookmarkStart w:name="十四、公司股权激励计划、员工持股计划或其他员工激励措施的实施情况" w:id="81"/>
      <w:bookmarkEnd w:id="81"/>
      <w:r>
        <w:rPr/>
      </w:r>
      <w:r>
        <w:rPr/>
        <w:t>十四、公司股权激励计划、员工持股计划或其他员工激励措施的实施情况</w:t>
      </w:r>
    </w:p>
    <w:p>
      <w:pPr>
        <w:spacing w:line="240" w:lineRule="auto" w:before="12"/>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90" w:lineRule="auto"/>
        <w:ind w:left="1134" w:right="1131" w:firstLine="420"/>
        <w:jc w:val="both"/>
      </w:pPr>
      <w:r>
        <w:rPr>
          <w:rFonts w:ascii="Times New Roman" w:hAnsi="Times New Roman" w:cs="Times New Roman" w:eastAsia="Times New Roman" w:hint="default"/>
        </w:rPr>
        <w:t>1.2017</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spacing w:val="-3"/>
        </w:rPr>
        <w:t>日，公司召开第二届董事会第十八次会议，审议通过了《关于回购注销离职股权激励</w:t>
      </w:r>
      <w:r>
        <w:rPr/>
        <w:t> </w:t>
      </w:r>
      <w:r>
        <w:rPr>
          <w:spacing w:val="-1"/>
        </w:rPr>
        <w:t>对象所持已获授但尚未解锁的限制性股票的议案》。经中国证券登记结算有限责任公司深圳分公司审核确</w:t>
      </w:r>
      <w:r>
        <w:rPr>
          <w:spacing w:val="-81"/>
        </w:rPr>
        <w:t> </w:t>
      </w:r>
      <w:r>
        <w:rPr>
          <w:spacing w:val="-81"/>
        </w:rPr>
      </w:r>
      <w:r>
        <w:rPr/>
        <w:t>认，本次限制性股票的注销事宜已经于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日完成。</w:t>
      </w:r>
    </w:p>
    <w:p>
      <w:pPr>
        <w:spacing w:line="240" w:lineRule="auto" w:before="9"/>
        <w:rPr>
          <w:rFonts w:ascii="宋体" w:hAnsi="宋体" w:cs="宋体" w:eastAsia="宋体" w:hint="default"/>
          <w:sz w:val="16"/>
          <w:szCs w:val="16"/>
        </w:rPr>
      </w:pPr>
    </w:p>
    <w:p>
      <w:pPr>
        <w:pStyle w:val="BodyText"/>
        <w:spacing w:line="288" w:lineRule="auto"/>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9"/>
        </w:rPr>
        <w:t> </w:t>
      </w:r>
      <w:r>
        <w:rPr/>
        <w:t>日召开的第二届董事会第十九次会议审议通过了《关于公司限制性股票激励计划第 </w:t>
      </w:r>
      <w:r>
        <w:rPr>
          <w:spacing w:val="-1"/>
        </w:rPr>
        <w:t>一个解锁期解锁条件成就的议案》、《关于回购注销限制性股票激励计划部分限制性股票的议案》。公司</w:t>
      </w:r>
      <w:r>
        <w:rPr>
          <w:spacing w:val="-82"/>
        </w:rPr>
        <w:t> </w:t>
      </w:r>
      <w:r>
        <w:rPr>
          <w:spacing w:val="-82"/>
        </w:rPr>
      </w:r>
      <w:r>
        <w:rPr/>
        <w:t>已于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spacing w:val="-3"/>
        </w:rPr>
        <w:t>日取得中国证券登记结算有限责任公司深圳分公司出具的《股份变更登记确认书》，公</w:t>
      </w:r>
    </w:p>
    <w:p>
      <w:pPr>
        <w:pStyle w:val="BodyText"/>
        <w:spacing w:line="240" w:lineRule="auto" w:before="3"/>
        <w:ind w:left="1134" w:right="0"/>
        <w:jc w:val="both"/>
        <w:rPr>
          <w:rFonts w:ascii="Times New Roman" w:hAnsi="Times New Roman" w:cs="Times New Roman" w:eastAsia="Times New Roman" w:hint="default"/>
        </w:rPr>
      </w:pPr>
      <w:r>
        <w:rPr/>
        <w:t>司限制性股票激励计划首期授予股份第一个解锁期解除限售手续已经办理完毕，上市流通日为 </w:t>
      </w:r>
      <w:r>
        <w:rPr>
          <w:rFonts w:ascii="Times New Roman" w:hAnsi="Times New Roman" w:cs="Times New Roman" w:eastAsia="Times New Roman" w:hint="default"/>
        </w:rPr>
        <w:t>2017  </w:t>
      </w:r>
      <w:r>
        <w:rPr/>
        <w:t>年</w:t>
      </w:r>
      <w:r>
        <w:rPr>
          <w:spacing w:val="-22"/>
        </w:rPr>
        <w:t> </w:t>
      </w:r>
      <w:r>
        <w:rPr>
          <w:rFonts w:ascii="Times New Roman" w:hAnsi="Times New Roman" w:cs="Times New Roman" w:eastAsia="Times New Roman" w:hint="default"/>
        </w:rPr>
        <w:t>5</w:t>
      </w:r>
    </w:p>
    <w:p>
      <w:pPr>
        <w:pStyle w:val="BodyText"/>
        <w:spacing w:line="240" w:lineRule="auto" w:before="50"/>
        <w:ind w:left="1133" w:right="0"/>
        <w:jc w:val="both"/>
      </w:pP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日。</w:t>
      </w:r>
    </w:p>
    <w:p>
      <w:pPr>
        <w:spacing w:line="240" w:lineRule="auto" w:before="6"/>
        <w:rPr>
          <w:rFonts w:ascii="宋体" w:hAnsi="宋体" w:cs="宋体" w:eastAsia="宋体" w:hint="default"/>
          <w:sz w:val="20"/>
          <w:szCs w:val="20"/>
        </w:rPr>
      </w:pPr>
    </w:p>
    <w:p>
      <w:pPr>
        <w:pStyle w:val="BodyText"/>
        <w:spacing w:line="288" w:lineRule="auto"/>
        <w:ind w:left="1133"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9"/>
        </w:rPr>
        <w:t> </w:t>
      </w:r>
      <w:r>
        <w:rPr/>
        <w:t>日召开的第二届董事会第二十次会议审议通过了《关于回购注销限制性股票激励计 </w:t>
      </w:r>
      <w:r>
        <w:rPr>
          <w:spacing w:val="-1"/>
        </w:rPr>
        <w:t>划部分限制性股票的议案》。经中国证券登记结算有限责任公司深圳分公司审核确认，本次限制性股票的</w:t>
      </w:r>
      <w:r>
        <w:rPr>
          <w:spacing w:val="-83"/>
        </w:rPr>
        <w:t> </w:t>
      </w:r>
      <w:r>
        <w:rPr>
          <w:spacing w:val="-83"/>
        </w:rPr>
      </w:r>
      <w:r>
        <w:rPr/>
        <w:t>注销事宜已经于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日完成。</w:t>
      </w:r>
    </w:p>
    <w:p>
      <w:pPr>
        <w:spacing w:line="240" w:lineRule="auto" w:before="13"/>
        <w:rPr>
          <w:rFonts w:ascii="宋体" w:hAnsi="宋体" w:cs="宋体" w:eastAsia="宋体" w:hint="default"/>
          <w:sz w:val="16"/>
          <w:szCs w:val="16"/>
        </w:rPr>
      </w:pPr>
    </w:p>
    <w:p>
      <w:pPr>
        <w:pStyle w:val="BodyText"/>
        <w:spacing w:line="280" w:lineRule="auto"/>
        <w:ind w:left="1133" w:right="1014" w:firstLine="420"/>
        <w:jc w:val="left"/>
      </w:pPr>
      <w:r>
        <w:rPr>
          <w:rFonts w:ascii="Times New Roman" w:hAnsi="Times New Roman" w:cs="Times New Roman" w:eastAsia="Times New Roman" w:hint="default"/>
        </w:rPr>
        <w:t>4.2017</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日，公司第二届董事会第二十一次会议审议通过了《关于公司</w:t>
      </w:r>
      <w:r>
        <w:rPr>
          <w:rFonts w:ascii="Times New Roman" w:hAnsi="Times New Roman" w:cs="Times New Roman" w:eastAsia="Times New Roman" w:hint="default"/>
        </w:rPr>
        <w:t>&lt;2017</w:t>
      </w:r>
      <w:r>
        <w:rPr>
          <w:rFonts w:ascii="Times New Roman" w:hAnsi="Times New Roman" w:cs="Times New Roman" w:eastAsia="Times New Roman" w:hint="default"/>
          <w:spacing w:val="-16"/>
        </w:rPr>
        <w:t> </w:t>
      </w:r>
      <w:r>
        <w:rPr/>
        <w:t>年限制性股票激 </w:t>
      </w:r>
      <w:r>
        <w:rPr>
          <w:spacing w:val="-10"/>
        </w:rPr>
        <w:t>励计划（草案）</w:t>
      </w:r>
      <w:r>
        <w:rPr>
          <w:rFonts w:ascii="Times New Roman" w:hAnsi="Times New Roman" w:cs="Times New Roman" w:eastAsia="Times New Roman" w:hint="default"/>
          <w:spacing w:val="-10"/>
        </w:rPr>
        <w:t>&gt;</w:t>
      </w:r>
      <w:r>
        <w:rPr>
          <w:spacing w:val="-10"/>
        </w:rPr>
        <w:t>及其摘要的议案》、《关于公司</w:t>
      </w:r>
      <w:r>
        <w:rPr>
          <w:rFonts w:ascii="Times New Roman" w:hAnsi="Times New Roman" w:cs="Times New Roman" w:eastAsia="Times New Roman" w:hint="default"/>
          <w:spacing w:val="-10"/>
        </w:rPr>
        <w:t>&lt;2017</w:t>
      </w:r>
      <w:r>
        <w:rPr>
          <w:rFonts w:ascii="Times New Roman" w:hAnsi="Times New Roman" w:cs="Times New Roman" w:eastAsia="Times New Roman" w:hint="default"/>
          <w:spacing w:val="13"/>
        </w:rPr>
        <w:t> </w:t>
      </w:r>
      <w:r>
        <w:rPr>
          <w:spacing w:val="-3"/>
        </w:rPr>
        <w:t>年限制性股票激励计划实施考核管理办法</w:t>
      </w:r>
      <w:r>
        <w:rPr>
          <w:rFonts w:ascii="Times New Roman" w:hAnsi="Times New Roman" w:cs="Times New Roman" w:eastAsia="Times New Roman" w:hint="default"/>
          <w:spacing w:val="-3"/>
        </w:rPr>
        <w:t>&gt;</w:t>
      </w:r>
      <w:r>
        <w:rPr>
          <w:spacing w:val="-3"/>
        </w:rPr>
        <w:t>的议案》、</w:t>
      </w:r>
    </w:p>
    <w:p>
      <w:pPr>
        <w:pStyle w:val="BodyText"/>
        <w:spacing w:line="240" w:lineRule="auto" w:before="10"/>
        <w:ind w:left="1134" w:right="0"/>
        <w:jc w:val="both"/>
      </w:pPr>
      <w:r>
        <w:rPr/>
        <w:t>《关于提请股东大会授权董事会办理</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年限制性股票激励计划有关事项的议案》。</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w:t>
      </w:r>
    </w:p>
    <w:p>
      <w:pPr>
        <w:pStyle w:val="BodyText"/>
        <w:spacing w:line="240" w:lineRule="auto" w:before="50"/>
        <w:ind w:left="1133" w:right="0"/>
        <w:jc w:val="both"/>
      </w:pPr>
      <w:r>
        <w:rPr/>
        <w:t>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年第四次临时股东大会审议通过了上述议案。</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5.2017</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51"/>
        </w:rPr>
        <w:t> </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spacing w:val="-3"/>
        </w:rPr>
        <w:t>日，公司第二届董事会第二十三次会议审议通过了《关于向激励对象授予限制性股票</w:t>
      </w:r>
    </w:p>
    <w:p>
      <w:pPr>
        <w:pStyle w:val="BodyText"/>
        <w:spacing w:line="280" w:lineRule="auto" w:before="50"/>
        <w:ind w:left="1133" w:right="1129"/>
        <w:jc w:val="both"/>
      </w:pPr>
      <w:r>
        <w:rPr/>
        <w:t>的议案》。本次激励计划授予激励对象人数</w:t>
      </w:r>
      <w:r>
        <w:rPr>
          <w:spacing w:val="-38"/>
        </w:rPr>
        <w:t> </w:t>
      </w:r>
      <w:r>
        <w:rPr>
          <w:rFonts w:ascii="Times New Roman" w:hAnsi="Times New Roman" w:cs="Times New Roman" w:eastAsia="Times New Roman" w:hint="default"/>
        </w:rPr>
        <w:t>210</w:t>
      </w:r>
      <w:r>
        <w:rPr>
          <w:rFonts w:ascii="Times New Roman" w:hAnsi="Times New Roman" w:cs="Times New Roman" w:eastAsia="Times New Roman" w:hint="default"/>
          <w:spacing w:val="-8"/>
        </w:rPr>
        <w:t> </w:t>
      </w:r>
      <w:r>
        <w:rPr/>
        <w:t>名，授予限制性股票总量</w:t>
      </w:r>
      <w:r>
        <w:rPr>
          <w:spacing w:val="-39"/>
        </w:rPr>
        <w:t> </w:t>
      </w:r>
      <w:r>
        <w:rPr>
          <w:rFonts w:ascii="Times New Roman" w:hAnsi="Times New Roman" w:cs="Times New Roman" w:eastAsia="Times New Roman" w:hint="default"/>
        </w:rPr>
        <w:t>281.10</w:t>
      </w:r>
      <w:r>
        <w:rPr>
          <w:rFonts w:ascii="Times New Roman" w:hAnsi="Times New Roman" w:cs="Times New Roman" w:eastAsia="Times New Roman" w:hint="default"/>
          <w:spacing w:val="-7"/>
        </w:rPr>
        <w:t> </w:t>
      </w:r>
      <w:r>
        <w:rPr/>
        <w:t>万股，确定</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29"/>
        </w:rPr>
        <w:t> </w:t>
      </w:r>
      <w:r>
        <w:rPr>
          <w:spacing w:val="-11"/>
        </w:rPr>
        <w:t>日为授予日。</w:t>
      </w:r>
      <w:r>
        <w:rPr>
          <w:rFonts w:ascii="Times New Roman" w:hAnsi="Times New Roman" w:cs="Times New Roman" w:eastAsia="Times New Roman" w:hint="default"/>
          <w:spacing w:val="-11"/>
        </w:rPr>
        <w:t>2017</w:t>
      </w:r>
      <w:r>
        <w:rPr>
          <w:rFonts w:ascii="Times New Roman" w:hAnsi="Times New Roman" w:cs="Times New Roman" w:eastAsia="Times New Roman" w:hint="default"/>
          <w:spacing w:val="-28"/>
        </w:rPr>
        <w:t> </w:t>
      </w:r>
      <w:r>
        <w:rPr/>
        <w:t>年</w:t>
      </w:r>
      <w:r>
        <w:rPr>
          <w:spacing w:val="-77"/>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9"/>
        </w:rPr>
        <w:t> </w:t>
      </w:r>
      <w:r>
        <w:rPr/>
        <w:t>月</w:t>
      </w:r>
      <w:r>
        <w:rPr>
          <w:spacing w:val="-75"/>
        </w:rPr>
        <w:t> </w:t>
      </w:r>
      <w:r>
        <w:rPr>
          <w:rFonts w:ascii="Times New Roman" w:hAnsi="Times New Roman" w:cs="Times New Roman" w:eastAsia="Times New Roman" w:hint="default"/>
        </w:rPr>
        <w:t>13</w:t>
      </w:r>
      <w:r>
        <w:rPr>
          <w:rFonts w:ascii="Times New Roman" w:hAnsi="Times New Roman" w:cs="Times New Roman" w:eastAsia="Times New Roman" w:hint="default"/>
          <w:spacing w:val="-29"/>
        </w:rPr>
        <w:t> </w:t>
      </w:r>
      <w:r>
        <w:rPr>
          <w:spacing w:val="-17"/>
        </w:rPr>
        <w:t>日，致同会计师事务所（特殊普通合伙）出具了致同验字（</w:t>
      </w:r>
      <w:r>
        <w:rPr>
          <w:rFonts w:ascii="Times New Roman" w:hAnsi="Times New Roman" w:cs="Times New Roman" w:eastAsia="Times New Roman" w:hint="default"/>
          <w:spacing w:val="-17"/>
        </w:rPr>
        <w:t>2017</w:t>
      </w:r>
      <w:r>
        <w:rPr>
          <w:spacing w:val="-17"/>
        </w:rPr>
        <w:t>）第 </w:t>
      </w:r>
      <w:r>
        <w:rPr>
          <w:rFonts w:ascii="Times New Roman" w:hAnsi="Times New Roman" w:cs="Times New Roman" w:eastAsia="Times New Roman" w:hint="default"/>
        </w:rPr>
        <w:t>110ZC0346 </w:t>
      </w:r>
      <w:r>
        <w:rPr/>
        <w:t>号验资报告，最终实际缴款的激励对象为</w:t>
      </w:r>
      <w:r>
        <w:rPr>
          <w:spacing w:val="-52"/>
        </w:rPr>
        <w:t> </w:t>
      </w:r>
      <w:r>
        <w:rPr>
          <w:rFonts w:ascii="Times New Roman" w:hAnsi="Times New Roman" w:cs="Times New Roman" w:eastAsia="Times New Roman" w:hint="default"/>
        </w:rPr>
        <w:t>199</w:t>
      </w:r>
      <w:r>
        <w:rPr>
          <w:rFonts w:ascii="Times New Roman" w:hAnsi="Times New Roman" w:cs="Times New Roman" w:eastAsia="Times New Roman" w:hint="default"/>
          <w:spacing w:val="-12"/>
        </w:rPr>
        <w:t> </w:t>
      </w:r>
      <w:r>
        <w:rPr/>
        <w:t>人，实际认购的限制性股票数量为</w:t>
      </w:r>
      <w:r>
        <w:rPr>
          <w:spacing w:val="-52"/>
        </w:rPr>
        <w:t> </w:t>
      </w:r>
      <w:r>
        <w:rPr>
          <w:rFonts w:ascii="Times New Roman" w:hAnsi="Times New Roman" w:cs="Times New Roman" w:eastAsia="Times New Roman" w:hint="default"/>
        </w:rPr>
        <w:t>2,685,000</w:t>
      </w:r>
      <w:r>
        <w:rPr>
          <w:rFonts w:ascii="Times New Roman" w:hAnsi="Times New Roman" w:cs="Times New Roman" w:eastAsia="Times New Roman" w:hint="default"/>
          <w:spacing w:val="-10"/>
        </w:rPr>
        <w:t> </w:t>
      </w:r>
      <w:r>
        <w:rPr/>
        <w:t>股。</w:t>
      </w:r>
    </w:p>
    <w:p>
      <w:pPr>
        <w:spacing w:line="240" w:lineRule="auto" w:before="7"/>
        <w:rPr>
          <w:rFonts w:ascii="宋体" w:hAnsi="宋体" w:cs="宋体" w:eastAsia="宋体" w:hint="default"/>
          <w:sz w:val="17"/>
          <w:szCs w:val="17"/>
        </w:rPr>
      </w:pPr>
    </w:p>
    <w:p>
      <w:pPr>
        <w:pStyle w:val="BodyText"/>
        <w:spacing w:line="240" w:lineRule="auto"/>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6.2017</w:t>
      </w:r>
      <w:r>
        <w:rPr>
          <w:rFonts w:ascii="Times New Roman" w:hAnsi="Times New Roman" w:cs="Times New Roman" w:eastAsia="Times New Roman" w:hint="default"/>
          <w:spacing w:val="-9"/>
        </w:rPr>
        <w:t> </w:t>
      </w:r>
      <w:r>
        <w:rPr/>
        <w:t>年</w:t>
      </w:r>
      <w:r>
        <w:rPr>
          <w:spacing w:val="-42"/>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日，公司完成了</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年限制性股票的首次授予登记工作。授予日为</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0"/>
        </w:rPr>
        <w:t> </w:t>
      </w:r>
      <w:r>
        <w:rPr>
          <w:rFonts w:ascii="Times New Roman" w:hAnsi="Times New Roman" w:cs="Times New Roman" w:eastAsia="Times New Roman" w:hint="default"/>
        </w:rPr>
        <w:t>11</w:t>
      </w:r>
    </w:p>
    <w:p>
      <w:pPr>
        <w:pStyle w:val="BodyText"/>
        <w:spacing w:line="240" w:lineRule="auto" w:before="49"/>
        <w:ind w:left="1133" w:right="0"/>
        <w:jc w:val="both"/>
      </w:pPr>
      <w:r>
        <w:rPr/>
        <w:t>日，授予对象</w:t>
      </w:r>
      <w:r>
        <w:rPr>
          <w:spacing w:val="-55"/>
        </w:rPr>
        <w:t> </w:t>
      </w:r>
      <w:r>
        <w:rPr>
          <w:rFonts w:ascii="Times New Roman" w:hAnsi="Times New Roman" w:cs="Times New Roman" w:eastAsia="Times New Roman" w:hint="default"/>
        </w:rPr>
        <w:t>199</w:t>
      </w:r>
      <w:r>
        <w:rPr>
          <w:rFonts w:ascii="Times New Roman" w:hAnsi="Times New Roman" w:cs="Times New Roman" w:eastAsia="Times New Roman" w:hint="default"/>
          <w:spacing w:val="-12"/>
        </w:rPr>
        <w:t> </w:t>
      </w:r>
      <w:r>
        <w:rPr/>
        <w:t>人，授予数量</w:t>
      </w:r>
      <w:r>
        <w:rPr>
          <w:spacing w:val="-56"/>
        </w:rPr>
        <w:t> </w:t>
      </w:r>
      <w:r>
        <w:rPr>
          <w:rFonts w:ascii="Times New Roman" w:hAnsi="Times New Roman" w:cs="Times New Roman" w:eastAsia="Times New Roman" w:hint="default"/>
        </w:rPr>
        <w:t>2,685,000</w:t>
      </w:r>
      <w:r>
        <w:rPr>
          <w:rFonts w:ascii="Times New Roman" w:hAnsi="Times New Roman" w:cs="Times New Roman" w:eastAsia="Times New Roman" w:hint="default"/>
          <w:spacing w:val="-12"/>
        </w:rPr>
        <w:t> </w:t>
      </w:r>
      <w:r>
        <w:rPr/>
        <w:t>股，授予价格为：</w:t>
      </w:r>
      <w:r>
        <w:rPr>
          <w:rFonts w:ascii="Times New Roman" w:hAnsi="Times New Roman" w:cs="Times New Roman" w:eastAsia="Times New Roman" w:hint="default"/>
        </w:rPr>
        <w:t>13.59</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股。</w:t>
      </w:r>
    </w:p>
    <w:p>
      <w:pPr>
        <w:spacing w:line="240" w:lineRule="auto" w:before="7"/>
        <w:rPr>
          <w:rFonts w:ascii="宋体" w:hAnsi="宋体" w:cs="宋体" w:eastAsia="宋体" w:hint="default"/>
          <w:sz w:val="20"/>
          <w:szCs w:val="20"/>
        </w:rPr>
      </w:pPr>
    </w:p>
    <w:p>
      <w:pPr>
        <w:pStyle w:val="BodyText"/>
        <w:spacing w:line="288" w:lineRule="auto"/>
        <w:ind w:left="1133" w:right="1024" w:firstLine="420"/>
        <w:jc w:val="left"/>
      </w:pPr>
      <w:r>
        <w:rPr>
          <w:rFonts w:ascii="Times New Roman" w:hAnsi="Times New Roman" w:cs="Times New Roman" w:eastAsia="Times New Roman" w:hint="default"/>
        </w:rPr>
        <w:t>7.2017</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7"/>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日，公司第二届董事会第二十六次会议审议通过了《关于回购注销离职股权激励对 </w:t>
      </w:r>
      <w:r>
        <w:rPr>
          <w:spacing w:val="-3"/>
        </w:rPr>
        <w:t>象所持已获授但尚未解锁的限制性股票的议案》。经中国证券登记结算有限责任公司深圳分公司审核确认，</w:t>
      </w:r>
      <w:r>
        <w:rPr>
          <w:spacing w:val="-92"/>
        </w:rPr>
        <w:t> </w:t>
      </w:r>
      <w:r>
        <w:rPr>
          <w:spacing w:val="-92"/>
        </w:rPr>
      </w:r>
      <w:r>
        <w:rPr/>
        <w:t>本次限制性股票的注销事宜已经于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1"/>
        </w:rPr>
        <w:t> </w:t>
      </w:r>
      <w:r>
        <w:rPr/>
        <w:t>日完成。</w:t>
      </w:r>
    </w:p>
    <w:p>
      <w:pPr>
        <w:spacing w:after="0" w:line="288" w:lineRule="auto"/>
        <w:jc w:val="left"/>
        <w:sectPr>
          <w:pgSz w:w="11910" w:h="16840"/>
          <w:pgMar w:header="877" w:footer="979" w:top="1100" w:bottom="1160" w:left="0" w:right="0"/>
        </w:sectPr>
      </w:pPr>
    </w:p>
    <w:p>
      <w:pPr>
        <w:spacing w:line="240" w:lineRule="auto" w:before="9"/>
        <w:rPr>
          <w:rFonts w:ascii="宋体" w:hAnsi="宋体" w:cs="宋体" w:eastAsia="宋体" w:hint="default"/>
          <w:sz w:val="26"/>
          <w:szCs w:val="26"/>
        </w:rPr>
      </w:pPr>
    </w:p>
    <w:p>
      <w:pPr>
        <w:pStyle w:val="Heading2"/>
        <w:spacing w:line="397" w:lineRule="exact"/>
        <w:ind w:left="2" w:right="7120"/>
        <w:jc w:val="center"/>
      </w:pPr>
      <w:bookmarkStart w:name="十五、重大关联交易" w:id="82"/>
      <w:bookmarkEnd w:id="82"/>
      <w:r>
        <w:rPr/>
      </w:r>
      <w:r>
        <w:rPr/>
        <w:t>十五、重大关联交易</w:t>
      </w:r>
    </w:p>
    <w:p>
      <w:pPr>
        <w:spacing w:line="240" w:lineRule="auto" w:before="10"/>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与日常经营相关的关联交易" w:id="83"/>
      <w:bookmarkEnd w:id="83"/>
      <w:r>
        <w:rPr/>
      </w:r>
      <w:r>
        <w:rPr>
          <w:rFonts w:ascii="Times New Roman" w:hAnsi="Times New Roman" w:cs="Times New Roman" w:eastAsia="Times New Roman" w:hint="default"/>
        </w:rPr>
        <w:t>1</w:t>
      </w:r>
      <w:r>
        <w:rPr>
          <w:rFonts w:ascii="微软雅黑" w:hAnsi="微软雅黑" w:cs="微软雅黑" w:eastAsia="微软雅黑" w:hint="default"/>
        </w:rPr>
        <w:t>、与日常经营相关的关联交易</w:t>
      </w:r>
    </w:p>
    <w:p>
      <w:pPr>
        <w:spacing w:line="240" w:lineRule="auto" w:before="7"/>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838" w:type="dxa"/>
        <w:tblLayout w:type="fixed"/>
        <w:tblCellMar>
          <w:top w:w="0" w:type="dxa"/>
          <w:left w:w="0" w:type="dxa"/>
          <w:bottom w:w="0" w:type="dxa"/>
          <w:right w:w="0" w:type="dxa"/>
        </w:tblCellMar>
        <w:tblLook w:val="01E0"/>
      </w:tblPr>
      <w:tblGrid>
        <w:gridCol w:w="815"/>
        <w:gridCol w:w="690"/>
        <w:gridCol w:w="690"/>
        <w:gridCol w:w="715"/>
        <w:gridCol w:w="694"/>
        <w:gridCol w:w="687"/>
        <w:gridCol w:w="830"/>
        <w:gridCol w:w="778"/>
        <w:gridCol w:w="686"/>
        <w:gridCol w:w="688"/>
        <w:gridCol w:w="687"/>
        <w:gridCol w:w="688"/>
        <w:gridCol w:w="683"/>
        <w:gridCol w:w="889"/>
      </w:tblGrid>
      <w:tr>
        <w:trPr>
          <w:trHeight w:val="1015" w:hRule="exact"/>
        </w:trPr>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20" w:lineRule="exact"/>
              <w:ind w:left="322" w:right="83" w:hanging="237"/>
              <w:jc w:val="left"/>
              <w:rPr>
                <w:rFonts w:ascii="宋体" w:hAnsi="宋体" w:cs="宋体" w:eastAsia="宋体" w:hint="default"/>
                <w:sz w:val="17"/>
                <w:szCs w:val="17"/>
              </w:rPr>
            </w:pPr>
            <w:r>
              <w:rPr>
                <w:rFonts w:ascii="宋体" w:hAnsi="宋体" w:cs="宋体" w:eastAsia="宋体" w:hint="default"/>
                <w:spacing w:val="-12"/>
                <w:sz w:val="17"/>
                <w:szCs w:val="17"/>
              </w:rPr>
              <w:t>关联交易</w:t>
            </w:r>
            <w:r>
              <w:rPr>
                <w:rFonts w:ascii="宋体" w:hAnsi="宋体" w:cs="宋体" w:eastAsia="宋体" w:hint="default"/>
                <w:spacing w:val="-12"/>
                <w:w w:val="100"/>
                <w:sz w:val="17"/>
                <w:szCs w:val="17"/>
              </w:rPr>
              <w:t> </w:t>
            </w:r>
            <w:r>
              <w:rPr>
                <w:rFonts w:ascii="宋体" w:hAnsi="宋体" w:cs="宋体" w:eastAsia="宋体" w:hint="default"/>
                <w:sz w:val="17"/>
                <w:szCs w:val="17"/>
              </w:rPr>
              <w:t>方</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04" w:lineRule="auto"/>
              <w:ind w:left="181" w:right="180"/>
              <w:jc w:val="left"/>
              <w:rPr>
                <w:rFonts w:ascii="宋体" w:hAnsi="宋体" w:cs="宋体" w:eastAsia="宋体" w:hint="default"/>
                <w:sz w:val="17"/>
                <w:szCs w:val="17"/>
              </w:rPr>
            </w:pPr>
            <w:r>
              <w:rPr>
                <w:rFonts w:ascii="宋体" w:hAnsi="宋体" w:cs="宋体" w:eastAsia="宋体" w:hint="default"/>
                <w:spacing w:val="-12"/>
                <w:sz w:val="17"/>
                <w:szCs w:val="17"/>
              </w:rPr>
              <w:t>关联</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关系</w:t>
            </w:r>
            <w:r>
              <w:rPr>
                <w:rFonts w:ascii="宋体" w:hAnsi="宋体" w:cs="宋体" w:eastAsia="宋体" w:hint="default"/>
                <w:sz w:val="17"/>
                <w:szCs w:val="17"/>
              </w:rPr>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20" w:lineRule="exact"/>
              <w:ind w:left="101" w:right="101"/>
              <w:jc w:val="left"/>
              <w:rPr>
                <w:rFonts w:ascii="宋体" w:hAnsi="宋体" w:cs="宋体" w:eastAsia="宋体" w:hint="default"/>
                <w:sz w:val="17"/>
                <w:szCs w:val="17"/>
              </w:rPr>
            </w:pPr>
            <w:r>
              <w:rPr>
                <w:rFonts w:ascii="宋体" w:hAnsi="宋体" w:cs="宋体" w:eastAsia="宋体" w:hint="default"/>
                <w:spacing w:val="-12"/>
                <w:sz w:val="17"/>
                <w:szCs w:val="17"/>
              </w:rPr>
              <w:t>关联交</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易类型</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20" w:lineRule="exact"/>
              <w:ind w:left="115" w:right="113"/>
              <w:jc w:val="left"/>
              <w:rPr>
                <w:rFonts w:ascii="宋体" w:hAnsi="宋体" w:cs="宋体" w:eastAsia="宋体" w:hint="default"/>
                <w:sz w:val="17"/>
                <w:szCs w:val="17"/>
              </w:rPr>
            </w:pPr>
            <w:r>
              <w:rPr>
                <w:rFonts w:ascii="宋体" w:hAnsi="宋体" w:cs="宋体" w:eastAsia="宋体" w:hint="default"/>
                <w:spacing w:val="-12"/>
                <w:sz w:val="17"/>
                <w:szCs w:val="17"/>
              </w:rPr>
              <w:t>关联交</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易内容</w:t>
            </w:r>
            <w:r>
              <w:rPr>
                <w:rFonts w:ascii="宋体" w:hAnsi="宋体" w:cs="宋体" w:eastAsia="宋体" w:hint="default"/>
                <w:sz w:val="17"/>
                <w:szCs w:val="17"/>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37" w:lineRule="auto"/>
              <w:ind w:left="104" w:right="102"/>
              <w:jc w:val="both"/>
              <w:rPr>
                <w:rFonts w:ascii="宋体" w:hAnsi="宋体" w:cs="宋体" w:eastAsia="宋体" w:hint="default"/>
                <w:sz w:val="17"/>
                <w:szCs w:val="17"/>
              </w:rPr>
            </w:pPr>
            <w:r>
              <w:rPr>
                <w:rFonts w:ascii="宋体" w:hAnsi="宋体" w:cs="宋体" w:eastAsia="宋体" w:hint="default"/>
                <w:spacing w:val="-12"/>
                <w:sz w:val="17"/>
                <w:szCs w:val="17"/>
              </w:rPr>
              <w:t>关联交</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易定价</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原则</w:t>
            </w:r>
            <w:r>
              <w:rPr>
                <w:rFonts w:ascii="宋体" w:hAnsi="宋体" w:cs="宋体" w:eastAsia="宋体" w:hint="default"/>
                <w:sz w:val="17"/>
                <w:szCs w:val="17"/>
              </w:rPr>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1"/>
                <w:szCs w:val="21"/>
              </w:rPr>
            </w:pPr>
          </w:p>
          <w:p>
            <w:pPr>
              <w:pStyle w:val="TableParagraph"/>
              <w:spacing w:line="220" w:lineRule="exact"/>
              <w:ind w:left="100" w:right="99"/>
              <w:jc w:val="left"/>
              <w:rPr>
                <w:rFonts w:ascii="宋体" w:hAnsi="宋体" w:cs="宋体" w:eastAsia="宋体" w:hint="default"/>
                <w:sz w:val="17"/>
                <w:szCs w:val="17"/>
              </w:rPr>
            </w:pPr>
            <w:r>
              <w:rPr>
                <w:rFonts w:ascii="宋体" w:hAnsi="宋体" w:cs="宋体" w:eastAsia="宋体" w:hint="default"/>
                <w:spacing w:val="-12"/>
                <w:sz w:val="17"/>
                <w:szCs w:val="17"/>
              </w:rPr>
              <w:t>关联交</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易价格</w:t>
            </w:r>
            <w:r>
              <w:rPr>
                <w:rFonts w:ascii="宋体" w:hAnsi="宋体" w:cs="宋体" w:eastAsia="宋体" w:hint="default"/>
                <w:sz w:val="17"/>
                <w:szCs w:val="17"/>
              </w:rPr>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82"/>
              <w:ind w:left="253" w:right="90" w:hanging="159"/>
              <w:jc w:val="left"/>
              <w:rPr>
                <w:rFonts w:ascii="宋体" w:hAnsi="宋体" w:cs="宋体" w:eastAsia="宋体" w:hint="default"/>
                <w:sz w:val="17"/>
                <w:szCs w:val="17"/>
              </w:rPr>
            </w:pPr>
            <w:r>
              <w:rPr>
                <w:rFonts w:ascii="宋体" w:hAnsi="宋体" w:cs="宋体" w:eastAsia="宋体" w:hint="default"/>
                <w:spacing w:val="-12"/>
                <w:sz w:val="17"/>
                <w:szCs w:val="17"/>
              </w:rPr>
              <w:t>关联交易</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金额</w:t>
            </w:r>
            <w:r>
              <w:rPr>
                <w:rFonts w:ascii="宋体" w:hAnsi="宋体" w:cs="宋体" w:eastAsia="宋体" w:hint="default"/>
                <w:sz w:val="17"/>
                <w:szCs w:val="17"/>
              </w:rPr>
            </w:r>
          </w:p>
          <w:p>
            <w:pPr>
              <w:pStyle w:val="TableParagraph"/>
              <w:spacing w:line="240" w:lineRule="auto" w:before="15"/>
              <w:ind w:left="94" w:right="0"/>
              <w:jc w:val="left"/>
              <w:rPr>
                <w:rFonts w:ascii="宋体" w:hAnsi="宋体" w:cs="宋体" w:eastAsia="宋体" w:hint="default"/>
                <w:sz w:val="17"/>
                <w:szCs w:val="17"/>
              </w:rPr>
            </w:pPr>
            <w:r>
              <w:rPr>
                <w:rFonts w:ascii="宋体" w:hAnsi="宋体" w:cs="宋体" w:eastAsia="宋体" w:hint="default"/>
                <w:spacing w:val="-9"/>
                <w:sz w:val="17"/>
                <w:szCs w:val="17"/>
              </w:rPr>
              <w:t>（万元）</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37" w:lineRule="auto"/>
              <w:ind w:left="67" w:right="65"/>
              <w:jc w:val="center"/>
              <w:rPr>
                <w:rFonts w:ascii="宋体" w:hAnsi="宋体" w:cs="宋体" w:eastAsia="宋体" w:hint="default"/>
                <w:sz w:val="17"/>
                <w:szCs w:val="17"/>
              </w:rPr>
            </w:pPr>
            <w:r>
              <w:rPr>
                <w:rFonts w:ascii="宋体" w:hAnsi="宋体" w:cs="宋体" w:eastAsia="宋体" w:hint="default"/>
                <w:spacing w:val="-12"/>
                <w:sz w:val="17"/>
                <w:szCs w:val="17"/>
              </w:rPr>
              <w:t>占同类交</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易金额的</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比例</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6"/>
              <w:ind w:left="100" w:right="86"/>
              <w:jc w:val="both"/>
              <w:rPr>
                <w:rFonts w:ascii="宋体" w:hAnsi="宋体" w:cs="宋体" w:eastAsia="宋体" w:hint="default"/>
                <w:sz w:val="17"/>
                <w:szCs w:val="17"/>
              </w:rPr>
            </w:pPr>
            <w:r>
              <w:rPr>
                <w:rFonts w:ascii="宋体" w:hAnsi="宋体" w:cs="宋体" w:eastAsia="宋体" w:hint="default"/>
                <w:spacing w:val="-12"/>
                <w:sz w:val="17"/>
                <w:szCs w:val="17"/>
              </w:rPr>
              <w:t>获批的</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交易额</w:t>
            </w:r>
            <w:r>
              <w:rPr>
                <w:rFonts w:ascii="宋体" w:hAnsi="宋体" w:cs="宋体" w:eastAsia="宋体" w:hint="default"/>
                <w:spacing w:val="-12"/>
                <w:w w:val="100"/>
                <w:sz w:val="17"/>
                <w:szCs w:val="17"/>
              </w:rPr>
              <w:t> </w:t>
            </w:r>
            <w:r>
              <w:rPr>
                <w:rFonts w:ascii="宋体" w:hAnsi="宋体" w:cs="宋体" w:eastAsia="宋体" w:hint="default"/>
                <w:spacing w:val="-8"/>
                <w:sz w:val="17"/>
                <w:szCs w:val="17"/>
              </w:rPr>
              <w:t>度（万</w:t>
            </w:r>
            <w:r>
              <w:rPr>
                <w:rFonts w:ascii="宋体" w:hAnsi="宋体" w:cs="宋体" w:eastAsia="宋体" w:hint="default"/>
                <w:w w:val="100"/>
                <w:sz w:val="17"/>
                <w:szCs w:val="17"/>
              </w:rPr>
              <w:t> </w:t>
            </w:r>
            <w:r>
              <w:rPr>
                <w:rFonts w:ascii="宋体" w:hAnsi="宋体" w:cs="宋体" w:eastAsia="宋体" w:hint="default"/>
                <w:spacing w:val="-6"/>
                <w:sz w:val="17"/>
                <w:szCs w:val="17"/>
              </w:rPr>
              <w:t>元）</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37" w:lineRule="auto"/>
              <w:ind w:left="101" w:right="98"/>
              <w:jc w:val="both"/>
              <w:rPr>
                <w:rFonts w:ascii="宋体" w:hAnsi="宋体" w:cs="宋体" w:eastAsia="宋体" w:hint="default"/>
                <w:sz w:val="17"/>
                <w:szCs w:val="17"/>
              </w:rPr>
            </w:pPr>
            <w:r>
              <w:rPr>
                <w:rFonts w:ascii="宋体" w:hAnsi="宋体" w:cs="宋体" w:eastAsia="宋体" w:hint="default"/>
                <w:spacing w:val="-12"/>
                <w:sz w:val="17"/>
                <w:szCs w:val="17"/>
              </w:rPr>
              <w:t>是否超</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过获批</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额度</w:t>
            </w:r>
            <w:r>
              <w:rPr>
                <w:rFonts w:ascii="宋体" w:hAnsi="宋体" w:cs="宋体" w:eastAsia="宋体" w:hint="default"/>
                <w:sz w:val="17"/>
                <w:szCs w:val="17"/>
              </w:rPr>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37" w:lineRule="auto"/>
              <w:ind w:left="100" w:right="98"/>
              <w:jc w:val="both"/>
              <w:rPr>
                <w:rFonts w:ascii="宋体" w:hAnsi="宋体" w:cs="宋体" w:eastAsia="宋体" w:hint="default"/>
                <w:sz w:val="17"/>
                <w:szCs w:val="17"/>
              </w:rPr>
            </w:pPr>
            <w:r>
              <w:rPr>
                <w:rFonts w:ascii="宋体" w:hAnsi="宋体" w:cs="宋体" w:eastAsia="宋体" w:hint="default"/>
                <w:spacing w:val="-12"/>
                <w:sz w:val="17"/>
                <w:szCs w:val="17"/>
              </w:rPr>
              <w:t>关联交</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易结算</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方式</w:t>
            </w:r>
            <w:r>
              <w:rPr>
                <w:rFonts w:ascii="宋体" w:hAnsi="宋体" w:cs="宋体" w:eastAsia="宋体" w:hint="default"/>
                <w:sz w:val="17"/>
                <w:szCs w:val="17"/>
              </w:rPr>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6"/>
              <w:ind w:left="100" w:right="101"/>
              <w:jc w:val="center"/>
              <w:rPr>
                <w:rFonts w:ascii="宋体" w:hAnsi="宋体" w:cs="宋体" w:eastAsia="宋体" w:hint="default"/>
                <w:sz w:val="17"/>
                <w:szCs w:val="17"/>
              </w:rPr>
            </w:pPr>
            <w:r>
              <w:rPr>
                <w:rFonts w:ascii="宋体" w:hAnsi="宋体" w:cs="宋体" w:eastAsia="宋体" w:hint="default"/>
                <w:spacing w:val="-12"/>
                <w:sz w:val="17"/>
                <w:szCs w:val="17"/>
              </w:rPr>
              <w:t>可获得</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的同类</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交易市</w:t>
            </w:r>
            <w:r>
              <w:rPr>
                <w:rFonts w:ascii="宋体" w:hAnsi="宋体" w:cs="宋体" w:eastAsia="宋体" w:hint="default"/>
                <w:spacing w:val="-12"/>
                <w:w w:val="100"/>
                <w:sz w:val="17"/>
                <w:szCs w:val="17"/>
              </w:rPr>
              <w:t> </w:t>
            </w:r>
            <w:r>
              <w:rPr>
                <w:rFonts w:ascii="宋体" w:hAnsi="宋体" w:cs="宋体" w:eastAsia="宋体" w:hint="default"/>
                <w:sz w:val="17"/>
                <w:szCs w:val="17"/>
              </w:rPr>
              <w:t>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304" w:lineRule="auto"/>
              <w:ind w:left="177" w:right="176"/>
              <w:jc w:val="left"/>
              <w:rPr>
                <w:rFonts w:ascii="宋体" w:hAnsi="宋体" w:cs="宋体" w:eastAsia="宋体" w:hint="default"/>
                <w:sz w:val="17"/>
                <w:szCs w:val="17"/>
              </w:rPr>
            </w:pPr>
            <w:r>
              <w:rPr>
                <w:rFonts w:ascii="宋体" w:hAnsi="宋体" w:cs="宋体" w:eastAsia="宋体" w:hint="default"/>
                <w:spacing w:val="-12"/>
                <w:sz w:val="17"/>
                <w:szCs w:val="17"/>
              </w:rPr>
              <w:t>披露</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日期</w:t>
            </w:r>
            <w:r>
              <w:rPr>
                <w:rFonts w:ascii="宋体" w:hAnsi="宋体" w:cs="宋体" w:eastAsia="宋体" w:hint="default"/>
                <w:sz w:val="17"/>
                <w:szCs w:val="17"/>
              </w:rPr>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123" w:right="0"/>
              <w:jc w:val="left"/>
              <w:rPr>
                <w:rFonts w:ascii="宋体" w:hAnsi="宋体" w:cs="宋体" w:eastAsia="宋体" w:hint="default"/>
                <w:sz w:val="17"/>
                <w:szCs w:val="17"/>
              </w:rPr>
            </w:pPr>
            <w:r>
              <w:rPr>
                <w:rFonts w:ascii="宋体" w:hAnsi="宋体" w:cs="宋体" w:eastAsia="宋体" w:hint="default"/>
                <w:spacing w:val="-12"/>
                <w:sz w:val="17"/>
                <w:szCs w:val="17"/>
              </w:rPr>
              <w:t>披露索引</w:t>
            </w:r>
            <w:r>
              <w:rPr>
                <w:rFonts w:ascii="宋体" w:hAnsi="宋体" w:cs="宋体" w:eastAsia="宋体" w:hint="default"/>
                <w:sz w:val="17"/>
                <w:szCs w:val="17"/>
              </w:rPr>
            </w:r>
          </w:p>
        </w:tc>
      </w:tr>
      <w:tr>
        <w:trPr>
          <w:trHeight w:val="796"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2" w:right="71"/>
              <w:jc w:val="left"/>
              <w:rPr>
                <w:rFonts w:ascii="Times New Roman" w:hAnsi="Times New Roman" w:cs="Times New Roman" w:eastAsia="Times New Roman" w:hint="default"/>
                <w:sz w:val="17"/>
                <w:szCs w:val="17"/>
              </w:rPr>
            </w:pPr>
            <w:r>
              <w:rPr>
                <w:rFonts w:ascii="Times New Roman"/>
                <w:spacing w:val="-6"/>
                <w:sz w:val="17"/>
              </w:rPr>
              <w:t>PointMobi</w:t>
            </w:r>
            <w:r>
              <w:rPr>
                <w:rFonts w:ascii="Times New Roman"/>
                <w:spacing w:val="-38"/>
                <w:sz w:val="17"/>
              </w:rPr>
              <w:t> </w:t>
            </w:r>
            <w:r>
              <w:rPr>
                <w:rFonts w:ascii="Times New Roman"/>
                <w:spacing w:val="-38"/>
                <w:sz w:val="17"/>
              </w:rPr>
            </w:r>
            <w:r>
              <w:rPr>
                <w:rFonts w:ascii="Times New Roman"/>
                <w:spacing w:val="-6"/>
                <w:sz w:val="17"/>
              </w:rPr>
              <w:t>leCo.Ltd.</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51" w:right="151"/>
              <w:jc w:val="left"/>
              <w:rPr>
                <w:rFonts w:ascii="宋体" w:hAnsi="宋体" w:cs="宋体" w:eastAsia="宋体" w:hint="default"/>
                <w:sz w:val="17"/>
                <w:szCs w:val="17"/>
              </w:rPr>
            </w:pPr>
            <w:r>
              <w:rPr>
                <w:rFonts w:ascii="宋体" w:hAnsi="宋体" w:cs="宋体" w:eastAsia="宋体" w:hint="default"/>
                <w:spacing w:val="-12"/>
                <w:sz w:val="17"/>
                <w:szCs w:val="17"/>
              </w:rPr>
              <w:t>联营企</w:t>
            </w:r>
            <w:r>
              <w:rPr>
                <w:rFonts w:ascii="宋体" w:hAnsi="宋体" w:cs="宋体" w:eastAsia="宋体" w:hint="default"/>
                <w:spacing w:val="-12"/>
                <w:w w:val="100"/>
                <w:sz w:val="17"/>
                <w:szCs w:val="17"/>
              </w:rPr>
              <w:t> </w:t>
            </w:r>
            <w:r>
              <w:rPr>
                <w:rFonts w:ascii="宋体" w:hAnsi="宋体" w:cs="宋体" w:eastAsia="宋体" w:hint="default"/>
                <w:sz w:val="17"/>
                <w:szCs w:val="17"/>
              </w:rPr>
              <w:t>业</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7"/>
              <w:ind w:left="51" w:right="37"/>
              <w:jc w:val="left"/>
              <w:rPr>
                <w:rFonts w:ascii="宋体" w:hAnsi="宋体" w:cs="宋体" w:eastAsia="宋体" w:hint="default"/>
                <w:sz w:val="17"/>
                <w:szCs w:val="17"/>
              </w:rPr>
            </w:pPr>
            <w:r>
              <w:rPr>
                <w:rFonts w:ascii="宋体" w:hAnsi="宋体" w:cs="宋体" w:eastAsia="宋体" w:hint="default"/>
                <w:spacing w:val="-12"/>
                <w:sz w:val="17"/>
                <w:szCs w:val="17"/>
              </w:rPr>
              <w:t>出售商</w:t>
            </w:r>
            <w:r>
              <w:rPr>
                <w:rFonts w:ascii="宋体" w:hAnsi="宋体" w:cs="宋体" w:eastAsia="宋体" w:hint="default"/>
                <w:spacing w:val="-12"/>
                <w:w w:val="100"/>
                <w:sz w:val="17"/>
                <w:szCs w:val="17"/>
              </w:rPr>
              <w:t> </w:t>
            </w:r>
            <w:r>
              <w:rPr>
                <w:rFonts w:ascii="宋体" w:hAnsi="宋体" w:cs="宋体" w:eastAsia="宋体" w:hint="default"/>
                <w:spacing w:val="-24"/>
                <w:w w:val="100"/>
                <w:sz w:val="17"/>
                <w:szCs w:val="17"/>
              </w:rPr>
              <w:t>品、提供</w:t>
            </w:r>
            <w:r>
              <w:rPr>
                <w:rFonts w:ascii="宋体" w:hAnsi="宋体" w:cs="宋体" w:eastAsia="宋体" w:hint="default"/>
                <w:spacing w:val="-83"/>
                <w:w w:val="100"/>
                <w:sz w:val="17"/>
                <w:szCs w:val="17"/>
              </w:rPr>
              <w:t> </w:t>
            </w:r>
            <w:r>
              <w:rPr>
                <w:rFonts w:ascii="宋体" w:hAnsi="宋体" w:cs="宋体" w:eastAsia="宋体" w:hint="default"/>
                <w:spacing w:val="-83"/>
                <w:w w:val="100"/>
                <w:sz w:val="17"/>
                <w:szCs w:val="17"/>
              </w:rPr>
            </w:r>
            <w:r>
              <w:rPr>
                <w:rFonts w:ascii="宋体" w:hAnsi="宋体" w:cs="宋体" w:eastAsia="宋体" w:hint="default"/>
                <w:spacing w:val="-12"/>
                <w:sz w:val="17"/>
                <w:szCs w:val="17"/>
              </w:rPr>
              <w:t>劳务</w:t>
            </w:r>
            <w:r>
              <w:rPr>
                <w:rFonts w:ascii="宋体" w:hAnsi="宋体" w:cs="宋体" w:eastAsia="宋体" w:hint="default"/>
                <w:sz w:val="17"/>
                <w:szCs w:val="17"/>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15" w:right="113"/>
              <w:jc w:val="left"/>
              <w:rPr>
                <w:rFonts w:ascii="宋体" w:hAnsi="宋体" w:cs="宋体" w:eastAsia="宋体" w:hint="default"/>
                <w:sz w:val="17"/>
                <w:szCs w:val="17"/>
              </w:rPr>
            </w:pPr>
            <w:r>
              <w:rPr>
                <w:rFonts w:ascii="宋体" w:hAnsi="宋体" w:cs="宋体" w:eastAsia="宋体" w:hint="default"/>
                <w:spacing w:val="-12"/>
                <w:sz w:val="17"/>
                <w:szCs w:val="17"/>
              </w:rPr>
              <w:t>商品销</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售收入</w:t>
            </w:r>
            <w:r>
              <w:rPr>
                <w:rFonts w:ascii="宋体" w:hAnsi="宋体" w:cs="宋体" w:eastAsia="宋体" w:hint="default"/>
                <w:sz w:val="17"/>
                <w:szCs w:val="17"/>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83" w:right="102" w:hanging="80"/>
              <w:jc w:val="left"/>
              <w:rPr>
                <w:rFonts w:ascii="宋体" w:hAnsi="宋体" w:cs="宋体" w:eastAsia="宋体" w:hint="default"/>
                <w:sz w:val="17"/>
                <w:szCs w:val="17"/>
              </w:rPr>
            </w:pPr>
            <w:r>
              <w:rPr>
                <w:rFonts w:ascii="宋体" w:hAnsi="宋体" w:cs="宋体" w:eastAsia="宋体" w:hint="default"/>
                <w:spacing w:val="-12"/>
                <w:sz w:val="17"/>
                <w:szCs w:val="17"/>
              </w:rPr>
              <w:t>参考市</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场价</w:t>
            </w:r>
            <w:r>
              <w:rPr>
                <w:rFonts w:ascii="宋体" w:hAnsi="宋体" w:cs="宋体" w:eastAsia="宋体" w:hint="default"/>
                <w:sz w:val="17"/>
                <w:szCs w:val="17"/>
              </w:rPr>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80" w:right="99" w:hanging="80"/>
              <w:jc w:val="left"/>
              <w:rPr>
                <w:rFonts w:ascii="宋体" w:hAnsi="宋体" w:cs="宋体" w:eastAsia="宋体" w:hint="default"/>
                <w:sz w:val="17"/>
                <w:szCs w:val="17"/>
              </w:rPr>
            </w:pPr>
            <w:r>
              <w:rPr>
                <w:rFonts w:ascii="宋体" w:hAnsi="宋体" w:cs="宋体" w:eastAsia="宋体" w:hint="default"/>
                <w:spacing w:val="-12"/>
                <w:sz w:val="17"/>
                <w:szCs w:val="17"/>
              </w:rPr>
              <w:t>市场公</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允价</w:t>
            </w:r>
            <w:r>
              <w:rPr>
                <w:rFonts w:ascii="宋体" w:hAnsi="宋体" w:cs="宋体" w:eastAsia="宋体" w:hint="default"/>
                <w:sz w:val="17"/>
                <w:szCs w:val="17"/>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1,085.92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4.03%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1,000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7"/>
                <w:szCs w:val="17"/>
              </w:rPr>
            </w:pPr>
            <w:r>
              <w:rPr>
                <w:rFonts w:ascii="宋体" w:hAnsi="宋体" w:cs="宋体" w:eastAsia="宋体" w:hint="default"/>
                <w:w w:val="100"/>
                <w:sz w:val="17"/>
                <w:szCs w:val="17"/>
              </w:rPr>
              <w:t>是</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12"/>
                <w:sz w:val="17"/>
                <w:szCs w:val="17"/>
              </w:rPr>
              <w:t>账期</w:t>
            </w:r>
            <w:r>
              <w:rPr>
                <w:rFonts w:ascii="宋体" w:hAnsi="宋体" w:cs="宋体" w:eastAsia="宋体" w:hint="default"/>
                <w:sz w:val="17"/>
                <w:szCs w:val="17"/>
              </w:rPr>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14"/>
              <w:ind w:left="179" w:right="179"/>
              <w:jc w:val="left"/>
              <w:rPr>
                <w:rFonts w:ascii="宋体" w:hAnsi="宋体" w:cs="宋体" w:eastAsia="宋体" w:hint="default"/>
                <w:sz w:val="17"/>
                <w:szCs w:val="17"/>
              </w:rPr>
            </w:pPr>
            <w:r>
              <w:rPr>
                <w:rFonts w:ascii="宋体" w:hAnsi="宋体" w:cs="宋体" w:eastAsia="宋体" w:hint="default"/>
                <w:spacing w:val="-12"/>
                <w:sz w:val="17"/>
                <w:szCs w:val="17"/>
              </w:rPr>
              <w:t>市场</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价格</w:t>
            </w:r>
            <w:r>
              <w:rPr>
                <w:rFonts w:ascii="宋体" w:hAnsi="宋体" w:cs="宋体" w:eastAsia="宋体" w:hint="default"/>
                <w:sz w:val="17"/>
                <w:szCs w:val="17"/>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35"/>
              <w:ind w:left="12" w:right="0"/>
              <w:jc w:val="center"/>
              <w:rPr>
                <w:rFonts w:ascii="宋体" w:hAnsi="宋体" w:cs="宋体" w:eastAsia="宋体" w:hint="default"/>
                <w:sz w:val="17"/>
                <w:szCs w:val="17"/>
              </w:rPr>
            </w:pPr>
            <w:r>
              <w:rPr>
                <w:rFonts w:ascii="Times New Roman" w:hAnsi="Times New Roman" w:cs="Times New Roman" w:eastAsia="Times New Roman" w:hint="default"/>
                <w:spacing w:val="-5"/>
                <w:sz w:val="17"/>
                <w:szCs w:val="17"/>
              </w:rPr>
              <w:t>2017</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w:t>
            </w:r>
          </w:p>
          <w:p>
            <w:pPr>
              <w:pStyle w:val="TableParagraph"/>
              <w:spacing w:line="220" w:lineRule="exact"/>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pacing w:val="-3"/>
                <w:sz w:val="17"/>
                <w:szCs w:val="17"/>
              </w:rPr>
              <w:t>08 </w:t>
            </w:r>
            <w:r>
              <w:rPr>
                <w:rFonts w:ascii="宋体" w:hAnsi="宋体" w:cs="宋体" w:eastAsia="宋体" w:hint="default"/>
                <w:sz w:val="17"/>
                <w:szCs w:val="17"/>
              </w:rPr>
              <w:t>月</w:t>
            </w:r>
            <w:r>
              <w:rPr>
                <w:rFonts w:ascii="宋体" w:hAnsi="宋体" w:cs="宋体" w:eastAsia="宋体" w:hint="default"/>
                <w:spacing w:val="-63"/>
                <w:sz w:val="17"/>
                <w:szCs w:val="17"/>
              </w:rPr>
              <w:t> </w:t>
            </w:r>
            <w:r>
              <w:rPr>
                <w:rFonts w:ascii="Times New Roman" w:hAnsi="Times New Roman" w:cs="Times New Roman" w:eastAsia="Times New Roman" w:hint="default"/>
                <w:spacing w:val="-6"/>
                <w:sz w:val="17"/>
                <w:szCs w:val="17"/>
              </w:rPr>
              <w:t>26</w:t>
            </w:r>
            <w:r>
              <w:rPr>
                <w:rFonts w:ascii="Times New Roman" w:hAnsi="Times New Roman" w:cs="Times New Roman" w:eastAsia="Times New Roman" w:hint="default"/>
                <w:sz w:val="17"/>
                <w:szCs w:val="17"/>
              </w:rPr>
            </w:r>
          </w:p>
          <w:p>
            <w:pPr>
              <w:pStyle w:val="TableParagraph"/>
              <w:spacing w:line="215" w:lineRule="exact"/>
              <w:ind w:left="10" w:right="0"/>
              <w:jc w:val="center"/>
              <w:rPr>
                <w:rFonts w:ascii="宋体" w:hAnsi="宋体" w:cs="宋体" w:eastAsia="宋体" w:hint="default"/>
                <w:sz w:val="17"/>
                <w:szCs w:val="17"/>
              </w:rPr>
            </w:pPr>
            <w:r>
              <w:rPr>
                <w:rFonts w:ascii="宋体" w:hAnsi="宋体" w:cs="宋体" w:eastAsia="宋体" w:hint="default"/>
                <w:w w:val="100"/>
                <w:sz w:val="17"/>
                <w:szCs w:val="17"/>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47"/>
              <w:ind w:left="51" w:right="23"/>
              <w:jc w:val="left"/>
              <w:rPr>
                <w:rFonts w:ascii="Times New Roman" w:hAnsi="Times New Roman" w:cs="Times New Roman" w:eastAsia="Times New Roman" w:hint="default"/>
                <w:sz w:val="17"/>
                <w:szCs w:val="17"/>
              </w:rPr>
            </w:pPr>
            <w:r>
              <w:rPr>
                <w:rFonts w:ascii="宋体" w:hAnsi="宋体" w:cs="宋体" w:eastAsia="宋体" w:hint="default"/>
                <w:spacing w:val="-12"/>
                <w:sz w:val="17"/>
                <w:szCs w:val="17"/>
              </w:rPr>
              <w:t>巨潮资讯</w:t>
            </w:r>
            <w:r>
              <w:rPr>
                <w:rFonts w:ascii="宋体" w:hAnsi="宋体" w:cs="宋体" w:eastAsia="宋体" w:hint="default"/>
                <w:spacing w:val="-12"/>
                <w:w w:val="100"/>
                <w:sz w:val="17"/>
                <w:szCs w:val="17"/>
              </w:rPr>
              <w:t> </w:t>
            </w:r>
            <w:r>
              <w:rPr>
                <w:rFonts w:ascii="宋体" w:hAnsi="宋体" w:cs="宋体" w:eastAsia="宋体" w:hint="default"/>
                <w:spacing w:val="-10"/>
                <w:sz w:val="17"/>
                <w:szCs w:val="17"/>
              </w:rPr>
              <w:t>公告编号：</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Times New Roman" w:hAnsi="Times New Roman" w:cs="Times New Roman" w:eastAsia="Times New Roman" w:hint="default"/>
                <w:spacing w:val="-7"/>
                <w:sz w:val="17"/>
                <w:szCs w:val="17"/>
              </w:rPr>
              <w:t>2017-075</w:t>
            </w:r>
            <w:r>
              <w:rPr>
                <w:rFonts w:ascii="Times New Roman" w:hAnsi="Times New Roman" w:cs="Times New Roman" w:eastAsia="Times New Roman" w:hint="default"/>
                <w:sz w:val="17"/>
                <w:szCs w:val="17"/>
              </w:rPr>
            </w:r>
          </w:p>
        </w:tc>
      </w:tr>
      <w:tr>
        <w:trPr>
          <w:trHeight w:val="1420" w:hRule="exact"/>
        </w:trPr>
        <w:tc>
          <w:tcPr>
            <w:tcW w:w="815"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2" w:right="46"/>
              <w:jc w:val="both"/>
              <w:rPr>
                <w:rFonts w:ascii="Times New Roman" w:hAnsi="Times New Roman" w:cs="Times New Roman" w:eastAsia="Times New Roman" w:hint="default"/>
                <w:sz w:val="17"/>
                <w:szCs w:val="17"/>
              </w:rPr>
            </w:pPr>
            <w:r>
              <w:rPr>
                <w:rFonts w:ascii="Times New Roman"/>
                <w:spacing w:val="-6"/>
                <w:sz w:val="17"/>
              </w:rPr>
              <w:t>T2MobileI</w:t>
            </w:r>
            <w:r>
              <w:rPr>
                <w:rFonts w:ascii="Times New Roman"/>
                <w:spacing w:val="-39"/>
                <w:sz w:val="17"/>
              </w:rPr>
              <w:t> </w:t>
            </w:r>
            <w:r>
              <w:rPr>
                <w:rFonts w:ascii="Times New Roman"/>
                <w:spacing w:val="-39"/>
                <w:sz w:val="17"/>
              </w:rPr>
            </w:r>
            <w:r>
              <w:rPr>
                <w:rFonts w:ascii="Times New Roman"/>
                <w:spacing w:val="-6"/>
                <w:sz w:val="17"/>
              </w:rPr>
              <w:t>nternationa</w:t>
            </w:r>
            <w:r>
              <w:rPr>
                <w:rFonts w:ascii="Times New Roman"/>
                <w:w w:val="100"/>
                <w:sz w:val="17"/>
              </w:rPr>
              <w:t> </w:t>
            </w:r>
            <w:r>
              <w:rPr>
                <w:rFonts w:ascii="Times New Roman"/>
                <w:spacing w:val="-6"/>
                <w:sz w:val="17"/>
              </w:rPr>
              <w:t>lLimited</w:t>
            </w:r>
          </w:p>
        </w:tc>
        <w:tc>
          <w:tcPr>
            <w:tcW w:w="690" w:type="dxa"/>
            <w:tcBorders>
              <w:top w:val="single" w:sz="4" w:space="0" w:color="000000"/>
              <w:left w:val="single" w:sz="4" w:space="0" w:color="000000"/>
              <w:bottom w:val="single" w:sz="15" w:space="0" w:color="D2D2D2"/>
              <w:right w:val="single" w:sz="4" w:space="0" w:color="000000"/>
            </w:tcBorders>
          </w:tcPr>
          <w:p>
            <w:pPr>
              <w:pStyle w:val="TableParagraph"/>
              <w:spacing w:line="247" w:lineRule="auto" w:before="34"/>
              <w:ind w:left="51" w:right="56"/>
              <w:jc w:val="left"/>
              <w:rPr>
                <w:rFonts w:ascii="Times New Roman" w:hAnsi="Times New Roman" w:cs="Times New Roman" w:eastAsia="Times New Roman" w:hint="default"/>
                <w:sz w:val="17"/>
                <w:szCs w:val="17"/>
              </w:rPr>
            </w:pPr>
            <w:r>
              <w:rPr>
                <w:rFonts w:ascii="宋体" w:hAnsi="宋体" w:cs="宋体" w:eastAsia="宋体" w:hint="default"/>
                <w:spacing w:val="-12"/>
                <w:sz w:val="17"/>
                <w:szCs w:val="17"/>
              </w:rPr>
              <w:t>联营公</w:t>
            </w:r>
            <w:r>
              <w:rPr>
                <w:rFonts w:ascii="宋体" w:hAnsi="宋体" w:cs="宋体" w:eastAsia="宋体" w:hint="default"/>
                <w:spacing w:val="-12"/>
                <w:w w:val="100"/>
                <w:sz w:val="17"/>
                <w:szCs w:val="17"/>
              </w:rPr>
              <w:t> </w:t>
            </w:r>
            <w:r>
              <w:rPr>
                <w:rFonts w:ascii="宋体" w:hAnsi="宋体" w:cs="宋体" w:eastAsia="宋体" w:hint="default"/>
                <w:sz w:val="17"/>
                <w:szCs w:val="17"/>
              </w:rPr>
              <w:t>司</w:t>
            </w:r>
            <w:r>
              <w:rPr>
                <w:rFonts w:ascii="宋体" w:hAnsi="宋体" w:cs="宋体" w:eastAsia="宋体" w:hint="default"/>
                <w:w w:val="100"/>
                <w:sz w:val="17"/>
                <w:szCs w:val="17"/>
              </w:rPr>
              <w:t> </w:t>
            </w:r>
            <w:r>
              <w:rPr>
                <w:rFonts w:ascii="Times New Roman" w:hAnsi="Times New Roman" w:cs="Times New Roman" w:eastAsia="Times New Roman" w:hint="default"/>
                <w:spacing w:val="-6"/>
                <w:sz w:val="17"/>
                <w:szCs w:val="17"/>
              </w:rPr>
              <w:t>T2Mobil</w:t>
            </w:r>
            <w:r>
              <w:rPr>
                <w:rFonts w:ascii="Times New Roman" w:hAnsi="Times New Roman" w:cs="Times New Roman" w:eastAsia="Times New Roman" w:hint="default"/>
                <w:spacing w:val="-38"/>
                <w:sz w:val="17"/>
                <w:szCs w:val="17"/>
              </w:rPr>
              <w:t> </w:t>
            </w:r>
            <w:r>
              <w:rPr>
                <w:rFonts w:ascii="Times New Roman" w:hAnsi="Times New Roman" w:cs="Times New Roman" w:eastAsia="Times New Roman" w:hint="default"/>
                <w:spacing w:val="-38"/>
                <w:sz w:val="17"/>
                <w:szCs w:val="17"/>
              </w:rPr>
            </w:r>
            <w:r>
              <w:rPr>
                <w:rFonts w:ascii="Times New Roman" w:hAnsi="Times New Roman" w:cs="Times New Roman" w:eastAsia="Times New Roman" w:hint="default"/>
                <w:spacing w:val="-6"/>
                <w:sz w:val="17"/>
                <w:szCs w:val="17"/>
              </w:rPr>
              <w:t>eLimited</w:t>
            </w:r>
          </w:p>
          <w:p>
            <w:pPr>
              <w:pStyle w:val="TableParagraph"/>
              <w:spacing w:line="193" w:lineRule="exact"/>
              <w:ind w:left="51" w:right="0"/>
              <w:jc w:val="left"/>
              <w:rPr>
                <w:rFonts w:ascii="宋体" w:hAnsi="宋体" w:cs="宋体" w:eastAsia="宋体" w:hint="default"/>
                <w:sz w:val="17"/>
                <w:szCs w:val="17"/>
              </w:rPr>
            </w:pPr>
            <w:r>
              <w:rPr>
                <w:rFonts w:ascii="宋体" w:hAnsi="宋体" w:cs="宋体" w:eastAsia="宋体" w:hint="default"/>
                <w:spacing w:val="-12"/>
                <w:sz w:val="17"/>
                <w:szCs w:val="17"/>
              </w:rPr>
              <w:t>之子公</w:t>
            </w:r>
            <w:r>
              <w:rPr>
                <w:rFonts w:ascii="宋体" w:hAnsi="宋体" w:cs="宋体" w:eastAsia="宋体" w:hint="default"/>
                <w:sz w:val="17"/>
                <w:szCs w:val="17"/>
              </w:rPr>
            </w:r>
          </w:p>
          <w:p>
            <w:pPr>
              <w:pStyle w:val="TableParagraph"/>
              <w:spacing w:line="222" w:lineRule="exact"/>
              <w:ind w:left="51" w:right="0"/>
              <w:jc w:val="left"/>
              <w:rPr>
                <w:rFonts w:ascii="宋体" w:hAnsi="宋体" w:cs="宋体" w:eastAsia="宋体" w:hint="default"/>
                <w:sz w:val="17"/>
                <w:szCs w:val="17"/>
              </w:rPr>
            </w:pPr>
            <w:r>
              <w:rPr>
                <w:rFonts w:ascii="宋体" w:hAnsi="宋体" w:cs="宋体" w:eastAsia="宋体" w:hint="default"/>
                <w:w w:val="100"/>
                <w:sz w:val="17"/>
                <w:szCs w:val="17"/>
              </w:rPr>
              <w:t>司</w:t>
            </w:r>
          </w:p>
        </w:tc>
        <w:tc>
          <w:tcPr>
            <w:tcW w:w="690"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before="133"/>
              <w:ind w:left="51" w:right="37"/>
              <w:jc w:val="left"/>
              <w:rPr>
                <w:rFonts w:ascii="宋体" w:hAnsi="宋体" w:cs="宋体" w:eastAsia="宋体" w:hint="default"/>
                <w:sz w:val="17"/>
                <w:szCs w:val="17"/>
              </w:rPr>
            </w:pPr>
            <w:r>
              <w:rPr>
                <w:rFonts w:ascii="宋体" w:hAnsi="宋体" w:cs="宋体" w:eastAsia="宋体" w:hint="default"/>
                <w:spacing w:val="-12"/>
                <w:sz w:val="17"/>
                <w:szCs w:val="17"/>
              </w:rPr>
              <w:t>采购商</w:t>
            </w:r>
            <w:r>
              <w:rPr>
                <w:rFonts w:ascii="宋体" w:hAnsi="宋体" w:cs="宋体" w:eastAsia="宋体" w:hint="default"/>
                <w:spacing w:val="-12"/>
                <w:w w:val="100"/>
                <w:sz w:val="17"/>
                <w:szCs w:val="17"/>
              </w:rPr>
              <w:t> </w:t>
            </w:r>
            <w:r>
              <w:rPr>
                <w:rFonts w:ascii="宋体" w:hAnsi="宋体" w:cs="宋体" w:eastAsia="宋体" w:hint="default"/>
                <w:spacing w:val="-24"/>
                <w:w w:val="100"/>
                <w:sz w:val="17"/>
                <w:szCs w:val="17"/>
              </w:rPr>
              <w:t>品、接受</w:t>
            </w:r>
            <w:r>
              <w:rPr>
                <w:rFonts w:ascii="宋体" w:hAnsi="宋体" w:cs="宋体" w:eastAsia="宋体" w:hint="default"/>
                <w:spacing w:val="-83"/>
                <w:w w:val="100"/>
                <w:sz w:val="17"/>
                <w:szCs w:val="17"/>
              </w:rPr>
              <w:t> </w:t>
            </w:r>
            <w:r>
              <w:rPr>
                <w:rFonts w:ascii="宋体" w:hAnsi="宋体" w:cs="宋体" w:eastAsia="宋体" w:hint="default"/>
                <w:spacing w:val="-83"/>
                <w:w w:val="100"/>
                <w:sz w:val="17"/>
                <w:szCs w:val="17"/>
              </w:rPr>
            </w:r>
            <w:r>
              <w:rPr>
                <w:rFonts w:ascii="宋体" w:hAnsi="宋体" w:cs="宋体" w:eastAsia="宋体" w:hint="default"/>
                <w:spacing w:val="-12"/>
                <w:sz w:val="17"/>
                <w:szCs w:val="17"/>
              </w:rPr>
              <w:t>劳务</w:t>
            </w:r>
            <w:r>
              <w:rPr>
                <w:rFonts w:ascii="宋体" w:hAnsi="宋体" w:cs="宋体" w:eastAsia="宋体" w:hint="default"/>
                <w:sz w:val="17"/>
                <w:szCs w:val="17"/>
              </w:rPr>
            </w:r>
          </w:p>
        </w:tc>
        <w:tc>
          <w:tcPr>
            <w:tcW w:w="715" w:type="dxa"/>
            <w:tcBorders>
              <w:top w:val="single" w:sz="4" w:space="0" w:color="000000"/>
              <w:left w:val="single" w:sz="4" w:space="0" w:color="000000"/>
              <w:bottom w:val="single" w:sz="15" w:space="0" w:color="D2D2D2"/>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20" w:lineRule="exact"/>
              <w:ind w:left="273" w:right="113" w:hanging="159"/>
              <w:jc w:val="left"/>
              <w:rPr>
                <w:rFonts w:ascii="宋体" w:hAnsi="宋体" w:cs="宋体" w:eastAsia="宋体" w:hint="default"/>
                <w:sz w:val="17"/>
                <w:szCs w:val="17"/>
              </w:rPr>
            </w:pPr>
            <w:r>
              <w:rPr>
                <w:rFonts w:ascii="宋体" w:hAnsi="宋体" w:cs="宋体" w:eastAsia="宋体" w:hint="default"/>
                <w:spacing w:val="-12"/>
                <w:sz w:val="17"/>
                <w:szCs w:val="17"/>
              </w:rPr>
              <w:t>硬件采</w:t>
            </w:r>
            <w:r>
              <w:rPr>
                <w:rFonts w:ascii="宋体" w:hAnsi="宋体" w:cs="宋体" w:eastAsia="宋体" w:hint="default"/>
                <w:spacing w:val="-12"/>
                <w:w w:val="100"/>
                <w:sz w:val="17"/>
                <w:szCs w:val="17"/>
              </w:rPr>
              <w:t> </w:t>
            </w:r>
            <w:r>
              <w:rPr>
                <w:rFonts w:ascii="宋体" w:hAnsi="宋体" w:cs="宋体" w:eastAsia="宋体" w:hint="default"/>
                <w:sz w:val="17"/>
                <w:szCs w:val="17"/>
              </w:rPr>
              <w:t>购</w:t>
            </w:r>
          </w:p>
        </w:tc>
        <w:tc>
          <w:tcPr>
            <w:tcW w:w="694"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20" w:lineRule="exact"/>
              <w:ind w:left="183" w:right="102" w:hanging="80"/>
              <w:jc w:val="left"/>
              <w:rPr>
                <w:rFonts w:ascii="宋体" w:hAnsi="宋体" w:cs="宋体" w:eastAsia="宋体" w:hint="default"/>
                <w:sz w:val="17"/>
                <w:szCs w:val="17"/>
              </w:rPr>
            </w:pPr>
            <w:r>
              <w:rPr>
                <w:rFonts w:ascii="宋体" w:hAnsi="宋体" w:cs="宋体" w:eastAsia="宋体" w:hint="default"/>
                <w:spacing w:val="-12"/>
                <w:sz w:val="17"/>
                <w:szCs w:val="17"/>
              </w:rPr>
              <w:t>参考市</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场价</w:t>
            </w:r>
            <w:r>
              <w:rPr>
                <w:rFonts w:ascii="宋体" w:hAnsi="宋体" w:cs="宋体" w:eastAsia="宋体" w:hint="default"/>
                <w:sz w:val="17"/>
                <w:szCs w:val="17"/>
              </w:rPr>
            </w:r>
          </w:p>
        </w:tc>
        <w:tc>
          <w:tcPr>
            <w:tcW w:w="687" w:type="dxa"/>
            <w:tcBorders>
              <w:top w:val="single" w:sz="4"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20" w:lineRule="exact"/>
              <w:ind w:left="180" w:right="99" w:hanging="80"/>
              <w:jc w:val="left"/>
              <w:rPr>
                <w:rFonts w:ascii="宋体" w:hAnsi="宋体" w:cs="宋体" w:eastAsia="宋体" w:hint="default"/>
                <w:sz w:val="17"/>
                <w:szCs w:val="17"/>
              </w:rPr>
            </w:pPr>
            <w:r>
              <w:rPr>
                <w:rFonts w:ascii="宋体" w:hAnsi="宋体" w:cs="宋体" w:eastAsia="宋体" w:hint="default"/>
                <w:spacing w:val="-12"/>
                <w:sz w:val="17"/>
                <w:szCs w:val="17"/>
              </w:rPr>
              <w:t>市场公</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允价</w:t>
            </w:r>
            <w:r>
              <w:rPr>
                <w:rFonts w:ascii="宋体" w:hAnsi="宋体" w:cs="宋体" w:eastAsia="宋体" w:hint="default"/>
                <w:sz w:val="17"/>
                <w:szCs w:val="17"/>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1,275.05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7.10%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1,500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left="10" w:right="0"/>
              <w:jc w:val="center"/>
              <w:rPr>
                <w:rFonts w:ascii="宋体" w:hAnsi="宋体" w:cs="宋体" w:eastAsia="宋体" w:hint="default"/>
                <w:sz w:val="17"/>
                <w:szCs w:val="17"/>
              </w:rPr>
            </w:pPr>
            <w:r>
              <w:rPr>
                <w:rFonts w:ascii="宋体" w:hAnsi="宋体" w:cs="宋体" w:eastAsia="宋体" w:hint="default"/>
                <w:w w:val="100"/>
                <w:sz w:val="17"/>
                <w:szCs w:val="17"/>
              </w:rPr>
              <w:t>否</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right="0"/>
              <w:jc w:val="center"/>
              <w:rPr>
                <w:rFonts w:ascii="宋体" w:hAnsi="宋体" w:cs="宋体" w:eastAsia="宋体" w:hint="default"/>
                <w:sz w:val="17"/>
                <w:szCs w:val="17"/>
              </w:rPr>
            </w:pPr>
            <w:r>
              <w:rPr>
                <w:rFonts w:ascii="宋体" w:hAnsi="宋体" w:cs="宋体" w:eastAsia="宋体" w:hint="default"/>
                <w:spacing w:val="-12"/>
                <w:sz w:val="17"/>
                <w:szCs w:val="17"/>
              </w:rPr>
              <w:t>账期</w:t>
            </w:r>
            <w:r>
              <w:rPr>
                <w:rFonts w:ascii="宋体" w:hAnsi="宋体" w:cs="宋体" w:eastAsia="宋体" w:hint="default"/>
                <w:sz w:val="17"/>
                <w:szCs w:val="17"/>
              </w:rPr>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179" w:right="179"/>
              <w:jc w:val="left"/>
              <w:rPr>
                <w:rFonts w:ascii="宋体" w:hAnsi="宋体" w:cs="宋体" w:eastAsia="宋体" w:hint="default"/>
                <w:sz w:val="17"/>
                <w:szCs w:val="17"/>
              </w:rPr>
            </w:pPr>
            <w:r>
              <w:rPr>
                <w:rFonts w:ascii="宋体" w:hAnsi="宋体" w:cs="宋体" w:eastAsia="宋体" w:hint="default"/>
                <w:spacing w:val="-12"/>
                <w:sz w:val="17"/>
                <w:szCs w:val="17"/>
              </w:rPr>
              <w:t>市场</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价格</w:t>
            </w:r>
            <w:r>
              <w:rPr>
                <w:rFonts w:ascii="宋体" w:hAnsi="宋体" w:cs="宋体" w:eastAsia="宋体" w:hint="default"/>
                <w:sz w:val="17"/>
                <w:szCs w:val="17"/>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28" w:lineRule="exact"/>
              <w:ind w:left="12" w:right="0"/>
              <w:jc w:val="center"/>
              <w:rPr>
                <w:rFonts w:ascii="宋体" w:hAnsi="宋体" w:cs="宋体" w:eastAsia="宋体" w:hint="default"/>
                <w:sz w:val="17"/>
                <w:szCs w:val="17"/>
              </w:rPr>
            </w:pPr>
            <w:r>
              <w:rPr>
                <w:rFonts w:ascii="Times New Roman" w:hAnsi="Times New Roman" w:cs="Times New Roman" w:eastAsia="Times New Roman" w:hint="default"/>
                <w:spacing w:val="-5"/>
                <w:sz w:val="17"/>
                <w:szCs w:val="17"/>
              </w:rPr>
              <w:t>2017</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w:t>
            </w:r>
          </w:p>
          <w:p>
            <w:pPr>
              <w:pStyle w:val="TableParagraph"/>
              <w:spacing w:line="220" w:lineRule="exact"/>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spacing w:val="-3"/>
                <w:sz w:val="17"/>
                <w:szCs w:val="17"/>
              </w:rPr>
              <w:t>03 </w:t>
            </w:r>
            <w:r>
              <w:rPr>
                <w:rFonts w:ascii="宋体" w:hAnsi="宋体" w:cs="宋体" w:eastAsia="宋体" w:hint="default"/>
                <w:sz w:val="17"/>
                <w:szCs w:val="17"/>
              </w:rPr>
              <w:t>月</w:t>
            </w:r>
            <w:r>
              <w:rPr>
                <w:rFonts w:ascii="宋体" w:hAnsi="宋体" w:cs="宋体" w:eastAsia="宋体" w:hint="default"/>
                <w:spacing w:val="-63"/>
                <w:sz w:val="17"/>
                <w:szCs w:val="17"/>
              </w:rPr>
              <w:t> </w:t>
            </w:r>
            <w:r>
              <w:rPr>
                <w:rFonts w:ascii="Times New Roman" w:hAnsi="Times New Roman" w:cs="Times New Roman" w:eastAsia="Times New Roman" w:hint="default"/>
                <w:spacing w:val="-6"/>
                <w:sz w:val="17"/>
                <w:szCs w:val="17"/>
              </w:rPr>
              <w:t>21</w:t>
            </w:r>
            <w:r>
              <w:rPr>
                <w:rFonts w:ascii="Times New Roman" w:hAnsi="Times New Roman" w:cs="Times New Roman" w:eastAsia="Times New Roman" w:hint="default"/>
                <w:sz w:val="17"/>
                <w:szCs w:val="17"/>
              </w:rPr>
            </w:r>
          </w:p>
          <w:p>
            <w:pPr>
              <w:pStyle w:val="TableParagraph"/>
              <w:spacing w:line="215" w:lineRule="exact"/>
              <w:ind w:left="10" w:right="0"/>
              <w:jc w:val="center"/>
              <w:rPr>
                <w:rFonts w:ascii="宋体" w:hAnsi="宋体" w:cs="宋体" w:eastAsia="宋体" w:hint="default"/>
                <w:sz w:val="17"/>
                <w:szCs w:val="17"/>
              </w:rPr>
            </w:pPr>
            <w:r>
              <w:rPr>
                <w:rFonts w:ascii="宋体" w:hAnsi="宋体" w:cs="宋体" w:eastAsia="宋体" w:hint="default"/>
                <w:w w:val="100"/>
                <w:sz w:val="17"/>
                <w:szCs w:val="17"/>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1"/>
                <w:szCs w:val="11"/>
              </w:rPr>
            </w:pPr>
          </w:p>
          <w:p>
            <w:pPr>
              <w:pStyle w:val="TableParagraph"/>
              <w:spacing w:line="249" w:lineRule="auto"/>
              <w:ind w:left="51" w:right="23"/>
              <w:jc w:val="left"/>
              <w:rPr>
                <w:rFonts w:ascii="Times New Roman" w:hAnsi="Times New Roman" w:cs="Times New Roman" w:eastAsia="Times New Roman" w:hint="default"/>
                <w:sz w:val="17"/>
                <w:szCs w:val="17"/>
              </w:rPr>
            </w:pPr>
            <w:r>
              <w:rPr>
                <w:rFonts w:ascii="宋体" w:hAnsi="宋体" w:cs="宋体" w:eastAsia="宋体" w:hint="default"/>
                <w:spacing w:val="-12"/>
                <w:sz w:val="17"/>
                <w:szCs w:val="17"/>
              </w:rPr>
              <w:t>巨潮资讯</w:t>
            </w:r>
            <w:r>
              <w:rPr>
                <w:rFonts w:ascii="宋体" w:hAnsi="宋体" w:cs="宋体" w:eastAsia="宋体" w:hint="default"/>
                <w:spacing w:val="-12"/>
                <w:w w:val="100"/>
                <w:sz w:val="17"/>
                <w:szCs w:val="17"/>
              </w:rPr>
              <w:t> </w:t>
            </w:r>
            <w:r>
              <w:rPr>
                <w:rFonts w:ascii="宋体" w:hAnsi="宋体" w:cs="宋体" w:eastAsia="宋体" w:hint="default"/>
                <w:spacing w:val="-10"/>
                <w:sz w:val="17"/>
                <w:szCs w:val="17"/>
              </w:rPr>
              <w:t>公告编号：</w:t>
            </w:r>
            <w:r>
              <w:rPr>
                <w:rFonts w:ascii="宋体" w:hAnsi="宋体" w:cs="宋体" w:eastAsia="宋体" w:hint="default"/>
                <w:spacing w:val="-81"/>
                <w:sz w:val="17"/>
                <w:szCs w:val="17"/>
              </w:rPr>
              <w:t> </w:t>
            </w:r>
            <w:r>
              <w:rPr>
                <w:rFonts w:ascii="宋体" w:hAnsi="宋体" w:cs="宋体" w:eastAsia="宋体" w:hint="default"/>
                <w:spacing w:val="-81"/>
                <w:sz w:val="17"/>
                <w:szCs w:val="17"/>
              </w:rPr>
            </w:r>
            <w:r>
              <w:rPr>
                <w:rFonts w:ascii="Times New Roman" w:hAnsi="Times New Roman" w:cs="Times New Roman" w:eastAsia="Times New Roman" w:hint="default"/>
                <w:spacing w:val="-7"/>
                <w:sz w:val="17"/>
                <w:szCs w:val="17"/>
              </w:rPr>
              <w:t>2017-028</w:t>
            </w:r>
            <w:r>
              <w:rPr>
                <w:rFonts w:ascii="Times New Roman" w:hAnsi="Times New Roman" w:cs="Times New Roman" w:eastAsia="Times New Roman" w:hint="default"/>
                <w:sz w:val="17"/>
                <w:szCs w:val="17"/>
              </w:rPr>
            </w:r>
          </w:p>
        </w:tc>
      </w:tr>
      <w:tr>
        <w:trPr>
          <w:trHeight w:val="381" w:hRule="exact"/>
        </w:trPr>
        <w:tc>
          <w:tcPr>
            <w:tcW w:w="29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pacing w:val="-12"/>
                <w:sz w:val="17"/>
                <w:szCs w:val="17"/>
              </w:rPr>
              <w:t>合计</w:t>
            </w:r>
            <w:r>
              <w:rPr>
                <w:rFonts w:ascii="宋体" w:hAnsi="宋体" w:cs="宋体" w:eastAsia="宋体" w:hint="default"/>
                <w:sz w:val="17"/>
                <w:szCs w:val="17"/>
              </w:rPr>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2" w:right="0"/>
              <w:jc w:val="left"/>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1" w:right="0"/>
              <w:jc w:val="left"/>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2"/>
              <w:jc w:val="right"/>
              <w:rPr>
                <w:rFonts w:ascii="Times New Roman" w:hAnsi="Times New Roman" w:cs="Times New Roman" w:eastAsia="Times New Roman" w:hint="default"/>
                <w:sz w:val="17"/>
                <w:szCs w:val="17"/>
              </w:rPr>
            </w:pPr>
            <w:r>
              <w:rPr>
                <w:rFonts w:ascii="Times New Roman"/>
                <w:spacing w:val="-6"/>
                <w:sz w:val="17"/>
              </w:rPr>
              <w:t>2,360.97</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50"/>
              <w:jc w:val="right"/>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3"/>
              <w:jc w:val="right"/>
              <w:rPr>
                <w:rFonts w:ascii="Times New Roman" w:hAnsi="Times New Roman" w:cs="Times New Roman" w:eastAsia="Times New Roman" w:hint="default"/>
                <w:sz w:val="17"/>
                <w:szCs w:val="17"/>
              </w:rPr>
            </w:pPr>
            <w:r>
              <w:rPr>
                <w:rFonts w:ascii="Times New Roman"/>
                <w:spacing w:val="-5"/>
                <w:sz w:val="17"/>
              </w:rPr>
              <w:t>2,500</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
              <w:jc w:val="center"/>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0"/>
              <w:jc w:val="center"/>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right="1"/>
              <w:jc w:val="center"/>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1" w:right="0"/>
              <w:jc w:val="left"/>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1" w:right="0"/>
              <w:jc w:val="left"/>
              <w:rPr>
                <w:rFonts w:ascii="Times New Roman" w:hAnsi="Times New Roman" w:cs="Times New Roman" w:eastAsia="Times New Roman" w:hint="default"/>
                <w:sz w:val="17"/>
                <w:szCs w:val="17"/>
              </w:rPr>
            </w:pPr>
            <w:r>
              <w:rPr>
                <w:rFonts w:ascii="Times New Roman"/>
                <w:spacing w:val="-7"/>
                <w:sz w:val="17"/>
              </w:rPr>
              <w:t>--</w:t>
            </w:r>
            <w:r>
              <w:rPr>
                <w:rFonts w:ascii="Times New Roman"/>
                <w:sz w:val="17"/>
              </w:rPr>
            </w:r>
          </w:p>
        </w:tc>
      </w:tr>
      <w:tr>
        <w:trPr>
          <w:trHeight w:val="420" w:hRule="exact"/>
        </w:trPr>
        <w:tc>
          <w:tcPr>
            <w:tcW w:w="29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52" w:right="0"/>
              <w:jc w:val="left"/>
              <w:rPr>
                <w:rFonts w:ascii="宋体" w:hAnsi="宋体" w:cs="宋体" w:eastAsia="宋体" w:hint="default"/>
                <w:sz w:val="17"/>
                <w:szCs w:val="17"/>
              </w:rPr>
            </w:pPr>
            <w:r>
              <w:rPr>
                <w:rFonts w:ascii="宋体" w:hAnsi="宋体" w:cs="宋体" w:eastAsia="宋体" w:hint="default"/>
                <w:spacing w:val="-12"/>
                <w:sz w:val="17"/>
                <w:szCs w:val="17"/>
              </w:rPr>
              <w:t>大额销货退回的详细情况</w:t>
            </w:r>
          </w:p>
        </w:tc>
        <w:tc>
          <w:tcPr>
            <w:tcW w:w="7309" w:type="dxa"/>
            <w:gridSpan w:val="10"/>
            <w:tcBorders>
              <w:top w:val="single" w:sz="16" w:space="0" w:color="D2D2D2"/>
              <w:left w:val="single" w:sz="4" w:space="0" w:color="000000"/>
              <w:bottom w:val="single" w:sz="4" w:space="0" w:color="000000"/>
              <w:right w:val="single" w:sz="4" w:space="0" w:color="000000"/>
            </w:tcBorders>
          </w:tcPr>
          <w:p>
            <w:pPr>
              <w:pStyle w:val="TableParagraph"/>
              <w:spacing w:line="240" w:lineRule="auto" w:before="59"/>
              <w:ind w:left="52" w:right="0"/>
              <w:jc w:val="left"/>
              <w:rPr>
                <w:rFonts w:ascii="宋体" w:hAnsi="宋体" w:cs="宋体" w:eastAsia="宋体" w:hint="default"/>
                <w:sz w:val="17"/>
                <w:szCs w:val="17"/>
              </w:rPr>
            </w:pPr>
            <w:r>
              <w:rPr>
                <w:rFonts w:ascii="宋体" w:hAnsi="宋体" w:cs="宋体" w:eastAsia="宋体" w:hint="default"/>
                <w:spacing w:val="-12"/>
                <w:sz w:val="17"/>
                <w:szCs w:val="17"/>
              </w:rPr>
              <w:t>不适用</w:t>
            </w:r>
            <w:r>
              <w:rPr>
                <w:rFonts w:ascii="宋体" w:hAnsi="宋体" w:cs="宋体" w:eastAsia="宋体" w:hint="default"/>
                <w:sz w:val="17"/>
                <w:szCs w:val="17"/>
              </w:rPr>
            </w:r>
          </w:p>
        </w:tc>
      </w:tr>
      <w:tr>
        <w:trPr>
          <w:trHeight w:val="796" w:hRule="exact"/>
        </w:trPr>
        <w:tc>
          <w:tcPr>
            <w:tcW w:w="29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6"/>
              <w:ind w:left="52" w:right="35"/>
              <w:jc w:val="left"/>
              <w:rPr>
                <w:rFonts w:ascii="宋体" w:hAnsi="宋体" w:cs="宋体" w:eastAsia="宋体" w:hint="default"/>
                <w:sz w:val="17"/>
                <w:szCs w:val="17"/>
              </w:rPr>
            </w:pPr>
            <w:r>
              <w:rPr>
                <w:rFonts w:ascii="宋体" w:hAnsi="宋体" w:cs="宋体" w:eastAsia="宋体" w:hint="default"/>
                <w:spacing w:val="-12"/>
                <w:sz w:val="17"/>
                <w:szCs w:val="17"/>
              </w:rPr>
              <w:t>按类别对本期将发生的日常关联交易进</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pacing w:val="-15"/>
                <w:sz w:val="17"/>
                <w:szCs w:val="17"/>
              </w:rPr>
              <w:t>行总金额预计的，在报告期内的实际履行</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pacing w:val="-11"/>
                <w:sz w:val="17"/>
                <w:szCs w:val="17"/>
              </w:rPr>
              <w:t>情况（如有）</w:t>
            </w:r>
          </w:p>
        </w:tc>
        <w:tc>
          <w:tcPr>
            <w:tcW w:w="73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 w:right="0"/>
              <w:jc w:val="left"/>
              <w:rPr>
                <w:rFonts w:ascii="宋体" w:hAnsi="宋体" w:cs="宋体" w:eastAsia="宋体" w:hint="default"/>
                <w:sz w:val="17"/>
                <w:szCs w:val="17"/>
              </w:rPr>
            </w:pPr>
            <w:r>
              <w:rPr>
                <w:rFonts w:ascii="宋体" w:hAnsi="宋体" w:cs="宋体" w:eastAsia="宋体" w:hint="default"/>
                <w:spacing w:val="-12"/>
                <w:sz w:val="17"/>
                <w:szCs w:val="17"/>
              </w:rPr>
              <w:t>不适用</w:t>
            </w:r>
            <w:r>
              <w:rPr>
                <w:rFonts w:ascii="宋体" w:hAnsi="宋体" w:cs="宋体" w:eastAsia="宋体" w:hint="default"/>
                <w:sz w:val="17"/>
                <w:szCs w:val="17"/>
              </w:rPr>
            </w:r>
          </w:p>
        </w:tc>
      </w:tr>
      <w:tr>
        <w:trPr>
          <w:trHeight w:val="575" w:hRule="exact"/>
        </w:trPr>
        <w:tc>
          <w:tcPr>
            <w:tcW w:w="29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56"/>
              <w:ind w:left="52" w:right="144"/>
              <w:jc w:val="left"/>
              <w:rPr>
                <w:rFonts w:ascii="宋体" w:hAnsi="宋体" w:cs="宋体" w:eastAsia="宋体" w:hint="default"/>
                <w:sz w:val="17"/>
                <w:szCs w:val="17"/>
              </w:rPr>
            </w:pPr>
            <w:r>
              <w:rPr>
                <w:rFonts w:ascii="宋体" w:hAnsi="宋体" w:cs="宋体" w:eastAsia="宋体" w:hint="default"/>
                <w:spacing w:val="-12"/>
                <w:sz w:val="17"/>
                <w:szCs w:val="17"/>
              </w:rPr>
              <w:t>交易价格与市场参考价格差异较大的原</w:t>
            </w:r>
            <w:r>
              <w:rPr>
                <w:rFonts w:ascii="宋体" w:hAnsi="宋体" w:cs="宋体" w:eastAsia="宋体" w:hint="default"/>
                <w:spacing w:val="-75"/>
                <w:sz w:val="17"/>
                <w:szCs w:val="17"/>
              </w:rPr>
              <w:t> </w:t>
            </w:r>
            <w:r>
              <w:rPr>
                <w:rFonts w:ascii="宋体" w:hAnsi="宋体" w:cs="宋体" w:eastAsia="宋体" w:hint="default"/>
                <w:spacing w:val="-75"/>
                <w:sz w:val="17"/>
                <w:szCs w:val="17"/>
              </w:rPr>
            </w:r>
            <w:r>
              <w:rPr>
                <w:rFonts w:ascii="宋体" w:hAnsi="宋体" w:cs="宋体" w:eastAsia="宋体" w:hint="default"/>
                <w:spacing w:val="-11"/>
                <w:sz w:val="17"/>
                <w:szCs w:val="17"/>
              </w:rPr>
              <w:t>因（如适用）</w:t>
            </w:r>
          </w:p>
        </w:tc>
        <w:tc>
          <w:tcPr>
            <w:tcW w:w="73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52" w:right="0"/>
              <w:jc w:val="left"/>
              <w:rPr>
                <w:rFonts w:ascii="宋体" w:hAnsi="宋体" w:cs="宋体" w:eastAsia="宋体" w:hint="default"/>
                <w:sz w:val="17"/>
                <w:szCs w:val="17"/>
              </w:rPr>
            </w:pPr>
            <w:r>
              <w:rPr>
                <w:rFonts w:ascii="宋体" w:hAnsi="宋体" w:cs="宋体" w:eastAsia="宋体" w:hint="default"/>
                <w:spacing w:val="-12"/>
                <w:sz w:val="17"/>
                <w:szCs w:val="17"/>
              </w:rPr>
              <w:t>不适用</w:t>
            </w:r>
            <w:r>
              <w:rPr>
                <w:rFonts w:ascii="宋体" w:hAnsi="宋体" w:cs="宋体" w:eastAsia="宋体" w:hint="default"/>
                <w:sz w:val="17"/>
                <w:szCs w:val="17"/>
              </w:rPr>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2、资产或股权收购、出售发生的关联交易" w:id="84"/>
      <w:bookmarkEnd w:id="84"/>
      <w:r>
        <w:rPr/>
      </w:r>
      <w:r>
        <w:rPr>
          <w:rFonts w:ascii="Times New Roman" w:hAnsi="Times New Roman" w:cs="Times New Roman" w:eastAsia="Times New Roman" w:hint="default"/>
        </w:rPr>
        <w:t>2</w:t>
      </w:r>
      <w:r>
        <w:rPr>
          <w:rFonts w:ascii="微软雅黑" w:hAnsi="微软雅黑" w:cs="微软雅黑" w:eastAsia="微软雅黑" w:hint="default"/>
        </w:rPr>
        <w:t>、资产或股权收购、出售发生的关联交易</w:t>
      </w:r>
    </w:p>
    <w:p>
      <w:pPr>
        <w:spacing w:line="240" w:lineRule="auto" w:before="6"/>
        <w:rPr>
          <w:rFonts w:ascii="微软雅黑" w:hAnsi="微软雅黑" w:cs="微软雅黑" w:eastAsia="微软雅黑" w:hint="default"/>
          <w:sz w:val="23"/>
          <w:szCs w:val="23"/>
        </w:rPr>
      </w:pPr>
    </w:p>
    <w:p>
      <w:pPr>
        <w:pStyle w:val="BodyText"/>
        <w:spacing w:line="470" w:lineRule="auto"/>
        <w:ind w:right="5292"/>
        <w:jc w:val="left"/>
        <w:rPr>
          <w:rFonts w:ascii="微软雅黑" w:hAnsi="微软雅黑" w:cs="微软雅黑" w:eastAsia="微软雅黑"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公司报告期未发生资产或股权收购、出售的关联交易。 </w:t>
      </w:r>
      <w:bookmarkStart w:name="3、共同对外投资的关联交易" w:id="85"/>
      <w:bookmarkEnd w:id="85"/>
      <w:r>
        <w:rPr/>
      </w:r>
      <w:r>
        <w:rPr>
          <w:rFonts w:ascii="Times New Roman" w:hAnsi="Times New Roman" w:cs="Times New Roman" w:eastAsia="Times New Roman" w:hint="default"/>
        </w:rPr>
        <w:t>3</w:t>
      </w:r>
      <w:r>
        <w:rPr>
          <w:rFonts w:ascii="微软雅黑" w:hAnsi="微软雅黑" w:cs="微软雅黑" w:eastAsia="微软雅黑" w:hint="default"/>
        </w:rPr>
        <w:t>、共同对外投资的关联交易</w:t>
      </w:r>
    </w:p>
    <w:p>
      <w:pPr>
        <w:pStyle w:val="BodyText"/>
        <w:spacing w:line="240" w:lineRule="auto" w:before="1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1593"/>
        <w:gridCol w:w="622"/>
        <w:gridCol w:w="1324"/>
        <w:gridCol w:w="1047"/>
        <w:gridCol w:w="1112"/>
        <w:gridCol w:w="1389"/>
        <w:gridCol w:w="1387"/>
        <w:gridCol w:w="1382"/>
      </w:tblGrid>
      <w:tr>
        <w:trPr>
          <w:trHeight w:val="83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25" w:right="125"/>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476" w:right="115" w:hanging="360"/>
              <w:jc w:val="left"/>
              <w:rPr>
                <w:rFonts w:ascii="宋体" w:hAnsi="宋体" w:cs="宋体" w:eastAsia="宋体" w:hint="default"/>
                <w:sz w:val="18"/>
                <w:szCs w:val="18"/>
              </w:rPr>
            </w:pPr>
            <w:r>
              <w:rPr>
                <w:rFonts w:ascii="宋体" w:hAnsi="宋体" w:cs="宋体" w:eastAsia="宋体" w:hint="default"/>
                <w:sz w:val="18"/>
                <w:szCs w:val="18"/>
              </w:rPr>
              <w:t>被投资企业的 名称</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58" w:right="156"/>
              <w:jc w:val="center"/>
              <w:rPr>
                <w:rFonts w:ascii="宋体" w:hAnsi="宋体" w:cs="宋体" w:eastAsia="宋体" w:hint="default"/>
                <w:sz w:val="18"/>
                <w:szCs w:val="18"/>
              </w:rPr>
            </w:pPr>
            <w:r>
              <w:rPr>
                <w:rFonts w:ascii="宋体" w:hAnsi="宋体" w:cs="宋体" w:eastAsia="宋体" w:hint="default"/>
                <w:sz w:val="18"/>
                <w:szCs w:val="18"/>
              </w:rPr>
              <w:t>被投资企 业的主营 业务</w:t>
            </w:r>
          </w:p>
        </w:tc>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90" w:right="191"/>
              <w:jc w:val="center"/>
              <w:rPr>
                <w:rFonts w:ascii="宋体" w:hAnsi="宋体" w:cs="宋体" w:eastAsia="宋体" w:hint="default"/>
                <w:sz w:val="18"/>
                <w:szCs w:val="18"/>
              </w:rPr>
            </w:pPr>
            <w:r>
              <w:rPr>
                <w:rFonts w:ascii="宋体" w:hAnsi="宋体" w:cs="宋体" w:eastAsia="宋体" w:hint="default"/>
                <w:sz w:val="18"/>
                <w:szCs w:val="18"/>
              </w:rPr>
              <w:t>被投资企 业的注册 资本</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3" w:right="13" w:firstLine="45"/>
              <w:jc w:val="left"/>
              <w:rPr>
                <w:rFonts w:ascii="宋体" w:hAnsi="宋体" w:cs="宋体" w:eastAsia="宋体" w:hint="default"/>
                <w:sz w:val="18"/>
                <w:szCs w:val="18"/>
              </w:rPr>
            </w:pPr>
            <w:r>
              <w:rPr>
                <w:rFonts w:ascii="宋体" w:hAnsi="宋体" w:cs="宋体" w:eastAsia="宋体" w:hint="default"/>
                <w:sz w:val="18"/>
                <w:szCs w:val="18"/>
              </w:rPr>
              <w:t>被投资企业的 总资产（万元）</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3" w:right="12" w:firstLine="45"/>
              <w:jc w:val="left"/>
              <w:rPr>
                <w:rFonts w:ascii="宋体" w:hAnsi="宋体" w:cs="宋体" w:eastAsia="宋体" w:hint="default"/>
                <w:sz w:val="18"/>
                <w:szCs w:val="18"/>
              </w:rPr>
            </w:pPr>
            <w:r>
              <w:rPr>
                <w:rFonts w:ascii="宋体" w:hAnsi="宋体" w:cs="宋体" w:eastAsia="宋体" w:hint="default"/>
                <w:sz w:val="18"/>
                <w:szCs w:val="18"/>
              </w:rPr>
              <w:t>被投资企业的 净资产（万元）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3" w:right="11" w:firstLine="43"/>
              <w:jc w:val="left"/>
              <w:rPr>
                <w:rFonts w:ascii="宋体" w:hAnsi="宋体" w:cs="宋体" w:eastAsia="宋体" w:hint="default"/>
                <w:sz w:val="18"/>
                <w:szCs w:val="18"/>
              </w:rPr>
            </w:pPr>
            <w:r>
              <w:rPr>
                <w:rFonts w:ascii="宋体" w:hAnsi="宋体" w:cs="宋体" w:eastAsia="宋体" w:hint="default"/>
                <w:sz w:val="18"/>
                <w:szCs w:val="18"/>
              </w:rPr>
              <w:t>被投资企业的 净利润（万元）</w:t>
            </w:r>
          </w:p>
        </w:tc>
      </w:tr>
      <w:tr>
        <w:trPr>
          <w:trHeight w:val="194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01"/>
              <w:jc w:val="left"/>
              <w:rPr>
                <w:rFonts w:ascii="宋体" w:hAnsi="宋体" w:cs="宋体" w:eastAsia="宋体" w:hint="default"/>
                <w:sz w:val="18"/>
                <w:szCs w:val="18"/>
              </w:rPr>
            </w:pPr>
            <w:r>
              <w:rPr>
                <w:rFonts w:ascii="宋体" w:hAnsi="宋体" w:cs="宋体" w:eastAsia="宋体" w:hint="default"/>
                <w:sz w:val="18"/>
                <w:szCs w:val="18"/>
              </w:rPr>
              <w:t>重庆极创君源股 权投资基金管理 </w:t>
            </w:r>
            <w:r>
              <w:rPr>
                <w:rFonts w:ascii="宋体" w:hAnsi="宋体" w:cs="宋体" w:eastAsia="宋体" w:hint="default"/>
                <w:spacing w:val="-8"/>
                <w:sz w:val="18"/>
                <w:szCs w:val="18"/>
              </w:rPr>
              <w:t>合伙企业（有限合</w:t>
            </w:r>
            <w:r>
              <w:rPr>
                <w:rFonts w:ascii="宋体" w:hAnsi="宋体" w:cs="宋体" w:eastAsia="宋体" w:hint="default"/>
                <w:sz w:val="18"/>
                <w:szCs w:val="18"/>
              </w:rPr>
              <w:t> </w:t>
            </w:r>
            <w:r>
              <w:rPr>
                <w:rFonts w:ascii="宋体" w:hAnsi="宋体" w:cs="宋体" w:eastAsia="宋体" w:hint="default"/>
                <w:spacing w:val="-12"/>
                <w:sz w:val="18"/>
                <w:szCs w:val="18"/>
              </w:rPr>
              <w:t>伙）；重庆天使投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资基金引导有限 </w:t>
            </w:r>
            <w:r>
              <w:rPr>
                <w:rFonts w:ascii="宋体" w:hAnsi="宋体" w:cs="宋体" w:eastAsia="宋体" w:hint="default"/>
                <w:spacing w:val="-8"/>
                <w:sz w:val="18"/>
                <w:szCs w:val="18"/>
              </w:rPr>
              <w:t>公司；重庆临空远</w:t>
            </w:r>
            <w:r>
              <w:rPr>
                <w:rFonts w:ascii="宋体" w:hAnsi="宋体" w:cs="宋体" w:eastAsia="宋体" w:hint="default"/>
                <w:sz w:val="18"/>
                <w:szCs w:val="18"/>
              </w:rPr>
              <w:t> 翔股权投资基金 </w:t>
            </w:r>
            <w:r>
              <w:rPr>
                <w:rFonts w:ascii="宋体" w:hAnsi="宋体" w:cs="宋体" w:eastAsia="宋体" w:hint="default"/>
                <w:spacing w:val="-8"/>
                <w:sz w:val="18"/>
                <w:szCs w:val="18"/>
              </w:rPr>
              <w:t>合伙企业（有限合</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146"/>
              <w:jc w:val="left"/>
              <w:rPr>
                <w:rFonts w:ascii="宋体" w:hAnsi="宋体" w:cs="宋体" w:eastAsia="宋体" w:hint="default"/>
                <w:sz w:val="18"/>
                <w:szCs w:val="18"/>
              </w:rPr>
            </w:pPr>
            <w:r>
              <w:rPr>
                <w:rFonts w:ascii="宋体" w:hAnsi="宋体" w:cs="宋体" w:eastAsia="宋体" w:hint="default"/>
                <w:sz w:val="18"/>
                <w:szCs w:val="18"/>
              </w:rPr>
              <w:t>联营 企业</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37" w:lineRule="auto"/>
              <w:ind w:left="103" w:right="128"/>
              <w:jc w:val="both"/>
              <w:rPr>
                <w:rFonts w:ascii="宋体" w:hAnsi="宋体" w:cs="宋体" w:eastAsia="宋体" w:hint="default"/>
                <w:sz w:val="18"/>
                <w:szCs w:val="18"/>
              </w:rPr>
            </w:pPr>
            <w:r>
              <w:rPr>
                <w:rFonts w:ascii="宋体" w:hAnsi="宋体" w:cs="宋体" w:eastAsia="宋体" w:hint="default"/>
                <w:sz w:val="18"/>
                <w:szCs w:val="18"/>
              </w:rPr>
              <w:t>重庆极创渝源 股权投资基金 合伙企业（有 限合伙）</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亿人民币</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55" w:right="0"/>
              <w:jc w:val="left"/>
              <w:rPr>
                <w:rFonts w:ascii="Times New Roman" w:hAnsi="Times New Roman" w:cs="Times New Roman" w:eastAsia="Times New Roman" w:hint="default"/>
                <w:sz w:val="18"/>
                <w:szCs w:val="18"/>
              </w:rPr>
            </w:pPr>
            <w:r>
              <w:rPr>
                <w:rFonts w:ascii="Times New Roman"/>
                <w:sz w:val="18"/>
              </w:rPr>
              <w:t>15,237.26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554" w:right="0"/>
              <w:jc w:val="left"/>
              <w:rPr>
                <w:rFonts w:ascii="Times New Roman" w:hAnsi="Times New Roman" w:cs="Times New Roman" w:eastAsia="Times New Roman" w:hint="default"/>
                <w:sz w:val="18"/>
                <w:szCs w:val="18"/>
              </w:rPr>
            </w:pPr>
            <w:r>
              <w:rPr>
                <w:rFonts w:ascii="Times New Roman"/>
                <w:sz w:val="18"/>
              </w:rPr>
              <w:t>15,224.26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715" w:right="0"/>
              <w:jc w:val="left"/>
              <w:rPr>
                <w:rFonts w:ascii="Times New Roman" w:hAnsi="Times New Roman" w:cs="Times New Roman" w:eastAsia="Times New Roman" w:hint="default"/>
                <w:sz w:val="18"/>
                <w:szCs w:val="18"/>
              </w:rPr>
            </w:pPr>
            <w:r>
              <w:rPr>
                <w:rFonts w:ascii="Times New Roman"/>
                <w:sz w:val="18"/>
              </w:rPr>
              <w:t>-775.74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593"/>
        <w:gridCol w:w="622"/>
        <w:gridCol w:w="1324"/>
        <w:gridCol w:w="1047"/>
        <w:gridCol w:w="1112"/>
        <w:gridCol w:w="1389"/>
        <w:gridCol w:w="1387"/>
        <w:gridCol w:w="1382"/>
      </w:tblGrid>
      <w:tr>
        <w:trPr>
          <w:trHeight w:val="773"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0"/>
                <w:sz w:val="18"/>
                <w:szCs w:val="18"/>
              </w:rPr>
              <w:t>）</w:t>
            </w:r>
            <w:r>
              <w:rPr>
                <w:rFonts w:ascii="宋体" w:hAnsi="宋体" w:cs="宋体" w:eastAsia="宋体" w:hint="default"/>
                <w:sz w:val="18"/>
                <w:szCs w:val="18"/>
              </w:rPr>
              <w:t>；苏州极创瑾</w:t>
            </w:r>
          </w:p>
          <w:p>
            <w:pPr>
              <w:pStyle w:val="TableParagraph"/>
              <w:spacing w:line="232" w:lineRule="exact" w:before="24"/>
              <w:ind w:left="103" w:right="37"/>
              <w:jc w:val="left"/>
              <w:rPr>
                <w:rFonts w:ascii="宋体" w:hAnsi="宋体" w:cs="宋体" w:eastAsia="宋体" w:hint="default"/>
                <w:sz w:val="18"/>
                <w:szCs w:val="18"/>
              </w:rPr>
            </w:pPr>
            <w:r>
              <w:rPr>
                <w:rFonts w:ascii="宋体" w:hAnsi="宋体" w:cs="宋体" w:eastAsia="宋体" w:hint="default"/>
                <w:sz w:val="18"/>
                <w:szCs w:val="18"/>
              </w:rPr>
              <w:t>源创业投资合伙 企业（有限合伙）</w:t>
            </w:r>
          </w:p>
        </w:tc>
        <w:tc>
          <w:tcPr>
            <w:tcW w:w="62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22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19"/>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6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4、关联债权债务往来" w:id="86"/>
      <w:bookmarkEnd w:id="86"/>
      <w:r>
        <w:rPr/>
      </w:r>
      <w:r>
        <w:rPr>
          <w:rFonts w:ascii="Times New Roman" w:hAnsi="Times New Roman" w:cs="Times New Roman" w:eastAsia="Times New Roman" w:hint="default"/>
        </w:rPr>
        <w:t>4</w:t>
      </w:r>
      <w:r>
        <w:rPr>
          <w:rFonts w:ascii="微软雅黑" w:hAnsi="微软雅黑" w:cs="微软雅黑" w:eastAsia="微软雅黑" w:hint="default"/>
        </w:rPr>
        <w:t>、关联债权债务往来</w:t>
      </w:r>
    </w:p>
    <w:p>
      <w:pPr>
        <w:spacing w:line="240" w:lineRule="auto" w:before="6"/>
        <w:rPr>
          <w:rFonts w:ascii="微软雅黑" w:hAnsi="微软雅黑" w:cs="微软雅黑" w:eastAsia="微软雅黑" w:hint="default"/>
          <w:sz w:val="23"/>
          <w:szCs w:val="23"/>
        </w:rPr>
      </w:pPr>
    </w:p>
    <w:p>
      <w:pPr>
        <w:pStyle w:val="BodyText"/>
        <w:spacing w:line="470" w:lineRule="auto"/>
        <w:ind w:right="6762"/>
        <w:jc w:val="left"/>
        <w:rPr>
          <w:rFonts w:ascii="微软雅黑" w:hAnsi="微软雅黑" w:cs="微软雅黑" w:eastAsia="微软雅黑"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公司报告期不存在关联债权债务往来。 </w:t>
      </w:r>
      <w:bookmarkStart w:name="5、其他重大关联交易" w:id="87"/>
      <w:bookmarkEnd w:id="87"/>
      <w:r>
        <w:rPr/>
      </w:r>
      <w:r>
        <w:rPr>
          <w:rFonts w:ascii="Times New Roman" w:hAnsi="Times New Roman" w:cs="Times New Roman" w:eastAsia="Times New Roman" w:hint="default"/>
        </w:rPr>
        <w:t>5</w:t>
      </w:r>
      <w:r>
        <w:rPr>
          <w:rFonts w:ascii="微软雅黑" w:hAnsi="微软雅黑" w:cs="微软雅黑" w:eastAsia="微软雅黑" w:hint="default"/>
        </w:rPr>
        <w:t>、其他重大关联交易</w:t>
      </w:r>
    </w:p>
    <w:p>
      <w:pPr>
        <w:pStyle w:val="BodyText"/>
        <w:spacing w:line="460" w:lineRule="auto" w:before="138"/>
        <w:ind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公司报告期无其他重大关联交易。</w:t>
      </w:r>
    </w:p>
    <w:p>
      <w:pPr>
        <w:pStyle w:val="Heading2"/>
        <w:spacing w:line="240" w:lineRule="auto" w:before="161"/>
        <w:ind w:left="2" w:right="6001"/>
        <w:jc w:val="center"/>
      </w:pPr>
      <w:bookmarkStart w:name="十六、重大合同及其履行情况" w:id="88"/>
      <w:bookmarkEnd w:id="88"/>
      <w:r>
        <w:rPr/>
      </w:r>
      <w:r>
        <w:rPr/>
        <w:t>十六、重大合同及其履行情况</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托管、承包、租赁事项情况" w:id="89"/>
      <w:bookmarkEnd w:id="89"/>
      <w:r>
        <w:rPr/>
      </w:r>
      <w:r>
        <w:rPr>
          <w:rFonts w:ascii="Times New Roman" w:hAnsi="Times New Roman" w:cs="Times New Roman" w:eastAsia="Times New Roman" w:hint="default"/>
        </w:rPr>
        <w:t>1</w:t>
      </w:r>
      <w:r>
        <w:rPr>
          <w:rFonts w:ascii="微软雅黑" w:hAnsi="微软雅黑" w:cs="微软雅黑" w:eastAsia="微软雅黑" w:hint="default"/>
        </w:rPr>
        <w:t>、托管、承包、租赁事项情况</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托管情况" w:id="90"/>
      <w:bookmarkEnd w:id="90"/>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0"/>
          <w:szCs w:val="20"/>
        </w:rPr>
      </w:pPr>
    </w:p>
    <w:p>
      <w:pPr>
        <w:pStyle w:val="BodyText"/>
        <w:spacing w:line="460" w:lineRule="auto"/>
        <w:ind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公司报告期不存在托管情况。</w:t>
      </w:r>
    </w:p>
    <w:p>
      <w:pPr>
        <w:pStyle w:val="Heading4"/>
        <w:spacing w:line="240" w:lineRule="auto" w:before="91"/>
        <w:ind w:right="0"/>
        <w:jc w:val="left"/>
        <w:rPr>
          <w:b w:val="0"/>
          <w:bCs w:val="0"/>
        </w:rPr>
      </w:pPr>
      <w:bookmarkStart w:name="（2）承包情况" w:id="91"/>
      <w:bookmarkEnd w:id="91"/>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宋体" w:hAnsi="宋体" w:cs="宋体" w:eastAsia="宋体" w:hint="default"/>
          <w:b/>
          <w:bCs/>
          <w:sz w:val="20"/>
          <w:szCs w:val="20"/>
        </w:rPr>
      </w:pPr>
    </w:p>
    <w:p>
      <w:pPr>
        <w:pStyle w:val="BodyText"/>
        <w:spacing w:line="460" w:lineRule="auto"/>
        <w:ind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公司报告期不存在承包情况。</w:t>
      </w:r>
    </w:p>
    <w:p>
      <w:pPr>
        <w:pStyle w:val="Heading4"/>
        <w:spacing w:line="240" w:lineRule="auto" w:before="91"/>
        <w:ind w:right="0"/>
        <w:jc w:val="left"/>
        <w:rPr>
          <w:b w:val="0"/>
          <w:bCs w:val="0"/>
        </w:rPr>
      </w:pPr>
      <w:bookmarkStart w:name="（3）租赁情况" w:id="92"/>
      <w:bookmarkEnd w:id="92"/>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宋体" w:hAnsi="宋体" w:cs="宋体" w:eastAsia="宋体" w:hint="default"/>
          <w:b/>
          <w:bCs/>
          <w:sz w:val="20"/>
          <w:szCs w:val="20"/>
        </w:rPr>
      </w:pPr>
    </w:p>
    <w:p>
      <w:pPr>
        <w:pStyle w:val="BodyText"/>
        <w:spacing w:line="470" w:lineRule="auto"/>
        <w:ind w:right="7602"/>
        <w:jc w:val="left"/>
        <w:rPr>
          <w:rFonts w:ascii="微软雅黑" w:hAnsi="微软雅黑" w:cs="微软雅黑" w:eastAsia="微软雅黑"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公司报告期不存在租赁情况。 </w:t>
      </w:r>
      <w:bookmarkStart w:name="2、重大担保" w:id="93"/>
      <w:bookmarkEnd w:id="93"/>
      <w:r>
        <w:rPr/>
      </w:r>
      <w:r>
        <w:rPr>
          <w:rFonts w:ascii="Times New Roman" w:hAnsi="Times New Roman" w:cs="Times New Roman" w:eastAsia="Times New Roman" w:hint="default"/>
        </w:rPr>
        <w:t>2</w:t>
      </w:r>
      <w:r>
        <w:rPr>
          <w:rFonts w:ascii="微软雅黑" w:hAnsi="微软雅黑" w:cs="微软雅黑" w:eastAsia="微软雅黑" w:hint="default"/>
        </w:rPr>
        <w:t>、重大担保</w:t>
      </w:r>
    </w:p>
    <w:p>
      <w:pPr>
        <w:pStyle w:val="BodyText"/>
        <w:spacing w:line="240" w:lineRule="auto" w:before="137"/>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1）担保情况" w:id="94"/>
      <w:bookmarkEnd w:id="94"/>
      <w:r>
        <w:rPr>
          <w:b w:val="0"/>
          <w:bCs w:val="0"/>
        </w:rPr>
      </w:r>
      <w:r>
        <w:rPr/>
        <w:t>（</w:t>
      </w:r>
      <w:r>
        <w:rPr>
          <w:rFonts w:ascii="Times New Roman" w:hAnsi="Times New Roman" w:cs="Times New Roman" w:eastAsia="Times New Roman" w:hint="default"/>
        </w:rPr>
        <w:t>1</w:t>
      </w:r>
      <w:r>
        <w:rPr/>
        <w:t>）担保情况</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760"/>
        <w:gridCol w:w="950"/>
        <w:gridCol w:w="1109"/>
        <w:gridCol w:w="1414"/>
        <w:gridCol w:w="1091"/>
        <w:gridCol w:w="981"/>
        <w:gridCol w:w="932"/>
        <w:gridCol w:w="813"/>
        <w:gridCol w:w="806"/>
      </w:tblGrid>
      <w:tr>
        <w:trPr>
          <w:trHeight w:val="406" w:hRule="exact"/>
        </w:trPr>
        <w:tc>
          <w:tcPr>
            <w:tcW w:w="98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7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83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14"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49"/>
              <w:ind w:left="1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60" w:right="17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35" w:right="12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29" w:right="125"/>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7" w:hRule="exact"/>
        </w:trPr>
        <w:tc>
          <w:tcPr>
            <w:tcW w:w="98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834"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10" w:right="10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148"/>
              <w:ind w:left="1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60" w:right="17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31" w:right="12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9" w:right="125"/>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662"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914.79</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914.79</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四年</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406.46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406.46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两年</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2"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1,306.84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1,306.84</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两年</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3,319.46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3,319.46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两年</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2"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26,136.8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27,308.05</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62"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950"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15,760.65</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4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15,604.6</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一般保证</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三年</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602" w:hRule="exact"/>
        </w:trPr>
        <w:tc>
          <w:tcPr>
            <w:tcW w:w="2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25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5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41,897.45</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2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42,912.65</w:t>
            </w:r>
          </w:p>
        </w:tc>
      </w:tr>
      <w:tr>
        <w:trPr>
          <w:trHeight w:val="611" w:hRule="exact"/>
        </w:trPr>
        <w:tc>
          <w:tcPr>
            <w:tcW w:w="2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254"/>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523"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47,845</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56"/>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51" w:type="dxa"/>
            <w:gridSpan w:val="3"/>
            <w:tcBorders>
              <w:top w:val="single" w:sz="4" w:space="0" w:color="000000"/>
              <w:left w:val="single" w:sz="4" w:space="0" w:color="000000"/>
              <w:bottom w:val="single" w:sz="12"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48,860.2</w:t>
            </w:r>
          </w:p>
        </w:tc>
      </w:tr>
      <w:tr>
        <w:trPr>
          <w:trHeight w:val="387" w:hRule="exact"/>
        </w:trPr>
        <w:tc>
          <w:tcPr>
            <w:tcW w:w="98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854"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4"/>
              <w:ind w:left="106" w:right="11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159"/>
              <w:ind w:left="1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360" w:right="17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27" w:right="13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4"/>
              <w:ind w:left="124" w:right="131"/>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88" w:hRule="exact"/>
        </w:trPr>
        <w:tc>
          <w:tcPr>
            <w:tcW w:w="98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10" w:hRule="exact"/>
        </w:trPr>
        <w:tc>
          <w:tcPr>
            <w:tcW w:w="2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42"/>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523" w:type="dxa"/>
            <w:gridSpan w:val="2"/>
            <w:tcBorders>
              <w:top w:val="single" w:sz="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41,897.45</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103" w:right="156"/>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551" w:type="dxa"/>
            <w:gridSpan w:val="3"/>
            <w:tcBorders>
              <w:top w:val="single" w:sz="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42,912.65</w:t>
            </w:r>
          </w:p>
        </w:tc>
      </w:tr>
      <w:tr>
        <w:trPr>
          <w:trHeight w:val="601" w:hRule="exact"/>
        </w:trPr>
        <w:tc>
          <w:tcPr>
            <w:tcW w:w="2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25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523" w:type="dxa"/>
            <w:gridSpan w:val="2"/>
            <w:tcBorders>
              <w:top w:val="single" w:sz="4" w:space="0" w:color="000000"/>
              <w:left w:val="single" w:sz="4" w:space="0" w:color="000000"/>
              <w:bottom w:val="single" w:sz="8" w:space="0" w:color="D2D2D2"/>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47,845</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56"/>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5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48,860.2</w:t>
            </w:r>
          </w:p>
        </w:tc>
      </w:tr>
      <w:tr>
        <w:trPr>
          <w:trHeight w:val="417" w:hRule="exact"/>
        </w:trPr>
        <w:tc>
          <w:tcPr>
            <w:tcW w:w="523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623" w:type="dxa"/>
            <w:gridSpan w:val="5"/>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39.00%</w:t>
            </w:r>
          </w:p>
        </w:tc>
      </w:tr>
      <w:tr>
        <w:trPr>
          <w:trHeight w:val="388" w:hRule="exact"/>
        </w:trPr>
        <w:tc>
          <w:tcPr>
            <w:tcW w:w="98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240" w:lineRule="auto" w:before="1"/>
        <w:rPr>
          <w:rFonts w:ascii="宋体" w:hAnsi="宋体" w:cs="宋体" w:eastAsia="宋体" w:hint="default"/>
          <w:sz w:val="12"/>
          <w:szCs w:val="12"/>
        </w:rPr>
      </w:pPr>
    </w:p>
    <w:p>
      <w:pPr>
        <w:pStyle w:val="BodyText"/>
        <w:spacing w:line="240" w:lineRule="auto" w:before="35"/>
        <w:ind w:right="0"/>
        <w:jc w:val="left"/>
      </w:pPr>
      <w:r>
        <w:rPr/>
        <w:t>采用复合方式担保的具体情况说明</w:t>
      </w:r>
    </w:p>
    <w:p>
      <w:pPr>
        <w:spacing w:line="240" w:lineRule="auto" w:before="9"/>
        <w:rPr>
          <w:rFonts w:ascii="宋体" w:hAnsi="宋体" w:cs="宋体" w:eastAsia="宋体" w:hint="default"/>
          <w:sz w:val="21"/>
          <w:szCs w:val="21"/>
        </w:rPr>
      </w:pPr>
    </w:p>
    <w:p>
      <w:pPr>
        <w:pStyle w:val="Heading4"/>
        <w:spacing w:line="240" w:lineRule="auto"/>
        <w:ind w:right="0"/>
        <w:jc w:val="left"/>
        <w:rPr>
          <w:b w:val="0"/>
          <w:bCs w:val="0"/>
        </w:rPr>
      </w:pPr>
      <w:bookmarkStart w:name="（2）违规对外担保情况" w:id="95"/>
      <w:bookmarkEnd w:id="95"/>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宋体" w:hAnsi="宋体" w:cs="宋体" w:eastAsia="宋体" w:hint="default"/>
          <w:b/>
          <w:bCs/>
          <w:sz w:val="20"/>
          <w:szCs w:val="20"/>
        </w:rPr>
      </w:pPr>
    </w:p>
    <w:p>
      <w:pPr>
        <w:pStyle w:val="BodyText"/>
        <w:spacing w:line="460" w:lineRule="auto"/>
        <w:ind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公司报告期无违规对外担保情况。</w:t>
      </w:r>
    </w:p>
    <w:p>
      <w:pPr>
        <w:spacing w:after="0" w:line="46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left="1553" w:right="0"/>
        <w:jc w:val="left"/>
        <w:rPr>
          <w:rFonts w:ascii="微软雅黑" w:hAnsi="微软雅黑" w:cs="微软雅黑" w:eastAsia="微软雅黑" w:hint="default"/>
        </w:rPr>
      </w:pPr>
      <w:bookmarkStart w:name="3、委托他人进行现金资产管理情况" w:id="96"/>
      <w:bookmarkEnd w:id="96"/>
      <w:r>
        <w:rPr/>
      </w:r>
      <w:r>
        <w:rPr>
          <w:rFonts w:ascii="Times New Roman" w:hAnsi="Times New Roman" w:cs="Times New Roman" w:eastAsia="Times New Roman" w:hint="default"/>
        </w:rPr>
        <w:t>3</w:t>
      </w:r>
      <w:r>
        <w:rPr>
          <w:rFonts w:ascii="微软雅黑" w:hAnsi="微软雅黑" w:cs="微软雅黑" w:eastAsia="微软雅黑" w:hint="default"/>
        </w:rPr>
        <w:t>、委托他人进行现金资产管理情况</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委托理财情况" w:id="97"/>
      <w:bookmarkEnd w:id="97"/>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0"/>
          <w:szCs w:val="20"/>
        </w:rPr>
      </w:pPr>
    </w:p>
    <w:p>
      <w:pPr>
        <w:pStyle w:val="BodyText"/>
        <w:spacing w:line="460" w:lineRule="auto"/>
        <w:ind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公司报告期不存在委托理财。</w:t>
      </w:r>
    </w:p>
    <w:p>
      <w:pPr>
        <w:pStyle w:val="Heading4"/>
        <w:spacing w:line="240" w:lineRule="auto" w:before="90"/>
        <w:ind w:right="0"/>
        <w:jc w:val="left"/>
        <w:rPr>
          <w:b w:val="0"/>
          <w:bCs w:val="0"/>
        </w:rPr>
      </w:pPr>
      <w:bookmarkStart w:name="（2）委托贷款情况" w:id="98"/>
      <w:bookmarkEnd w:id="98"/>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0"/>
          <w:szCs w:val="20"/>
        </w:rPr>
      </w:pPr>
    </w:p>
    <w:p>
      <w:pPr>
        <w:pStyle w:val="BodyText"/>
        <w:spacing w:line="470" w:lineRule="auto"/>
        <w:ind w:right="7602"/>
        <w:jc w:val="left"/>
        <w:rPr>
          <w:rFonts w:ascii="微软雅黑" w:hAnsi="微软雅黑" w:cs="微软雅黑" w:eastAsia="微软雅黑"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公司报告期不存在委托贷款。 </w:t>
      </w:r>
      <w:bookmarkStart w:name="4、其他重大合同" w:id="99"/>
      <w:bookmarkEnd w:id="99"/>
      <w:r>
        <w:rPr/>
      </w:r>
      <w:r>
        <w:rPr>
          <w:rFonts w:ascii="Times New Roman" w:hAnsi="Times New Roman" w:cs="Times New Roman" w:eastAsia="Times New Roman" w:hint="default"/>
        </w:rPr>
        <w:t>4</w:t>
      </w:r>
      <w:r>
        <w:rPr>
          <w:rFonts w:ascii="微软雅黑" w:hAnsi="微软雅黑" w:cs="微软雅黑" w:eastAsia="微软雅黑" w:hint="default"/>
        </w:rPr>
        <w:t>、其他重大合同</w:t>
      </w:r>
    </w:p>
    <w:p>
      <w:pPr>
        <w:pStyle w:val="BodyText"/>
        <w:spacing w:line="460" w:lineRule="auto" w:before="137"/>
        <w:ind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公司报告期不存在其他重大合同。</w:t>
      </w:r>
    </w:p>
    <w:p>
      <w:pPr>
        <w:pStyle w:val="Heading2"/>
        <w:spacing w:line="240" w:lineRule="auto" w:before="162"/>
        <w:ind w:left="2" w:right="7120"/>
        <w:jc w:val="center"/>
      </w:pPr>
      <w:bookmarkStart w:name="十七、社会责任情况" w:id="100"/>
      <w:bookmarkEnd w:id="100"/>
      <w:r>
        <w:rPr/>
      </w:r>
      <w:r>
        <w:rPr/>
        <w:t>十七、社会责任情况</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履行社会责任情况" w:id="101"/>
      <w:bookmarkEnd w:id="101"/>
      <w:r>
        <w:rPr/>
      </w:r>
      <w:r>
        <w:rPr>
          <w:rFonts w:ascii="Times New Roman" w:hAnsi="Times New Roman" w:cs="Times New Roman" w:eastAsia="Times New Roman" w:hint="default"/>
        </w:rPr>
        <w:t>1</w:t>
      </w:r>
      <w:r>
        <w:rPr>
          <w:rFonts w:ascii="微软雅黑" w:hAnsi="微软雅黑" w:cs="微软雅黑" w:eastAsia="微软雅黑" w:hint="default"/>
        </w:rPr>
        <w:t>、履行社会责任情况</w:t>
      </w:r>
    </w:p>
    <w:p>
      <w:pPr>
        <w:spacing w:line="240" w:lineRule="auto" w:before="7"/>
        <w:rPr>
          <w:rFonts w:ascii="微软雅黑" w:hAnsi="微软雅黑" w:cs="微软雅黑" w:eastAsia="微软雅黑" w:hint="default"/>
          <w:sz w:val="23"/>
          <w:szCs w:val="23"/>
        </w:rPr>
      </w:pPr>
    </w:p>
    <w:p>
      <w:pPr>
        <w:pStyle w:val="BodyText"/>
        <w:spacing w:line="297" w:lineRule="auto"/>
        <w:ind w:left="1134" w:right="0" w:firstLine="420"/>
        <w:jc w:val="left"/>
      </w:pPr>
      <w:r>
        <w:rPr>
          <w:spacing w:val="-1"/>
        </w:rPr>
        <w:t>公司积极履行企业应尽的义务，承担社会责任。公司在不断为股东创造价值的同时，也积极承担对员</w:t>
      </w:r>
      <w:r>
        <w:rPr/>
        <w:t> 工、客户、社会等其他利益相关者的责任。</w:t>
      </w:r>
    </w:p>
    <w:p>
      <w:pPr>
        <w:spacing w:line="240" w:lineRule="auto" w:before="10"/>
        <w:rPr>
          <w:rFonts w:ascii="宋体" w:hAnsi="宋体" w:cs="宋体" w:eastAsia="宋体" w:hint="default"/>
          <w:sz w:val="17"/>
          <w:szCs w:val="17"/>
        </w:rPr>
      </w:pPr>
    </w:p>
    <w:p>
      <w:pPr>
        <w:pStyle w:val="BodyText"/>
        <w:spacing w:line="297" w:lineRule="auto"/>
        <w:ind w:left="1133" w:right="1018" w:firstLine="420"/>
        <w:jc w:val="left"/>
      </w:pPr>
      <w:r>
        <w:rPr>
          <w:spacing w:val="-3"/>
        </w:rPr>
        <w:t>公司严格按照《公司法》、《深圳证券交易所创业板股票上市规则》、《上市公司信息披露管理办法》</w:t>
      </w:r>
      <w:r>
        <w:rPr/>
        <w:t> 等相关法律法规 的要求，及时、准确、真实、完整地进行信息披露，通过投资者电话、电子邮箱、投资</w:t>
      </w:r>
      <w:r>
        <w:rPr>
          <w:spacing w:val="-38"/>
        </w:rPr>
        <w:t> </w:t>
      </w:r>
      <w:r>
        <w:rPr>
          <w:spacing w:val="-38"/>
        </w:rPr>
      </w:r>
      <w:r>
        <w:rPr/>
        <w:t>者关系互动平台和实地调研等多种方式与投资者进行沟通交流，提高了公司的透明度和诚信度。公司非常</w:t>
      </w:r>
      <w:r>
        <w:rPr/>
        <w:t> 重视对投资者的合理回报，制定了相对稳定的利润分配政策和分红方案以回报股东。</w:t>
      </w:r>
    </w:p>
    <w:p>
      <w:pPr>
        <w:spacing w:line="240" w:lineRule="auto" w:before="10"/>
        <w:rPr>
          <w:rFonts w:ascii="宋体" w:hAnsi="宋体" w:cs="宋体" w:eastAsia="宋体" w:hint="default"/>
          <w:sz w:val="17"/>
          <w:szCs w:val="17"/>
        </w:rPr>
      </w:pPr>
    </w:p>
    <w:p>
      <w:pPr>
        <w:pStyle w:val="BodyText"/>
        <w:spacing w:line="297" w:lineRule="auto"/>
        <w:ind w:left="1133" w:right="1132" w:firstLine="420"/>
        <w:jc w:val="both"/>
      </w:pPr>
      <w:r>
        <w:rPr/>
        <w:t>公司一直坚持以人为本的人才理念，实施企业人才战略，严格遵守《劳动法》、《劳动合同法》</w:t>
      </w:r>
      <w:r>
        <w:rPr>
          <w:spacing w:val="49"/>
        </w:rPr>
        <w:t> </w:t>
      </w:r>
      <w:r>
        <w:rPr/>
        <w:t>等</w:t>
      </w:r>
      <w:r>
        <w:rPr/>
        <w:t> </w:t>
      </w:r>
      <w:r>
        <w:rPr>
          <w:spacing w:val="-1"/>
        </w:rPr>
        <w:t>相关法律法规，尊重和维护员工的个人权益，切实关注员工健康、安全和满意度；通过知识技能的理论培</w:t>
      </w:r>
      <w:r>
        <w:rPr>
          <w:spacing w:val="-85"/>
        </w:rPr>
        <w:t> </w:t>
      </w:r>
      <w:r>
        <w:rPr>
          <w:spacing w:val="-85"/>
        </w:rPr>
      </w:r>
      <w:r>
        <w:rPr/>
        <w:t>训及实践操作技能培训等方式使员工得到切实的提高和发展，维护员工权益。</w:t>
      </w:r>
    </w:p>
    <w:p>
      <w:pPr>
        <w:spacing w:line="240" w:lineRule="auto" w:before="12"/>
        <w:rPr>
          <w:rFonts w:ascii="宋体" w:hAnsi="宋体" w:cs="宋体" w:eastAsia="宋体" w:hint="default"/>
          <w:sz w:val="17"/>
          <w:szCs w:val="17"/>
        </w:rPr>
      </w:pPr>
    </w:p>
    <w:p>
      <w:pPr>
        <w:pStyle w:val="BodyText"/>
        <w:spacing w:line="297" w:lineRule="auto"/>
        <w:ind w:left="1133" w:right="0" w:firstLine="420"/>
        <w:jc w:val="left"/>
      </w:pPr>
      <w:r>
        <w:rPr>
          <w:spacing w:val="-1"/>
        </w:rPr>
        <w:t>公司始终将依法经营作为公司运行的基本原则，注重企业经济效益与社会效益的同步共赢。公司严格</w:t>
      </w:r>
      <w:r>
        <w:rPr/>
        <w:t> 遵守国家法律、法规、政策的规定，始终依法经营，积极纳税，发展就业岗位，支持地方经济的发展。</w:t>
      </w:r>
    </w:p>
    <w:p>
      <w:pPr>
        <w:spacing w:line="240" w:lineRule="auto" w:before="5"/>
        <w:rPr>
          <w:rFonts w:ascii="宋体" w:hAnsi="宋体" w:cs="宋体" w:eastAsia="宋体" w:hint="default"/>
          <w:sz w:val="17"/>
          <w:szCs w:val="17"/>
        </w:rPr>
      </w:pPr>
    </w:p>
    <w:p>
      <w:pPr>
        <w:pStyle w:val="BodyText"/>
        <w:spacing w:line="240" w:lineRule="auto"/>
        <w:ind w:left="1553" w:right="0"/>
        <w:jc w:val="left"/>
        <w:rPr>
          <w:rFonts w:ascii="微软雅黑" w:hAnsi="微软雅黑" w:cs="微软雅黑" w:eastAsia="微软雅黑" w:hint="default"/>
        </w:rPr>
      </w:pPr>
      <w:bookmarkStart w:name="2、履行精准扶贫社会责任情况" w:id="102"/>
      <w:bookmarkEnd w:id="102"/>
      <w:r>
        <w:rPr/>
      </w:r>
      <w:r>
        <w:rPr>
          <w:rFonts w:ascii="Times New Roman" w:hAnsi="Times New Roman" w:cs="Times New Roman" w:eastAsia="Times New Roman" w:hint="default"/>
        </w:rPr>
        <w:t>2</w:t>
      </w:r>
      <w:r>
        <w:rPr>
          <w:rFonts w:ascii="微软雅黑" w:hAnsi="微软雅黑" w:cs="微软雅黑" w:eastAsia="微软雅黑" w:hint="default"/>
        </w:rPr>
        <w:t>、履行精准扶贫社会责任情况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t>公司报告年度未开展精准扶贫工作，也无后续精准扶贫计划</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left="1553" w:right="0"/>
        <w:jc w:val="left"/>
        <w:rPr>
          <w:rFonts w:ascii="微软雅黑" w:hAnsi="微软雅黑" w:cs="微软雅黑" w:eastAsia="微软雅黑" w:hint="default"/>
        </w:rPr>
      </w:pPr>
      <w:bookmarkStart w:name="3、环境保护相关的情况" w:id="103"/>
      <w:bookmarkEnd w:id="103"/>
      <w:r>
        <w:rPr/>
      </w:r>
      <w:r>
        <w:rPr>
          <w:rFonts w:ascii="Times New Roman" w:hAnsi="Times New Roman" w:cs="Times New Roman" w:eastAsia="Times New Roman" w:hint="default"/>
        </w:rPr>
        <w:t>3</w:t>
      </w:r>
      <w:r>
        <w:rPr>
          <w:rFonts w:ascii="微软雅黑" w:hAnsi="微软雅黑" w:cs="微软雅黑" w:eastAsia="微软雅黑" w:hint="default"/>
        </w:rPr>
        <w:t>、环境保护相关的情况</w:t>
      </w:r>
    </w:p>
    <w:p>
      <w:pPr>
        <w:spacing w:line="240" w:lineRule="auto" w:before="6"/>
        <w:rPr>
          <w:rFonts w:ascii="微软雅黑" w:hAnsi="微软雅黑" w:cs="微软雅黑" w:eastAsia="微软雅黑" w:hint="default"/>
          <w:sz w:val="23"/>
          <w:szCs w:val="23"/>
        </w:rPr>
      </w:pPr>
    </w:p>
    <w:p>
      <w:pPr>
        <w:pStyle w:val="BodyText"/>
        <w:spacing w:line="487" w:lineRule="auto"/>
        <w:ind w:left="1553" w:right="4453"/>
        <w:jc w:val="left"/>
      </w:pPr>
      <w:r>
        <w:rPr/>
        <w:t>上市公司及其子公司是否属于环境保护部门公布的重点排污单位 否</w:t>
      </w:r>
    </w:p>
    <w:p>
      <w:pPr>
        <w:pStyle w:val="BodyText"/>
        <w:spacing w:line="240" w:lineRule="auto" w:before="68"/>
        <w:ind w:left="1553" w:right="0"/>
        <w:jc w:val="left"/>
      </w:pPr>
      <w:r>
        <w:rPr/>
        <w:t>本公司不属于环境保护部门公布的重点排污单位</w:t>
      </w:r>
    </w:p>
    <w:p>
      <w:pPr>
        <w:spacing w:line="240" w:lineRule="auto" w:before="1"/>
        <w:rPr>
          <w:rFonts w:ascii="宋体" w:hAnsi="宋体" w:cs="宋体" w:eastAsia="宋体" w:hint="default"/>
          <w:sz w:val="27"/>
          <w:szCs w:val="27"/>
        </w:rPr>
      </w:pPr>
    </w:p>
    <w:p>
      <w:pPr>
        <w:pStyle w:val="Heading2"/>
        <w:spacing w:line="240" w:lineRule="auto"/>
        <w:ind w:right="0"/>
        <w:jc w:val="left"/>
      </w:pPr>
      <w:bookmarkStart w:name="十八、其他重大事项的说明" w:id="104"/>
      <w:bookmarkEnd w:id="104"/>
      <w:r>
        <w:rPr/>
      </w:r>
      <w:r>
        <w:rPr/>
        <w:t>十八、其他重大事项的说明</w:t>
      </w:r>
    </w:p>
    <w:p>
      <w:pPr>
        <w:spacing w:line="240" w:lineRule="auto" w:before="12"/>
        <w:rPr>
          <w:rFonts w:ascii="微软雅黑" w:hAnsi="微软雅黑" w:cs="微软雅黑" w:eastAsia="微软雅黑" w:hint="default"/>
          <w:sz w:val="27"/>
          <w:szCs w:val="27"/>
        </w:rPr>
      </w:pPr>
    </w:p>
    <w:p>
      <w:pPr>
        <w:pStyle w:val="BodyText"/>
        <w:spacing w:line="460" w:lineRule="auto"/>
        <w:ind w:right="6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公司报告期不存在需要说明的其他重大事项。</w:t>
      </w:r>
    </w:p>
    <w:p>
      <w:pPr>
        <w:pStyle w:val="Heading2"/>
        <w:spacing w:line="240" w:lineRule="auto" w:before="161"/>
        <w:ind w:right="0"/>
        <w:jc w:val="left"/>
      </w:pPr>
      <w:bookmarkStart w:name="十九、公司子公司重大事项" w:id="105"/>
      <w:bookmarkEnd w:id="105"/>
      <w:r>
        <w:rPr/>
      </w:r>
      <w:r>
        <w:rPr/>
        <w:t>十九、公司子公司重大事项</w:t>
      </w:r>
    </w:p>
    <w:p>
      <w:pPr>
        <w:spacing w:line="240" w:lineRule="auto" w:before="12"/>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1"/>
        <w:spacing w:line="441" w:lineRule="exact"/>
        <w:ind w:left="3953" w:right="0"/>
        <w:jc w:val="left"/>
        <w:rPr>
          <w:b w:val="0"/>
          <w:bCs w:val="0"/>
        </w:rPr>
      </w:pPr>
      <w:bookmarkStart w:name="第六节 股份变动及股东情况" w:id="106"/>
      <w:bookmarkEnd w:id="106"/>
      <w:r>
        <w:rPr>
          <w:b w:val="0"/>
          <w:bCs w:val="0"/>
        </w:rPr>
      </w:r>
      <w:bookmarkStart w:name="_bookmark5" w:id="107"/>
      <w:bookmarkEnd w:id="107"/>
      <w:r>
        <w:rPr>
          <w:b w:val="0"/>
          <w:bCs w:val="0"/>
        </w:rPr>
      </w:r>
      <w:r>
        <w:rPr/>
        <w:t>第六节</w:t>
      </w:r>
      <w:r>
        <w:rPr>
          <w:spacing w:val="64"/>
        </w:rPr>
        <w:t> </w:t>
      </w:r>
      <w:r>
        <w:rPr/>
        <w:t>股份变动及股东情况</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8"/>
        <w:rPr>
          <w:rFonts w:ascii="微软雅黑" w:hAnsi="微软雅黑" w:cs="微软雅黑" w:eastAsia="微软雅黑" w:hint="default"/>
          <w:b/>
          <w:bCs/>
          <w:sz w:val="17"/>
          <w:szCs w:val="17"/>
        </w:rPr>
      </w:pPr>
    </w:p>
    <w:p>
      <w:pPr>
        <w:pStyle w:val="Heading2"/>
        <w:spacing w:line="397" w:lineRule="exact"/>
        <w:ind w:left="2" w:right="7400"/>
        <w:jc w:val="center"/>
      </w:pPr>
      <w:bookmarkStart w:name="一、股份变动情况" w:id="108"/>
      <w:bookmarkEnd w:id="108"/>
      <w:r>
        <w:rPr/>
      </w:r>
      <w:r>
        <w:rPr/>
        <w:t>一、股份变动情况</w:t>
      </w:r>
    </w:p>
    <w:p>
      <w:pPr>
        <w:spacing w:line="240" w:lineRule="auto" w:before="10"/>
        <w:rPr>
          <w:rFonts w:ascii="微软雅黑" w:hAnsi="微软雅黑" w:cs="微软雅黑" w:eastAsia="微软雅黑" w:hint="default"/>
          <w:sz w:val="23"/>
          <w:szCs w:val="23"/>
        </w:rPr>
      </w:pPr>
    </w:p>
    <w:p>
      <w:pPr>
        <w:pStyle w:val="BodyText"/>
        <w:spacing w:line="240" w:lineRule="auto"/>
        <w:ind w:left="2" w:right="7223"/>
        <w:jc w:val="center"/>
        <w:rPr>
          <w:rFonts w:ascii="微软雅黑" w:hAnsi="微软雅黑" w:cs="微软雅黑" w:eastAsia="微软雅黑" w:hint="default"/>
        </w:rPr>
      </w:pPr>
      <w:bookmarkStart w:name="1、股份变动情况" w:id="109"/>
      <w:bookmarkEnd w:id="109"/>
      <w:r>
        <w:rPr/>
      </w:r>
      <w:r>
        <w:rPr>
          <w:rFonts w:ascii="Times New Roman" w:hAnsi="Times New Roman" w:cs="Times New Roman" w:eastAsia="Times New Roman" w:hint="default"/>
        </w:rPr>
        <w:t>1</w:t>
      </w:r>
      <w:r>
        <w:rPr>
          <w:rFonts w:ascii="微软雅黑" w:hAnsi="微软雅黑" w:cs="微软雅黑" w:eastAsia="微软雅黑" w:hint="default"/>
        </w:rPr>
        <w:t>、股份变动情况</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9"/>
          <w:szCs w:val="9"/>
        </w:rPr>
      </w:pPr>
    </w:p>
    <w:tbl>
      <w:tblPr>
        <w:tblW w:w="0" w:type="auto"/>
        <w:jc w:val="left"/>
        <w:tblInd w:w="1021" w:type="dxa"/>
        <w:tblLayout w:type="fixed"/>
        <w:tblCellMar>
          <w:top w:w="0" w:type="dxa"/>
          <w:left w:w="0" w:type="dxa"/>
          <w:bottom w:w="0" w:type="dxa"/>
          <w:right w:w="0" w:type="dxa"/>
        </w:tblCellMar>
        <w:tblLook w:val="01E0"/>
      </w:tblPr>
      <w:tblGrid>
        <w:gridCol w:w="2110"/>
        <w:gridCol w:w="1066"/>
        <w:gridCol w:w="826"/>
        <w:gridCol w:w="896"/>
        <w:gridCol w:w="498"/>
        <w:gridCol w:w="661"/>
        <w:gridCol w:w="953"/>
        <w:gridCol w:w="953"/>
        <w:gridCol w:w="1066"/>
        <w:gridCol w:w="827"/>
      </w:tblGrid>
      <w:tr>
        <w:trPr>
          <w:trHeight w:val="362" w:hRule="exact"/>
        </w:trPr>
        <w:tc>
          <w:tcPr>
            <w:tcW w:w="2110" w:type="dxa"/>
            <w:vMerge w:val="restart"/>
            <w:tcBorders>
              <w:top w:val="single" w:sz="4" w:space="0" w:color="000000"/>
              <w:left w:val="single" w:sz="4" w:space="0" w:color="000000"/>
              <w:right w:val="single" w:sz="4" w:space="0" w:color="000000"/>
            </w:tcBorders>
            <w:shd w:val="clear" w:color="auto" w:fill="D2D2D2"/>
          </w:tcPr>
          <w:p>
            <w:pPr/>
          </w:p>
        </w:tc>
        <w:tc>
          <w:tcPr>
            <w:tcW w:w="18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14" w:right="0"/>
              <w:jc w:val="left"/>
              <w:rPr>
                <w:rFonts w:ascii="宋体" w:hAnsi="宋体" w:cs="宋体" w:eastAsia="宋体" w:hint="default"/>
                <w:sz w:val="17"/>
                <w:szCs w:val="17"/>
              </w:rPr>
            </w:pPr>
            <w:r>
              <w:rPr>
                <w:rFonts w:ascii="宋体" w:hAnsi="宋体" w:cs="宋体" w:eastAsia="宋体" w:hint="default"/>
                <w:sz w:val="17"/>
                <w:szCs w:val="17"/>
              </w:rPr>
              <w:t>本次变动前</w:t>
            </w:r>
          </w:p>
        </w:tc>
        <w:tc>
          <w:tcPr>
            <w:tcW w:w="396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40" w:right="0"/>
              <w:jc w:val="left"/>
              <w:rPr>
                <w:rFonts w:ascii="宋体" w:hAnsi="宋体" w:cs="宋体" w:eastAsia="宋体" w:hint="default"/>
                <w:sz w:val="17"/>
                <w:szCs w:val="17"/>
              </w:rPr>
            </w:pPr>
            <w:r>
              <w:rPr>
                <w:rFonts w:ascii="宋体" w:hAnsi="宋体" w:cs="宋体" w:eastAsia="宋体" w:hint="default"/>
                <w:sz w:val="17"/>
                <w:szCs w:val="17"/>
              </w:rPr>
              <w:t>本次变动增减（＋，－）</w:t>
            </w:r>
          </w:p>
        </w:tc>
        <w:tc>
          <w:tcPr>
            <w:tcW w:w="18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15" w:right="0"/>
              <w:jc w:val="left"/>
              <w:rPr>
                <w:rFonts w:ascii="宋体" w:hAnsi="宋体" w:cs="宋体" w:eastAsia="宋体" w:hint="default"/>
                <w:sz w:val="17"/>
                <w:szCs w:val="17"/>
              </w:rPr>
            </w:pPr>
            <w:r>
              <w:rPr>
                <w:rFonts w:ascii="宋体" w:hAnsi="宋体" w:cs="宋体" w:eastAsia="宋体" w:hint="default"/>
                <w:sz w:val="17"/>
                <w:szCs w:val="17"/>
              </w:rPr>
              <w:t>本次变动后</w:t>
            </w:r>
          </w:p>
        </w:tc>
      </w:tr>
      <w:tr>
        <w:trPr>
          <w:trHeight w:val="809" w:hRule="exact"/>
        </w:trPr>
        <w:tc>
          <w:tcPr>
            <w:tcW w:w="2110"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比例</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发行新股</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20" w:lineRule="exact"/>
              <w:ind w:left="158" w:right="157"/>
              <w:jc w:val="left"/>
              <w:rPr>
                <w:rFonts w:ascii="宋体" w:hAnsi="宋体" w:cs="宋体" w:eastAsia="宋体" w:hint="default"/>
                <w:sz w:val="17"/>
                <w:szCs w:val="17"/>
              </w:rPr>
            </w:pPr>
            <w:r>
              <w:rPr>
                <w:rFonts w:ascii="宋体" w:hAnsi="宋体" w:cs="宋体" w:eastAsia="宋体" w:hint="default"/>
                <w:sz w:val="17"/>
                <w:szCs w:val="17"/>
              </w:rPr>
              <w:t>送</w:t>
            </w:r>
            <w:r>
              <w:rPr>
                <w:rFonts w:ascii="宋体" w:hAnsi="宋体" w:cs="宋体" w:eastAsia="宋体" w:hint="default"/>
                <w:w w:val="100"/>
                <w:sz w:val="17"/>
                <w:szCs w:val="17"/>
              </w:rPr>
              <w:t> </w:t>
            </w:r>
            <w:r>
              <w:rPr>
                <w:rFonts w:ascii="宋体" w:hAnsi="宋体" w:cs="宋体" w:eastAsia="宋体" w:hint="default"/>
                <w:sz w:val="17"/>
                <w:szCs w:val="17"/>
              </w:rPr>
              <w:t>股</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49"/>
              <w:ind w:left="155" w:right="152"/>
              <w:jc w:val="both"/>
              <w:rPr>
                <w:rFonts w:ascii="宋体" w:hAnsi="宋体" w:cs="宋体" w:eastAsia="宋体" w:hint="default"/>
                <w:sz w:val="17"/>
                <w:szCs w:val="17"/>
              </w:rPr>
            </w:pPr>
            <w:r>
              <w:rPr>
                <w:rFonts w:ascii="宋体" w:hAnsi="宋体" w:cs="宋体" w:eastAsia="宋体" w:hint="default"/>
                <w:sz w:val="17"/>
                <w:szCs w:val="17"/>
              </w:rPr>
              <w:t>公积</w:t>
            </w:r>
            <w:r>
              <w:rPr>
                <w:rFonts w:ascii="宋体" w:hAnsi="宋体" w:cs="宋体" w:eastAsia="宋体" w:hint="default"/>
                <w:w w:val="100"/>
                <w:sz w:val="17"/>
                <w:szCs w:val="17"/>
              </w:rPr>
              <w:t> </w:t>
            </w:r>
            <w:r>
              <w:rPr>
                <w:rFonts w:ascii="宋体" w:hAnsi="宋体" w:cs="宋体" w:eastAsia="宋体" w:hint="default"/>
                <w:sz w:val="17"/>
                <w:szCs w:val="17"/>
              </w:rPr>
              <w:t>金转</w:t>
            </w:r>
            <w:r>
              <w:rPr>
                <w:rFonts w:ascii="宋体" w:hAnsi="宋体" w:cs="宋体" w:eastAsia="宋体" w:hint="default"/>
                <w:w w:val="100"/>
                <w:sz w:val="17"/>
                <w:szCs w:val="17"/>
              </w:rPr>
              <w:t> </w:t>
            </w:r>
            <w:r>
              <w:rPr>
                <w:rFonts w:ascii="宋体" w:hAnsi="宋体" w:cs="宋体" w:eastAsia="宋体" w:hint="default"/>
                <w:sz w:val="17"/>
                <w:szCs w:val="17"/>
              </w:rPr>
              <w:t>股</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7"/>
                <w:szCs w:val="17"/>
              </w:rPr>
            </w:pPr>
            <w:r>
              <w:rPr>
                <w:rFonts w:ascii="宋体" w:hAnsi="宋体" w:cs="宋体" w:eastAsia="宋体" w:hint="default"/>
                <w:sz w:val="17"/>
                <w:szCs w:val="17"/>
              </w:rPr>
              <w:t>其他</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1" w:right="0"/>
              <w:jc w:val="left"/>
              <w:rPr>
                <w:rFonts w:ascii="宋体" w:hAnsi="宋体" w:cs="宋体" w:eastAsia="宋体" w:hint="default"/>
                <w:sz w:val="17"/>
                <w:szCs w:val="17"/>
              </w:rPr>
            </w:pPr>
            <w:r>
              <w:rPr>
                <w:rFonts w:ascii="宋体" w:hAnsi="宋体" w:cs="宋体" w:eastAsia="宋体" w:hint="default"/>
                <w:sz w:val="17"/>
                <w:szCs w:val="17"/>
              </w:rPr>
              <w:t>小计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数量</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z w:val="17"/>
                <w:szCs w:val="17"/>
              </w:rPr>
              <w:t>比例</w:t>
            </w:r>
          </w:p>
        </w:tc>
      </w:tr>
      <w:tr>
        <w:trPr>
          <w:trHeight w:val="407"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sz w:val="17"/>
                <w:szCs w:val="17"/>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7"/>
                <w:szCs w:val="17"/>
              </w:rPr>
            </w:pPr>
            <w:r>
              <w:rPr>
                <w:rFonts w:ascii="Times New Roman"/>
                <w:spacing w:val="-1"/>
                <w:sz w:val="17"/>
              </w:rPr>
              <w:t>188,824,907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17"/>
                <w:szCs w:val="17"/>
              </w:rPr>
            </w:pPr>
            <w:r>
              <w:rPr>
                <w:rFonts w:ascii="Times New Roman"/>
                <w:sz w:val="17"/>
              </w:rPr>
              <w:t>46.85%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sz w:val="17"/>
              </w:rPr>
              <w:t>2,685,000</w:t>
            </w: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-8,007,167</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-8,007,167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180,817,740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5" w:right="0"/>
              <w:jc w:val="center"/>
              <w:rPr>
                <w:rFonts w:ascii="Times New Roman" w:hAnsi="Times New Roman" w:cs="Times New Roman" w:eastAsia="Times New Roman" w:hint="default"/>
                <w:sz w:val="17"/>
                <w:szCs w:val="17"/>
              </w:rPr>
            </w:pPr>
            <w:r>
              <w:rPr>
                <w:rFonts w:ascii="Times New Roman"/>
                <w:sz w:val="17"/>
              </w:rPr>
              <w:t>44.77%</w:t>
            </w:r>
          </w:p>
        </w:tc>
      </w:tr>
      <w:tr>
        <w:trPr>
          <w:trHeight w:val="407"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7"/>
                <w:szCs w:val="17"/>
              </w:rPr>
            </w:pPr>
            <w:r>
              <w:rPr>
                <w:rFonts w:ascii="Times New Roman"/>
                <w:spacing w:val="-1"/>
                <w:sz w:val="17"/>
              </w:rPr>
              <w:t>182,625,717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17"/>
                <w:szCs w:val="17"/>
              </w:rPr>
            </w:pPr>
            <w:r>
              <w:rPr>
                <w:rFonts w:ascii="Times New Roman"/>
                <w:sz w:val="17"/>
              </w:rPr>
              <w:t>45.31%</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sz w:val="17"/>
              </w:rPr>
              <w:t>2,685,000</w:t>
            </w: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-4,907,572</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-4,907,572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177,718,145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5" w:right="0"/>
              <w:jc w:val="center"/>
              <w:rPr>
                <w:rFonts w:ascii="Times New Roman" w:hAnsi="Times New Roman" w:cs="Times New Roman" w:eastAsia="Times New Roman" w:hint="default"/>
                <w:sz w:val="17"/>
                <w:szCs w:val="17"/>
              </w:rPr>
            </w:pPr>
            <w:r>
              <w:rPr>
                <w:rFonts w:ascii="Times New Roman"/>
                <w:sz w:val="17"/>
              </w:rPr>
              <w:t>44.00%</w:t>
            </w:r>
          </w:p>
        </w:tc>
      </w:tr>
      <w:tr>
        <w:trPr>
          <w:trHeight w:val="407"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sz w:val="17"/>
                <w:szCs w:val="17"/>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7"/>
                <w:szCs w:val="17"/>
              </w:rPr>
            </w:pPr>
            <w:r>
              <w:rPr>
                <w:rFonts w:ascii="Times New Roman"/>
                <w:spacing w:val="-1"/>
                <w:sz w:val="17"/>
              </w:rPr>
              <w:t>4,529,719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1" w:right="0"/>
              <w:jc w:val="center"/>
              <w:rPr>
                <w:rFonts w:ascii="Times New Roman" w:hAnsi="Times New Roman" w:cs="Times New Roman" w:eastAsia="Times New Roman" w:hint="default"/>
                <w:sz w:val="17"/>
                <w:szCs w:val="17"/>
              </w:rPr>
            </w:pPr>
            <w:r>
              <w:rPr>
                <w:rFonts w:ascii="Times New Roman"/>
                <w:sz w:val="17"/>
              </w:rPr>
              <w:t>1.12%</w:t>
            </w:r>
          </w:p>
        </w:tc>
        <w:tc>
          <w:tcPr>
            <w:tcW w:w="896"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-2,180,338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-2,180,338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2,349,381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0" w:right="0"/>
              <w:jc w:val="center"/>
              <w:rPr>
                <w:rFonts w:ascii="Times New Roman" w:hAnsi="Times New Roman" w:cs="Times New Roman" w:eastAsia="Times New Roman" w:hint="default"/>
                <w:sz w:val="17"/>
                <w:szCs w:val="17"/>
              </w:rPr>
            </w:pPr>
            <w:r>
              <w:rPr>
                <w:rFonts w:ascii="Times New Roman"/>
                <w:sz w:val="17"/>
              </w:rPr>
              <w:t>0.58%</w:t>
            </w:r>
          </w:p>
        </w:tc>
      </w:tr>
      <w:tr>
        <w:trPr>
          <w:trHeight w:val="407"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614" w:right="0"/>
              <w:jc w:val="left"/>
              <w:rPr>
                <w:rFonts w:ascii="宋体" w:hAnsi="宋体" w:cs="宋体" w:eastAsia="宋体" w:hint="default"/>
                <w:sz w:val="17"/>
                <w:szCs w:val="17"/>
              </w:rPr>
            </w:pPr>
            <w:r>
              <w:rPr>
                <w:rFonts w:ascii="宋体" w:hAnsi="宋体" w:cs="宋体" w:eastAsia="宋体" w:hint="default"/>
                <w:sz w:val="17"/>
                <w:szCs w:val="17"/>
              </w:rPr>
              <w:t>境内自然人持股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7"/>
                <w:szCs w:val="17"/>
              </w:rPr>
            </w:pPr>
            <w:r>
              <w:rPr>
                <w:rFonts w:ascii="Times New Roman"/>
                <w:spacing w:val="-1"/>
                <w:sz w:val="17"/>
              </w:rPr>
              <w:t>178,095,998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6" w:right="0"/>
              <w:jc w:val="center"/>
              <w:rPr>
                <w:rFonts w:ascii="Times New Roman" w:hAnsi="Times New Roman" w:cs="Times New Roman" w:eastAsia="Times New Roman" w:hint="default"/>
                <w:sz w:val="17"/>
                <w:szCs w:val="17"/>
              </w:rPr>
            </w:pPr>
            <w:r>
              <w:rPr>
                <w:rFonts w:ascii="Times New Roman"/>
                <w:sz w:val="17"/>
              </w:rPr>
              <w:t>44.19%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7"/>
                <w:szCs w:val="17"/>
              </w:rPr>
            </w:pPr>
            <w:r>
              <w:rPr>
                <w:rFonts w:ascii="Times New Roman"/>
                <w:sz w:val="17"/>
              </w:rPr>
              <w:t>2,685,000</w:t>
            </w: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-5,412,234</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-2,727,234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175,368,764</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5" w:right="0"/>
              <w:jc w:val="center"/>
              <w:rPr>
                <w:rFonts w:ascii="Times New Roman" w:hAnsi="Times New Roman" w:cs="Times New Roman" w:eastAsia="Times New Roman" w:hint="default"/>
                <w:sz w:val="17"/>
                <w:szCs w:val="17"/>
              </w:rPr>
            </w:pPr>
            <w:r>
              <w:rPr>
                <w:rFonts w:ascii="Times New Roman"/>
                <w:sz w:val="17"/>
              </w:rPr>
              <w:t>43.42%</w:t>
            </w:r>
          </w:p>
        </w:tc>
      </w:tr>
      <w:tr>
        <w:trPr>
          <w:trHeight w:val="407"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、外资持股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7"/>
                <w:szCs w:val="17"/>
              </w:rPr>
            </w:pPr>
            <w:r>
              <w:rPr>
                <w:rFonts w:ascii="Times New Roman"/>
                <w:spacing w:val="-1"/>
                <w:sz w:val="17"/>
              </w:rPr>
              <w:t>6,199,190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1" w:right="0"/>
              <w:jc w:val="center"/>
              <w:rPr>
                <w:rFonts w:ascii="Times New Roman" w:hAnsi="Times New Roman" w:cs="Times New Roman" w:eastAsia="Times New Roman" w:hint="default"/>
                <w:sz w:val="17"/>
                <w:szCs w:val="17"/>
              </w:rPr>
            </w:pPr>
            <w:r>
              <w:rPr>
                <w:rFonts w:ascii="Times New Roman"/>
                <w:sz w:val="17"/>
              </w:rPr>
              <w:t>1.54%</w:t>
            </w:r>
          </w:p>
        </w:tc>
        <w:tc>
          <w:tcPr>
            <w:tcW w:w="896"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-3,099,595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-3,099,595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3,099,595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0" w:right="0"/>
              <w:jc w:val="center"/>
              <w:rPr>
                <w:rFonts w:ascii="Times New Roman" w:hAnsi="Times New Roman" w:cs="Times New Roman" w:eastAsia="Times New Roman" w:hint="default"/>
                <w:sz w:val="17"/>
                <w:szCs w:val="17"/>
              </w:rPr>
            </w:pPr>
            <w:r>
              <w:rPr>
                <w:rFonts w:ascii="Times New Roman"/>
                <w:sz w:val="17"/>
              </w:rPr>
              <w:t>0.77%</w:t>
            </w:r>
          </w:p>
        </w:tc>
      </w:tr>
      <w:tr>
        <w:trPr>
          <w:trHeight w:val="408"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3" w:right="0"/>
              <w:jc w:val="left"/>
              <w:rPr>
                <w:rFonts w:ascii="宋体" w:hAnsi="宋体" w:cs="宋体" w:eastAsia="宋体" w:hint="default"/>
                <w:sz w:val="17"/>
                <w:szCs w:val="17"/>
              </w:rPr>
            </w:pPr>
            <w:r>
              <w:rPr>
                <w:rFonts w:ascii="宋体" w:hAnsi="宋体" w:cs="宋体" w:eastAsia="宋体" w:hint="default"/>
                <w:sz w:val="17"/>
                <w:szCs w:val="17"/>
              </w:rPr>
              <w:t>其中：境外法人持股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7"/>
                <w:szCs w:val="17"/>
              </w:rPr>
            </w:pPr>
            <w:r>
              <w:rPr>
                <w:rFonts w:ascii="Times New Roman"/>
                <w:spacing w:val="-1"/>
                <w:sz w:val="17"/>
              </w:rPr>
              <w:t>6,199,190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1" w:right="0"/>
              <w:jc w:val="center"/>
              <w:rPr>
                <w:rFonts w:ascii="Times New Roman" w:hAnsi="Times New Roman" w:cs="Times New Roman" w:eastAsia="Times New Roman" w:hint="default"/>
                <w:sz w:val="17"/>
                <w:szCs w:val="17"/>
              </w:rPr>
            </w:pPr>
            <w:r>
              <w:rPr>
                <w:rFonts w:ascii="Times New Roman"/>
                <w:sz w:val="17"/>
              </w:rPr>
              <w:t>1.54%</w:t>
            </w:r>
          </w:p>
        </w:tc>
        <w:tc>
          <w:tcPr>
            <w:tcW w:w="896"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-3,099,595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-3,099,595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3,099,595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70" w:right="0"/>
              <w:jc w:val="center"/>
              <w:rPr>
                <w:rFonts w:ascii="Times New Roman" w:hAnsi="Times New Roman" w:cs="Times New Roman" w:eastAsia="Times New Roman" w:hint="default"/>
                <w:sz w:val="17"/>
                <w:szCs w:val="17"/>
              </w:rPr>
            </w:pPr>
            <w:r>
              <w:rPr>
                <w:rFonts w:ascii="Times New Roman"/>
                <w:sz w:val="17"/>
              </w:rPr>
              <w:t>0.77%</w:t>
            </w:r>
          </w:p>
        </w:tc>
      </w:tr>
      <w:tr>
        <w:trPr>
          <w:trHeight w:val="407"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sz w:val="17"/>
                <w:szCs w:val="17"/>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7"/>
                <w:szCs w:val="17"/>
              </w:rPr>
            </w:pPr>
            <w:r>
              <w:rPr>
                <w:rFonts w:ascii="Times New Roman"/>
                <w:spacing w:val="-1"/>
                <w:sz w:val="17"/>
              </w:rPr>
              <w:t>214,234,737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17"/>
                <w:szCs w:val="17"/>
              </w:rPr>
            </w:pPr>
            <w:r>
              <w:rPr>
                <w:rFonts w:ascii="Times New Roman"/>
                <w:sz w:val="17"/>
              </w:rPr>
              <w:t>53.15%</w:t>
            </w:r>
          </w:p>
        </w:tc>
        <w:tc>
          <w:tcPr>
            <w:tcW w:w="896"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8,826,145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8,826,145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223,060,882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5" w:right="0"/>
              <w:jc w:val="center"/>
              <w:rPr>
                <w:rFonts w:ascii="Times New Roman" w:hAnsi="Times New Roman" w:cs="Times New Roman" w:eastAsia="Times New Roman" w:hint="default"/>
                <w:sz w:val="17"/>
                <w:szCs w:val="17"/>
              </w:rPr>
            </w:pPr>
            <w:r>
              <w:rPr>
                <w:rFonts w:ascii="Times New Roman"/>
                <w:sz w:val="17"/>
              </w:rPr>
              <w:t>55.23%</w:t>
            </w:r>
          </w:p>
        </w:tc>
      </w:tr>
      <w:tr>
        <w:trPr>
          <w:trHeight w:val="407"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7"/>
                <w:szCs w:val="17"/>
              </w:rPr>
            </w:pPr>
            <w:r>
              <w:rPr>
                <w:rFonts w:ascii="Times New Roman"/>
                <w:spacing w:val="-1"/>
                <w:sz w:val="17"/>
              </w:rPr>
              <w:t>214,234,737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6" w:right="0"/>
              <w:jc w:val="center"/>
              <w:rPr>
                <w:rFonts w:ascii="Times New Roman" w:hAnsi="Times New Roman" w:cs="Times New Roman" w:eastAsia="Times New Roman" w:hint="default"/>
                <w:sz w:val="17"/>
                <w:szCs w:val="17"/>
              </w:rPr>
            </w:pPr>
            <w:r>
              <w:rPr>
                <w:rFonts w:ascii="Times New Roman"/>
                <w:sz w:val="17"/>
              </w:rPr>
              <w:t>53.15%</w:t>
            </w:r>
          </w:p>
        </w:tc>
        <w:tc>
          <w:tcPr>
            <w:tcW w:w="896"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8,826,145</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8,826,145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spacing w:val="-1"/>
                <w:sz w:val="17"/>
              </w:rPr>
              <w:t>223,060,882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85" w:right="0"/>
              <w:jc w:val="center"/>
              <w:rPr>
                <w:rFonts w:ascii="Times New Roman" w:hAnsi="Times New Roman" w:cs="Times New Roman" w:eastAsia="Times New Roman" w:hint="default"/>
                <w:sz w:val="17"/>
                <w:szCs w:val="17"/>
              </w:rPr>
            </w:pPr>
            <w:r>
              <w:rPr>
                <w:rFonts w:ascii="Times New Roman"/>
                <w:sz w:val="17"/>
              </w:rPr>
              <w:t>55.23%</w:t>
            </w:r>
          </w:p>
        </w:tc>
      </w:tr>
      <w:tr>
        <w:trPr>
          <w:trHeight w:val="408"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sz w:val="17"/>
                <w:szCs w:val="17"/>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7"/>
                <w:szCs w:val="17"/>
              </w:rPr>
            </w:pPr>
            <w:r>
              <w:rPr>
                <w:rFonts w:ascii="Times New Roman"/>
                <w:spacing w:val="-1"/>
                <w:sz w:val="17"/>
              </w:rPr>
              <w:t>403,059,644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7"/>
                <w:szCs w:val="17"/>
              </w:rPr>
            </w:pPr>
            <w:r>
              <w:rPr>
                <w:rFonts w:ascii="Times New Roman"/>
                <w:sz w:val="17"/>
              </w:rPr>
              <w:t>100.00%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7"/>
                <w:szCs w:val="17"/>
              </w:rPr>
            </w:pPr>
            <w:r>
              <w:rPr>
                <w:rFonts w:ascii="Times New Roman"/>
                <w:sz w:val="17"/>
              </w:rPr>
              <w:t>2,685,000</w:t>
            </w:r>
          </w:p>
        </w:tc>
        <w:tc>
          <w:tcPr>
            <w:tcW w:w="498"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818,978</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818,978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0"/>
              <w:jc w:val="right"/>
              <w:rPr>
                <w:rFonts w:ascii="Times New Roman" w:hAnsi="Times New Roman" w:cs="Times New Roman" w:eastAsia="Times New Roman" w:hint="default"/>
                <w:sz w:val="17"/>
                <w:szCs w:val="17"/>
              </w:rPr>
            </w:pPr>
            <w:r>
              <w:rPr>
                <w:rFonts w:ascii="Times New Roman"/>
                <w:spacing w:val="-1"/>
                <w:sz w:val="17"/>
              </w:rPr>
              <w:t>403,878,622</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7"/>
                <w:szCs w:val="17"/>
              </w:rPr>
            </w:pPr>
            <w:r>
              <w:rPr>
                <w:rFonts w:ascii="Times New Roman"/>
                <w:sz w:val="17"/>
              </w:rPr>
              <w:t>100.00%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股份变动的原因</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日召开了第二届董事会第十三次会议，审议通过了《关于回购注销离职股权激励对象</w:t>
      </w:r>
    </w:p>
    <w:p>
      <w:pPr>
        <w:pStyle w:val="BodyText"/>
        <w:spacing w:line="240" w:lineRule="auto" w:before="50"/>
        <w:ind w:left="1134" w:right="0"/>
        <w:jc w:val="left"/>
      </w:pPr>
      <w:r>
        <w:rPr/>
        <w:t>所持已获授但尚未解锁的限制性股票的议案》，公司限制性股票激励计划原激励对象刘彦梅等</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人因个人</w:t>
      </w:r>
    </w:p>
    <w:p>
      <w:pPr>
        <w:pStyle w:val="BodyText"/>
        <w:spacing w:line="240" w:lineRule="auto" w:before="49"/>
        <w:ind w:left="1134" w:right="0"/>
        <w:jc w:val="left"/>
      </w:pPr>
      <w:r>
        <w:rPr/>
        <w:t>原因离职，已不符合激励条件，公司已对上述已获授但尚未解锁的限制性股票共计 </w:t>
      </w:r>
      <w:r>
        <w:rPr>
          <w:rFonts w:ascii="Times New Roman" w:hAnsi="Times New Roman" w:cs="Times New Roman" w:eastAsia="Times New Roman" w:hint="default"/>
        </w:rPr>
        <w:t>121,171</w:t>
      </w:r>
      <w:r>
        <w:rPr>
          <w:rFonts w:ascii="Times New Roman" w:hAnsi="Times New Roman" w:cs="Times New Roman" w:eastAsia="Times New Roman" w:hint="default"/>
          <w:spacing w:val="-21"/>
        </w:rPr>
        <w:t> </w:t>
      </w:r>
      <w:r>
        <w:rPr/>
        <w:t>股进行回购注</w:t>
      </w:r>
    </w:p>
    <w:p>
      <w:pPr>
        <w:pStyle w:val="BodyText"/>
        <w:spacing w:line="240" w:lineRule="auto" w:before="50"/>
        <w:ind w:left="1133" w:right="0"/>
        <w:jc w:val="left"/>
      </w:pPr>
      <w:r>
        <w:rPr/>
        <w:t>销。公司股份总数由</w:t>
      </w:r>
      <w:r>
        <w:rPr>
          <w:spacing w:val="-53"/>
        </w:rPr>
        <w:t> </w:t>
      </w:r>
      <w:r>
        <w:rPr>
          <w:rFonts w:ascii="Times New Roman" w:hAnsi="Times New Roman" w:cs="Times New Roman" w:eastAsia="Times New Roman" w:hint="default"/>
        </w:rPr>
        <w:t>403,059,644</w:t>
      </w:r>
      <w:r>
        <w:rPr>
          <w:rFonts w:ascii="Times New Roman" w:hAnsi="Times New Roman" w:cs="Times New Roman" w:eastAsia="Times New Roman" w:hint="default"/>
          <w:spacing w:val="-11"/>
        </w:rPr>
        <w:t> </w:t>
      </w:r>
      <w:r>
        <w:rPr/>
        <w:t>股变更为</w:t>
      </w:r>
      <w:r>
        <w:rPr>
          <w:spacing w:val="-53"/>
        </w:rPr>
        <w:t> </w:t>
      </w:r>
      <w:r>
        <w:rPr>
          <w:rFonts w:ascii="Times New Roman" w:hAnsi="Times New Roman" w:cs="Times New Roman" w:eastAsia="Times New Roman" w:hint="default"/>
        </w:rPr>
        <w:t>402,938,473</w:t>
      </w:r>
      <w:r>
        <w:rPr>
          <w:rFonts w:ascii="Times New Roman" w:hAnsi="Times New Roman" w:cs="Times New Roman" w:eastAsia="Times New Roman" w:hint="default"/>
          <w:spacing w:val="-11"/>
        </w:rPr>
        <w:t> </w:t>
      </w:r>
      <w:r>
        <w:rPr/>
        <w:t>股。</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日召开了第二届董事会第十八次会议，审议通过了《关于回购注销离职股权激励对象</w:t>
      </w:r>
    </w:p>
    <w:p>
      <w:pPr>
        <w:pStyle w:val="BodyText"/>
        <w:spacing w:line="240" w:lineRule="auto" w:before="50"/>
        <w:ind w:left="1133" w:right="0"/>
        <w:jc w:val="left"/>
      </w:pPr>
      <w:r>
        <w:rPr/>
        <w:t>所持已获授但尚未解锁的限制性股票的议案》，公司限制性股票激励计划原激励对象贾晓红等</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人因个人</w:t>
      </w:r>
    </w:p>
    <w:p>
      <w:pPr>
        <w:pStyle w:val="BodyText"/>
        <w:spacing w:line="240" w:lineRule="auto" w:before="50"/>
        <w:ind w:left="1133" w:right="0"/>
        <w:jc w:val="left"/>
      </w:pPr>
      <w:r>
        <w:rPr>
          <w:spacing w:val="-5"/>
        </w:rPr>
        <w:t>原因离职，已不符合激励条件，公司已对上述已获授但尚未解锁的限制性股票共计</w:t>
      </w:r>
      <w:r>
        <w:rPr>
          <w:spacing w:val="-46"/>
        </w:rPr>
        <w:t> </w:t>
      </w:r>
      <w:r>
        <w:rPr>
          <w:rFonts w:ascii="Times New Roman" w:hAnsi="Times New Roman" w:cs="Times New Roman" w:eastAsia="Times New Roman" w:hint="default"/>
        </w:rPr>
        <w:t>50,815</w:t>
      </w:r>
      <w:r>
        <w:rPr>
          <w:rFonts w:ascii="Times New Roman" w:hAnsi="Times New Roman" w:cs="Times New Roman" w:eastAsia="Times New Roman" w:hint="default"/>
          <w:spacing w:val="-6"/>
        </w:rPr>
        <w:t> </w:t>
      </w:r>
      <w:r>
        <w:rPr/>
        <w:t>股进行回购注销。</w:t>
      </w:r>
    </w:p>
    <w:p>
      <w:pPr>
        <w:pStyle w:val="BodyText"/>
        <w:spacing w:line="240" w:lineRule="auto" w:before="49"/>
        <w:ind w:left="1133" w:right="0"/>
        <w:jc w:val="left"/>
      </w:pPr>
      <w:r>
        <w:rPr/>
        <w:t>公司股份总数由</w:t>
      </w:r>
      <w:r>
        <w:rPr>
          <w:spacing w:val="-53"/>
        </w:rPr>
        <w:t> </w:t>
      </w:r>
      <w:r>
        <w:rPr>
          <w:rFonts w:ascii="Times New Roman" w:hAnsi="Times New Roman" w:cs="Times New Roman" w:eastAsia="Times New Roman" w:hint="default"/>
        </w:rPr>
        <w:t>402,938,473</w:t>
      </w:r>
      <w:r>
        <w:rPr>
          <w:rFonts w:ascii="Times New Roman" w:hAnsi="Times New Roman" w:cs="Times New Roman" w:eastAsia="Times New Roman" w:hint="default"/>
          <w:spacing w:val="-11"/>
        </w:rPr>
        <w:t> </w:t>
      </w:r>
      <w:r>
        <w:rPr/>
        <w:t>股变更为</w:t>
      </w:r>
      <w:r>
        <w:rPr>
          <w:spacing w:val="-54"/>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2"/>
        </w:rPr>
        <w:t> </w:t>
      </w:r>
      <w:r>
        <w:rPr/>
        <w:t>股。</w:t>
      </w:r>
    </w:p>
    <w:p>
      <w:pPr>
        <w:spacing w:line="240" w:lineRule="auto" w:before="7"/>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日召开的第二届董事会第十九次会议审议通过了《关于公司限制性股票激励计划第一</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3" w:right="1133"/>
        <w:jc w:val="both"/>
      </w:pPr>
      <w:r>
        <w:rPr>
          <w:spacing w:val="-1"/>
        </w:rPr>
        <w:t>个解锁期解锁条件成就的议案》、《关于回购注销限制性股票激励计划部分限制性股票的议案》本次解除</w:t>
      </w:r>
      <w:r>
        <w:rPr>
          <w:spacing w:val="-84"/>
        </w:rPr>
        <w:t> </w:t>
      </w:r>
      <w:r>
        <w:rPr>
          <w:spacing w:val="-84"/>
        </w:rPr>
      </w:r>
      <w:r>
        <w:rPr/>
        <w:t>限售的股权激励限制性股票数量为</w:t>
      </w:r>
      <w:r>
        <w:rPr>
          <w:spacing w:val="-53"/>
        </w:rPr>
        <w:t> </w:t>
      </w:r>
      <w:r>
        <w:rPr>
          <w:rFonts w:ascii="Times New Roman" w:hAnsi="Times New Roman" w:cs="Times New Roman" w:eastAsia="Times New Roman" w:hint="default"/>
        </w:rPr>
        <w:t>3,589,597</w:t>
      </w:r>
      <w:r>
        <w:rPr>
          <w:rFonts w:ascii="Times New Roman" w:hAnsi="Times New Roman" w:cs="Times New Roman" w:eastAsia="Times New Roman" w:hint="default"/>
          <w:spacing w:val="-10"/>
        </w:rPr>
        <w:t> </w:t>
      </w:r>
      <w:r>
        <w:rPr/>
        <w:t>股</w:t>
      </w:r>
      <w:r>
        <w:rPr>
          <w:rFonts w:ascii="Times New Roman" w:hAnsi="Times New Roman" w:cs="Times New Roman" w:eastAsia="Times New Roman" w:hint="default"/>
        </w:rPr>
        <w:t>,</w:t>
      </w:r>
      <w:r>
        <w:rPr/>
        <w:t>占总股本的</w:t>
      </w:r>
      <w:r>
        <w:rPr>
          <w:spacing w:val="-22"/>
        </w:rPr>
        <w:t> </w:t>
      </w:r>
      <w:r>
        <w:rPr>
          <w:rFonts w:ascii="Times New Roman" w:hAnsi="Times New Roman" w:cs="Times New Roman" w:eastAsia="Times New Roman" w:hint="default"/>
        </w:rPr>
        <w:t>0.89%</w:t>
      </w:r>
      <w:r>
        <w:rPr/>
        <w:t>，已于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t>年</w:t>
      </w:r>
      <w:r>
        <w:rPr>
          <w:spacing w:val="-22"/>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日上市流通。</w:t>
      </w:r>
    </w:p>
    <w:p>
      <w:pPr>
        <w:spacing w:line="240" w:lineRule="auto" w:before="2"/>
        <w:rPr>
          <w:rFonts w:ascii="宋体" w:hAnsi="宋体" w:cs="宋体" w:eastAsia="宋体" w:hint="default"/>
          <w:sz w:val="16"/>
          <w:szCs w:val="16"/>
        </w:rPr>
      </w:pPr>
    </w:p>
    <w:p>
      <w:pPr>
        <w:pStyle w:val="BodyText"/>
        <w:spacing w:line="240" w:lineRule="auto"/>
        <w:ind w:left="155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日召开了第二届董事会第十九次会议，会议审议通过了《关于回购注销离职股权激励</w:t>
      </w:r>
    </w:p>
    <w:p>
      <w:pPr>
        <w:pStyle w:val="BodyText"/>
        <w:spacing w:line="285" w:lineRule="auto" w:before="50"/>
        <w:ind w:left="1134" w:right="1131"/>
        <w:jc w:val="both"/>
      </w:pPr>
      <w:r>
        <w:rPr/>
        <w:t>对象所持已获授但尚未解锁的限制性股票的议案》，公司限制性股票激励计划原激励对象胡际晓等</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人因</w:t>
      </w:r>
      <w:r>
        <w:rPr>
          <w:spacing w:val="-2"/>
        </w:rPr>
        <w:t> </w:t>
      </w:r>
      <w:r>
        <w:rPr>
          <w:spacing w:val="-1"/>
        </w:rPr>
        <w:t>个人原因离职，已不符合激励条件，公司将对上述已获授但尚未解锁的限制性股票进行回购注销。鉴于公</w:t>
      </w:r>
      <w:r>
        <w:rPr>
          <w:spacing w:val="-83"/>
        </w:rPr>
        <w:t> </w:t>
      </w:r>
      <w:r>
        <w:rPr>
          <w:spacing w:val="-83"/>
        </w:rPr>
      </w:r>
      <w:r>
        <w:rPr/>
        <w:t>司</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名股权激励对象因</w:t>
      </w:r>
      <w:r>
        <w:rPr>
          <w:spacing w:val="-3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年度绩效评价结果为</w:t>
      </w:r>
      <w:r>
        <w:rPr>
          <w:spacing w:val="-35"/>
        </w:rPr>
        <w:t> </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级，根据公司《限制性股票激励计划》之规定，考核 结果为 </w:t>
      </w:r>
      <w:r>
        <w:rPr>
          <w:rFonts w:ascii="Times New Roman" w:hAnsi="Times New Roman" w:cs="Times New Roman" w:eastAsia="Times New Roman" w:hint="default"/>
        </w:rPr>
        <w:t>C </w:t>
      </w:r>
      <w:r>
        <w:rPr/>
        <w:t>级的股权激励对象，解锁系数为</w:t>
      </w:r>
      <w:r>
        <w:rPr>
          <w:spacing w:val="-59"/>
        </w:rPr>
        <w:t> </w:t>
      </w:r>
      <w:r>
        <w:rPr>
          <w:rFonts w:ascii="Times New Roman" w:hAnsi="Times New Roman" w:cs="Times New Roman" w:eastAsia="Times New Roman" w:hint="default"/>
        </w:rPr>
        <w:t>0.8</w:t>
      </w:r>
      <w:r>
        <w:rPr/>
        <w:t>，本期未能解锁的限制性股票已由公司回购注销，以上回购 注销限制性股票合计</w:t>
      </w:r>
      <w:r>
        <w:rPr>
          <w:spacing w:val="-52"/>
        </w:rPr>
        <w:t> </w:t>
      </w:r>
      <w:r>
        <w:rPr>
          <w:rFonts w:ascii="Times New Roman" w:hAnsi="Times New Roman" w:cs="Times New Roman" w:eastAsia="Times New Roman" w:hint="default"/>
        </w:rPr>
        <w:t>42,254</w:t>
      </w:r>
      <w:r>
        <w:rPr>
          <w:rFonts w:ascii="Times New Roman" w:hAnsi="Times New Roman" w:cs="Times New Roman" w:eastAsia="Times New Roman" w:hint="default"/>
          <w:spacing w:val="-10"/>
        </w:rPr>
        <w:t> </w:t>
      </w:r>
      <w:r>
        <w:rPr/>
        <w:t>股。</w:t>
      </w:r>
    </w:p>
    <w:p>
      <w:pPr>
        <w:spacing w:line="240" w:lineRule="auto" w:before="1"/>
        <w:rPr>
          <w:rFonts w:ascii="宋体" w:hAnsi="宋体" w:cs="宋体" w:eastAsia="宋体" w:hint="default"/>
          <w:sz w:val="17"/>
          <w:szCs w:val="17"/>
        </w:rPr>
      </w:pPr>
    </w:p>
    <w:p>
      <w:pPr>
        <w:pStyle w:val="BodyText"/>
        <w:spacing w:line="240" w:lineRule="auto"/>
        <w:ind w:right="0"/>
        <w:jc w:val="left"/>
      </w:pPr>
      <w:r>
        <w:rPr/>
        <w:t>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日召开第二届董事会第二十次会议，会议审议通过了《关于回购注销离职股权激</w:t>
      </w:r>
    </w:p>
    <w:p>
      <w:pPr>
        <w:pStyle w:val="BodyText"/>
        <w:spacing w:line="240" w:lineRule="auto" w:before="50"/>
        <w:ind w:left="1134" w:right="0"/>
        <w:jc w:val="both"/>
        <w:rPr>
          <w:rFonts w:ascii="Times New Roman" w:hAnsi="Times New Roman" w:cs="Times New Roman" w:eastAsia="Times New Roman" w:hint="default"/>
        </w:rPr>
      </w:pPr>
      <w:r>
        <w:rPr/>
        <w:t>励对象所持已获授但尚未解锁的限制性股票的议案》，公司限制性股票激励计划原激励对象刘世标等</w:t>
      </w:r>
      <w:r>
        <w:rPr>
          <w:spacing w:val="81"/>
        </w:rPr>
        <w:t> </w:t>
      </w:r>
      <w:r>
        <w:rPr>
          <w:rFonts w:ascii="Times New Roman" w:hAnsi="Times New Roman" w:cs="Times New Roman" w:eastAsia="Times New Roman" w:hint="default"/>
        </w:rPr>
        <w:t>25</w:t>
      </w:r>
    </w:p>
    <w:p>
      <w:pPr>
        <w:pStyle w:val="BodyText"/>
        <w:spacing w:line="280" w:lineRule="auto" w:before="49"/>
        <w:ind w:left="1133" w:right="1130"/>
        <w:jc w:val="both"/>
      </w:pPr>
      <w:r>
        <w:rPr/>
        <w:t>人因个人原因离职，已不符合激励条件，公司将对上述已获授但尚未解锁的 </w:t>
      </w:r>
      <w:r>
        <w:rPr>
          <w:rFonts w:ascii="Times New Roman" w:hAnsi="Times New Roman" w:cs="Times New Roman" w:eastAsia="Times New Roman" w:hint="default"/>
        </w:rPr>
        <w:t>506,176</w:t>
      </w:r>
      <w:r>
        <w:rPr>
          <w:rFonts w:ascii="Times New Roman" w:hAnsi="Times New Roman" w:cs="Times New Roman" w:eastAsia="Times New Roman" w:hint="default"/>
          <w:spacing w:val="-22"/>
        </w:rPr>
        <w:t> </w:t>
      </w:r>
      <w:r>
        <w:rPr/>
        <w:t>股限制性股票进行回 购注销。</w:t>
      </w:r>
    </w:p>
    <w:p>
      <w:pPr>
        <w:spacing w:line="240" w:lineRule="auto" w:before="12"/>
        <w:rPr>
          <w:rFonts w:ascii="宋体" w:hAnsi="宋体" w:cs="宋体" w:eastAsia="宋体" w:hint="default"/>
          <w:sz w:val="18"/>
          <w:szCs w:val="18"/>
        </w:rPr>
      </w:pPr>
    </w:p>
    <w:p>
      <w:pPr>
        <w:pStyle w:val="BodyText"/>
        <w:spacing w:line="297" w:lineRule="auto"/>
        <w:ind w:left="1133" w:right="1116" w:firstLine="420"/>
        <w:jc w:val="left"/>
      </w:pPr>
      <w:r>
        <w:rPr>
          <w:spacing w:val="3"/>
        </w:rPr>
        <w:t>董事会第十九次会议和第二十次会议回购离职员工股权激励限制性股票事项公司共合计回购限制性</w:t>
      </w:r>
      <w:r>
        <w:rPr/>
        <w:t> 股票</w:t>
      </w:r>
      <w:r>
        <w:rPr>
          <w:spacing w:val="-54"/>
        </w:rPr>
        <w:t> </w:t>
      </w:r>
      <w:r>
        <w:rPr>
          <w:rFonts w:ascii="Times New Roman" w:hAnsi="Times New Roman" w:cs="Times New Roman" w:eastAsia="Times New Roman" w:hint="default"/>
        </w:rPr>
        <w:t>548,430</w:t>
      </w:r>
      <w:r>
        <w:rPr>
          <w:rFonts w:ascii="Times New Roman" w:hAnsi="Times New Roman" w:cs="Times New Roman" w:eastAsia="Times New Roman" w:hint="default"/>
          <w:spacing w:val="-12"/>
        </w:rPr>
        <w:t> </w:t>
      </w:r>
      <w:r>
        <w:rPr/>
        <w:t>股，公司股份总数由</w:t>
      </w:r>
      <w:r>
        <w:rPr>
          <w:spacing w:val="-54"/>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0"/>
        </w:rPr>
        <w:t> </w:t>
      </w:r>
      <w:r>
        <w:rPr/>
        <w:t>股变更为</w:t>
      </w:r>
      <w:r>
        <w:rPr>
          <w:spacing w:val="-54"/>
        </w:rPr>
        <w:t> </w:t>
      </w:r>
      <w:r>
        <w:rPr>
          <w:rFonts w:ascii="Times New Roman" w:hAnsi="Times New Roman" w:cs="Times New Roman" w:eastAsia="Times New Roman" w:hint="default"/>
        </w:rPr>
        <w:t>402,339,228</w:t>
      </w:r>
      <w:r>
        <w:rPr>
          <w:rFonts w:ascii="Times New Roman" w:hAnsi="Times New Roman" w:cs="Times New Roman" w:eastAsia="Times New Roman" w:hint="default"/>
          <w:spacing w:val="-11"/>
        </w:rPr>
        <w:t> </w:t>
      </w:r>
      <w:r>
        <w:rPr/>
        <w:t>股。</w:t>
      </w:r>
    </w:p>
    <w:p>
      <w:pPr>
        <w:spacing w:line="240" w:lineRule="auto" w:before="2"/>
        <w:rPr>
          <w:rFonts w:ascii="宋体" w:hAnsi="宋体" w:cs="宋体" w:eastAsia="宋体" w:hint="default"/>
          <w:sz w:val="16"/>
          <w:szCs w:val="16"/>
        </w:rPr>
      </w:pPr>
    </w:p>
    <w:p>
      <w:pPr>
        <w:pStyle w:val="BodyText"/>
        <w:spacing w:line="280" w:lineRule="auto"/>
        <w:ind w:left="1133" w:right="1121" w:firstLine="420"/>
        <w:jc w:val="left"/>
      </w:pPr>
      <w:r>
        <w:rPr/>
        <w:t>公司实施</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年股权激励计划，向激励对象定向发行</w:t>
      </w:r>
      <w:r>
        <w:rPr>
          <w:spacing w:val="-60"/>
        </w:rPr>
        <w:t> </w:t>
      </w:r>
      <w:r>
        <w:rPr>
          <w:rFonts w:ascii="Times New Roman" w:hAnsi="Times New Roman" w:cs="Times New Roman" w:eastAsia="Times New Roman" w:hint="default"/>
        </w:rPr>
        <w:t>2,685,000</w:t>
      </w:r>
      <w:r>
        <w:rPr>
          <w:rFonts w:ascii="Times New Roman" w:hAnsi="Times New Roman" w:cs="Times New Roman" w:eastAsia="Times New Roman" w:hint="default"/>
          <w:spacing w:val="-17"/>
        </w:rPr>
        <w:t> </w:t>
      </w:r>
      <w:r>
        <w:rPr/>
        <w:t>股公司</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t>股普通股股票，本次限制性 股票已于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日上市。至此公司注册资本由</w:t>
      </w:r>
      <w:r>
        <w:rPr>
          <w:spacing w:val="-53"/>
        </w:rPr>
        <w:t> </w:t>
      </w:r>
      <w:r>
        <w:rPr>
          <w:rFonts w:ascii="Times New Roman" w:hAnsi="Times New Roman" w:cs="Times New Roman" w:eastAsia="Times New Roman" w:hint="default"/>
        </w:rPr>
        <w:t>402,339,228</w:t>
      </w:r>
      <w:r>
        <w:rPr>
          <w:rFonts w:ascii="Times New Roman" w:hAnsi="Times New Roman" w:cs="Times New Roman" w:eastAsia="Times New Roman" w:hint="default"/>
          <w:spacing w:val="-11"/>
        </w:rPr>
        <w:t> </w:t>
      </w:r>
      <w:r>
        <w:rPr/>
        <w:t>元增加至</w:t>
      </w:r>
      <w:r>
        <w:rPr>
          <w:spacing w:val="-53"/>
        </w:rPr>
        <w:t> </w:t>
      </w:r>
      <w:r>
        <w:rPr>
          <w:rFonts w:ascii="Times New Roman" w:hAnsi="Times New Roman" w:cs="Times New Roman" w:eastAsia="Times New Roman" w:hint="default"/>
        </w:rPr>
        <w:t>405,024,228</w:t>
      </w:r>
      <w:r>
        <w:rPr>
          <w:rFonts w:ascii="Times New Roman" w:hAnsi="Times New Roman" w:cs="Times New Roman" w:eastAsia="Times New Roman" w:hint="default"/>
          <w:spacing w:val="-11"/>
        </w:rPr>
        <w:t> </w:t>
      </w:r>
      <w:r>
        <w:rPr/>
        <w:t>元。</w:t>
      </w:r>
    </w:p>
    <w:p>
      <w:pPr>
        <w:spacing w:line="240" w:lineRule="auto" w:before="5"/>
        <w:rPr>
          <w:rFonts w:ascii="宋体" w:hAnsi="宋体" w:cs="宋体" w:eastAsia="宋体" w:hint="default"/>
          <w:sz w:val="17"/>
          <w:szCs w:val="17"/>
        </w:rPr>
      </w:pPr>
    </w:p>
    <w:p>
      <w:pPr>
        <w:pStyle w:val="BodyText"/>
        <w:spacing w:line="240" w:lineRule="auto"/>
        <w:ind w:left="155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19"/>
        </w:rPr>
        <w:t> </w:t>
      </w:r>
      <w:r>
        <w:rPr/>
        <w:t>日召开的第二届董事会第二十六次会议审议通过了《关于回购注销离职股权激励对象</w:t>
      </w:r>
    </w:p>
    <w:p>
      <w:pPr>
        <w:pStyle w:val="BodyText"/>
        <w:spacing w:line="240" w:lineRule="auto" w:before="50"/>
        <w:ind w:left="1133" w:right="0"/>
        <w:jc w:val="both"/>
      </w:pPr>
      <w:r>
        <w:rPr/>
        <w:t>所持已获授但尚未解锁的限制性股票的议案》同意回购注销武楠等 </w:t>
      </w:r>
      <w:r>
        <w:rPr>
          <w:rFonts w:ascii="Times New Roman" w:hAnsi="Times New Roman" w:cs="Times New Roman" w:eastAsia="Times New Roman" w:hint="default"/>
        </w:rPr>
        <w:t>67</w:t>
      </w:r>
      <w:r>
        <w:rPr>
          <w:rFonts w:ascii="Times New Roman" w:hAnsi="Times New Roman" w:cs="Times New Roman" w:eastAsia="Times New Roman" w:hint="default"/>
          <w:spacing w:val="28"/>
        </w:rPr>
        <w:t> </w:t>
      </w:r>
      <w:r>
        <w:rPr/>
        <w:t>名激励对象尚未解锁的限制性股票</w:t>
      </w:r>
    </w:p>
    <w:p>
      <w:pPr>
        <w:pStyle w:val="BodyText"/>
        <w:spacing w:line="240" w:lineRule="auto" w:before="50"/>
        <w:ind w:left="1133" w:right="0"/>
        <w:jc w:val="both"/>
      </w:pPr>
      <w:r>
        <w:rPr>
          <w:rFonts w:ascii="Times New Roman" w:hAnsi="Times New Roman" w:cs="Times New Roman" w:eastAsia="Times New Roman" w:hint="default"/>
        </w:rPr>
        <w:t>1,145,606 </w:t>
      </w:r>
      <w:r>
        <w:rPr/>
        <w:t>股，此次回购注销已在中国结算中心注销登记完成。至此，公司注册资本由 </w:t>
      </w:r>
      <w:r>
        <w:rPr>
          <w:rFonts w:ascii="Times New Roman" w:hAnsi="Times New Roman" w:cs="Times New Roman" w:eastAsia="Times New Roman" w:hint="default"/>
        </w:rPr>
        <w:t>405,024,228</w:t>
      </w:r>
      <w:r>
        <w:rPr>
          <w:rFonts w:ascii="Times New Roman" w:hAnsi="Times New Roman" w:cs="Times New Roman" w:eastAsia="Times New Roman" w:hint="default"/>
          <w:spacing w:val="-24"/>
        </w:rPr>
        <w:t> </w:t>
      </w:r>
      <w:r>
        <w:rPr/>
        <w:t>元减少</w:t>
      </w:r>
    </w:p>
    <w:p>
      <w:pPr>
        <w:pStyle w:val="BodyText"/>
        <w:spacing w:line="240" w:lineRule="auto" w:before="49"/>
        <w:ind w:left="1133" w:right="0"/>
        <w:jc w:val="both"/>
      </w:pPr>
      <w:r>
        <w:rPr/>
        <w:t>至</w:t>
      </w:r>
      <w:r>
        <w:rPr>
          <w:spacing w:val="-53"/>
        </w:rPr>
        <w:t> </w:t>
      </w:r>
      <w:r>
        <w:rPr>
          <w:rFonts w:ascii="Times New Roman" w:hAnsi="Times New Roman" w:cs="Times New Roman" w:eastAsia="Times New Roman" w:hint="default"/>
        </w:rPr>
        <w:t>403,878,622</w:t>
      </w:r>
      <w:r>
        <w:rPr>
          <w:rFonts w:ascii="Times New Roman" w:hAnsi="Times New Roman" w:cs="Times New Roman" w:eastAsia="Times New Roman" w:hint="default"/>
          <w:spacing w:val="-11"/>
        </w:rPr>
        <w:t> </w:t>
      </w:r>
      <w:r>
        <w:rPr/>
        <w:t>元。</w:t>
      </w:r>
    </w:p>
    <w:p>
      <w:pPr>
        <w:spacing w:line="240" w:lineRule="auto" w:before="7"/>
        <w:rPr>
          <w:rFonts w:ascii="宋体" w:hAnsi="宋体" w:cs="宋体" w:eastAsia="宋体" w:hint="default"/>
          <w:sz w:val="20"/>
          <w:szCs w:val="20"/>
        </w:rPr>
      </w:pPr>
    </w:p>
    <w:p>
      <w:pPr>
        <w:pStyle w:val="BodyText"/>
        <w:spacing w:line="240" w:lineRule="auto"/>
        <w:ind w:right="0"/>
        <w:jc w:val="left"/>
      </w:pPr>
      <w:r>
        <w:rPr/>
        <w:t>股份变动的批准情况</w:t>
      </w:r>
    </w:p>
    <w:p>
      <w:pPr>
        <w:pStyle w:val="BodyText"/>
        <w:spacing w:line="540" w:lineRule="atLeast"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w:t>
      </w:r>
      <w:r>
        <w:rPr>
          <w:spacing w:val="-1"/>
        </w:rPr>
        <w:t>离职员工股权激励限制性股票回购事项及股权激励限制性股票第一个解锁期届满解除锁定事项，已经</w:t>
      </w:r>
    </w:p>
    <w:p>
      <w:pPr>
        <w:pStyle w:val="BodyText"/>
        <w:spacing w:line="297" w:lineRule="auto" w:before="64"/>
        <w:ind w:left="1134" w:right="1012"/>
        <w:jc w:val="left"/>
      </w:pPr>
      <w:r>
        <w:rPr/>
        <w:t>第二届董事会第十三次会议、第二届董事会第十八次会议、第二届董事会第十九次会议、第二届董事会第 二十次会议、第二届董事会第二十六次会议分别审议通过。历次注册资本变更已经</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8"/>
        </w:rPr>
        <w:t> </w:t>
      </w:r>
      <w:r>
        <w:rPr/>
        <w:t>年年度股东大会、</w:t>
      </w:r>
    </w:p>
    <w:p>
      <w:pPr>
        <w:pStyle w:val="BodyText"/>
        <w:spacing w:line="460" w:lineRule="auto"/>
        <w:ind w:right="4033" w:hanging="420"/>
        <w:jc w:val="left"/>
      </w:pPr>
      <w:r>
        <w:rPr>
          <w:rFonts w:ascii="Times New Roman" w:hAnsi="Times New Roman" w:cs="Times New Roman" w:eastAsia="Times New Roman" w:hint="default"/>
        </w:rPr>
        <w:t>2017</w:t>
      </w:r>
      <w:r>
        <w:rPr/>
        <w:t>年第三次临时股东大会、</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年第一次临时股东大会审议通过。 股份变动的过户情况</w:t>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0"/>
          <w:szCs w:val="20"/>
        </w:rPr>
      </w:pPr>
    </w:p>
    <w:p>
      <w:pPr>
        <w:pStyle w:val="BodyText"/>
        <w:spacing w:line="297" w:lineRule="auto"/>
        <w:ind w:left="1134" w:right="0" w:firstLine="420"/>
        <w:jc w:val="left"/>
      </w:pPr>
      <w:r>
        <w:rPr>
          <w:spacing w:val="-1"/>
        </w:rPr>
        <w:t>股份变动对最近一年和最近一期基本每股收益和稀释每股收益、归属于公司普通股股东的每股净资产</w:t>
      </w:r>
      <w:r>
        <w:rPr/>
        <w:t> 等财务指标的影响</w:t>
      </w:r>
    </w:p>
    <w:p>
      <w:pPr>
        <w:spacing w:line="240" w:lineRule="auto" w:before="12"/>
        <w:rPr>
          <w:rFonts w:ascii="宋体" w:hAnsi="宋体" w:cs="宋体" w:eastAsia="宋体" w:hint="default"/>
          <w:sz w:val="17"/>
          <w:szCs w:val="17"/>
        </w:rPr>
      </w:pPr>
    </w:p>
    <w:p>
      <w:pPr>
        <w:pStyle w:val="BodyText"/>
        <w:spacing w:line="460"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公司认为必要或证券监管机构要求披露的其他内容</w:t>
      </w:r>
    </w:p>
    <w:p>
      <w:pPr>
        <w:spacing w:after="0" w:line="46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2、限售股份变动情况" w:id="110"/>
      <w:bookmarkEnd w:id="110"/>
      <w:r>
        <w:rPr/>
      </w:r>
      <w:r>
        <w:rPr>
          <w:rFonts w:ascii="Times New Roman" w:hAnsi="Times New Roman" w:cs="Times New Roman" w:eastAsia="Times New Roman" w:hint="default"/>
        </w:rPr>
        <w:t>2</w:t>
      </w:r>
      <w:r>
        <w:rPr>
          <w:rFonts w:ascii="微软雅黑" w:hAnsi="微软雅黑" w:cs="微软雅黑" w:eastAsia="微软雅黑" w:hint="default"/>
        </w:rPr>
        <w:t>、限售股份变动情况</w:t>
      </w:r>
    </w:p>
    <w:p>
      <w:pPr>
        <w:spacing w:line="240" w:lineRule="auto" w:before="7"/>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456"/>
        <w:gridCol w:w="1399"/>
        <w:gridCol w:w="1018"/>
        <w:gridCol w:w="1177"/>
        <w:gridCol w:w="1259"/>
        <w:gridCol w:w="1498"/>
        <w:gridCol w:w="2048"/>
      </w:tblGrid>
      <w:tr>
        <w:trPr>
          <w:trHeight w:val="662"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143" w:right="142"/>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13" w:right="132"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42" w:right="264"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838" w:right="569" w:hanging="270"/>
              <w:jc w:val="left"/>
              <w:rPr>
                <w:rFonts w:ascii="宋体" w:hAnsi="宋体" w:cs="宋体" w:eastAsia="宋体" w:hint="default"/>
                <w:sz w:val="18"/>
                <w:szCs w:val="18"/>
              </w:rPr>
            </w:pPr>
            <w:r>
              <w:rPr>
                <w:rFonts w:ascii="宋体" w:hAnsi="宋体" w:cs="宋体" w:eastAsia="宋体" w:hint="default"/>
                <w:sz w:val="18"/>
                <w:szCs w:val="18"/>
              </w:rPr>
              <w:t>拟解除限售 日期</w:t>
            </w:r>
          </w:p>
        </w:tc>
      </w:tr>
      <w:tr>
        <w:trPr>
          <w:trHeight w:val="835"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141,974,706</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141,974,706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首发前限售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后每年初按 照上年末持股总数的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60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14,050,000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14,050,000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33"/>
              <w:jc w:val="left"/>
              <w:rPr>
                <w:rFonts w:ascii="宋体" w:hAnsi="宋体" w:cs="宋体" w:eastAsia="宋体" w:hint="default"/>
                <w:sz w:val="18"/>
                <w:szCs w:val="18"/>
              </w:rPr>
            </w:pPr>
            <w:r>
              <w:rPr>
                <w:rFonts w:ascii="宋体" w:hAnsi="宋体" w:cs="宋体" w:eastAsia="宋体" w:hint="default"/>
                <w:sz w:val="18"/>
                <w:szCs w:val="18"/>
              </w:rPr>
              <w:t>每年初按照上年末持股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54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102"/>
              <w:jc w:val="left"/>
              <w:rPr>
                <w:rFonts w:ascii="Times New Roman" w:hAnsi="Times New Roman" w:cs="Times New Roman" w:eastAsia="Times New Roman" w:hint="default"/>
                <w:sz w:val="18"/>
                <w:szCs w:val="18"/>
              </w:rPr>
            </w:pPr>
            <w:r>
              <w:rPr>
                <w:rFonts w:ascii="Times New Roman"/>
                <w:sz w:val="18"/>
              </w:rPr>
              <w:t>Qualcomm</w:t>
            </w:r>
            <w:r>
              <w:rPr>
                <w:rFonts w:ascii="Times New Roman"/>
                <w:w w:val="99"/>
                <w:sz w:val="18"/>
              </w:rPr>
              <w:t> </w:t>
            </w:r>
            <w:r>
              <w:rPr>
                <w:rFonts w:ascii="Times New Roman"/>
                <w:sz w:val="18"/>
              </w:rPr>
              <w:t>International,Inc.</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6,199,190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3,099,595</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3,099,595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首发前限售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sz w:val="18"/>
              </w:rPr>
              <w:t>2018/12/10</w:t>
            </w:r>
          </w:p>
        </w:tc>
      </w:tr>
      <w:tr>
        <w:trPr>
          <w:trHeight w:val="60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4,627,117</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4,627,117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33"/>
              <w:jc w:val="left"/>
              <w:rPr>
                <w:rFonts w:ascii="宋体" w:hAnsi="宋体" w:cs="宋体" w:eastAsia="宋体" w:hint="default"/>
                <w:sz w:val="18"/>
                <w:szCs w:val="18"/>
              </w:rPr>
            </w:pPr>
            <w:r>
              <w:rPr>
                <w:rFonts w:ascii="宋体" w:hAnsi="宋体" w:cs="宋体" w:eastAsia="宋体" w:hint="default"/>
                <w:sz w:val="18"/>
                <w:szCs w:val="18"/>
              </w:rPr>
              <w:t>每年初按照上年末持股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60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4,393,911</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4,393,909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33"/>
              <w:jc w:val="left"/>
              <w:rPr>
                <w:rFonts w:ascii="宋体" w:hAnsi="宋体" w:cs="宋体" w:eastAsia="宋体" w:hint="default"/>
                <w:sz w:val="18"/>
                <w:szCs w:val="18"/>
              </w:rPr>
            </w:pPr>
            <w:r>
              <w:rPr>
                <w:rFonts w:ascii="宋体" w:hAnsi="宋体" w:cs="宋体" w:eastAsia="宋体" w:hint="default"/>
                <w:sz w:val="18"/>
                <w:szCs w:val="18"/>
              </w:rPr>
              <w:t>每年初按照上年末持股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60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60"/>
              <w:jc w:val="left"/>
              <w:rPr>
                <w:rFonts w:ascii="宋体" w:hAnsi="宋体" w:cs="宋体" w:eastAsia="宋体" w:hint="default"/>
                <w:sz w:val="18"/>
                <w:szCs w:val="18"/>
              </w:rPr>
            </w:pPr>
            <w:r>
              <w:rPr>
                <w:rFonts w:ascii="宋体" w:hAnsi="宋体" w:cs="宋体" w:eastAsia="宋体" w:hint="default"/>
                <w:sz w:val="18"/>
                <w:szCs w:val="18"/>
              </w:rPr>
              <w:t>展讯通信（天 津）有限公司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4,360,675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2,180,337</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2,180,337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2018/12/10</w:t>
            </w:r>
          </w:p>
        </w:tc>
      </w:tr>
      <w:tr>
        <w:trPr>
          <w:trHeight w:val="2936"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32" w:lineRule="exact"/>
              <w:ind w:left="103" w:right="261"/>
              <w:jc w:val="left"/>
              <w:rPr>
                <w:rFonts w:ascii="宋体" w:hAnsi="宋体" w:cs="宋体" w:eastAsia="宋体" w:hint="default"/>
                <w:sz w:val="18"/>
                <w:szCs w:val="18"/>
              </w:rPr>
            </w:pPr>
            <w:r>
              <w:rPr>
                <w:rFonts w:ascii="宋体" w:hAnsi="宋体" w:cs="宋体" w:eastAsia="宋体" w:hint="default"/>
                <w:sz w:val="18"/>
                <w:szCs w:val="18"/>
              </w:rPr>
              <w:t>达孜县创达汇 咨询有限公司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169,044</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169,044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首发前限售</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6"/>
              <w:ind w:left="103" w:right="101"/>
              <w:jc w:val="left"/>
              <w:rPr>
                <w:rFonts w:ascii="宋体" w:hAnsi="宋体" w:cs="宋体" w:eastAsia="宋体" w:hint="default"/>
                <w:sz w:val="18"/>
                <w:szCs w:val="18"/>
              </w:rPr>
            </w:pPr>
            <w:r>
              <w:rPr>
                <w:rFonts w:ascii="宋体" w:hAnsi="宋体" w:cs="宋体" w:eastAsia="宋体" w:hint="default"/>
                <w:sz w:val="18"/>
                <w:szCs w:val="18"/>
              </w:rPr>
              <w:t>公司董事长赵鸿飞持有 创达汇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2.2033%</w:t>
            </w:r>
            <w:r>
              <w:rPr>
                <w:rFonts w:ascii="宋体" w:hAnsi="宋体" w:cs="宋体" w:eastAsia="宋体" w:hint="default"/>
                <w:sz w:val="18"/>
                <w:szCs w:val="18"/>
              </w:rPr>
              <w:t>的股 份，间接持有公司 </w:t>
            </w:r>
            <w:r>
              <w:rPr>
                <w:rFonts w:ascii="Times New Roman" w:hAnsi="Times New Roman" w:cs="Times New Roman" w:eastAsia="Times New Roman" w:hint="default"/>
                <w:sz w:val="18"/>
                <w:szCs w:val="18"/>
              </w:rPr>
              <w:t>169,044</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股股份，其承诺</w:t>
            </w:r>
            <w:r>
              <w:rPr>
                <w:rFonts w:ascii="宋体" w:hAnsi="宋体" w:cs="宋体" w:eastAsia="宋体" w:hint="default"/>
                <w:sz w:val="18"/>
                <w:szCs w:val="18"/>
              </w:rPr>
              <w:t> 自公司股票在深圳证券 交易所创业板上市交易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10"/>
                <w:sz w:val="18"/>
                <w:szCs w:val="18"/>
              </w:rPr>
              <w:t>个月内，不转</w:t>
            </w:r>
            <w:r>
              <w:rPr>
                <w:rFonts w:ascii="宋体" w:hAnsi="宋体" w:cs="宋体" w:eastAsia="宋体" w:hint="default"/>
                <w:sz w:val="18"/>
                <w:szCs w:val="18"/>
              </w:rPr>
              <w:t> 让或委托他人管理其在 公司首次公开发行股票 前直接或间接持有的公 司股份，也不由公司回 购该部分股份。</w:t>
            </w:r>
          </w:p>
        </w:tc>
      </w:tr>
      <w:tr>
        <w:trPr>
          <w:trHeight w:val="60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863,419</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863,419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33"/>
              <w:jc w:val="left"/>
              <w:rPr>
                <w:rFonts w:ascii="宋体" w:hAnsi="宋体" w:cs="宋体" w:eastAsia="宋体" w:hint="default"/>
                <w:sz w:val="18"/>
                <w:szCs w:val="18"/>
              </w:rPr>
            </w:pPr>
            <w:r>
              <w:rPr>
                <w:rFonts w:ascii="宋体" w:hAnsi="宋体" w:cs="宋体" w:eastAsia="宋体" w:hint="default"/>
                <w:sz w:val="18"/>
                <w:szCs w:val="18"/>
              </w:rPr>
              <w:t>每年初按照上年末持股 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3402"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武楠</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144,623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101,236</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43,387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32"/>
              <w:jc w:val="left"/>
              <w:rPr>
                <w:rFonts w:ascii="宋体" w:hAnsi="宋体" w:cs="宋体" w:eastAsia="宋体" w:hint="default"/>
                <w:sz w:val="18"/>
                <w:szCs w:val="18"/>
              </w:rPr>
            </w:pPr>
            <w:r>
              <w:rPr>
                <w:rFonts w:ascii="宋体" w:hAnsi="宋体" w:cs="宋体" w:eastAsia="宋体" w:hint="default"/>
                <w:sz w:val="18"/>
                <w:szCs w:val="18"/>
              </w:rPr>
              <w:t>已离职高管，在 其就任时确定的 任期内和任期届 满后六个月内， 继续遵守下列限 </w:t>
            </w:r>
            <w:r>
              <w:rPr>
                <w:rFonts w:ascii="宋体" w:hAnsi="宋体" w:cs="宋体" w:eastAsia="宋体" w:hint="default"/>
                <w:spacing w:val="-12"/>
                <w:sz w:val="18"/>
                <w:szCs w:val="18"/>
              </w:rPr>
              <w:t>制性规定：（一）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每年转让的股份 不得超过其所持 有本公司股份总 数的百分之二十 </w:t>
            </w:r>
            <w:r>
              <w:rPr>
                <w:rFonts w:ascii="宋体" w:hAnsi="宋体" w:cs="宋体" w:eastAsia="宋体" w:hint="default"/>
                <w:spacing w:val="-20"/>
                <w:sz w:val="18"/>
                <w:szCs w:val="18"/>
              </w:rPr>
              <w:t>五；（二）离职后</w:t>
            </w:r>
            <w:r>
              <w:rPr>
                <w:rFonts w:ascii="宋体" w:hAnsi="宋体" w:cs="宋体" w:eastAsia="宋体" w:hint="default"/>
                <w:sz w:val="18"/>
                <w:szCs w:val="18"/>
              </w:rPr>
              <w:t> 半年内，不得转 让其所持本公司 股份</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456"/>
        <w:gridCol w:w="1399"/>
        <w:gridCol w:w="1018"/>
        <w:gridCol w:w="1177"/>
        <w:gridCol w:w="1259"/>
        <w:gridCol w:w="1498"/>
        <w:gridCol w:w="2048"/>
      </w:tblGrid>
      <w:tr>
        <w:trPr>
          <w:trHeight w:val="662"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143" w:right="142"/>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13" w:right="132"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42" w:right="264"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838" w:right="569" w:hanging="270"/>
              <w:jc w:val="left"/>
              <w:rPr>
                <w:rFonts w:ascii="宋体" w:hAnsi="宋体" w:cs="宋体" w:eastAsia="宋体" w:hint="default"/>
                <w:sz w:val="18"/>
                <w:szCs w:val="18"/>
              </w:rPr>
            </w:pPr>
            <w:r>
              <w:rPr>
                <w:rFonts w:ascii="宋体" w:hAnsi="宋体" w:cs="宋体" w:eastAsia="宋体" w:hint="default"/>
                <w:sz w:val="18"/>
                <w:szCs w:val="18"/>
              </w:rPr>
              <w:t>拟解除限售 日期</w:t>
            </w:r>
          </w:p>
        </w:tc>
      </w:tr>
      <w:tr>
        <w:trPr>
          <w:trHeight w:val="106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34" w:lineRule="exact"/>
              <w:ind w:left="103" w:right="261"/>
              <w:jc w:val="left"/>
              <w:rPr>
                <w:rFonts w:ascii="宋体" w:hAnsi="宋体" w:cs="宋体" w:eastAsia="宋体" w:hint="default"/>
                <w:sz w:val="18"/>
                <w:szCs w:val="18"/>
              </w:rPr>
            </w:pPr>
            <w:r>
              <w:rPr>
                <w:rFonts w:ascii="宋体" w:hAnsi="宋体" w:cs="宋体" w:eastAsia="宋体" w:hint="default"/>
                <w:sz w:val="18"/>
                <w:szCs w:val="18"/>
              </w:rPr>
              <w:t>其它股权激励 股份</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12,042,222</w:t>
            </w: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9,416,226</w:t>
            </w:r>
          </w:p>
        </w:tc>
        <w:tc>
          <w:tcPr>
            <w:tcW w:w="1498"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2048" w:type="dxa"/>
            <w:tcBorders>
              <w:top w:val="single" w:sz="4" w:space="0" w:color="000000"/>
              <w:left w:val="single" w:sz="4" w:space="0" w:color="000000"/>
              <w:bottom w:val="single" w:sz="17" w:space="0" w:color="D2D2D2"/>
              <w:right w:val="single" w:sz="4" w:space="0" w:color="000000"/>
            </w:tcBorders>
          </w:tcPr>
          <w:p>
            <w:pPr>
              <w:pStyle w:val="TableParagraph"/>
              <w:spacing w:line="232" w:lineRule="auto" w:before="39"/>
              <w:ind w:left="103" w:right="101"/>
              <w:jc w:val="both"/>
              <w:rPr>
                <w:rFonts w:ascii="宋体" w:hAnsi="宋体" w:cs="宋体" w:eastAsia="宋体" w:hint="default"/>
                <w:sz w:val="18"/>
                <w:szCs w:val="18"/>
              </w:rPr>
            </w:pPr>
            <w:r>
              <w:rPr>
                <w:rFonts w:ascii="宋体" w:hAnsi="宋体" w:cs="宋体" w:eastAsia="宋体" w:hint="default"/>
                <w:sz w:val="18"/>
                <w:szCs w:val="18"/>
              </w:rPr>
              <w:t>依据公司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年限制性股票激励计划 相关制度，每年按比例 解锁</w:t>
            </w:r>
          </w:p>
        </w:tc>
      </w:tr>
      <w:tr>
        <w:trPr>
          <w:trHeight w:val="408" w:hRule="exact"/>
        </w:trPr>
        <w:tc>
          <w:tcPr>
            <w:tcW w:w="1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188,824,907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4" w:right="0"/>
              <w:jc w:val="left"/>
              <w:rPr>
                <w:rFonts w:ascii="Times New Roman" w:hAnsi="Times New Roman" w:cs="Times New Roman" w:eastAsia="Times New Roman" w:hint="default"/>
                <w:sz w:val="18"/>
                <w:szCs w:val="18"/>
              </w:rPr>
            </w:pPr>
            <w:r>
              <w:rPr>
                <w:rFonts w:ascii="Times New Roman"/>
                <w:sz w:val="18"/>
              </w:rPr>
              <w:t>5,381,168</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180,817,740</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二、证券发行与上市情况" w:id="111"/>
      <w:bookmarkEnd w:id="111"/>
      <w:r>
        <w:rPr/>
      </w:r>
      <w:r>
        <w:rPr/>
        <w:t>二、证券发行与上市情况</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报告期内证券发行（不含优先股）情况" w:id="112"/>
      <w:bookmarkEnd w:id="112"/>
      <w:r>
        <w:rPr/>
      </w:r>
      <w:r>
        <w:rPr>
          <w:rFonts w:ascii="Times New Roman" w:hAnsi="Times New Roman" w:cs="Times New Roman" w:eastAsia="Times New Roman" w:hint="default"/>
        </w:rPr>
        <w:t>1</w:t>
      </w:r>
      <w:r>
        <w:rPr>
          <w:rFonts w:ascii="微软雅黑" w:hAnsi="微软雅黑" w:cs="微软雅黑" w:eastAsia="微软雅黑" w:hint="default"/>
        </w:rPr>
        <w:t>、报告期内证券发行（不含优先股）情况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1454"/>
        <w:gridCol w:w="1331"/>
        <w:gridCol w:w="1335"/>
        <w:gridCol w:w="1333"/>
        <w:gridCol w:w="1336"/>
        <w:gridCol w:w="1335"/>
        <w:gridCol w:w="1733"/>
      </w:tblGrid>
      <w:tr>
        <w:trPr>
          <w:trHeight w:val="663" w:hRule="exact"/>
        </w:trPr>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61" w:right="180"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302"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61"/>
              <w:ind w:left="21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482" w:right="120"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601" w:hRule="exact"/>
        </w:trPr>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2,685,000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41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39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报告期内证券发行（不含优先股）情况的说明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spacing w:val="-4"/>
        </w:rPr>
        <w:t>日，公司第二届董事会第二十一次会议审议通过《关于公司</w:t>
      </w:r>
      <w:r>
        <w:rPr>
          <w:rFonts w:ascii="Times New Roman" w:hAnsi="Times New Roman" w:cs="Times New Roman" w:eastAsia="Times New Roman" w:hint="default"/>
          <w:spacing w:val="-4"/>
        </w:rPr>
        <w:t>&lt;2017</w:t>
      </w:r>
      <w:r>
        <w:rPr>
          <w:rFonts w:ascii="Times New Roman" w:hAnsi="Times New Roman" w:cs="Times New Roman" w:eastAsia="Times New Roman" w:hint="default"/>
          <w:spacing w:val="-7"/>
        </w:rPr>
        <w:t> </w:t>
      </w:r>
      <w:r>
        <w:rPr/>
        <w:t>年限制性股票激励计</w:t>
      </w:r>
    </w:p>
    <w:p>
      <w:pPr>
        <w:pStyle w:val="BodyText"/>
        <w:spacing w:line="280" w:lineRule="auto" w:before="50"/>
        <w:ind w:left="1133" w:right="1130"/>
        <w:jc w:val="both"/>
      </w:pPr>
      <w:r>
        <w:rPr/>
        <w:t>划（草案）</w:t>
      </w:r>
      <w:r>
        <w:rPr>
          <w:rFonts w:ascii="Times New Roman" w:hAnsi="Times New Roman" w:cs="Times New Roman" w:eastAsia="Times New Roman" w:hint="default"/>
        </w:rPr>
        <w:t>&gt;</w:t>
      </w:r>
      <w:r>
        <w:rPr/>
        <w:t>及其摘要的议案》。</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日，公司</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年第四次临时股东大会审议并通过了《关 于公司</w:t>
      </w:r>
      <w:r>
        <w:rPr>
          <w:rFonts w:ascii="Times New Roman" w:hAnsi="Times New Roman" w:cs="Times New Roman" w:eastAsia="Times New Roman" w:hint="default"/>
        </w:rPr>
        <w:t>&lt;2017</w:t>
      </w:r>
      <w:r>
        <w:rPr>
          <w:rFonts w:ascii="Times New Roman" w:hAnsi="Times New Roman" w:cs="Times New Roman" w:eastAsia="Times New Roman" w:hint="default"/>
          <w:spacing w:val="-14"/>
        </w:rPr>
        <w:t> </w:t>
      </w:r>
      <w:r>
        <w:rPr/>
        <w:t>年限制性股票激励计划（草案）</w:t>
      </w:r>
      <w:r>
        <w:rPr>
          <w:rFonts w:ascii="Times New Roman" w:hAnsi="Times New Roman" w:cs="Times New Roman" w:eastAsia="Times New Roman" w:hint="default"/>
        </w:rPr>
        <w:t>&gt;</w:t>
      </w:r>
      <w:r>
        <w:rPr/>
        <w:t>及其摘要的议案》。</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日，公司第二届董事会 第二十三次会议审议通过了《关于向激励对象授予限制性股票的议案》。公司向</w:t>
      </w:r>
      <w:r>
        <w:rPr>
          <w:spacing w:val="-60"/>
        </w:rPr>
        <w:t> </w:t>
      </w:r>
      <w:r>
        <w:rPr>
          <w:rFonts w:ascii="Times New Roman" w:hAnsi="Times New Roman" w:cs="Times New Roman" w:eastAsia="Times New Roman" w:hint="default"/>
        </w:rPr>
        <w:t>199</w:t>
      </w:r>
      <w:r>
        <w:rPr>
          <w:rFonts w:ascii="Times New Roman" w:hAnsi="Times New Roman" w:cs="Times New Roman" w:eastAsia="Times New Roman" w:hint="default"/>
          <w:spacing w:val="-17"/>
        </w:rPr>
        <w:t> </w:t>
      </w:r>
      <w:r>
        <w:rPr/>
        <w:t>名激励对象定向发行</w:t>
      </w:r>
    </w:p>
    <w:p>
      <w:pPr>
        <w:pStyle w:val="BodyText"/>
        <w:spacing w:line="240" w:lineRule="auto" w:before="10"/>
        <w:ind w:left="1133" w:right="0"/>
        <w:jc w:val="both"/>
      </w:pPr>
      <w:r>
        <w:rPr>
          <w:rFonts w:ascii="Times New Roman" w:hAnsi="Times New Roman" w:cs="Times New Roman" w:eastAsia="Times New Roman" w:hint="default"/>
        </w:rPr>
        <w:t>2,685,000</w:t>
      </w:r>
      <w:r>
        <w:rPr>
          <w:rFonts w:ascii="Times New Roman" w:hAnsi="Times New Roman" w:cs="Times New Roman" w:eastAsia="Times New Roman" w:hint="default"/>
          <w:spacing w:val="-10"/>
        </w:rPr>
        <w:t> </w:t>
      </w:r>
      <w:r>
        <w:rPr/>
        <w:t>股公司</w:t>
      </w:r>
      <w:r>
        <w:rPr>
          <w:spacing w:val="-54"/>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股普通股股票，本次限制性股票已于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日上市。</w:t>
      </w:r>
    </w:p>
    <w:p>
      <w:pPr>
        <w:spacing w:line="240" w:lineRule="auto" w:before="11"/>
        <w:rPr>
          <w:rFonts w:ascii="宋体" w:hAnsi="宋体" w:cs="宋体" w:eastAsia="宋体" w:hint="default"/>
          <w:sz w:val="19"/>
          <w:szCs w:val="19"/>
        </w:rPr>
      </w:pPr>
    </w:p>
    <w:p>
      <w:pPr>
        <w:pStyle w:val="BodyText"/>
        <w:spacing w:line="240" w:lineRule="auto"/>
        <w:ind w:left="1553" w:right="0"/>
        <w:jc w:val="left"/>
        <w:rPr>
          <w:rFonts w:ascii="微软雅黑" w:hAnsi="微软雅黑" w:cs="微软雅黑" w:eastAsia="微软雅黑" w:hint="default"/>
        </w:rPr>
      </w:pPr>
      <w:bookmarkStart w:name="2、公司股份总数及股东结构的变动、公司资产和负债结构的变动情况说明" w:id="113"/>
      <w:bookmarkEnd w:id="113"/>
      <w:r>
        <w:rPr/>
      </w:r>
      <w:r>
        <w:rPr>
          <w:rFonts w:ascii="Times New Roman" w:hAnsi="Times New Roman" w:cs="Times New Roman" w:eastAsia="Times New Roman" w:hint="default"/>
        </w:rPr>
        <w:t>2</w:t>
      </w:r>
      <w:r>
        <w:rPr>
          <w:rFonts w:ascii="微软雅黑" w:hAnsi="微软雅黑" w:cs="微软雅黑" w:eastAsia="微软雅黑" w:hint="default"/>
        </w:rPr>
        <w:t>、公司股份总数及股东结构的变动、公司资产和负债结构的变动情况说明</w:t>
      </w:r>
    </w:p>
    <w:p>
      <w:pPr>
        <w:spacing w:line="240" w:lineRule="auto" w:before="7"/>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日召开了第二届董事会第十八次会议，审议通过了《关于回购注销离职股权激励对象</w:t>
      </w:r>
    </w:p>
    <w:p>
      <w:pPr>
        <w:pStyle w:val="BodyText"/>
        <w:spacing w:line="240" w:lineRule="auto" w:before="49"/>
        <w:ind w:left="1134" w:right="0"/>
        <w:jc w:val="both"/>
      </w:pPr>
      <w:r>
        <w:rPr>
          <w:spacing w:val="-4"/>
        </w:rPr>
        <w:t>所持已获授但尚未解锁的限制性股票的议案》，公司限制性股票激励计划</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名原激励对象因个人原因离职，</w:t>
      </w:r>
    </w:p>
    <w:p>
      <w:pPr>
        <w:pStyle w:val="BodyText"/>
        <w:spacing w:line="240" w:lineRule="auto" w:before="50"/>
        <w:ind w:left="1134" w:right="0"/>
        <w:jc w:val="both"/>
      </w:pPr>
      <w:r>
        <w:rPr/>
        <w:t>已不符合激励条件，公司已对上述已获授但尚未解锁的限制性股票共计</w:t>
      </w:r>
      <w:r>
        <w:rPr>
          <w:spacing w:val="-70"/>
        </w:rPr>
        <w:t> </w:t>
      </w:r>
      <w:r>
        <w:rPr>
          <w:rFonts w:ascii="Times New Roman" w:hAnsi="Times New Roman" w:cs="Times New Roman" w:eastAsia="Times New Roman" w:hint="default"/>
        </w:rPr>
        <w:t>50,815</w:t>
      </w:r>
      <w:r>
        <w:rPr>
          <w:rFonts w:ascii="Times New Roman" w:hAnsi="Times New Roman" w:cs="Times New Roman" w:eastAsia="Times New Roman" w:hint="default"/>
          <w:spacing w:val="-25"/>
        </w:rPr>
        <w:t> </w:t>
      </w:r>
      <w:r>
        <w:rPr>
          <w:spacing w:val="-3"/>
        </w:rPr>
        <w:t>股进行回购注销。公司股份</w:t>
      </w:r>
    </w:p>
    <w:p>
      <w:pPr>
        <w:pStyle w:val="BodyText"/>
        <w:spacing w:line="240" w:lineRule="auto" w:before="50"/>
        <w:ind w:left="1134" w:right="0"/>
        <w:jc w:val="both"/>
      </w:pPr>
      <w:r>
        <w:rPr/>
        <w:t>总数由</w:t>
      </w:r>
      <w:r>
        <w:rPr>
          <w:spacing w:val="-53"/>
        </w:rPr>
        <w:t> </w:t>
      </w:r>
      <w:r>
        <w:rPr>
          <w:rFonts w:ascii="Times New Roman" w:hAnsi="Times New Roman" w:cs="Times New Roman" w:eastAsia="Times New Roman" w:hint="default"/>
        </w:rPr>
        <w:t>402,938,473</w:t>
      </w:r>
      <w:r>
        <w:rPr>
          <w:rFonts w:ascii="Times New Roman" w:hAnsi="Times New Roman" w:cs="Times New Roman" w:eastAsia="Times New Roman" w:hint="default"/>
          <w:spacing w:val="-11"/>
        </w:rPr>
        <w:t> </w:t>
      </w:r>
      <w:r>
        <w:rPr/>
        <w:t>股变更为</w:t>
      </w:r>
      <w:r>
        <w:rPr>
          <w:spacing w:val="-54"/>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0"/>
        </w:rPr>
        <w:t> </w:t>
      </w:r>
      <w:r>
        <w:rPr/>
        <w:t>股。</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日召开了第二届董事会第十九次会议，会议审议通过了《关于回购注销离职股权激励</w:t>
      </w:r>
    </w:p>
    <w:p>
      <w:pPr>
        <w:pStyle w:val="BodyText"/>
        <w:spacing w:line="240" w:lineRule="auto" w:before="50"/>
        <w:ind w:left="1134" w:right="0"/>
        <w:jc w:val="both"/>
      </w:pPr>
      <w:r>
        <w:rPr/>
        <w:t>对象所持已获授但尚未解锁的限制性股票的议案》，公司限制性股票激励计划</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8"/>
        </w:rPr>
        <w:t> </w:t>
      </w:r>
      <w:r>
        <w:rPr/>
        <w:t>名原激励对象因个人原因</w:t>
      </w:r>
    </w:p>
    <w:p>
      <w:pPr>
        <w:pStyle w:val="BodyText"/>
        <w:spacing w:line="240" w:lineRule="auto" w:before="50"/>
        <w:ind w:left="1134" w:right="0"/>
        <w:jc w:val="both"/>
      </w:pPr>
      <w:r>
        <w:rPr/>
        <w:t>离职，已不符合激励条件，公司将对上述已获授但尚未解锁的限制性股票进行回购注销。鉴于公司</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名股</w:t>
      </w:r>
    </w:p>
    <w:p>
      <w:pPr>
        <w:spacing w:after="0" w:line="240"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80" w:lineRule="auto" w:before="35"/>
        <w:ind w:left="1134" w:right="1129"/>
        <w:jc w:val="both"/>
      </w:pPr>
      <w:r>
        <w:rPr/>
        <w:t>权激励对象因</w:t>
      </w:r>
      <w:r>
        <w:rPr>
          <w:spacing w:val="-32"/>
        </w:rPr>
        <w:t> </w:t>
      </w:r>
      <w:r>
        <w:rPr>
          <w:rFonts w:ascii="Times New Roman" w:hAnsi="Times New Roman" w:cs="Times New Roman" w:eastAsia="Times New Roman" w:hint="default"/>
        </w:rPr>
        <w:t>2016 </w:t>
      </w:r>
      <w:r>
        <w:rPr/>
        <w:t>年度绩效评价结果为</w:t>
      </w:r>
      <w:r>
        <w:rPr>
          <w:spacing w:val="-32"/>
        </w:rPr>
        <w:t>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级，根据公司《限制性股票激励计划》之规定，考核结果为</w:t>
      </w:r>
      <w:r>
        <w:rPr>
          <w:spacing w:val="-32"/>
        </w:rPr>
        <w:t> </w:t>
      </w:r>
      <w:r>
        <w:rPr>
          <w:rFonts w:ascii="Times New Roman" w:hAnsi="Times New Roman" w:cs="Times New Roman" w:eastAsia="Times New Roman" w:hint="default"/>
        </w:rPr>
        <w:t>C </w:t>
      </w:r>
      <w:r>
        <w:rPr/>
        <w:t>级的股权激励对象，解锁系数为</w:t>
      </w:r>
      <w:r>
        <w:rPr>
          <w:spacing w:val="28"/>
        </w:rPr>
        <w:t> </w:t>
      </w:r>
      <w:r>
        <w:rPr>
          <w:rFonts w:ascii="Times New Roman" w:hAnsi="Times New Roman" w:cs="Times New Roman" w:eastAsia="Times New Roman" w:hint="default"/>
        </w:rPr>
        <w:t>0.8</w:t>
      </w:r>
      <w:r>
        <w:rPr/>
        <w:t>，本期未能解锁的限制性股票已由公司回购注销，以上回购注销限制</w:t>
      </w:r>
      <w:r>
        <w:rPr>
          <w:spacing w:val="-103"/>
        </w:rPr>
        <w:t> </w:t>
      </w:r>
      <w:r>
        <w:rPr>
          <w:spacing w:val="-103"/>
        </w:rPr>
      </w:r>
      <w:r>
        <w:rPr/>
        <w:t>性股票合计</w:t>
      </w:r>
      <w:r>
        <w:rPr>
          <w:spacing w:val="-52"/>
        </w:rPr>
        <w:t> </w:t>
      </w:r>
      <w:r>
        <w:rPr>
          <w:rFonts w:ascii="Times New Roman" w:hAnsi="Times New Roman" w:cs="Times New Roman" w:eastAsia="Times New Roman" w:hint="default"/>
        </w:rPr>
        <w:t>42,254</w:t>
      </w:r>
      <w:r>
        <w:rPr>
          <w:rFonts w:ascii="Times New Roman" w:hAnsi="Times New Roman" w:cs="Times New Roman" w:eastAsia="Times New Roman" w:hint="default"/>
          <w:spacing w:val="-10"/>
        </w:rPr>
        <w:t> </w:t>
      </w:r>
      <w:r>
        <w:rPr/>
        <w:t>股。</w:t>
      </w:r>
    </w:p>
    <w:p>
      <w:pPr>
        <w:spacing w:line="240" w:lineRule="auto" w:before="7"/>
        <w:rPr>
          <w:rFonts w:ascii="宋体" w:hAnsi="宋体" w:cs="宋体" w:eastAsia="宋体" w:hint="default"/>
          <w:sz w:val="17"/>
          <w:szCs w:val="17"/>
        </w:rPr>
      </w:pPr>
    </w:p>
    <w:p>
      <w:pPr>
        <w:pStyle w:val="BodyText"/>
        <w:spacing w:line="240" w:lineRule="auto"/>
        <w:ind w:right="0"/>
        <w:jc w:val="left"/>
      </w:pPr>
      <w:r>
        <w:rPr/>
        <w:t>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13"/>
        </w:rPr>
        <w:t> </w:t>
      </w:r>
      <w:r>
        <w:rPr/>
        <w:t>日召开第二届董事会第二十次会议，会议审议通过了《关于回购注销离职股权激</w:t>
      </w:r>
    </w:p>
    <w:p>
      <w:pPr>
        <w:pStyle w:val="BodyText"/>
        <w:spacing w:line="240" w:lineRule="auto" w:before="49"/>
        <w:ind w:left="1134" w:right="0"/>
        <w:jc w:val="both"/>
      </w:pPr>
      <w:r>
        <w:rPr/>
        <w:t>励对象所持已获授但尚未解锁的限制性股票的议案》，公司限制性股票激励计划 </w:t>
      </w:r>
      <w:r>
        <w:rPr>
          <w:rFonts w:ascii="Times New Roman" w:hAnsi="Times New Roman" w:cs="Times New Roman" w:eastAsia="Times New Roman" w:hint="default"/>
        </w:rPr>
        <w:t>25</w:t>
      </w:r>
      <w:r>
        <w:rPr>
          <w:rFonts w:ascii="Times New Roman" w:hAnsi="Times New Roman" w:cs="Times New Roman" w:eastAsia="Times New Roman" w:hint="default"/>
          <w:spacing w:val="29"/>
        </w:rPr>
        <w:t> </w:t>
      </w:r>
      <w:r>
        <w:rPr/>
        <w:t>名原激励对象因个人</w:t>
      </w:r>
    </w:p>
    <w:p>
      <w:pPr>
        <w:pStyle w:val="BodyText"/>
        <w:spacing w:line="240" w:lineRule="auto" w:before="50"/>
        <w:ind w:right="0" w:hanging="420"/>
        <w:jc w:val="left"/>
      </w:pPr>
      <w:r>
        <w:rPr/>
        <w:t>原因离职，已不符合激励条件，公司将对上述已获授但尚未解锁的</w:t>
      </w:r>
      <w:r>
        <w:rPr>
          <w:spacing w:val="-54"/>
        </w:rPr>
        <w:t> </w:t>
      </w:r>
      <w:r>
        <w:rPr>
          <w:rFonts w:ascii="Times New Roman" w:hAnsi="Times New Roman" w:cs="Times New Roman" w:eastAsia="Times New Roman" w:hint="default"/>
        </w:rPr>
        <w:t>506,176</w:t>
      </w:r>
      <w:r>
        <w:rPr>
          <w:rFonts w:ascii="Times New Roman" w:hAnsi="Times New Roman" w:cs="Times New Roman" w:eastAsia="Times New Roman" w:hint="default"/>
          <w:spacing w:val="-12"/>
        </w:rPr>
        <w:t> </w:t>
      </w:r>
      <w:r>
        <w:rPr/>
        <w:t>股限制性股票进行回购注销。</w:t>
      </w:r>
    </w:p>
    <w:p>
      <w:pPr>
        <w:spacing w:line="240" w:lineRule="auto" w:before="6"/>
        <w:rPr>
          <w:rFonts w:ascii="宋体" w:hAnsi="宋体" w:cs="宋体" w:eastAsia="宋体" w:hint="default"/>
          <w:sz w:val="20"/>
          <w:szCs w:val="20"/>
        </w:rPr>
      </w:pPr>
    </w:p>
    <w:p>
      <w:pPr>
        <w:pStyle w:val="BodyText"/>
        <w:spacing w:line="297" w:lineRule="auto"/>
        <w:ind w:left="1134" w:right="1116" w:firstLine="420"/>
        <w:jc w:val="left"/>
      </w:pPr>
      <w:r>
        <w:rPr>
          <w:spacing w:val="3"/>
        </w:rPr>
        <w:t>董事会第十九次会议和第二十次会议回购离职员工股权激励限制性股票事项公司共合计回购限制性</w:t>
      </w:r>
      <w:r>
        <w:rPr/>
        <w:t> 股票</w:t>
      </w:r>
      <w:r>
        <w:rPr>
          <w:spacing w:val="-54"/>
        </w:rPr>
        <w:t> </w:t>
      </w:r>
      <w:r>
        <w:rPr>
          <w:rFonts w:ascii="Times New Roman" w:hAnsi="Times New Roman" w:cs="Times New Roman" w:eastAsia="Times New Roman" w:hint="default"/>
        </w:rPr>
        <w:t>548,430</w:t>
      </w:r>
      <w:r>
        <w:rPr>
          <w:rFonts w:ascii="Times New Roman" w:hAnsi="Times New Roman" w:cs="Times New Roman" w:eastAsia="Times New Roman" w:hint="default"/>
          <w:spacing w:val="-12"/>
        </w:rPr>
        <w:t> </w:t>
      </w:r>
      <w:r>
        <w:rPr/>
        <w:t>股，公司股份总数由</w:t>
      </w:r>
      <w:r>
        <w:rPr>
          <w:spacing w:val="-54"/>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0"/>
        </w:rPr>
        <w:t> </w:t>
      </w:r>
      <w:r>
        <w:rPr/>
        <w:t>股变更为</w:t>
      </w:r>
      <w:r>
        <w:rPr>
          <w:spacing w:val="-54"/>
        </w:rPr>
        <w:t> </w:t>
      </w:r>
      <w:r>
        <w:rPr>
          <w:rFonts w:ascii="Times New Roman" w:hAnsi="Times New Roman" w:cs="Times New Roman" w:eastAsia="Times New Roman" w:hint="default"/>
        </w:rPr>
        <w:t>402,339,228</w:t>
      </w:r>
      <w:r>
        <w:rPr>
          <w:rFonts w:ascii="Times New Roman" w:hAnsi="Times New Roman" w:cs="Times New Roman" w:eastAsia="Times New Roman" w:hint="default"/>
          <w:spacing w:val="-11"/>
        </w:rPr>
        <w:t> </w:t>
      </w:r>
      <w:r>
        <w:rPr/>
        <w:t>股。</w:t>
      </w:r>
    </w:p>
    <w:p>
      <w:pPr>
        <w:spacing w:line="240" w:lineRule="auto" w:before="3"/>
        <w:rPr>
          <w:rFonts w:ascii="宋体" w:hAnsi="宋体" w:cs="宋体" w:eastAsia="宋体" w:hint="default"/>
          <w:sz w:val="16"/>
          <w:szCs w:val="16"/>
        </w:rPr>
      </w:pPr>
    </w:p>
    <w:p>
      <w:pPr>
        <w:pStyle w:val="BodyText"/>
        <w:spacing w:line="280" w:lineRule="auto"/>
        <w:ind w:left="1134" w:right="1120" w:firstLine="420"/>
        <w:jc w:val="left"/>
      </w:pPr>
      <w:r>
        <w:rPr/>
        <w:t>公司实施</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年股权激励计划，向激励对象定向发行</w:t>
      </w:r>
      <w:r>
        <w:rPr>
          <w:spacing w:val="-60"/>
        </w:rPr>
        <w:t> </w:t>
      </w:r>
      <w:r>
        <w:rPr>
          <w:rFonts w:ascii="Times New Roman" w:hAnsi="Times New Roman" w:cs="Times New Roman" w:eastAsia="Times New Roman" w:hint="default"/>
        </w:rPr>
        <w:t>2,685,000</w:t>
      </w:r>
      <w:r>
        <w:rPr>
          <w:rFonts w:ascii="Times New Roman" w:hAnsi="Times New Roman" w:cs="Times New Roman" w:eastAsia="Times New Roman" w:hint="default"/>
          <w:spacing w:val="-17"/>
        </w:rPr>
        <w:t> </w:t>
      </w:r>
      <w:r>
        <w:rPr/>
        <w:t>股公司</w:t>
      </w:r>
      <w:r>
        <w:rPr>
          <w:spacing w:val="-61"/>
        </w:rPr>
        <w:t> </w:t>
      </w: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t>股普通股股票，本次限制性 股票已于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日上市。至此公司股份总数由</w:t>
      </w:r>
      <w:r>
        <w:rPr>
          <w:spacing w:val="-53"/>
        </w:rPr>
        <w:t> </w:t>
      </w:r>
      <w:r>
        <w:rPr>
          <w:rFonts w:ascii="Times New Roman" w:hAnsi="Times New Roman" w:cs="Times New Roman" w:eastAsia="Times New Roman" w:hint="default"/>
        </w:rPr>
        <w:t>402,339,228</w:t>
      </w:r>
      <w:r>
        <w:rPr>
          <w:rFonts w:ascii="Times New Roman" w:hAnsi="Times New Roman" w:cs="Times New Roman" w:eastAsia="Times New Roman" w:hint="default"/>
          <w:spacing w:val="-11"/>
        </w:rPr>
        <w:t> </w:t>
      </w:r>
      <w:r>
        <w:rPr/>
        <w:t>股增加至</w:t>
      </w:r>
      <w:r>
        <w:rPr>
          <w:spacing w:val="-53"/>
        </w:rPr>
        <w:t> </w:t>
      </w:r>
      <w:r>
        <w:rPr>
          <w:rFonts w:ascii="Times New Roman" w:hAnsi="Times New Roman" w:cs="Times New Roman" w:eastAsia="Times New Roman" w:hint="default"/>
        </w:rPr>
        <w:t>405,024,228</w:t>
      </w:r>
      <w:r>
        <w:rPr>
          <w:rFonts w:ascii="Times New Roman" w:hAnsi="Times New Roman" w:cs="Times New Roman" w:eastAsia="Times New Roman" w:hint="default"/>
          <w:spacing w:val="-11"/>
        </w:rPr>
        <w:t> </w:t>
      </w:r>
      <w:r>
        <w:rPr/>
        <w:t>股。</w:t>
      </w:r>
    </w:p>
    <w:p>
      <w:pPr>
        <w:spacing w:line="240" w:lineRule="auto" w:before="7"/>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1"/>
        </w:rPr>
        <w:t> </w:t>
      </w:r>
      <w:r>
        <w:rPr/>
        <w:t>月</w:t>
      </w:r>
      <w:r>
        <w:rPr>
          <w:spacing w:val="-64"/>
        </w:rPr>
        <w:t> </w:t>
      </w:r>
      <w:r>
        <w:rPr>
          <w:rFonts w:ascii="Times New Roman" w:hAnsi="Times New Roman" w:cs="Times New Roman" w:eastAsia="Times New Roman" w:hint="default"/>
        </w:rPr>
        <w:t>14</w:t>
      </w:r>
      <w:r>
        <w:rPr>
          <w:rFonts w:ascii="Times New Roman" w:hAnsi="Times New Roman" w:cs="Times New Roman" w:eastAsia="Times New Roman" w:hint="default"/>
          <w:spacing w:val="-19"/>
        </w:rPr>
        <w:t> </w:t>
      </w:r>
      <w:r>
        <w:rPr/>
        <w:t>日召开的第二届董事会第二十六次会议审议通过了《关于回购注销离职股权激励对象</w:t>
      </w:r>
    </w:p>
    <w:p>
      <w:pPr>
        <w:pStyle w:val="BodyText"/>
        <w:spacing w:line="240" w:lineRule="auto" w:before="49"/>
        <w:ind w:left="1134" w:right="0"/>
        <w:jc w:val="both"/>
      </w:pPr>
      <w:r>
        <w:rPr/>
        <w:t>所持已获授但尚未解锁的限制性股票的议案》同意回购注销武楠等 </w:t>
      </w:r>
      <w:r>
        <w:rPr>
          <w:rFonts w:ascii="Times New Roman" w:hAnsi="Times New Roman" w:cs="Times New Roman" w:eastAsia="Times New Roman" w:hint="default"/>
        </w:rPr>
        <w:t>67</w:t>
      </w:r>
      <w:r>
        <w:rPr>
          <w:rFonts w:ascii="Times New Roman" w:hAnsi="Times New Roman" w:cs="Times New Roman" w:eastAsia="Times New Roman" w:hint="default"/>
          <w:spacing w:val="28"/>
        </w:rPr>
        <w:t> </w:t>
      </w:r>
      <w:r>
        <w:rPr/>
        <w:t>名激励对象尚未解锁的限制性股票</w:t>
      </w:r>
    </w:p>
    <w:p>
      <w:pPr>
        <w:pStyle w:val="BodyText"/>
        <w:spacing w:line="240" w:lineRule="auto" w:before="50"/>
        <w:ind w:left="1134" w:right="0"/>
        <w:jc w:val="both"/>
      </w:pPr>
      <w:r>
        <w:rPr>
          <w:rFonts w:ascii="Times New Roman" w:hAnsi="Times New Roman" w:cs="Times New Roman" w:eastAsia="Times New Roman" w:hint="default"/>
        </w:rPr>
        <w:t>1,145,606 </w:t>
      </w:r>
      <w:r>
        <w:rPr/>
        <w:t>股，此次回购注销已在中国结算中心注销登记完成。至此，公司注册资本由 </w:t>
      </w:r>
      <w:r>
        <w:rPr>
          <w:rFonts w:ascii="Times New Roman" w:hAnsi="Times New Roman" w:cs="Times New Roman" w:eastAsia="Times New Roman" w:hint="default"/>
        </w:rPr>
        <w:t>405,024,228</w:t>
      </w:r>
      <w:r>
        <w:rPr>
          <w:rFonts w:ascii="Times New Roman" w:hAnsi="Times New Roman" w:cs="Times New Roman" w:eastAsia="Times New Roman" w:hint="default"/>
          <w:spacing w:val="-24"/>
        </w:rPr>
        <w:t> </w:t>
      </w:r>
      <w:r>
        <w:rPr/>
        <w:t>元减少</w:t>
      </w:r>
    </w:p>
    <w:p>
      <w:pPr>
        <w:pStyle w:val="BodyText"/>
        <w:spacing w:line="240" w:lineRule="auto" w:before="50"/>
        <w:ind w:left="1133" w:right="0"/>
        <w:jc w:val="both"/>
      </w:pPr>
      <w:r>
        <w:rPr/>
        <w:t>至</w:t>
      </w:r>
      <w:r>
        <w:rPr>
          <w:spacing w:val="-53"/>
        </w:rPr>
        <w:t> </w:t>
      </w:r>
      <w:r>
        <w:rPr>
          <w:rFonts w:ascii="Times New Roman" w:hAnsi="Times New Roman" w:cs="Times New Roman" w:eastAsia="Times New Roman" w:hint="default"/>
        </w:rPr>
        <w:t>403,878,622</w:t>
      </w:r>
      <w:r>
        <w:rPr>
          <w:rFonts w:ascii="Times New Roman" w:hAnsi="Times New Roman" w:cs="Times New Roman" w:eastAsia="Times New Roman" w:hint="default"/>
          <w:spacing w:val="-11"/>
        </w:rPr>
        <w:t> </w:t>
      </w:r>
      <w:r>
        <w:rPr/>
        <w:t>元。</w:t>
      </w:r>
    </w:p>
    <w:p>
      <w:pPr>
        <w:spacing w:line="240" w:lineRule="auto" w:before="6"/>
        <w:rPr>
          <w:rFonts w:ascii="宋体" w:hAnsi="宋体" w:cs="宋体" w:eastAsia="宋体" w:hint="default"/>
          <w:sz w:val="20"/>
          <w:szCs w:val="20"/>
        </w:rPr>
      </w:pPr>
    </w:p>
    <w:p>
      <w:pPr>
        <w:pStyle w:val="BodyText"/>
        <w:spacing w:line="280" w:lineRule="auto"/>
        <w:ind w:left="1134" w:right="1126" w:firstLine="420"/>
        <w:jc w:val="left"/>
      </w:pPr>
      <w:r>
        <w:rPr/>
        <w:t>截止到</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4"/>
        </w:rPr>
        <w:t>日，公司资产总额</w:t>
      </w:r>
      <w:r>
        <w:rPr>
          <w:spacing w:val="-51"/>
        </w:rPr>
        <w:t> </w:t>
      </w:r>
      <w:r>
        <w:rPr>
          <w:rFonts w:ascii="Times New Roman" w:hAnsi="Times New Roman" w:cs="Times New Roman" w:eastAsia="Times New Roman" w:hint="default"/>
        </w:rPr>
        <w:t>265,763.06</w:t>
      </w:r>
      <w:r>
        <w:rPr>
          <w:rFonts w:ascii="Times New Roman" w:hAnsi="Times New Roman" w:cs="Times New Roman" w:eastAsia="Times New Roman" w:hint="default"/>
          <w:spacing w:val="-9"/>
        </w:rPr>
        <w:t> </w:t>
      </w:r>
      <w:r>
        <w:rPr>
          <w:spacing w:val="-4"/>
        </w:rPr>
        <w:t>万元，负债合计为</w:t>
      </w:r>
      <w:r>
        <w:rPr>
          <w:spacing w:val="-51"/>
        </w:rPr>
        <w:t> </w:t>
      </w:r>
      <w:r>
        <w:rPr>
          <w:rFonts w:ascii="Times New Roman" w:hAnsi="Times New Roman" w:cs="Times New Roman" w:eastAsia="Times New Roman" w:hint="default"/>
        </w:rPr>
        <w:t>135,091.80</w:t>
      </w:r>
      <w:r>
        <w:rPr>
          <w:rFonts w:ascii="Times New Roman" w:hAnsi="Times New Roman" w:cs="Times New Roman" w:eastAsia="Times New Roman" w:hint="default"/>
          <w:spacing w:val="-9"/>
        </w:rPr>
        <w:t> </w:t>
      </w:r>
      <w:r>
        <w:rPr>
          <w:spacing w:val="-4"/>
        </w:rPr>
        <w:t>万元，所有者权益</w:t>
      </w:r>
      <w:r>
        <w:rPr/>
        <w:t> 为</w:t>
      </w:r>
      <w:r>
        <w:rPr>
          <w:spacing w:val="-53"/>
        </w:rPr>
        <w:t> </w:t>
      </w:r>
      <w:r>
        <w:rPr>
          <w:rFonts w:ascii="Times New Roman" w:hAnsi="Times New Roman" w:cs="Times New Roman" w:eastAsia="Times New Roman" w:hint="default"/>
        </w:rPr>
        <w:t>130,671.26</w:t>
      </w:r>
      <w:r>
        <w:rPr>
          <w:rFonts w:ascii="Times New Roman" w:hAnsi="Times New Roman" w:cs="Times New Roman" w:eastAsia="Times New Roman" w:hint="default"/>
          <w:spacing w:val="-10"/>
        </w:rPr>
        <w:t> </w:t>
      </w:r>
      <w:r>
        <w:rPr/>
        <w:t>万元。资产负债率为</w:t>
      </w:r>
      <w:r>
        <w:rPr>
          <w:spacing w:val="-53"/>
        </w:rPr>
        <w:t> </w:t>
      </w:r>
      <w:r>
        <w:rPr>
          <w:rFonts w:ascii="Times New Roman" w:hAnsi="Times New Roman" w:cs="Times New Roman" w:eastAsia="Times New Roman" w:hint="default"/>
        </w:rPr>
        <w:t>50.83%</w:t>
      </w:r>
      <w:r>
        <w:rPr/>
        <w:t>。</w:t>
      </w:r>
    </w:p>
    <w:p>
      <w:pPr>
        <w:spacing w:line="240" w:lineRule="auto" w:before="12"/>
        <w:rPr>
          <w:rFonts w:ascii="宋体" w:hAnsi="宋体" w:cs="宋体" w:eastAsia="宋体" w:hint="default"/>
          <w:sz w:val="16"/>
          <w:szCs w:val="16"/>
        </w:rPr>
      </w:pPr>
    </w:p>
    <w:p>
      <w:pPr>
        <w:pStyle w:val="BodyText"/>
        <w:spacing w:line="240" w:lineRule="auto"/>
        <w:ind w:right="0"/>
        <w:jc w:val="left"/>
        <w:rPr>
          <w:rFonts w:ascii="微软雅黑" w:hAnsi="微软雅黑" w:cs="微软雅黑" w:eastAsia="微软雅黑" w:hint="default"/>
        </w:rPr>
      </w:pPr>
      <w:bookmarkStart w:name="3、现存的内部职工股情况" w:id="114"/>
      <w:bookmarkEnd w:id="114"/>
      <w:r>
        <w:rPr/>
      </w:r>
      <w:r>
        <w:rPr>
          <w:rFonts w:ascii="Times New Roman" w:hAnsi="Times New Roman" w:cs="Times New Roman" w:eastAsia="Times New Roman" w:hint="default"/>
        </w:rPr>
        <w:t>3</w:t>
      </w:r>
      <w:r>
        <w:rPr>
          <w:rFonts w:ascii="微软雅黑" w:hAnsi="微软雅黑" w:cs="微软雅黑" w:eastAsia="微软雅黑" w:hint="default"/>
        </w:rPr>
        <w:t>、现存的内部职工股情况</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both"/>
      </w:pPr>
      <w:bookmarkStart w:name="三、股东和实际控制人情况" w:id="115"/>
      <w:bookmarkEnd w:id="115"/>
      <w:r>
        <w:rPr/>
      </w:r>
      <w:r>
        <w:rPr/>
        <w:t>三、股东和实际控制人情况</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公司股东数量及持股情况" w:id="116"/>
      <w:bookmarkEnd w:id="116"/>
      <w:r>
        <w:rPr/>
      </w:r>
      <w:r>
        <w:rPr>
          <w:rFonts w:ascii="Times New Roman" w:hAnsi="Times New Roman" w:cs="Times New Roman" w:eastAsia="Times New Roman" w:hint="default"/>
        </w:rPr>
        <w:t>1</w:t>
      </w:r>
      <w:r>
        <w:rPr>
          <w:rFonts w:ascii="微软雅黑" w:hAnsi="微软雅黑" w:cs="微软雅黑" w:eastAsia="微软雅黑" w:hint="default"/>
        </w:rPr>
        <w:t>、公司股东数量及持股情况</w:t>
      </w:r>
    </w:p>
    <w:p>
      <w:pPr>
        <w:spacing w:line="240" w:lineRule="auto" w:before="0"/>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323"/>
        <w:gridCol w:w="133"/>
        <w:gridCol w:w="592"/>
        <w:gridCol w:w="534"/>
        <w:gridCol w:w="734"/>
        <w:gridCol w:w="1153"/>
        <w:gridCol w:w="422"/>
        <w:gridCol w:w="574"/>
        <w:gridCol w:w="1116"/>
        <w:gridCol w:w="108"/>
        <w:gridCol w:w="918"/>
        <w:gridCol w:w="90"/>
        <w:gridCol w:w="959"/>
        <w:gridCol w:w="221"/>
        <w:gridCol w:w="979"/>
      </w:tblGrid>
      <w:tr>
        <w:trPr>
          <w:trHeight w:val="1778" w:hRule="exact"/>
        </w:trPr>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32" w:lineRule="exact"/>
              <w:ind w:left="206" w:right="115" w:hanging="9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24"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53,250</w:t>
            </w:r>
          </w:p>
        </w:tc>
        <w:tc>
          <w:tcPr>
            <w:tcW w:w="12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9"/>
              <w:ind w:left="160" w:right="195"/>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575"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967" w:right="0"/>
              <w:jc w:val="left"/>
              <w:rPr>
                <w:rFonts w:ascii="Times New Roman" w:hAnsi="Times New Roman" w:cs="Times New Roman" w:eastAsia="Times New Roman" w:hint="default"/>
                <w:sz w:val="18"/>
                <w:szCs w:val="18"/>
              </w:rPr>
            </w:pPr>
            <w:r>
              <w:rPr>
                <w:rFonts w:ascii="Times New Roman"/>
                <w:sz w:val="18"/>
              </w:rPr>
              <w:t>46,146</w:t>
            </w:r>
          </w:p>
        </w:tc>
        <w:tc>
          <w:tcPr>
            <w:tcW w:w="17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7" w:lineRule="auto"/>
              <w:ind w:left="103" w:right="11" w:hanging="90"/>
              <w:jc w:val="center"/>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30"/>
                <w:sz w:val="18"/>
                <w:szCs w:val="18"/>
              </w:rPr>
              <w:t>数（如有）（参见注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08"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34" w:right="134"/>
              <w:jc w:val="both"/>
              <w:rPr>
                <w:rFonts w:ascii="宋体" w:hAnsi="宋体" w:cs="宋体" w:eastAsia="宋体" w:hint="default"/>
                <w:sz w:val="18"/>
                <w:szCs w:val="18"/>
              </w:rPr>
            </w:pPr>
            <w:r>
              <w:rPr>
                <w:rFonts w:ascii="宋体" w:hAnsi="宋体" w:cs="宋体" w:eastAsia="宋体" w:hint="default"/>
                <w:sz w:val="18"/>
                <w:szCs w:val="18"/>
              </w:rPr>
              <w:t>年度报告披 露日前上一 月末表决权 恢复的优先 股股东总数</w:t>
            </w:r>
          </w:p>
          <w:p>
            <w:pPr>
              <w:pStyle w:val="TableParagraph"/>
              <w:spacing w:line="234" w:lineRule="exact" w:before="20"/>
              <w:ind w:left="247" w:right="101" w:hanging="144"/>
              <w:jc w:val="left"/>
              <w:rPr>
                <w:rFonts w:ascii="宋体" w:hAnsi="宋体" w:cs="宋体" w:eastAsia="宋体" w:hint="default"/>
                <w:sz w:val="18"/>
                <w:szCs w:val="18"/>
              </w:rPr>
            </w:pPr>
            <w:r>
              <w:rPr>
                <w:rFonts w:ascii="宋体" w:hAnsi="宋体" w:cs="宋体" w:eastAsia="宋体" w:hint="default"/>
                <w:spacing w:val="-20"/>
                <w:sz w:val="18"/>
                <w:szCs w:val="18"/>
              </w:rPr>
              <w:t>（如有）（参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979"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87" w:hRule="exact"/>
        </w:trPr>
        <w:tc>
          <w:tcPr>
            <w:tcW w:w="98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320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23" w:hRule="exact"/>
        </w:trPr>
        <w:tc>
          <w:tcPr>
            <w:tcW w:w="1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127"/>
              <w:ind w:left="200" w:right="162"/>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319" w:right="10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44"/>
              <w:ind w:left="133" w:right="1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44"/>
              <w:ind w:left="103" w:right="10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44"/>
              <w:ind w:left="147" w:right="14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2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8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21" w:hRule="exact"/>
        </w:trPr>
        <w:tc>
          <w:tcPr>
            <w:tcW w:w="1456" w:type="dxa"/>
            <w:gridSpan w:val="2"/>
            <w:vMerge/>
            <w:tcBorders>
              <w:left w:val="single" w:sz="4" w:space="0" w:color="000000"/>
              <w:bottom w:val="single" w:sz="4" w:space="0" w:color="000000"/>
              <w:right w:val="single" w:sz="4" w:space="0" w:color="000000"/>
            </w:tcBorders>
            <w:shd w:val="clear" w:color="auto" w:fill="D2D2D2"/>
          </w:tcPr>
          <w:p>
            <w:pPr/>
          </w:p>
        </w:tc>
        <w:tc>
          <w:tcPr>
            <w:tcW w:w="1126" w:type="dxa"/>
            <w:gridSpan w:val="2"/>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996" w:type="dxa"/>
            <w:gridSpan w:val="2"/>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026" w:type="dxa"/>
            <w:gridSpan w:val="2"/>
            <w:vMerge/>
            <w:tcBorders>
              <w:left w:val="single" w:sz="4" w:space="0" w:color="000000"/>
              <w:bottom w:val="single" w:sz="4" w:space="0" w:color="000000"/>
              <w:right w:val="single" w:sz="4" w:space="0" w:color="000000"/>
            </w:tcBorders>
            <w:shd w:val="clear" w:color="auto" w:fill="D2D2D2"/>
          </w:tcPr>
          <w:p>
            <w:pPr/>
          </w:p>
        </w:tc>
        <w:tc>
          <w:tcPr>
            <w:tcW w:w="10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8" w:hRule="exact"/>
        </w:trPr>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9" w:right="0"/>
              <w:jc w:val="center"/>
              <w:rPr>
                <w:rFonts w:ascii="Times New Roman" w:hAnsi="Times New Roman" w:cs="Times New Roman" w:eastAsia="Times New Roman" w:hint="default"/>
                <w:sz w:val="18"/>
                <w:szCs w:val="18"/>
              </w:rPr>
            </w:pPr>
            <w:r>
              <w:rPr>
                <w:rFonts w:ascii="Times New Roman"/>
                <w:sz w:val="18"/>
              </w:rPr>
              <w:t>35.15%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Times New Roman" w:hAnsi="Times New Roman" w:cs="Times New Roman" w:eastAsia="Times New Roman" w:hint="default"/>
                <w:sz w:val="18"/>
                <w:szCs w:val="18"/>
              </w:rPr>
            </w:pPr>
            <w:r>
              <w:rPr>
                <w:rFonts w:ascii="Times New Roman"/>
                <w:sz w:val="18"/>
              </w:rPr>
              <w:t>141,974,706</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141,974,706</w:t>
            </w:r>
          </w:p>
        </w:tc>
        <w:tc>
          <w:tcPr>
            <w:tcW w:w="1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049" w:type="dxa"/>
            <w:gridSpan w:val="2"/>
            <w:tcBorders>
              <w:top w:val="single" w:sz="16" w:space="0" w:color="D2D2D2"/>
              <w:left w:val="single" w:sz="4" w:space="0" w:color="000000"/>
              <w:bottom w:val="single" w:sz="4" w:space="0" w:color="000000"/>
              <w:right w:val="single" w:sz="4" w:space="0" w:color="000000"/>
            </w:tcBorders>
          </w:tcPr>
          <w:p>
            <w:pPr>
              <w:pStyle w:val="TableParagraph"/>
              <w:spacing w:line="240" w:lineRule="auto" w:before="36"/>
              <w:ind w:left="57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0" w:type="dxa"/>
            <w:gridSpan w:val="2"/>
            <w:tcBorders>
              <w:top w:val="single" w:sz="16" w:space="0" w:color="D2D2D2"/>
              <w:left w:val="single" w:sz="4" w:space="0" w:color="000000"/>
              <w:bottom w:val="single" w:sz="4" w:space="0" w:color="000000"/>
              <w:right w:val="single" w:sz="4" w:space="0" w:color="000000"/>
            </w:tcBorders>
          </w:tcPr>
          <w:p>
            <w:pPr>
              <w:pStyle w:val="TableParagraph"/>
              <w:spacing w:line="240" w:lineRule="auto" w:before="75"/>
              <w:ind w:left="277" w:right="0"/>
              <w:jc w:val="left"/>
              <w:rPr>
                <w:rFonts w:ascii="Times New Roman" w:hAnsi="Times New Roman" w:cs="Times New Roman" w:eastAsia="Times New Roman" w:hint="default"/>
                <w:sz w:val="18"/>
                <w:szCs w:val="18"/>
              </w:rPr>
            </w:pPr>
            <w:r>
              <w:rPr>
                <w:rFonts w:ascii="Times New Roman"/>
                <w:sz w:val="18"/>
              </w:rPr>
              <w:t>62,612,989</w:t>
            </w:r>
          </w:p>
        </w:tc>
      </w:tr>
      <w:tr>
        <w:trPr>
          <w:trHeight w:val="407" w:hRule="exact"/>
        </w:trPr>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越超有限公司</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9" w:right="0"/>
              <w:jc w:val="center"/>
              <w:rPr>
                <w:rFonts w:ascii="Times New Roman" w:hAnsi="Times New Roman" w:cs="Times New Roman" w:eastAsia="Times New Roman" w:hint="default"/>
                <w:sz w:val="18"/>
                <w:szCs w:val="18"/>
              </w:rPr>
            </w:pPr>
            <w:r>
              <w:rPr>
                <w:rFonts w:ascii="Times New Roman"/>
                <w:sz w:val="18"/>
              </w:rPr>
              <w:t>6.90%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6" w:right="0"/>
              <w:jc w:val="center"/>
              <w:rPr>
                <w:rFonts w:ascii="Times New Roman" w:hAnsi="Times New Roman" w:cs="Times New Roman" w:eastAsia="Times New Roman" w:hint="default"/>
                <w:sz w:val="18"/>
                <w:szCs w:val="18"/>
              </w:rPr>
            </w:pPr>
            <w:r>
              <w:rPr>
                <w:rFonts w:ascii="Times New Roman"/>
                <w:sz w:val="18"/>
              </w:rPr>
              <w:t>27,855,706</w:t>
            </w:r>
          </w:p>
        </w:tc>
        <w:tc>
          <w:tcPr>
            <w:tcW w:w="9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-4,999,983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0</w:t>
            </w:r>
          </w:p>
        </w:tc>
        <w:tc>
          <w:tcPr>
            <w:tcW w:w="1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27,855,706</w:t>
            </w:r>
          </w:p>
        </w:tc>
        <w:tc>
          <w:tcPr>
            <w:tcW w:w="1049"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456"/>
        <w:gridCol w:w="1126"/>
        <w:gridCol w:w="770"/>
        <w:gridCol w:w="1116"/>
        <w:gridCol w:w="996"/>
        <w:gridCol w:w="1116"/>
        <w:gridCol w:w="1026"/>
        <w:gridCol w:w="1049"/>
        <w:gridCol w:w="1200"/>
      </w:tblGrid>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3.68%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0" w:right="0"/>
              <w:jc w:val="center"/>
              <w:rPr>
                <w:rFonts w:ascii="Times New Roman" w:hAnsi="Times New Roman" w:cs="Times New Roman" w:eastAsia="Times New Roman" w:hint="default"/>
                <w:sz w:val="18"/>
                <w:szCs w:val="18"/>
              </w:rPr>
            </w:pPr>
            <w:r>
              <w:rPr>
                <w:rFonts w:ascii="Times New Roman"/>
                <w:sz w:val="18"/>
              </w:rPr>
              <w:t>14,878,046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14,050,000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828,046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12,378,046</w:t>
            </w:r>
          </w:p>
        </w:tc>
      </w:tr>
      <w:tr>
        <w:trPr>
          <w:trHeight w:val="60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大洋中科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SPC</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14,805,441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-4,000,000</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14,805,441</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261"/>
              <w:jc w:val="both"/>
              <w:rPr>
                <w:rFonts w:ascii="宋体" w:hAnsi="宋体" w:cs="宋体" w:eastAsia="宋体" w:hint="default"/>
                <w:sz w:val="18"/>
                <w:szCs w:val="18"/>
              </w:rPr>
            </w:pPr>
            <w:r>
              <w:rPr>
                <w:rFonts w:ascii="宋体" w:hAnsi="宋体" w:cs="宋体" w:eastAsia="宋体" w:hint="default"/>
                <w:sz w:val="18"/>
                <w:szCs w:val="18"/>
              </w:rPr>
              <w:t>国科瑞祺物联 网创业投资有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11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1.61%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6,500,000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-4,658,535</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548"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102"/>
              <w:jc w:val="left"/>
              <w:rPr>
                <w:rFonts w:ascii="Times New Roman" w:hAnsi="Times New Roman" w:cs="Times New Roman" w:eastAsia="Times New Roman" w:hint="default"/>
                <w:sz w:val="18"/>
                <w:szCs w:val="18"/>
              </w:rPr>
            </w:pPr>
            <w:r>
              <w:rPr>
                <w:rFonts w:ascii="Times New Roman"/>
                <w:sz w:val="18"/>
              </w:rPr>
              <w:t>Qualcomm</w:t>
            </w:r>
            <w:r>
              <w:rPr>
                <w:rFonts w:ascii="Times New Roman"/>
                <w:w w:val="99"/>
                <w:sz w:val="18"/>
              </w:rPr>
              <w:t> </w:t>
            </w:r>
            <w:r>
              <w:rPr>
                <w:rFonts w:ascii="Times New Roman"/>
                <w:sz w:val="18"/>
              </w:rPr>
              <w:t>International,Inc.</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Times New Roman" w:hAnsi="Times New Roman" w:cs="Times New Roman" w:eastAsia="Times New Roman" w:hint="default"/>
                <w:sz w:val="18"/>
                <w:szCs w:val="18"/>
              </w:rPr>
            </w:pPr>
            <w:r>
              <w:rPr>
                <w:rFonts w:ascii="Times New Roman"/>
                <w:sz w:val="18"/>
              </w:rPr>
              <w:t>1.53%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80" w:right="0"/>
              <w:jc w:val="center"/>
              <w:rPr>
                <w:rFonts w:ascii="Times New Roman" w:hAnsi="Times New Roman" w:cs="Times New Roman" w:eastAsia="Times New Roman" w:hint="default"/>
                <w:sz w:val="18"/>
                <w:szCs w:val="18"/>
              </w:rPr>
            </w:pPr>
            <w:r>
              <w:rPr>
                <w:rFonts w:ascii="Times New Roman"/>
                <w:sz w:val="18"/>
              </w:rPr>
              <w:t>6,199,190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w w:val="95"/>
                <w:sz w:val="18"/>
              </w:rPr>
              <w:t>-6,199,190</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3,099,595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z w:val="18"/>
              </w:rPr>
              <w:t>3,099,595</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0" w:right="0"/>
              <w:jc w:val="center"/>
              <w:rPr>
                <w:rFonts w:ascii="Times New Roman" w:hAnsi="Times New Roman" w:cs="Times New Roman" w:eastAsia="Times New Roman" w:hint="default"/>
                <w:sz w:val="18"/>
                <w:szCs w:val="18"/>
              </w:rPr>
            </w:pPr>
            <w:r>
              <w:rPr>
                <w:rFonts w:ascii="Times New Roman"/>
                <w:sz w:val="18"/>
              </w:rPr>
              <w:t>6,169,489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4,627,117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1,542,372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0" w:right="0"/>
              <w:jc w:val="center"/>
              <w:rPr>
                <w:rFonts w:ascii="Times New Roman" w:hAnsi="Times New Roman" w:cs="Times New Roman" w:eastAsia="Times New Roman" w:hint="default"/>
                <w:sz w:val="18"/>
                <w:szCs w:val="18"/>
              </w:rPr>
            </w:pPr>
            <w:r>
              <w:rPr>
                <w:rFonts w:ascii="Times New Roman"/>
                <w:sz w:val="18"/>
              </w:rPr>
              <w:t>5,858,546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4,393,909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1,464,637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4,160,000</w:t>
            </w:r>
          </w:p>
        </w:tc>
      </w:tr>
      <w:tr>
        <w:trPr>
          <w:trHeight w:val="60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60"/>
              <w:jc w:val="left"/>
              <w:rPr>
                <w:rFonts w:ascii="宋体" w:hAnsi="宋体" w:cs="宋体" w:eastAsia="宋体" w:hint="default"/>
                <w:sz w:val="18"/>
                <w:szCs w:val="18"/>
              </w:rPr>
            </w:pPr>
            <w:r>
              <w:rPr>
                <w:rFonts w:ascii="宋体" w:hAnsi="宋体" w:cs="宋体" w:eastAsia="宋体" w:hint="default"/>
                <w:sz w:val="18"/>
                <w:szCs w:val="18"/>
              </w:rPr>
              <w:t>展讯通信（天 津）有限公司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1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4,697,956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-4,023,393</w:t>
            </w:r>
            <w:r>
              <w:rPr>
                <w:rFonts w:ascii="Times New Roman"/>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2,180,337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2,517,619</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1"/>
              <w:jc w:val="left"/>
              <w:rPr>
                <w:rFonts w:ascii="宋体" w:hAnsi="宋体" w:cs="宋体" w:eastAsia="宋体" w:hint="default"/>
                <w:sz w:val="18"/>
                <w:szCs w:val="18"/>
              </w:rPr>
            </w:pPr>
            <w:r>
              <w:rPr>
                <w:rFonts w:ascii="宋体" w:hAnsi="宋体" w:cs="宋体" w:eastAsia="宋体" w:hint="default"/>
                <w:sz w:val="18"/>
                <w:szCs w:val="18"/>
              </w:rPr>
              <w:t>全国社保基金 一一零组合</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4,158,441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4,158,441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4,158,441</w:t>
            </w:r>
          </w:p>
        </w:tc>
        <w:tc>
          <w:tcPr>
            <w:tcW w:w="1049"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25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26"/>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11" w:hRule="exact"/>
        </w:trPr>
        <w:tc>
          <w:tcPr>
            <w:tcW w:w="25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2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274" w:type="dxa"/>
            <w:gridSpan w:val="7"/>
            <w:tcBorders>
              <w:top w:val="single" w:sz="4" w:space="0" w:color="000000"/>
              <w:left w:val="single" w:sz="4" w:space="0" w:color="000000"/>
              <w:bottom w:val="single" w:sz="8" w:space="0" w:color="D2D2D2"/>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87" w:hRule="exact"/>
        </w:trPr>
        <w:tc>
          <w:tcPr>
            <w:tcW w:w="98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17" w:hRule="exact"/>
        </w:trPr>
        <w:tc>
          <w:tcPr>
            <w:tcW w:w="25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25"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7" w:hRule="exact"/>
        </w:trPr>
        <w:tc>
          <w:tcPr>
            <w:tcW w:w="2582" w:type="dxa"/>
            <w:gridSpan w:val="2"/>
            <w:vMerge/>
            <w:tcBorders>
              <w:left w:val="single" w:sz="4" w:space="0" w:color="000000"/>
              <w:bottom w:val="single" w:sz="4" w:space="0" w:color="000000"/>
              <w:right w:val="single" w:sz="4" w:space="0" w:color="000000"/>
            </w:tcBorders>
            <w:shd w:val="clear" w:color="auto" w:fill="D2D2D2"/>
          </w:tcPr>
          <w:p>
            <w:pPr/>
          </w:p>
        </w:tc>
        <w:tc>
          <w:tcPr>
            <w:tcW w:w="5025" w:type="dxa"/>
            <w:gridSpan w:val="5"/>
            <w:vMerge/>
            <w:tcBorders>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01"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越超有限公司</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27,855,706</w:t>
            </w:r>
          </w:p>
        </w:tc>
        <w:tc>
          <w:tcPr>
            <w:tcW w:w="1049"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27"/>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27,855,706</w:t>
            </w:r>
          </w:p>
        </w:tc>
      </w:tr>
      <w:tr>
        <w:trPr>
          <w:trHeight w:val="601"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大洋中科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株式会社</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14,805,441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14,805,441</w:t>
            </w:r>
          </w:p>
        </w:tc>
      </w:tr>
      <w:tr>
        <w:trPr>
          <w:trHeight w:val="600"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26"/>
              <w:jc w:val="left"/>
              <w:rPr>
                <w:rFonts w:ascii="宋体" w:hAnsi="宋体" w:cs="宋体" w:eastAsia="宋体" w:hint="default"/>
                <w:sz w:val="18"/>
                <w:szCs w:val="18"/>
              </w:rPr>
            </w:pPr>
            <w:r>
              <w:rPr>
                <w:rFonts w:ascii="宋体" w:hAnsi="宋体" w:cs="宋体" w:eastAsia="宋体" w:hint="default"/>
                <w:sz w:val="18"/>
                <w:szCs w:val="18"/>
              </w:rPr>
              <w:t>国科瑞祺物联网创业投资有限 公司</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6,500,000</w:t>
            </w:r>
          </w:p>
        </w:tc>
      </w:tr>
      <w:tr>
        <w:trPr>
          <w:trHeight w:val="601"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4,158,441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4,158,441</w:t>
            </w:r>
          </w:p>
        </w:tc>
      </w:tr>
      <w:tr>
        <w:trPr>
          <w:trHeight w:val="601"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达孜县创达信科技有限公司</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3,575,218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3,575,218</w:t>
            </w:r>
          </w:p>
        </w:tc>
      </w:tr>
      <w:tr>
        <w:trPr>
          <w:trHeight w:val="601"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达孜县创达立咨询有限公司</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3,454,804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3,454,804</w:t>
            </w:r>
          </w:p>
        </w:tc>
      </w:tr>
      <w:tr>
        <w:trPr>
          <w:trHeight w:val="600"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w:t>
            </w:r>
            <w:r>
              <w:rPr>
                <w:rFonts w:ascii="Times New Roman"/>
                <w:spacing w:val="-8"/>
                <w:sz w:val="18"/>
              </w:rPr>
              <w:t> </w:t>
            </w:r>
            <w:r>
              <w:rPr>
                <w:rFonts w:ascii="Times New Roman"/>
                <w:sz w:val="18"/>
              </w:rPr>
              <w:t>International,Inc.</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3,099,595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3,099,595</w:t>
            </w:r>
          </w:p>
        </w:tc>
      </w:tr>
      <w:tr>
        <w:trPr>
          <w:trHeight w:val="601"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展讯通信（天津）有限公司</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2,517,619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2,517,619</w:t>
            </w:r>
          </w:p>
        </w:tc>
      </w:tr>
      <w:tr>
        <w:trPr>
          <w:trHeight w:val="601"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全国社保基金六零三组合</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2,438,875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2,438,875</w:t>
            </w:r>
          </w:p>
        </w:tc>
      </w:tr>
      <w:tr>
        <w:trPr>
          <w:trHeight w:val="600" w:hRule="exact"/>
        </w:trPr>
        <w:tc>
          <w:tcPr>
            <w:tcW w:w="2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全国社保基金一零五组合</w:t>
            </w:r>
          </w:p>
        </w:tc>
        <w:tc>
          <w:tcPr>
            <w:tcW w:w="5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2,152,442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338" w:right="158" w:hanging="18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2,152,442</w:t>
            </w:r>
          </w:p>
        </w:tc>
      </w:tr>
      <w:tr>
        <w:trPr>
          <w:trHeight w:val="773" w:hRule="exact"/>
        </w:trPr>
        <w:tc>
          <w:tcPr>
            <w:tcW w:w="25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33"/>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w:t>
            </w:r>
          </w:p>
        </w:tc>
        <w:tc>
          <w:tcPr>
            <w:tcW w:w="72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2582"/>
        <w:gridCol w:w="7274"/>
      </w:tblGrid>
      <w:tr>
        <w:trPr>
          <w:trHeight w:val="407"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关系或一致行动的说明</w:t>
            </w:r>
          </w:p>
        </w:tc>
        <w:tc>
          <w:tcPr>
            <w:tcW w:w="7274"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2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26"/>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12"/>
          <w:szCs w:val="12"/>
        </w:rPr>
      </w:pPr>
    </w:p>
    <w:p>
      <w:pPr>
        <w:pStyle w:val="BodyText"/>
        <w:spacing w:line="240" w:lineRule="auto" w:before="35"/>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名无限售条件普通股股东在报告期内是否进行约定购回交易</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20"/>
          <w:szCs w:val="20"/>
        </w:rPr>
      </w:pPr>
    </w:p>
    <w:p>
      <w:pPr>
        <w:pStyle w:val="BodyText"/>
        <w:spacing w:line="240" w:lineRule="auto"/>
        <w:ind w:right="0"/>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11"/>
        <w:rPr>
          <w:rFonts w:ascii="宋体" w:hAnsi="宋体" w:cs="宋体" w:eastAsia="宋体" w:hint="default"/>
          <w:sz w:val="19"/>
          <w:szCs w:val="19"/>
        </w:rPr>
      </w:pPr>
    </w:p>
    <w:p>
      <w:pPr>
        <w:pStyle w:val="BodyText"/>
        <w:spacing w:line="496" w:lineRule="auto"/>
        <w:ind w:left="1553" w:right="7813"/>
        <w:jc w:val="left"/>
      </w:pPr>
      <w:bookmarkStart w:name="2、公司控股股东情况" w:id="117"/>
      <w:bookmarkEnd w:id="117"/>
      <w:r>
        <w:rPr/>
      </w:r>
      <w:r>
        <w:rPr>
          <w:rFonts w:ascii="Times New Roman" w:hAnsi="Times New Roman" w:cs="Times New Roman" w:eastAsia="Times New Roman" w:hint="default"/>
        </w:rPr>
        <w:t>2</w:t>
      </w:r>
      <w:r>
        <w:rPr>
          <w:rFonts w:ascii="微软雅黑" w:hAnsi="微软雅黑" w:cs="微软雅黑" w:eastAsia="微软雅黑" w:hint="default"/>
        </w:rPr>
        <w:t>、公司控股股东情况 </w:t>
      </w:r>
      <w:r>
        <w:rPr/>
        <w:t>控股股东性质：自然人控股 控股股东类型：自然人</w:t>
      </w:r>
    </w:p>
    <w:p>
      <w:pPr>
        <w:spacing w:line="240" w:lineRule="auto" w:before="3"/>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520"/>
        <w:gridCol w:w="2091"/>
        <w:gridCol w:w="4245"/>
      </w:tblGrid>
      <w:tr>
        <w:trPr>
          <w:trHeight w:val="407"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本公司董事长</w:t>
            </w:r>
          </w:p>
        </w:tc>
      </w:tr>
      <w:tr>
        <w:trPr>
          <w:trHeight w:val="601"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65"/>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控股股东报告期内变更</w:t>
      </w:r>
    </w:p>
    <w:p>
      <w:pPr>
        <w:spacing w:line="240" w:lineRule="auto" w:before="8"/>
        <w:rPr>
          <w:rFonts w:ascii="宋体" w:hAnsi="宋体" w:cs="宋体" w:eastAsia="宋体" w:hint="default"/>
          <w:sz w:val="21"/>
          <w:szCs w:val="21"/>
        </w:rPr>
      </w:pPr>
    </w:p>
    <w:p>
      <w:pPr>
        <w:pStyle w:val="BodyText"/>
        <w:spacing w:line="484" w:lineRule="auto"/>
        <w:ind w:left="1553" w:right="7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公司报告期控股股东未发生变更。 </w:t>
      </w:r>
      <w:bookmarkStart w:name="3、公司实际控制人情况" w:id="118"/>
      <w:bookmarkEnd w:id="118"/>
      <w:r>
        <w:rPr/>
      </w:r>
      <w:r>
        <w:rPr>
          <w:rFonts w:ascii="Times New Roman" w:hAnsi="Times New Roman" w:cs="Times New Roman" w:eastAsia="Times New Roman" w:hint="default"/>
        </w:rPr>
        <w:t>3</w:t>
      </w:r>
      <w:r>
        <w:rPr>
          <w:rFonts w:ascii="微软雅黑" w:hAnsi="微软雅黑" w:cs="微软雅黑" w:eastAsia="微软雅黑" w:hint="default"/>
        </w:rPr>
        <w:t>、公司实际控制人情况 </w:t>
      </w:r>
      <w:r>
        <w:rPr/>
        <w:t>实际控制人性质：境内自然人 实际控制人类型：自然人</w:t>
      </w:r>
    </w:p>
    <w:p>
      <w:pPr>
        <w:spacing w:line="240" w:lineRule="auto" w:before="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436"/>
        <w:gridCol w:w="2118"/>
        <w:gridCol w:w="4301"/>
      </w:tblGrid>
      <w:tr>
        <w:trPr>
          <w:trHeight w:val="407" w:hRule="exact"/>
        </w:trPr>
        <w:tc>
          <w:tcPr>
            <w:tcW w:w="3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8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436"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本公司董事长</w:t>
            </w:r>
          </w:p>
        </w:tc>
      </w:tr>
      <w:tr>
        <w:trPr>
          <w:trHeight w:val="408" w:hRule="exact"/>
        </w:trPr>
        <w:tc>
          <w:tcPr>
            <w:tcW w:w="3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实际控制人报告期内变更</w:t>
      </w:r>
    </w:p>
    <w:p>
      <w:pPr>
        <w:spacing w:line="240" w:lineRule="auto" w:before="9"/>
        <w:rPr>
          <w:rFonts w:ascii="宋体" w:hAnsi="宋体" w:cs="宋体" w:eastAsia="宋体" w:hint="default"/>
          <w:sz w:val="21"/>
          <w:szCs w:val="21"/>
        </w:rPr>
      </w:pPr>
    </w:p>
    <w:p>
      <w:pPr>
        <w:pStyle w:val="BodyText"/>
        <w:spacing w:line="460" w:lineRule="auto"/>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公司报告期实际控制人未发生变更。</w:t>
      </w:r>
    </w:p>
    <w:p>
      <w:pPr>
        <w:spacing w:after="0" w:line="46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3435" w:lineRule="exact"/>
        <w:ind w:left="2336"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593589" cy="218122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6" cstate="print"/>
                    <a:stretch>
                      <a:fillRect/>
                    </a:stretch>
                  </pic:blipFill>
                  <pic:spPr>
                    <a:xfrm>
                      <a:off x="0" y="0"/>
                      <a:ext cx="4593589" cy="2181225"/>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2"/>
        <w:rPr>
          <w:rFonts w:ascii="宋体" w:hAnsi="宋体" w:cs="宋体" w:eastAsia="宋体" w:hint="default"/>
          <w:sz w:val="23"/>
          <w:szCs w:val="23"/>
        </w:rPr>
      </w:pPr>
    </w:p>
    <w:p>
      <w:pPr>
        <w:pStyle w:val="BodyText"/>
        <w:spacing w:line="240" w:lineRule="auto" w:before="35"/>
        <w:ind w:left="1553" w:right="0"/>
        <w:jc w:val="left"/>
      </w:pPr>
      <w:r>
        <w:rPr/>
        <w:t>实际控制人通过信托或其他资产管理方式控制公司</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3"/>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4、其他持股在10%以上的法人股东" w:id="119"/>
      <w:bookmarkEnd w:id="119"/>
      <w:r>
        <w:rPr/>
      </w:r>
      <w:r>
        <w:rPr>
          <w:rFonts w:ascii="Times New Roman" w:hAnsi="Times New Roman" w:cs="Times New Roman" w:eastAsia="Times New Roman" w:hint="default"/>
        </w:rPr>
        <w:t>4</w:t>
      </w:r>
      <w:r>
        <w:rPr>
          <w:rFonts w:ascii="微软雅黑" w:hAnsi="微软雅黑" w:cs="微软雅黑" w:eastAsia="微软雅黑" w:hint="default"/>
        </w:rPr>
        <w:t>、其他持股在</w:t>
      </w:r>
      <w:r>
        <w:rPr>
          <w:rFonts w:ascii="微软雅黑" w:hAnsi="微软雅黑" w:cs="微软雅黑" w:eastAsia="微软雅黑" w:hint="default"/>
          <w:spacing w:val="-14"/>
        </w:rPr>
        <w:t> </w:t>
      </w:r>
      <w:r>
        <w:rPr>
          <w:rFonts w:ascii="Times New Roman" w:hAnsi="Times New Roman" w:cs="Times New Roman" w:eastAsia="Times New Roman" w:hint="default"/>
        </w:rPr>
        <w:t>10%</w:t>
      </w:r>
      <w:r>
        <w:rPr>
          <w:rFonts w:ascii="微软雅黑" w:hAnsi="微软雅黑" w:cs="微软雅黑" w:eastAsia="微软雅黑" w:hint="default"/>
        </w:rPr>
        <w:t>以上的法人股东</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5、控股股东、实际控制人、重组方及其他承诺主体股份限制减持情况" w:id="120"/>
      <w:bookmarkEnd w:id="120"/>
      <w:r>
        <w:rPr/>
      </w:r>
      <w:r>
        <w:rPr>
          <w:rFonts w:ascii="Times New Roman" w:hAnsi="Times New Roman" w:cs="Times New Roman" w:eastAsia="Times New Roman" w:hint="default"/>
        </w:rPr>
        <w:t>5</w:t>
      </w:r>
      <w:r>
        <w:rPr>
          <w:rFonts w:ascii="微软雅黑" w:hAnsi="微软雅黑" w:cs="微软雅黑" w:eastAsia="微软雅黑" w:hint="default"/>
        </w:rPr>
        <w:t>、控股股东、实际控制人、重组方及其他承诺主体股份限制减持情况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1"/>
        <w:spacing w:line="441" w:lineRule="exact"/>
        <w:ind w:right="1"/>
        <w:jc w:val="center"/>
        <w:rPr>
          <w:b w:val="0"/>
          <w:bCs w:val="0"/>
        </w:rPr>
      </w:pPr>
      <w:bookmarkStart w:name="第七节 优先股相关情况" w:id="121"/>
      <w:bookmarkEnd w:id="121"/>
      <w:r>
        <w:rPr>
          <w:b w:val="0"/>
          <w:bCs w:val="0"/>
        </w:rPr>
      </w:r>
      <w:bookmarkStart w:name="_bookmark6" w:id="122"/>
      <w:bookmarkEnd w:id="122"/>
      <w:r>
        <w:rPr>
          <w:b w:val="0"/>
          <w:bCs w:val="0"/>
        </w:rPr>
      </w:r>
      <w:r>
        <w:rPr/>
        <w:t>第七节</w:t>
      </w:r>
      <w:r>
        <w:rPr>
          <w:spacing w:val="63"/>
        </w:rPr>
        <w:t> </w:t>
      </w:r>
      <w:r>
        <w:rPr/>
        <w:t>优先股相关情况</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13"/>
        <w:rPr>
          <w:rFonts w:ascii="微软雅黑" w:hAnsi="微软雅黑" w:cs="微软雅黑" w:eastAsia="微软雅黑" w:hint="default"/>
          <w:b/>
          <w:bCs/>
          <w:sz w:val="11"/>
          <w:szCs w:val="11"/>
        </w:rPr>
      </w:pPr>
    </w:p>
    <w:p>
      <w:pPr>
        <w:pStyle w:val="BodyText"/>
        <w:spacing w:line="460" w:lineRule="auto" w:before="35"/>
        <w:ind w:right="78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报告期公司不存在优先股。</w:t>
      </w:r>
    </w:p>
    <w:p>
      <w:pPr>
        <w:spacing w:after="0" w:line="46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28"/>
        <w:ind w:left="2674" w:right="0"/>
        <w:jc w:val="left"/>
        <w:rPr>
          <w:b w:val="0"/>
          <w:bCs w:val="0"/>
        </w:rPr>
      </w:pPr>
      <w:bookmarkStart w:name="第八节 董事、监事、高级管理人员和员工情况" w:id="123"/>
      <w:bookmarkEnd w:id="123"/>
      <w:r>
        <w:rPr>
          <w:b w:val="0"/>
          <w:bCs w:val="0"/>
        </w:rPr>
      </w:r>
      <w:bookmarkStart w:name="_bookmark7" w:id="124"/>
      <w:bookmarkEnd w:id="124"/>
      <w:r>
        <w:rPr>
          <w:b w:val="0"/>
          <w:bCs w:val="0"/>
        </w:rPr>
      </w:r>
      <w:r>
        <w:rPr/>
        <w:t>第八节</w:t>
      </w:r>
      <w:r>
        <w:rPr>
          <w:spacing w:val="60"/>
        </w:rPr>
        <w:t> </w:t>
      </w:r>
      <w:r>
        <w:rPr/>
        <w:t>董事、监事、高级管理人员和员工情况</w:t>
      </w:r>
      <w:r>
        <w:rPr>
          <w:b w:val="0"/>
          <w:bCs w:val="0"/>
        </w:rPr>
      </w:r>
    </w:p>
    <w:p>
      <w:pPr>
        <w:spacing w:line="240" w:lineRule="auto" w:before="0"/>
        <w:rPr>
          <w:rFonts w:ascii="微软雅黑" w:hAnsi="微软雅黑" w:cs="微软雅黑" w:eastAsia="微软雅黑" w:hint="default"/>
          <w:b/>
          <w:bCs/>
          <w:sz w:val="32"/>
          <w:szCs w:val="32"/>
        </w:rPr>
      </w:pPr>
    </w:p>
    <w:p>
      <w:pPr>
        <w:spacing w:line="240" w:lineRule="auto" w:before="7"/>
        <w:rPr>
          <w:rFonts w:ascii="微软雅黑" w:hAnsi="微软雅黑" w:cs="微软雅黑" w:eastAsia="微软雅黑" w:hint="default"/>
          <w:b/>
          <w:bCs/>
          <w:sz w:val="20"/>
          <w:szCs w:val="20"/>
        </w:rPr>
      </w:pPr>
    </w:p>
    <w:p>
      <w:pPr>
        <w:pStyle w:val="Heading2"/>
        <w:spacing w:line="240" w:lineRule="auto"/>
        <w:ind w:left="1133" w:right="0"/>
        <w:jc w:val="left"/>
      </w:pPr>
      <w:bookmarkStart w:name="一、董事、监事和高级管理人员持股变动" w:id="125"/>
      <w:bookmarkEnd w:id="125"/>
      <w:r>
        <w:rPr/>
      </w:r>
      <w:r>
        <w:rPr/>
        <w:t>一、董事、监事和高级管理人员持股变动</w:t>
      </w:r>
    </w:p>
    <w:p>
      <w:pPr>
        <w:spacing w:line="240" w:lineRule="auto" w:before="2"/>
        <w:rPr>
          <w:rFonts w:ascii="微软雅黑" w:hAnsi="微软雅黑" w:cs="微软雅黑" w:eastAsia="微软雅黑" w:hint="default"/>
          <w:sz w:val="26"/>
          <w:szCs w:val="26"/>
        </w:rPr>
      </w:pPr>
    </w:p>
    <w:tbl>
      <w:tblPr>
        <w:tblW w:w="0" w:type="auto"/>
        <w:jc w:val="left"/>
        <w:tblInd w:w="1021" w:type="dxa"/>
        <w:tblLayout w:type="fixed"/>
        <w:tblCellMar>
          <w:top w:w="0" w:type="dxa"/>
          <w:left w:w="0" w:type="dxa"/>
          <w:bottom w:w="0" w:type="dxa"/>
          <w:right w:w="0" w:type="dxa"/>
        </w:tblCellMar>
        <w:tblLook w:val="01E0"/>
      </w:tblPr>
      <w:tblGrid>
        <w:gridCol w:w="772"/>
        <w:gridCol w:w="770"/>
        <w:gridCol w:w="770"/>
        <w:gridCol w:w="769"/>
        <w:gridCol w:w="773"/>
        <w:gridCol w:w="769"/>
        <w:gridCol w:w="773"/>
        <w:gridCol w:w="1050"/>
        <w:gridCol w:w="772"/>
        <w:gridCol w:w="773"/>
        <w:gridCol w:w="814"/>
        <w:gridCol w:w="1050"/>
      </w:tblGrid>
      <w:tr>
        <w:trPr>
          <w:trHeight w:val="1068" w:hRule="exact"/>
        </w:trPr>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姓名</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职务</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296" w:right="126" w:hanging="168"/>
              <w:jc w:val="left"/>
              <w:rPr>
                <w:rFonts w:ascii="宋体" w:hAnsi="宋体" w:cs="宋体" w:eastAsia="宋体" w:hint="default"/>
                <w:sz w:val="18"/>
                <w:szCs w:val="18"/>
              </w:rPr>
            </w:pPr>
            <w:r>
              <w:rPr>
                <w:rFonts w:ascii="宋体" w:hAnsi="宋体" w:cs="宋体" w:eastAsia="宋体" w:hint="default"/>
                <w:spacing w:val="-12"/>
                <w:sz w:val="18"/>
                <w:szCs w:val="18"/>
              </w:rPr>
              <w:t>任职状 </w:t>
            </w:r>
            <w:r>
              <w:rPr>
                <w:rFonts w:ascii="宋体" w:hAnsi="宋体" w:cs="宋体" w:eastAsia="宋体" w:hint="default"/>
                <w:sz w:val="18"/>
                <w:szCs w:val="18"/>
              </w:rPr>
              <w:t>态</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2"/>
                <w:sz w:val="18"/>
                <w:szCs w:val="18"/>
              </w:rPr>
              <w:t>性别</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年龄</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28" w:right="125"/>
              <w:jc w:val="left"/>
              <w:rPr>
                <w:rFonts w:ascii="宋体" w:hAnsi="宋体" w:cs="宋体" w:eastAsia="宋体" w:hint="default"/>
                <w:sz w:val="18"/>
                <w:szCs w:val="18"/>
              </w:rPr>
            </w:pPr>
            <w:r>
              <w:rPr>
                <w:rFonts w:ascii="宋体" w:hAnsi="宋体" w:cs="宋体" w:eastAsia="宋体" w:hint="default"/>
                <w:spacing w:val="-12"/>
                <w:sz w:val="18"/>
                <w:szCs w:val="18"/>
              </w:rPr>
              <w:t>任期起 始日期</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28" w:right="128"/>
              <w:jc w:val="left"/>
              <w:rPr>
                <w:rFonts w:ascii="宋体" w:hAnsi="宋体" w:cs="宋体" w:eastAsia="宋体" w:hint="default"/>
                <w:sz w:val="18"/>
                <w:szCs w:val="18"/>
              </w:rPr>
            </w:pPr>
            <w:r>
              <w:rPr>
                <w:rFonts w:ascii="宋体" w:hAnsi="宋体" w:cs="宋体" w:eastAsia="宋体" w:hint="default"/>
                <w:spacing w:val="-12"/>
                <w:sz w:val="18"/>
                <w:szCs w:val="18"/>
              </w:rPr>
              <w:t>任期终 止日期</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83" w:right="170"/>
              <w:jc w:val="left"/>
              <w:rPr>
                <w:rFonts w:ascii="宋体" w:hAnsi="宋体" w:cs="宋体" w:eastAsia="宋体" w:hint="default"/>
                <w:sz w:val="18"/>
                <w:szCs w:val="18"/>
              </w:rPr>
            </w:pPr>
            <w:r>
              <w:rPr>
                <w:rFonts w:ascii="宋体" w:hAnsi="宋体" w:cs="宋体" w:eastAsia="宋体" w:hint="default"/>
                <w:spacing w:val="-12"/>
                <w:sz w:val="18"/>
                <w:szCs w:val="18"/>
              </w:rPr>
              <w:t>期初持股 </w:t>
            </w:r>
            <w:r>
              <w:rPr>
                <w:rFonts w:ascii="宋体" w:hAnsi="宋体" w:cs="宋体" w:eastAsia="宋体" w:hint="default"/>
                <w:spacing w:val="-9"/>
                <w:sz w:val="18"/>
                <w:szCs w:val="18"/>
              </w:rPr>
              <w:t>数（股）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8" w:right="129"/>
              <w:jc w:val="both"/>
              <w:rPr>
                <w:rFonts w:ascii="宋体" w:hAnsi="宋体" w:cs="宋体" w:eastAsia="宋体" w:hint="default"/>
                <w:sz w:val="18"/>
                <w:szCs w:val="18"/>
              </w:rPr>
            </w:pPr>
            <w:r>
              <w:rPr>
                <w:rFonts w:ascii="宋体" w:hAnsi="宋体" w:cs="宋体" w:eastAsia="宋体" w:hint="default"/>
                <w:spacing w:val="-12"/>
                <w:sz w:val="18"/>
                <w:szCs w:val="18"/>
              </w:rPr>
              <w:t>本期增 持股份 数量</w:t>
            </w:r>
            <w:r>
              <w:rPr>
                <w:rFonts w:ascii="宋体" w:hAnsi="宋体" w:cs="宋体" w:eastAsia="宋体" w:hint="default"/>
                <w:sz w:val="18"/>
                <w:szCs w:val="18"/>
              </w:rPr>
            </w:r>
          </w:p>
          <w:p>
            <w:pPr>
              <w:pStyle w:val="TableParagraph"/>
              <w:spacing w:line="233" w:lineRule="exact"/>
              <w:ind w:left="128" w:right="0"/>
              <w:jc w:val="both"/>
              <w:rPr>
                <w:rFonts w:ascii="宋体" w:hAnsi="宋体" w:cs="宋体" w:eastAsia="宋体" w:hint="default"/>
                <w:sz w:val="18"/>
                <w:szCs w:val="18"/>
              </w:rPr>
            </w:pPr>
            <w:r>
              <w:rPr>
                <w:rFonts w:ascii="宋体" w:hAnsi="宋体" w:cs="宋体" w:eastAsia="宋体" w:hint="default"/>
                <w:spacing w:val="-8"/>
                <w:sz w:val="18"/>
                <w:szCs w:val="18"/>
              </w:rPr>
              <w:t>（股）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9" w:right="127"/>
              <w:jc w:val="both"/>
              <w:rPr>
                <w:rFonts w:ascii="宋体" w:hAnsi="宋体" w:cs="宋体" w:eastAsia="宋体" w:hint="default"/>
                <w:sz w:val="18"/>
                <w:szCs w:val="18"/>
              </w:rPr>
            </w:pPr>
            <w:r>
              <w:rPr>
                <w:rFonts w:ascii="宋体" w:hAnsi="宋体" w:cs="宋体" w:eastAsia="宋体" w:hint="default"/>
                <w:spacing w:val="-12"/>
                <w:sz w:val="18"/>
                <w:szCs w:val="18"/>
              </w:rPr>
              <w:t>本期减 持股份 数量</w:t>
            </w:r>
            <w:r>
              <w:rPr>
                <w:rFonts w:ascii="宋体" w:hAnsi="宋体" w:cs="宋体" w:eastAsia="宋体" w:hint="default"/>
                <w:sz w:val="18"/>
                <w:szCs w:val="18"/>
              </w:rPr>
            </w:r>
          </w:p>
          <w:p>
            <w:pPr>
              <w:pStyle w:val="TableParagraph"/>
              <w:spacing w:line="233" w:lineRule="exact"/>
              <w:ind w:left="129" w:right="0"/>
              <w:jc w:val="both"/>
              <w:rPr>
                <w:rFonts w:ascii="宋体" w:hAnsi="宋体" w:cs="宋体" w:eastAsia="宋体" w:hint="default"/>
                <w:sz w:val="18"/>
                <w:szCs w:val="18"/>
              </w:rPr>
            </w:pPr>
            <w:r>
              <w:rPr>
                <w:rFonts w:ascii="宋体" w:hAnsi="宋体" w:cs="宋体" w:eastAsia="宋体" w:hint="default"/>
                <w:spacing w:val="-8"/>
                <w:sz w:val="18"/>
                <w:szCs w:val="18"/>
              </w:rPr>
              <w:t>（股）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49" w:right="149"/>
              <w:jc w:val="left"/>
              <w:rPr>
                <w:rFonts w:ascii="宋体" w:hAnsi="宋体" w:cs="宋体" w:eastAsia="宋体" w:hint="default"/>
                <w:sz w:val="18"/>
                <w:szCs w:val="18"/>
              </w:rPr>
            </w:pPr>
            <w:r>
              <w:rPr>
                <w:rFonts w:ascii="宋体" w:hAnsi="宋体" w:cs="宋体" w:eastAsia="宋体" w:hint="default"/>
                <w:spacing w:val="-12"/>
                <w:sz w:val="18"/>
                <w:szCs w:val="18"/>
              </w:rPr>
              <w:t>其他增 减变动</w:t>
            </w:r>
            <w:r>
              <w:rPr>
                <w:rFonts w:ascii="宋体" w:hAnsi="宋体" w:cs="宋体" w:eastAsia="宋体" w:hint="default"/>
                <w:sz w:val="18"/>
                <w:szCs w:val="18"/>
              </w:rPr>
            </w:r>
          </w:p>
          <w:p>
            <w:pPr>
              <w:pStyle w:val="TableParagraph"/>
              <w:spacing w:line="233" w:lineRule="exact"/>
              <w:ind w:left="149" w:right="0"/>
              <w:jc w:val="left"/>
              <w:rPr>
                <w:rFonts w:ascii="宋体" w:hAnsi="宋体" w:cs="宋体" w:eastAsia="宋体" w:hint="default"/>
                <w:sz w:val="18"/>
                <w:szCs w:val="18"/>
              </w:rPr>
            </w:pPr>
            <w:r>
              <w:rPr>
                <w:rFonts w:ascii="宋体" w:hAnsi="宋体" w:cs="宋体" w:eastAsia="宋体" w:hint="default"/>
                <w:spacing w:val="-8"/>
                <w:sz w:val="18"/>
                <w:szCs w:val="18"/>
              </w:rPr>
              <w:t>（股）</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83" w:right="170"/>
              <w:jc w:val="left"/>
              <w:rPr>
                <w:rFonts w:ascii="宋体" w:hAnsi="宋体" w:cs="宋体" w:eastAsia="宋体" w:hint="default"/>
                <w:sz w:val="18"/>
                <w:szCs w:val="18"/>
              </w:rPr>
            </w:pPr>
            <w:r>
              <w:rPr>
                <w:rFonts w:ascii="宋体" w:hAnsi="宋体" w:cs="宋体" w:eastAsia="宋体" w:hint="default"/>
                <w:spacing w:val="-12"/>
                <w:sz w:val="18"/>
                <w:szCs w:val="18"/>
              </w:rPr>
              <w:t>期末持股 </w:t>
            </w:r>
            <w:r>
              <w:rPr>
                <w:rFonts w:ascii="宋体" w:hAnsi="宋体" w:cs="宋体" w:eastAsia="宋体" w:hint="default"/>
                <w:spacing w:val="-9"/>
                <w:sz w:val="18"/>
                <w:szCs w:val="18"/>
              </w:rPr>
              <w:t>数（股）</w:t>
            </w: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赵鸿飞</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董事长</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44</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141,974,706</w:t>
            </w: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141,974,706</w:t>
            </w: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吴安华</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28" w:right="126"/>
              <w:jc w:val="both"/>
              <w:rPr>
                <w:rFonts w:ascii="宋体" w:hAnsi="宋体" w:cs="宋体" w:eastAsia="宋体" w:hint="default"/>
                <w:sz w:val="18"/>
                <w:szCs w:val="18"/>
              </w:rPr>
            </w:pPr>
            <w:r>
              <w:rPr>
                <w:rFonts w:ascii="宋体" w:hAnsi="宋体" w:cs="宋体" w:eastAsia="宋体" w:hint="default"/>
                <w:spacing w:val="-12"/>
                <w:sz w:val="18"/>
                <w:szCs w:val="18"/>
              </w:rPr>
              <w:t>副董事 长、副 总经理</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51</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6,169,489</w:t>
            </w: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6,169,489</w:t>
            </w: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耿增强</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微软雅黑" w:hAnsi="微软雅黑" w:cs="微软雅黑" w:eastAsia="微软雅黑" w:hint="default"/>
                <w:sz w:val="10"/>
                <w:szCs w:val="10"/>
              </w:rPr>
            </w:pPr>
          </w:p>
          <w:p>
            <w:pPr>
              <w:pStyle w:val="TableParagraph"/>
              <w:spacing w:line="232" w:lineRule="exact"/>
              <w:ind w:left="128" w:right="126"/>
              <w:jc w:val="left"/>
              <w:rPr>
                <w:rFonts w:ascii="宋体" w:hAnsi="宋体" w:cs="宋体" w:eastAsia="宋体" w:hint="default"/>
                <w:sz w:val="18"/>
                <w:szCs w:val="18"/>
              </w:rPr>
            </w:pPr>
            <w:r>
              <w:rPr>
                <w:rFonts w:ascii="宋体" w:hAnsi="宋体" w:cs="宋体" w:eastAsia="宋体" w:hint="default"/>
                <w:spacing w:val="-12"/>
                <w:sz w:val="18"/>
                <w:szCs w:val="18"/>
              </w:rPr>
              <w:t>董事、 总经理</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44</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7"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5,858,546</w:t>
            </w: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5,858,546</w:t>
            </w:r>
          </w:p>
        </w:tc>
      </w:tr>
      <w:tr>
        <w:trPr>
          <w:trHeight w:val="1302"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6"/>
              <w:ind w:right="0"/>
              <w:jc w:val="left"/>
              <w:rPr>
                <w:rFonts w:ascii="微软雅黑" w:hAnsi="微软雅黑" w:cs="微软雅黑" w:eastAsia="微软雅黑" w:hint="default"/>
                <w:sz w:val="10"/>
                <w:szCs w:val="1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冯娟鹃</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28" w:right="126"/>
              <w:jc w:val="center"/>
              <w:rPr>
                <w:rFonts w:ascii="宋体" w:hAnsi="宋体" w:cs="宋体" w:eastAsia="宋体" w:hint="default"/>
                <w:sz w:val="18"/>
                <w:szCs w:val="18"/>
              </w:rPr>
            </w:pPr>
            <w:r>
              <w:rPr>
                <w:rFonts w:ascii="宋体" w:hAnsi="宋体" w:cs="宋体" w:eastAsia="宋体" w:hint="default"/>
                <w:spacing w:val="-12"/>
                <w:sz w:val="18"/>
                <w:szCs w:val="18"/>
              </w:rPr>
              <w:t>董事、 财务总 监、董 事会秘 </w:t>
            </w:r>
            <w:r>
              <w:rPr>
                <w:rFonts w:ascii="宋体" w:hAnsi="宋体" w:cs="宋体" w:eastAsia="宋体" w:hint="default"/>
                <w:sz w:val="18"/>
                <w:szCs w:val="18"/>
              </w:rPr>
              <w:t>书</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6"/>
              <w:ind w:right="0"/>
              <w:jc w:val="left"/>
              <w:rPr>
                <w:rFonts w:ascii="微软雅黑" w:hAnsi="微软雅黑" w:cs="微软雅黑" w:eastAsia="微软雅黑" w:hint="default"/>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6"/>
              <w:ind w:right="0"/>
              <w:jc w:val="left"/>
              <w:rPr>
                <w:rFonts w:ascii="微软雅黑" w:hAnsi="微软雅黑" w:cs="微软雅黑" w:eastAsia="微软雅黑" w:hint="default"/>
                <w:sz w:val="10"/>
                <w:szCs w:val="10"/>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3"/>
              <w:ind w:right="0"/>
              <w:jc w:val="left"/>
              <w:rPr>
                <w:rFonts w:ascii="微软雅黑" w:hAnsi="微软雅黑" w:cs="微软雅黑" w:eastAsia="微软雅黑"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39</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微软雅黑" w:hAnsi="微软雅黑" w:cs="微软雅黑" w:eastAsia="微软雅黑" w:hint="default"/>
                <w:sz w:val="15"/>
                <w:szCs w:val="15"/>
              </w:rPr>
            </w:pPr>
          </w:p>
          <w:p>
            <w:pPr>
              <w:pStyle w:val="TableParagraph"/>
              <w:spacing w:line="241" w:lineRule="exact"/>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4"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01</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微软雅黑" w:hAnsi="微软雅黑" w:cs="微软雅黑" w:eastAsia="微软雅黑" w:hint="default"/>
                <w:sz w:val="15"/>
                <w:szCs w:val="15"/>
              </w:rPr>
            </w:pPr>
          </w:p>
          <w:p>
            <w:pPr>
              <w:pStyle w:val="TableParagraph"/>
              <w:spacing w:line="241" w:lineRule="exact"/>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4"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3"/>
              <w:ind w:right="0"/>
              <w:jc w:val="left"/>
              <w:rPr>
                <w:rFonts w:ascii="微软雅黑" w:hAnsi="微软雅黑" w:cs="微软雅黑" w:eastAsia="微软雅黑" w:hint="default"/>
                <w:sz w:val="13"/>
                <w:szCs w:val="13"/>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pacing w:val="-5"/>
                <w:sz w:val="18"/>
              </w:rPr>
              <w:t>80,000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3"/>
              <w:ind w:right="0"/>
              <w:jc w:val="left"/>
              <w:rPr>
                <w:rFonts w:ascii="微软雅黑" w:hAnsi="微软雅黑" w:cs="微软雅黑" w:eastAsia="微软雅黑"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5"/>
                <w:w w:val="95"/>
                <w:sz w:val="18"/>
              </w:rPr>
              <w:t>80,000</w:t>
            </w: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陈晓华</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董事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44</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14,878,046</w:t>
            </w: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14,878,046</w:t>
            </w: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邓锋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董事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55</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p>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7"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王涌</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17"/>
              <w:ind w:left="212" w:right="210"/>
              <w:jc w:val="left"/>
              <w:rPr>
                <w:rFonts w:ascii="宋体" w:hAnsi="宋体" w:cs="宋体" w:eastAsia="宋体" w:hint="default"/>
                <w:sz w:val="18"/>
                <w:szCs w:val="18"/>
              </w:rPr>
            </w:pPr>
            <w:r>
              <w:rPr>
                <w:rFonts w:ascii="宋体" w:hAnsi="宋体" w:cs="宋体" w:eastAsia="宋体" w:hint="default"/>
                <w:spacing w:val="-12"/>
                <w:sz w:val="18"/>
                <w:szCs w:val="18"/>
              </w:rPr>
              <w:t>独立 董事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50</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7"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唐林林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16"/>
              <w:ind w:left="212" w:right="210"/>
              <w:jc w:val="left"/>
              <w:rPr>
                <w:rFonts w:ascii="宋体" w:hAnsi="宋体" w:cs="宋体" w:eastAsia="宋体" w:hint="default"/>
                <w:sz w:val="18"/>
                <w:szCs w:val="18"/>
              </w:rPr>
            </w:pPr>
            <w:r>
              <w:rPr>
                <w:rFonts w:ascii="宋体" w:hAnsi="宋体" w:cs="宋体" w:eastAsia="宋体" w:hint="default"/>
                <w:spacing w:val="-12"/>
                <w:sz w:val="18"/>
                <w:szCs w:val="18"/>
              </w:rPr>
              <w:t>独立 董事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48</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许亮</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7"/>
              <w:ind w:left="212" w:right="210"/>
              <w:jc w:val="left"/>
              <w:rPr>
                <w:rFonts w:ascii="宋体" w:hAnsi="宋体" w:cs="宋体" w:eastAsia="宋体" w:hint="default"/>
                <w:sz w:val="18"/>
                <w:szCs w:val="18"/>
              </w:rPr>
            </w:pPr>
            <w:r>
              <w:rPr>
                <w:rFonts w:ascii="宋体" w:hAnsi="宋体" w:cs="宋体" w:eastAsia="宋体" w:hint="default"/>
                <w:spacing w:val="-12"/>
                <w:sz w:val="18"/>
                <w:szCs w:val="18"/>
              </w:rPr>
              <w:t>独立 董事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43</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03</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王琰</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微软雅黑" w:hAnsi="微软雅黑" w:cs="微软雅黑" w:eastAsia="微软雅黑" w:hint="default"/>
                <w:sz w:val="10"/>
                <w:szCs w:val="10"/>
              </w:rPr>
            </w:pPr>
          </w:p>
          <w:p>
            <w:pPr>
              <w:pStyle w:val="TableParagraph"/>
              <w:spacing w:line="232" w:lineRule="exact"/>
              <w:ind w:left="212" w:right="126" w:hanging="84"/>
              <w:jc w:val="left"/>
              <w:rPr>
                <w:rFonts w:ascii="宋体" w:hAnsi="宋体" w:cs="宋体" w:eastAsia="宋体" w:hint="default"/>
                <w:sz w:val="18"/>
                <w:szCs w:val="18"/>
              </w:rPr>
            </w:pPr>
            <w:r>
              <w:rPr>
                <w:rFonts w:ascii="宋体" w:hAnsi="宋体" w:cs="宋体" w:eastAsia="宋体" w:hint="default"/>
                <w:spacing w:val="-12"/>
                <w:sz w:val="18"/>
                <w:szCs w:val="18"/>
              </w:rPr>
              <w:t>监事会 主席</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46</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4"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4"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刘学徽</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监事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51</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02</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p>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7"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微软雅黑" w:hAnsi="微软雅黑" w:cs="微软雅黑" w:eastAsia="微软雅黑" w:hint="default"/>
          <w:sz w:val="18"/>
          <w:szCs w:val="18"/>
        </w:rPr>
      </w:pPr>
    </w:p>
    <w:tbl>
      <w:tblPr>
        <w:tblW w:w="0" w:type="auto"/>
        <w:jc w:val="left"/>
        <w:tblInd w:w="1021" w:type="dxa"/>
        <w:tblLayout w:type="fixed"/>
        <w:tblCellMar>
          <w:top w:w="0" w:type="dxa"/>
          <w:left w:w="0" w:type="dxa"/>
          <w:bottom w:w="0" w:type="dxa"/>
          <w:right w:w="0" w:type="dxa"/>
        </w:tblCellMar>
        <w:tblLook w:val="01E0"/>
      </w:tblPr>
      <w:tblGrid>
        <w:gridCol w:w="772"/>
        <w:gridCol w:w="770"/>
        <w:gridCol w:w="770"/>
        <w:gridCol w:w="769"/>
        <w:gridCol w:w="773"/>
        <w:gridCol w:w="769"/>
        <w:gridCol w:w="773"/>
        <w:gridCol w:w="1050"/>
        <w:gridCol w:w="772"/>
        <w:gridCol w:w="773"/>
        <w:gridCol w:w="814"/>
        <w:gridCol w:w="1050"/>
      </w:tblGrid>
      <w:tr>
        <w:trPr>
          <w:trHeight w:val="1068" w:hRule="exact"/>
        </w:trPr>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姓名</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职务</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296" w:right="126" w:hanging="168"/>
              <w:jc w:val="left"/>
              <w:rPr>
                <w:rFonts w:ascii="宋体" w:hAnsi="宋体" w:cs="宋体" w:eastAsia="宋体" w:hint="default"/>
                <w:sz w:val="18"/>
                <w:szCs w:val="18"/>
              </w:rPr>
            </w:pPr>
            <w:r>
              <w:rPr>
                <w:rFonts w:ascii="宋体" w:hAnsi="宋体" w:cs="宋体" w:eastAsia="宋体" w:hint="default"/>
                <w:spacing w:val="-12"/>
                <w:sz w:val="18"/>
                <w:szCs w:val="18"/>
              </w:rPr>
              <w:t>任职状 </w:t>
            </w:r>
            <w:r>
              <w:rPr>
                <w:rFonts w:ascii="宋体" w:hAnsi="宋体" w:cs="宋体" w:eastAsia="宋体" w:hint="default"/>
                <w:sz w:val="18"/>
                <w:szCs w:val="18"/>
              </w:rPr>
              <w:t>态</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2"/>
                <w:sz w:val="18"/>
                <w:szCs w:val="18"/>
              </w:rPr>
              <w:t>性别</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微软雅黑" w:hAnsi="微软雅黑" w:cs="微软雅黑" w:eastAsia="微软雅黑"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年龄</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28" w:right="125"/>
              <w:jc w:val="left"/>
              <w:rPr>
                <w:rFonts w:ascii="宋体" w:hAnsi="宋体" w:cs="宋体" w:eastAsia="宋体" w:hint="default"/>
                <w:sz w:val="18"/>
                <w:szCs w:val="18"/>
              </w:rPr>
            </w:pPr>
            <w:r>
              <w:rPr>
                <w:rFonts w:ascii="宋体" w:hAnsi="宋体" w:cs="宋体" w:eastAsia="宋体" w:hint="default"/>
                <w:spacing w:val="-12"/>
                <w:sz w:val="18"/>
                <w:szCs w:val="18"/>
              </w:rPr>
              <w:t>任期起 始日期</w:t>
            </w:r>
            <w:r>
              <w:rPr>
                <w:rFonts w:ascii="宋体" w:hAnsi="宋体" w:cs="宋体" w:eastAsia="宋体" w:hint="default"/>
                <w:sz w:val="18"/>
                <w:szCs w:val="18"/>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28" w:right="128"/>
              <w:jc w:val="left"/>
              <w:rPr>
                <w:rFonts w:ascii="宋体" w:hAnsi="宋体" w:cs="宋体" w:eastAsia="宋体" w:hint="default"/>
                <w:sz w:val="18"/>
                <w:szCs w:val="18"/>
              </w:rPr>
            </w:pPr>
            <w:r>
              <w:rPr>
                <w:rFonts w:ascii="宋体" w:hAnsi="宋体" w:cs="宋体" w:eastAsia="宋体" w:hint="default"/>
                <w:spacing w:val="-12"/>
                <w:sz w:val="18"/>
                <w:szCs w:val="18"/>
              </w:rPr>
              <w:t>任期终 止日期</w:t>
            </w:r>
            <w:r>
              <w:rPr>
                <w:rFonts w:ascii="宋体" w:hAnsi="宋体" w:cs="宋体" w:eastAsia="宋体" w:hint="default"/>
                <w:sz w:val="18"/>
                <w:szCs w:val="18"/>
              </w:rPr>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83" w:right="170"/>
              <w:jc w:val="left"/>
              <w:rPr>
                <w:rFonts w:ascii="宋体" w:hAnsi="宋体" w:cs="宋体" w:eastAsia="宋体" w:hint="default"/>
                <w:sz w:val="18"/>
                <w:szCs w:val="18"/>
              </w:rPr>
            </w:pPr>
            <w:r>
              <w:rPr>
                <w:rFonts w:ascii="宋体" w:hAnsi="宋体" w:cs="宋体" w:eastAsia="宋体" w:hint="default"/>
                <w:spacing w:val="-12"/>
                <w:sz w:val="18"/>
                <w:szCs w:val="18"/>
              </w:rPr>
              <w:t>期初持股 </w:t>
            </w:r>
            <w:r>
              <w:rPr>
                <w:rFonts w:ascii="宋体" w:hAnsi="宋体" w:cs="宋体" w:eastAsia="宋体" w:hint="default"/>
                <w:spacing w:val="-9"/>
                <w:sz w:val="18"/>
                <w:szCs w:val="18"/>
              </w:rPr>
              <w:t>数（股）</w:t>
            </w:r>
          </w:p>
        </w:tc>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8" w:right="129"/>
              <w:jc w:val="both"/>
              <w:rPr>
                <w:rFonts w:ascii="宋体" w:hAnsi="宋体" w:cs="宋体" w:eastAsia="宋体" w:hint="default"/>
                <w:sz w:val="18"/>
                <w:szCs w:val="18"/>
              </w:rPr>
            </w:pPr>
            <w:r>
              <w:rPr>
                <w:rFonts w:ascii="宋体" w:hAnsi="宋体" w:cs="宋体" w:eastAsia="宋体" w:hint="default"/>
                <w:spacing w:val="-12"/>
                <w:sz w:val="18"/>
                <w:szCs w:val="18"/>
              </w:rPr>
              <w:t>本期增 持股份 数量</w:t>
            </w:r>
            <w:r>
              <w:rPr>
                <w:rFonts w:ascii="宋体" w:hAnsi="宋体" w:cs="宋体" w:eastAsia="宋体" w:hint="default"/>
                <w:sz w:val="18"/>
                <w:szCs w:val="18"/>
              </w:rPr>
            </w:r>
          </w:p>
          <w:p>
            <w:pPr>
              <w:pStyle w:val="TableParagraph"/>
              <w:spacing w:line="234" w:lineRule="exact"/>
              <w:ind w:left="128" w:right="0"/>
              <w:jc w:val="both"/>
              <w:rPr>
                <w:rFonts w:ascii="宋体" w:hAnsi="宋体" w:cs="宋体" w:eastAsia="宋体" w:hint="default"/>
                <w:sz w:val="18"/>
                <w:szCs w:val="18"/>
              </w:rPr>
            </w:pPr>
            <w:r>
              <w:rPr>
                <w:rFonts w:ascii="宋体" w:hAnsi="宋体" w:cs="宋体" w:eastAsia="宋体" w:hint="default"/>
                <w:spacing w:val="-8"/>
                <w:sz w:val="18"/>
                <w:szCs w:val="18"/>
              </w:rPr>
              <w:t>（股）</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9" w:right="127"/>
              <w:jc w:val="both"/>
              <w:rPr>
                <w:rFonts w:ascii="宋体" w:hAnsi="宋体" w:cs="宋体" w:eastAsia="宋体" w:hint="default"/>
                <w:sz w:val="18"/>
                <w:szCs w:val="18"/>
              </w:rPr>
            </w:pPr>
            <w:r>
              <w:rPr>
                <w:rFonts w:ascii="宋体" w:hAnsi="宋体" w:cs="宋体" w:eastAsia="宋体" w:hint="default"/>
                <w:spacing w:val="-12"/>
                <w:sz w:val="18"/>
                <w:szCs w:val="18"/>
              </w:rPr>
              <w:t>本期减 持股份 数量</w:t>
            </w:r>
            <w:r>
              <w:rPr>
                <w:rFonts w:ascii="宋体" w:hAnsi="宋体" w:cs="宋体" w:eastAsia="宋体" w:hint="default"/>
                <w:sz w:val="18"/>
                <w:szCs w:val="18"/>
              </w:rPr>
            </w:r>
          </w:p>
          <w:p>
            <w:pPr>
              <w:pStyle w:val="TableParagraph"/>
              <w:spacing w:line="234" w:lineRule="exact"/>
              <w:ind w:left="129" w:right="0"/>
              <w:jc w:val="both"/>
              <w:rPr>
                <w:rFonts w:ascii="宋体" w:hAnsi="宋体" w:cs="宋体" w:eastAsia="宋体" w:hint="default"/>
                <w:sz w:val="18"/>
                <w:szCs w:val="18"/>
              </w:rPr>
            </w:pPr>
            <w:r>
              <w:rPr>
                <w:rFonts w:ascii="宋体" w:hAnsi="宋体" w:cs="宋体" w:eastAsia="宋体" w:hint="default"/>
                <w:spacing w:val="-8"/>
                <w:sz w:val="18"/>
                <w:szCs w:val="18"/>
              </w:rPr>
              <w:t>（股）</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微软雅黑" w:hAnsi="微软雅黑" w:cs="微软雅黑" w:eastAsia="微软雅黑" w:hint="default"/>
                <w:sz w:val="10"/>
                <w:szCs w:val="10"/>
              </w:rPr>
            </w:pPr>
          </w:p>
          <w:p>
            <w:pPr>
              <w:pStyle w:val="TableParagraph"/>
              <w:spacing w:line="232" w:lineRule="exact"/>
              <w:ind w:left="149" w:right="149"/>
              <w:jc w:val="left"/>
              <w:rPr>
                <w:rFonts w:ascii="宋体" w:hAnsi="宋体" w:cs="宋体" w:eastAsia="宋体" w:hint="default"/>
                <w:sz w:val="18"/>
                <w:szCs w:val="18"/>
              </w:rPr>
            </w:pPr>
            <w:r>
              <w:rPr>
                <w:rFonts w:ascii="宋体" w:hAnsi="宋体" w:cs="宋体" w:eastAsia="宋体" w:hint="default"/>
                <w:spacing w:val="-12"/>
                <w:sz w:val="18"/>
                <w:szCs w:val="18"/>
              </w:rPr>
              <w:t>其他增 减变动</w:t>
            </w:r>
            <w:r>
              <w:rPr>
                <w:rFonts w:ascii="宋体" w:hAnsi="宋体" w:cs="宋体" w:eastAsia="宋体" w:hint="default"/>
                <w:sz w:val="18"/>
                <w:szCs w:val="18"/>
              </w:rPr>
            </w:r>
          </w:p>
          <w:p>
            <w:pPr>
              <w:pStyle w:val="TableParagraph"/>
              <w:spacing w:line="212" w:lineRule="exact"/>
              <w:ind w:left="149" w:right="0"/>
              <w:jc w:val="left"/>
              <w:rPr>
                <w:rFonts w:ascii="宋体" w:hAnsi="宋体" w:cs="宋体" w:eastAsia="宋体" w:hint="default"/>
                <w:sz w:val="18"/>
                <w:szCs w:val="18"/>
              </w:rPr>
            </w:pPr>
            <w:r>
              <w:rPr>
                <w:rFonts w:ascii="宋体" w:hAnsi="宋体" w:cs="宋体" w:eastAsia="宋体" w:hint="default"/>
                <w:spacing w:val="-8"/>
                <w:sz w:val="18"/>
                <w:szCs w:val="18"/>
              </w:rPr>
              <w:t>（股）</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2" w:lineRule="exact"/>
              <w:ind w:left="183" w:right="170"/>
              <w:jc w:val="left"/>
              <w:rPr>
                <w:rFonts w:ascii="宋体" w:hAnsi="宋体" w:cs="宋体" w:eastAsia="宋体" w:hint="default"/>
                <w:sz w:val="18"/>
                <w:szCs w:val="18"/>
              </w:rPr>
            </w:pPr>
            <w:r>
              <w:rPr>
                <w:rFonts w:ascii="宋体" w:hAnsi="宋体" w:cs="宋体" w:eastAsia="宋体" w:hint="default"/>
                <w:spacing w:val="-12"/>
                <w:sz w:val="18"/>
                <w:szCs w:val="18"/>
              </w:rPr>
              <w:t>期末持股 </w:t>
            </w:r>
            <w:r>
              <w:rPr>
                <w:rFonts w:ascii="宋体" w:hAnsi="宋体" w:cs="宋体" w:eastAsia="宋体" w:hint="default"/>
                <w:spacing w:val="-9"/>
                <w:sz w:val="18"/>
                <w:szCs w:val="18"/>
              </w:rPr>
              <w:t>数（股）</w:t>
            </w: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王晶</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28" w:right="126"/>
              <w:jc w:val="left"/>
              <w:rPr>
                <w:rFonts w:ascii="宋体" w:hAnsi="宋体" w:cs="宋体" w:eastAsia="宋体" w:hint="default"/>
                <w:sz w:val="18"/>
                <w:szCs w:val="18"/>
              </w:rPr>
            </w:pPr>
            <w:r>
              <w:rPr>
                <w:rFonts w:ascii="宋体" w:hAnsi="宋体" w:cs="宋体" w:eastAsia="宋体" w:hint="default"/>
                <w:spacing w:val="-12"/>
                <w:sz w:val="18"/>
                <w:szCs w:val="18"/>
              </w:rPr>
              <w:t>职工代 表监事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35</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4"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8"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4"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8"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邹鹏程</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微软雅黑" w:hAnsi="微软雅黑" w:cs="微软雅黑" w:eastAsia="微软雅黑" w:hint="default"/>
                <w:sz w:val="10"/>
                <w:szCs w:val="10"/>
              </w:rPr>
            </w:pPr>
          </w:p>
          <w:p>
            <w:pPr>
              <w:pStyle w:val="TableParagraph"/>
              <w:spacing w:line="232" w:lineRule="exact"/>
              <w:ind w:left="296" w:right="126" w:hanging="168"/>
              <w:jc w:val="left"/>
              <w:rPr>
                <w:rFonts w:ascii="宋体" w:hAnsi="宋体" w:cs="宋体" w:eastAsia="宋体" w:hint="default"/>
                <w:sz w:val="18"/>
                <w:szCs w:val="18"/>
              </w:rPr>
            </w:pPr>
            <w:r>
              <w:rPr>
                <w:rFonts w:ascii="宋体" w:hAnsi="宋体" w:cs="宋体" w:eastAsia="宋体" w:hint="default"/>
                <w:spacing w:val="-12"/>
                <w:sz w:val="18"/>
                <w:szCs w:val="18"/>
              </w:rPr>
              <w:t>副总经 </w:t>
            </w:r>
            <w:r>
              <w:rPr>
                <w:rFonts w:ascii="宋体" w:hAnsi="宋体" w:cs="宋体" w:eastAsia="宋体" w:hint="default"/>
                <w:sz w:val="18"/>
                <w:szCs w:val="18"/>
              </w:rPr>
              <w:t>理</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现任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45</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p>
          <w:p>
            <w:pPr>
              <w:pStyle w:val="TableParagraph"/>
              <w:spacing w:line="227"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1,151,226</w:t>
            </w: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pacing w:val="-6"/>
                <w:sz w:val="18"/>
              </w:rPr>
              <w:t>-60,000</w:t>
            </w:r>
          </w:p>
        </w:tc>
        <w:tc>
          <w:tcPr>
            <w:tcW w:w="81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1,091,226</w:t>
            </w:r>
          </w:p>
        </w:tc>
      </w:tr>
      <w:tr>
        <w:trPr>
          <w:trHeight w:val="835"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2"/>
                <w:sz w:val="18"/>
                <w:szCs w:val="18"/>
              </w:rPr>
              <w:t>武楠</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28" w:right="126"/>
              <w:jc w:val="both"/>
              <w:rPr>
                <w:rFonts w:ascii="宋体" w:hAnsi="宋体" w:cs="宋体" w:eastAsia="宋体" w:hint="default"/>
                <w:sz w:val="18"/>
                <w:szCs w:val="18"/>
              </w:rPr>
            </w:pPr>
            <w:r>
              <w:rPr>
                <w:rFonts w:ascii="宋体" w:hAnsi="宋体" w:cs="宋体" w:eastAsia="宋体" w:hint="default"/>
                <w:spacing w:val="-12"/>
                <w:sz w:val="18"/>
                <w:szCs w:val="18"/>
              </w:rPr>
              <w:t>董事、 董事会 秘书</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离任</w:t>
            </w:r>
            <w:r>
              <w:rPr>
                <w:rFonts w:ascii="宋体" w:hAnsi="宋体" w:cs="宋体" w:eastAsia="宋体" w:hint="default"/>
                <w:sz w:val="18"/>
                <w:szCs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微软雅黑" w:hAnsi="微软雅黑" w:cs="微软雅黑" w:eastAsia="微软雅黑"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6"/>
                <w:sz w:val="18"/>
              </w:rPr>
              <w:t>37</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2"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09</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p>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3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74"/>
                <w:sz w:val="18"/>
                <w:szCs w:val="18"/>
              </w:rPr>
              <w:t> </w:t>
            </w:r>
            <w:r>
              <w:rPr>
                <w:rFonts w:ascii="Times New Roman" w:hAnsi="Times New Roman" w:cs="Times New Roman" w:eastAsia="Times New Roman" w:hint="default"/>
                <w:spacing w:val="-6"/>
                <w:sz w:val="18"/>
                <w:szCs w:val="18"/>
              </w:rPr>
              <w:t>27</w:t>
            </w:r>
            <w:r>
              <w:rPr>
                <w:rFonts w:ascii="Times New Roman" w:hAnsi="Times New Roman" w:cs="Times New Roman" w:eastAsia="Times New Roman" w:hint="default"/>
                <w:sz w:val="18"/>
                <w:szCs w:val="18"/>
              </w:rPr>
            </w:r>
          </w:p>
          <w:p>
            <w:pPr>
              <w:pStyle w:val="TableParagraph"/>
              <w:spacing w:line="227" w:lineRule="exact"/>
              <w:ind w:left="9"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6"/>
                <w:sz w:val="18"/>
              </w:rPr>
              <w:t>144,623</w:t>
            </w:r>
          </w:p>
        </w:tc>
        <w:tc>
          <w:tcPr>
            <w:tcW w:w="77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pacing w:val="-6"/>
                <w:sz w:val="18"/>
              </w:rPr>
              <w:t>-101,236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5"/>
                <w:w w:val="95"/>
                <w:sz w:val="18"/>
              </w:rPr>
              <w:t>43,387</w:t>
            </w:r>
          </w:p>
        </w:tc>
      </w:tr>
      <w:tr>
        <w:trPr>
          <w:trHeight w:val="407" w:hRule="exact"/>
        </w:trPr>
        <w:tc>
          <w:tcPr>
            <w:tcW w:w="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pacing w:val="-6"/>
                <w:sz w:val="18"/>
              </w:rPr>
              <w:t>--</w:t>
            </w:r>
            <w:r>
              <w:rPr>
                <w:rFonts w:ascii="Times New Roman"/>
                <w:sz w:val="18"/>
              </w:rPr>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pacing w:val="-6"/>
                <w:sz w:val="18"/>
              </w:rPr>
              <w:t>--</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pacing w:val="-6"/>
                <w:sz w:val="18"/>
              </w:rPr>
              <w:t>--</w:t>
            </w:r>
            <w:r>
              <w:rPr>
                <w:rFonts w:ascii="Times New Roman"/>
                <w:sz w:val="18"/>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pacing w:val="-6"/>
                <w:sz w:val="18"/>
              </w:rPr>
              <w:t>--</w:t>
            </w:r>
            <w:r>
              <w:rPr>
                <w:rFonts w:ascii="Times New Roman"/>
                <w:sz w:val="18"/>
              </w:rPr>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 w:right="0"/>
              <w:jc w:val="center"/>
              <w:rPr>
                <w:rFonts w:ascii="Times New Roman" w:hAnsi="Times New Roman" w:cs="Times New Roman" w:eastAsia="Times New Roman" w:hint="default"/>
                <w:sz w:val="18"/>
                <w:szCs w:val="18"/>
              </w:rPr>
            </w:pPr>
            <w:r>
              <w:rPr>
                <w:rFonts w:ascii="Times New Roman"/>
                <w:spacing w:val="-6"/>
                <w:sz w:val="18"/>
              </w:rPr>
              <w:t>--</w:t>
            </w:r>
            <w:r>
              <w:rPr>
                <w:rFonts w:ascii="Times New Roman"/>
                <w:sz w:val="18"/>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pacing w:val="-6"/>
                <w:sz w:val="18"/>
              </w:rPr>
              <w:t>--</w:t>
            </w:r>
            <w:r>
              <w:rPr>
                <w:rFonts w:ascii="Times New Roman"/>
                <w:sz w:val="18"/>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3"/>
              <w:jc w:val="right"/>
              <w:rPr>
                <w:rFonts w:ascii="Times New Roman" w:hAnsi="Times New Roman" w:cs="Times New Roman" w:eastAsia="Times New Roman" w:hint="default"/>
                <w:sz w:val="18"/>
                <w:szCs w:val="18"/>
              </w:rPr>
            </w:pPr>
            <w:r>
              <w:rPr>
                <w:rFonts w:ascii="Times New Roman"/>
                <w:spacing w:val="-6"/>
                <w:sz w:val="18"/>
              </w:rPr>
              <w:t>170,176,636</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0" w:right="0"/>
              <w:jc w:val="left"/>
              <w:rPr>
                <w:rFonts w:ascii="Times New Roman" w:hAnsi="Times New Roman" w:cs="Times New Roman" w:eastAsia="Times New Roman" w:hint="default"/>
                <w:sz w:val="18"/>
                <w:szCs w:val="18"/>
              </w:rPr>
            </w:pPr>
            <w:r>
              <w:rPr>
                <w:rFonts w:ascii="Times New Roman"/>
                <w:spacing w:val="-5"/>
                <w:sz w:val="18"/>
              </w:rPr>
              <w:t>80,000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1" w:right="0"/>
              <w:jc w:val="center"/>
              <w:rPr>
                <w:rFonts w:ascii="Times New Roman" w:hAnsi="Times New Roman" w:cs="Times New Roman" w:eastAsia="Times New Roman" w:hint="default"/>
                <w:sz w:val="18"/>
                <w:szCs w:val="18"/>
              </w:rPr>
            </w:pPr>
            <w:r>
              <w:rPr>
                <w:rFonts w:ascii="Times New Roman"/>
                <w:spacing w:val="-6"/>
                <w:sz w:val="18"/>
              </w:rPr>
              <w:t>-60,000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8" w:right="0"/>
              <w:jc w:val="center"/>
              <w:rPr>
                <w:rFonts w:ascii="Times New Roman" w:hAnsi="Times New Roman" w:cs="Times New Roman" w:eastAsia="Times New Roman" w:hint="default"/>
                <w:sz w:val="18"/>
                <w:szCs w:val="18"/>
              </w:rPr>
            </w:pPr>
            <w:r>
              <w:rPr>
                <w:rFonts w:ascii="Times New Roman"/>
                <w:spacing w:val="-6"/>
                <w:sz w:val="18"/>
              </w:rPr>
              <w:t>-101,236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3"/>
              <w:jc w:val="right"/>
              <w:rPr>
                <w:rFonts w:ascii="Times New Roman" w:hAnsi="Times New Roman" w:cs="Times New Roman" w:eastAsia="Times New Roman" w:hint="default"/>
                <w:sz w:val="18"/>
                <w:szCs w:val="18"/>
              </w:rPr>
            </w:pPr>
            <w:r>
              <w:rPr>
                <w:rFonts w:ascii="Times New Roman"/>
                <w:spacing w:val="-6"/>
                <w:sz w:val="18"/>
              </w:rPr>
              <w:t>170,095,400</w:t>
            </w:r>
          </w:p>
        </w:tc>
      </w:tr>
    </w:tbl>
    <w:p>
      <w:pPr>
        <w:spacing w:line="240" w:lineRule="auto" w:before="12"/>
        <w:rPr>
          <w:rFonts w:ascii="微软雅黑" w:hAnsi="微软雅黑" w:cs="微软雅黑" w:eastAsia="微软雅黑" w:hint="default"/>
          <w:sz w:val="19"/>
          <w:szCs w:val="19"/>
        </w:rPr>
      </w:pPr>
    </w:p>
    <w:p>
      <w:pPr>
        <w:pStyle w:val="Heading2"/>
        <w:spacing w:line="397" w:lineRule="exact"/>
        <w:ind w:right="0"/>
        <w:jc w:val="left"/>
      </w:pPr>
      <w:bookmarkStart w:name="二、公司董事、监事、高级管理人员变动情况" w:id="126"/>
      <w:bookmarkEnd w:id="126"/>
      <w:r>
        <w:rPr/>
      </w:r>
      <w:r>
        <w:rPr/>
        <w:t>二、公司董事、监事、高级管理人员变动情况</w:t>
      </w:r>
    </w:p>
    <w:p>
      <w:pPr>
        <w:spacing w:line="240" w:lineRule="auto" w:before="11"/>
        <w:rPr>
          <w:rFonts w:ascii="微软雅黑" w:hAnsi="微软雅黑" w:cs="微软雅黑" w:eastAsia="微软雅黑" w:hint="default"/>
          <w:sz w:val="27"/>
          <w:szCs w:val="27"/>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1370"/>
        <w:gridCol w:w="1370"/>
        <w:gridCol w:w="1370"/>
        <w:gridCol w:w="1370"/>
        <w:gridCol w:w="4376"/>
      </w:tblGrid>
      <w:tr>
        <w:trPr>
          <w:trHeight w:val="38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626" w:hRule="exact"/>
        </w:trPr>
        <w:tc>
          <w:tcPr>
            <w:tcW w:w="137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武楠</w:t>
            </w:r>
          </w:p>
        </w:tc>
        <w:tc>
          <w:tcPr>
            <w:tcW w:w="1370" w:type="dxa"/>
            <w:tcBorders>
              <w:top w:val="single" w:sz="8" w:space="0" w:color="D2D2D2"/>
              <w:left w:val="single" w:sz="4" w:space="0" w:color="000000"/>
              <w:bottom w:val="single" w:sz="4" w:space="0" w:color="000000"/>
              <w:right w:val="single" w:sz="4" w:space="0" w:color="000000"/>
            </w:tcBorders>
          </w:tcPr>
          <w:p>
            <w:pPr>
              <w:pStyle w:val="TableParagraph"/>
              <w:spacing w:line="232" w:lineRule="exact" w:before="76"/>
              <w:ind w:left="500" w:right="138" w:hanging="360"/>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137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70" w:type="dxa"/>
            <w:tcBorders>
              <w:top w:val="single" w:sz="8" w:space="0" w:color="D2D2D2"/>
              <w:left w:val="single" w:sz="4" w:space="0" w:color="000000"/>
              <w:bottom w:val="single" w:sz="4" w:space="0" w:color="000000"/>
              <w:right w:val="single" w:sz="4" w:space="0" w:color="000000"/>
            </w:tcBorders>
          </w:tcPr>
          <w:p>
            <w:pPr>
              <w:pStyle w:val="TableParagraph"/>
              <w:spacing w:line="241" w:lineRule="exact"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1"/>
        <w:rPr>
          <w:rFonts w:ascii="宋体" w:hAnsi="宋体" w:cs="宋体" w:eastAsia="宋体" w:hint="default"/>
          <w:sz w:val="26"/>
          <w:szCs w:val="26"/>
        </w:rPr>
      </w:pPr>
    </w:p>
    <w:p>
      <w:pPr>
        <w:pStyle w:val="Heading2"/>
        <w:spacing w:line="397" w:lineRule="exact"/>
        <w:ind w:right="0"/>
        <w:jc w:val="left"/>
      </w:pPr>
      <w:bookmarkStart w:name="三、任职情况" w:id="127"/>
      <w:bookmarkEnd w:id="127"/>
      <w:r>
        <w:rPr/>
      </w:r>
      <w:r>
        <w:rPr/>
        <w:t>三、任职情况</w:t>
      </w:r>
    </w:p>
    <w:p>
      <w:pPr>
        <w:spacing w:line="240" w:lineRule="auto" w:before="11"/>
        <w:rPr>
          <w:rFonts w:ascii="微软雅黑" w:hAnsi="微软雅黑" w:cs="微软雅黑" w:eastAsia="微软雅黑" w:hint="default"/>
          <w:sz w:val="27"/>
          <w:szCs w:val="27"/>
        </w:rPr>
      </w:pPr>
    </w:p>
    <w:p>
      <w:pPr>
        <w:pStyle w:val="BodyText"/>
        <w:spacing w:line="487" w:lineRule="auto"/>
        <w:ind w:left="1553" w:right="2143"/>
        <w:jc w:val="left"/>
      </w:pPr>
      <w:r>
        <w:rPr/>
        <w:t>公司现任董事、监事、高级管理人员专业背景、主要工作经历以及目前在公司的主要职责 非独立董事：</w:t>
      </w:r>
    </w:p>
    <w:p>
      <w:pPr>
        <w:pStyle w:val="BodyText"/>
        <w:spacing w:line="280" w:lineRule="auto" w:before="67"/>
        <w:ind w:left="1134" w:right="1123" w:firstLine="420"/>
        <w:jc w:val="left"/>
      </w:pPr>
      <w:r>
        <w:rPr>
          <w:spacing w:val="-2"/>
        </w:rPr>
        <w:t>赵鸿飞先生，</w:t>
      </w:r>
      <w:r>
        <w:rPr>
          <w:rFonts w:ascii="Times New Roman" w:hAnsi="Times New Roman" w:cs="Times New Roman" w:eastAsia="Times New Roman" w:hint="default"/>
          <w:spacing w:val="-2"/>
        </w:rPr>
        <w:t>1974</w:t>
      </w:r>
      <w:r>
        <w:rPr>
          <w:rFonts w:ascii="Times New Roman" w:hAnsi="Times New Roman" w:cs="Times New Roman" w:eastAsia="Times New Roman" w:hint="default"/>
          <w:spacing w:val="8"/>
        </w:rPr>
        <w:t> </w:t>
      </w:r>
      <w:r>
        <w:rPr>
          <w:spacing w:val="-2"/>
        </w:rPr>
        <w:t>年出生，中国国籍，无境外永久居留权，毕业于北京理工大学计算机应用专业，工</w:t>
      </w:r>
      <w:r>
        <w:rPr/>
        <w:t> 学硕士学位</w:t>
      </w:r>
    </w:p>
    <w:p>
      <w:pPr>
        <w:spacing w:line="240" w:lineRule="auto" w:before="0"/>
        <w:rPr>
          <w:rFonts w:ascii="宋体" w:hAnsi="宋体" w:cs="宋体" w:eastAsia="宋体" w:hint="default"/>
          <w:sz w:val="19"/>
          <w:szCs w:val="19"/>
        </w:rPr>
      </w:pPr>
    </w:p>
    <w:p>
      <w:pPr>
        <w:pStyle w:val="BodyText"/>
        <w:spacing w:line="240" w:lineRule="auto"/>
        <w:ind w:right="0"/>
        <w:jc w:val="left"/>
      </w:pPr>
      <w:r>
        <w:rPr/>
        <w:t>自</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3"/>
        </w:rPr>
        <w:t>月至今担任本公司董事；自</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0"/>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3"/>
        </w:rPr>
        <w:t>月至今担任公司董事长；自</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月至</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p>
    <w:p>
      <w:pPr>
        <w:pStyle w:val="BodyText"/>
        <w:spacing w:line="240" w:lineRule="auto" w:before="49"/>
        <w:ind w:left="1134" w:right="0"/>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月担任公司总经理。自</w:t>
      </w:r>
      <w:r>
        <w:rPr>
          <w:spacing w:val="-3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39"/>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月至</w:t>
      </w:r>
      <w:r>
        <w:rPr>
          <w:spacing w:val="-3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月，担任北京天桥北大青鸟科技股份有限公司（现已更</w:t>
      </w:r>
    </w:p>
    <w:p>
      <w:pPr>
        <w:pStyle w:val="BodyText"/>
        <w:spacing w:line="240" w:lineRule="auto" w:before="50"/>
        <w:ind w:left="1133" w:right="0"/>
        <w:jc w:val="left"/>
      </w:pPr>
      <w:r>
        <w:rPr>
          <w:spacing w:val="-3"/>
        </w:rPr>
        <w:t>名为：信达地产股份有限公司）海外事业部副总经理；自</w:t>
      </w:r>
      <w:r>
        <w:rPr>
          <w:spacing w:val="-50"/>
        </w:rPr>
        <w:t> </w:t>
      </w:r>
      <w:r>
        <w:rPr>
          <w:rFonts w:ascii="Times New Roman" w:hAnsi="Times New Roman" w:cs="Times New Roman" w:eastAsia="Times New Roman" w:hint="default"/>
        </w:rPr>
        <w:t>1998</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月至</w:t>
      </w:r>
      <w:r>
        <w:rPr>
          <w:spacing w:val="-50"/>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3"/>
        </w:rPr>
        <w:t>月，历任恩益禧（</w:t>
      </w:r>
      <w:r>
        <w:rPr>
          <w:rFonts w:ascii="Times New Roman" w:hAnsi="Times New Roman" w:cs="Times New Roman" w:eastAsia="Times New Roman" w:hint="default"/>
          <w:spacing w:val="-3"/>
        </w:rPr>
        <w:t>NEC</w:t>
      </w:r>
      <w:r>
        <w:rPr>
          <w:spacing w:val="-3"/>
        </w:rPr>
        <w:t>）</w:t>
      </w:r>
    </w:p>
    <w:p>
      <w:pPr>
        <w:pStyle w:val="BodyText"/>
        <w:spacing w:line="240" w:lineRule="auto" w:before="50"/>
        <w:ind w:left="1134" w:right="0"/>
        <w:jc w:val="left"/>
      </w:pPr>
      <w:r>
        <w:rPr>
          <w:rFonts w:ascii="Times New Roman" w:hAnsi="Times New Roman" w:cs="Times New Roman" w:eastAsia="Times New Roman" w:hint="default"/>
        </w:rPr>
        <w:t>-</w:t>
      </w:r>
      <w:r>
        <w:rPr/>
        <w:t>中科院软件研究所有限公司（现已更名为：日电卓越软件科技（北京）有限公司）工程师、项目经理。</w:t>
      </w:r>
    </w:p>
    <w:p>
      <w:pPr>
        <w:spacing w:line="240" w:lineRule="auto" w:before="6"/>
        <w:rPr>
          <w:rFonts w:ascii="宋体" w:hAnsi="宋体" w:cs="宋体" w:eastAsia="宋体" w:hint="default"/>
          <w:sz w:val="20"/>
          <w:szCs w:val="20"/>
        </w:rPr>
      </w:pPr>
    </w:p>
    <w:p>
      <w:pPr>
        <w:pStyle w:val="BodyText"/>
        <w:spacing w:line="280" w:lineRule="auto"/>
        <w:ind w:left="1133" w:right="1122" w:firstLine="420"/>
        <w:jc w:val="left"/>
      </w:pPr>
      <w:r>
        <w:rPr>
          <w:spacing w:val="-2"/>
        </w:rPr>
        <w:t>吴安华女士，</w:t>
      </w:r>
      <w:r>
        <w:rPr>
          <w:rFonts w:ascii="Times New Roman" w:hAnsi="Times New Roman" w:cs="Times New Roman" w:eastAsia="Times New Roman" w:hint="default"/>
          <w:spacing w:val="-2"/>
        </w:rPr>
        <w:t>1967</w:t>
      </w:r>
      <w:r>
        <w:rPr>
          <w:rFonts w:ascii="Times New Roman" w:hAnsi="Times New Roman" w:cs="Times New Roman" w:eastAsia="Times New Roman" w:hint="default"/>
          <w:spacing w:val="10"/>
        </w:rPr>
        <w:t> </w:t>
      </w:r>
      <w:r>
        <w:rPr>
          <w:spacing w:val="-2"/>
        </w:rPr>
        <w:t>年出生，中国国籍，无境外永久居留权，毕业于中国科学院软件研究所计算机软件</w:t>
      </w:r>
      <w:r>
        <w:rPr/>
        <w:t> 专业，工学硕士学位</w:t>
      </w:r>
    </w:p>
    <w:p>
      <w:pPr>
        <w:spacing w:line="240" w:lineRule="auto" w:before="12"/>
        <w:rPr>
          <w:rFonts w:ascii="宋体" w:hAnsi="宋体" w:cs="宋体" w:eastAsia="宋体" w:hint="default"/>
          <w:sz w:val="18"/>
          <w:szCs w:val="18"/>
        </w:rPr>
      </w:pPr>
    </w:p>
    <w:p>
      <w:pPr>
        <w:pStyle w:val="BodyText"/>
        <w:spacing w:line="240" w:lineRule="auto"/>
        <w:ind w:left="1553" w:right="0"/>
        <w:jc w:val="left"/>
      </w:pPr>
      <w:r>
        <w:rPr/>
        <w:t>自</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月至今担任本公司董事；自</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月至今担任本公司副董事长；自</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spacing w:val="-2"/>
        </w:rPr>
        <w:t>月至今</w:t>
      </w:r>
      <w:r>
        <w:rPr/>
      </w:r>
    </w:p>
    <w:p>
      <w:pPr>
        <w:pStyle w:val="BodyText"/>
        <w:spacing w:line="240" w:lineRule="auto" w:before="50"/>
        <w:ind w:left="1134" w:right="0"/>
        <w:jc w:val="left"/>
        <w:rPr>
          <w:rFonts w:ascii="Times New Roman" w:hAnsi="Times New Roman" w:cs="Times New Roman" w:eastAsia="Times New Roman" w:hint="default"/>
        </w:rPr>
      </w:pPr>
      <w:r>
        <w:rPr/>
        <w:t>担任本公司副总经理；自</w:t>
      </w:r>
      <w:r>
        <w:rPr>
          <w:spacing w:val="-3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月至</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月历任公司副总裁、高级副总裁。</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w:t>
      </w:r>
      <w:r>
        <w:rPr>
          <w:spacing w:val="-37"/>
        </w:rPr>
        <w:t> </w:t>
      </w:r>
      <w:r>
        <w:rPr>
          <w:rFonts w:ascii="Times New Roman" w:hAnsi="Times New Roman" w:cs="Times New Roman" w:eastAsia="Times New Roman" w:hint="default"/>
        </w:rPr>
        <w:t>2008</w:t>
      </w:r>
    </w:p>
    <w:p>
      <w:pPr>
        <w:pStyle w:val="BodyText"/>
        <w:spacing w:line="240" w:lineRule="auto" w:before="49"/>
        <w:ind w:left="1133" w:right="0"/>
        <w:jc w:val="left"/>
      </w:pP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月，担任北京天桥北大青鸟科技股份有限公司（现已更名为信达地产股份有限公司）海外事业部总经</w:t>
      </w:r>
    </w:p>
    <w:p>
      <w:pPr>
        <w:pStyle w:val="BodyText"/>
        <w:spacing w:line="240" w:lineRule="auto" w:before="50"/>
        <w:ind w:left="1133" w:right="0"/>
        <w:jc w:val="left"/>
      </w:pPr>
      <w:r>
        <w:rPr/>
        <w:t>理；</w:t>
      </w:r>
      <w:r>
        <w:rPr>
          <w:rFonts w:ascii="Times New Roman" w:hAnsi="Times New Roman" w:cs="Times New Roman" w:eastAsia="Times New Roman" w:hint="default"/>
        </w:rPr>
        <w:t>1994</w:t>
      </w:r>
      <w:r>
        <w:rPr>
          <w:rFonts w:ascii="Times New Roman" w:hAnsi="Times New Roman" w:cs="Times New Roman" w:eastAsia="Times New Roman" w:hint="default"/>
          <w:spacing w:val="-13"/>
        </w:rPr>
        <w:t> </w:t>
      </w:r>
      <w:r>
        <w:rPr/>
        <w:t>年</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月至</w:t>
      </w:r>
      <w:r>
        <w:rPr>
          <w:spacing w:val="-5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月，历任恩益禧（</w:t>
      </w:r>
      <w:r>
        <w:rPr>
          <w:rFonts w:ascii="Times New Roman" w:hAnsi="Times New Roman" w:cs="Times New Roman" w:eastAsia="Times New Roman" w:hint="default"/>
        </w:rPr>
        <w:t>NEC</w:t>
      </w:r>
      <w:r>
        <w:rPr/>
        <w:t>）</w:t>
      </w:r>
      <w:r>
        <w:rPr>
          <w:rFonts w:ascii="Times New Roman" w:hAnsi="Times New Roman" w:cs="Times New Roman" w:eastAsia="Times New Roman" w:hint="default"/>
        </w:rPr>
        <w:t>-</w:t>
      </w:r>
      <w:r>
        <w:rPr/>
        <w:t>中科院软件研究所有限公司（现已更名为：日电卓</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80" w:lineRule="auto" w:before="35"/>
        <w:ind w:left="1133" w:right="1123"/>
        <w:jc w:val="left"/>
      </w:pPr>
      <w:r>
        <w:rPr/>
        <w:t>越软件科技（北京）有限公司）工程师、项目经理、部门经理；</w:t>
      </w:r>
      <w:r>
        <w:rPr>
          <w:rFonts w:ascii="Times New Roman" w:hAnsi="Times New Roman" w:cs="Times New Roman" w:eastAsia="Times New Roman" w:hint="default"/>
        </w:rPr>
        <w:t>1992</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月至</w:t>
      </w:r>
      <w:r>
        <w:rPr>
          <w:spacing w:val="-38"/>
        </w:rPr>
        <w:t> </w:t>
      </w:r>
      <w:r>
        <w:rPr>
          <w:rFonts w:ascii="Times New Roman" w:hAnsi="Times New Roman" w:cs="Times New Roman" w:eastAsia="Times New Roman" w:hint="default"/>
        </w:rPr>
        <w:t>1994</w:t>
      </w:r>
      <w:r>
        <w:rPr>
          <w:rFonts w:ascii="Times New Roman" w:hAnsi="Times New Roman" w:cs="Times New Roman" w:eastAsia="Times New Roman" w:hint="default"/>
          <w:spacing w:val="-5"/>
        </w:rPr>
        <w:t> </w:t>
      </w:r>
      <w:r>
        <w:rPr/>
        <w:t>年</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月，历任中国科 学院软件研究所助理工程师、工程师。</w:t>
      </w:r>
    </w:p>
    <w:p>
      <w:pPr>
        <w:spacing w:line="240" w:lineRule="auto" w:before="12"/>
        <w:rPr>
          <w:rFonts w:ascii="宋体" w:hAnsi="宋体" w:cs="宋体" w:eastAsia="宋体" w:hint="default"/>
          <w:sz w:val="18"/>
          <w:szCs w:val="18"/>
        </w:rPr>
      </w:pPr>
    </w:p>
    <w:p>
      <w:pPr>
        <w:pStyle w:val="BodyText"/>
        <w:spacing w:line="280" w:lineRule="auto"/>
        <w:ind w:left="1134" w:right="1132" w:firstLine="420"/>
        <w:jc w:val="both"/>
      </w:pPr>
      <w:r>
        <w:rPr>
          <w:spacing w:val="-2"/>
        </w:rPr>
        <w:t>耿增强先生，</w:t>
      </w:r>
      <w:r>
        <w:rPr>
          <w:rFonts w:ascii="Times New Roman" w:hAnsi="Times New Roman" w:cs="Times New Roman" w:eastAsia="Times New Roman" w:hint="default"/>
          <w:spacing w:val="-2"/>
        </w:rPr>
        <w:t>1974</w:t>
      </w:r>
      <w:r>
        <w:rPr>
          <w:rFonts w:ascii="Times New Roman" w:hAnsi="Times New Roman" w:cs="Times New Roman" w:eastAsia="Times New Roman" w:hint="default"/>
          <w:spacing w:val="8"/>
        </w:rPr>
        <w:t> </w:t>
      </w:r>
      <w:r>
        <w:rPr>
          <w:spacing w:val="-2"/>
        </w:rPr>
        <w:t>年出生，中国国籍，无境外永久居留权，毕业于中国科学院软件研究所，获得计算</w:t>
      </w:r>
      <w:r>
        <w:rPr/>
        <w:t> 机软件硕士学位</w:t>
      </w:r>
    </w:p>
    <w:p>
      <w:pPr>
        <w:spacing w:line="240" w:lineRule="auto" w:before="12"/>
        <w:rPr>
          <w:rFonts w:ascii="宋体" w:hAnsi="宋体" w:cs="宋体" w:eastAsia="宋体" w:hint="default"/>
          <w:sz w:val="18"/>
          <w:szCs w:val="18"/>
        </w:rPr>
      </w:pPr>
    </w:p>
    <w:p>
      <w:pPr>
        <w:pStyle w:val="BodyText"/>
        <w:spacing w:line="240" w:lineRule="auto"/>
        <w:ind w:left="1553" w:right="0"/>
        <w:jc w:val="left"/>
        <w:rPr>
          <w:rFonts w:ascii="Times New Roman" w:hAnsi="Times New Roman" w:cs="Times New Roman" w:eastAsia="Times New Roman" w:hint="default"/>
        </w:rPr>
      </w:pPr>
      <w:r>
        <w:rPr/>
        <w:t>自</w:t>
      </w:r>
      <w:r>
        <w:rPr>
          <w:spacing w:val="-53"/>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月至今担任公司董事；自</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月至今担任公司总经理；自</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9</w:t>
      </w:r>
    </w:p>
    <w:p>
      <w:pPr>
        <w:pStyle w:val="BodyText"/>
        <w:spacing w:line="240" w:lineRule="auto" w:before="50"/>
        <w:ind w:left="1133" w:right="0"/>
        <w:jc w:val="left"/>
        <w:rPr>
          <w:rFonts w:ascii="Times New Roman" w:hAnsi="Times New Roman" w:cs="Times New Roman" w:eastAsia="Times New Roman" w:hint="default"/>
        </w:rPr>
      </w:pPr>
      <w:r>
        <w:rPr>
          <w:spacing w:val="-10"/>
        </w:rPr>
        <w:t>月任公司副总裁；自</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spacing w:val="-8"/>
        </w:rPr>
        <w:t>月担任公司高级副总裁。自</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月至</w:t>
      </w:r>
      <w:r>
        <w:rPr>
          <w:spacing w:val="-53"/>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spacing w:val="-14"/>
        </w:rPr>
        <w:t>月，</w:t>
      </w:r>
      <w:r>
        <w:rPr>
          <w:rFonts w:ascii="Times New Roman" w:hAnsi="Times New Roman" w:cs="Times New Roman" w:eastAsia="Times New Roman" w:hint="default"/>
          <w:spacing w:val="-14"/>
        </w:rPr>
        <w:t>2002</w:t>
      </w:r>
    </w:p>
    <w:p>
      <w:pPr>
        <w:pStyle w:val="BodyText"/>
        <w:spacing w:line="240" w:lineRule="auto" w:before="49"/>
        <w:ind w:left="1133" w:right="0"/>
        <w:jc w:val="left"/>
      </w:pPr>
      <w:r>
        <w:rPr/>
        <w:t>年</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月至</w:t>
      </w:r>
      <w:r>
        <w:rPr>
          <w:spacing w:val="-5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3"/>
        </w:rPr>
        <w:t>月历任北京中科红旗软件技术有限公司高级研发经理、高级产品经理、产品市场总监，</w:t>
      </w:r>
    </w:p>
    <w:p>
      <w:pPr>
        <w:pStyle w:val="BodyText"/>
        <w:spacing w:line="280" w:lineRule="auto" w:before="50"/>
        <w:ind w:left="1134" w:right="1125"/>
        <w:jc w:val="left"/>
      </w:pPr>
      <w:r>
        <w:rPr/>
        <w:t>无锡亚联开源软件技术有限公司总裁；自</w:t>
      </w:r>
      <w:r>
        <w:rPr>
          <w:spacing w:val="-48"/>
        </w:rPr>
        <w:t> </w:t>
      </w:r>
      <w:r>
        <w:rPr>
          <w:rFonts w:ascii="Times New Roman" w:hAnsi="Times New Roman" w:cs="Times New Roman" w:eastAsia="Times New Roman" w:hint="default"/>
        </w:rPr>
        <w:t>1996</w:t>
      </w:r>
      <w:r>
        <w:rPr>
          <w:rFonts w:ascii="Times New Roman" w:hAnsi="Times New Roman" w:cs="Times New Roman" w:eastAsia="Times New Roman" w:hint="default"/>
          <w:spacing w:val="-14"/>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月至</w:t>
      </w:r>
      <w:r>
        <w:rPr>
          <w:spacing w:val="-48"/>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月担任中国工商银行宁夏分行银南中心 支行科技科工程师。</w:t>
      </w:r>
    </w:p>
    <w:p>
      <w:pPr>
        <w:spacing w:line="240" w:lineRule="auto" w:before="12"/>
        <w:rPr>
          <w:rFonts w:ascii="宋体" w:hAnsi="宋体" w:cs="宋体" w:eastAsia="宋体" w:hint="default"/>
          <w:sz w:val="18"/>
          <w:szCs w:val="18"/>
        </w:rPr>
      </w:pPr>
    </w:p>
    <w:p>
      <w:pPr>
        <w:pStyle w:val="BodyText"/>
        <w:spacing w:line="280" w:lineRule="auto"/>
        <w:ind w:left="1134" w:right="1132" w:firstLine="420"/>
        <w:jc w:val="both"/>
      </w:pPr>
      <w:r>
        <w:rPr>
          <w:spacing w:val="-2"/>
        </w:rPr>
        <w:t>冯娟鹃女士，</w:t>
      </w:r>
      <w:r>
        <w:rPr>
          <w:rFonts w:ascii="Times New Roman" w:hAnsi="Times New Roman" w:cs="Times New Roman" w:eastAsia="Times New Roman" w:hint="default"/>
          <w:spacing w:val="-2"/>
        </w:rPr>
        <w:t>1979</w:t>
      </w:r>
      <w:r>
        <w:rPr>
          <w:rFonts w:ascii="Times New Roman" w:hAnsi="Times New Roman" w:cs="Times New Roman" w:eastAsia="Times New Roman" w:hint="default"/>
          <w:spacing w:val="7"/>
        </w:rPr>
        <w:t> </w:t>
      </w:r>
      <w:r>
        <w:rPr>
          <w:spacing w:val="-2"/>
        </w:rPr>
        <w:t>年出生，中国国籍，无境外永久居留权，毕业于复旦大学国际关系学院，法学学士</w:t>
      </w:r>
      <w:r>
        <w:rPr/>
        <w:t> 学位</w:t>
      </w:r>
    </w:p>
    <w:p>
      <w:pPr>
        <w:spacing w:line="240" w:lineRule="auto" w:before="12"/>
        <w:rPr>
          <w:rFonts w:ascii="宋体" w:hAnsi="宋体" w:cs="宋体" w:eastAsia="宋体" w:hint="default"/>
          <w:sz w:val="18"/>
          <w:szCs w:val="18"/>
        </w:rPr>
      </w:pPr>
    </w:p>
    <w:p>
      <w:pPr>
        <w:pStyle w:val="BodyText"/>
        <w:spacing w:line="280" w:lineRule="auto"/>
        <w:ind w:left="1134" w:right="1130" w:firstLine="420"/>
        <w:jc w:val="both"/>
      </w:pPr>
      <w:r>
        <w:rPr/>
        <w:t>自</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spacing w:val="-3"/>
        </w:rPr>
        <w:t>月至今担任本公司董事；</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月至今担任本公司董事会秘书；</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月至今担任 </w:t>
      </w:r>
      <w:r>
        <w:rPr>
          <w:spacing w:val="-3"/>
        </w:rPr>
        <w:t>本公司财务总监；</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16"/>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月至</w:t>
      </w:r>
      <w:r>
        <w:rPr>
          <w:spacing w:val="-5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spacing w:val="-9"/>
        </w:rPr>
        <w:t>月，历任</w:t>
      </w:r>
      <w:r>
        <w:rPr>
          <w:spacing w:val="-58"/>
        </w:rPr>
        <w:t> </w:t>
      </w:r>
      <w:r>
        <w:rPr>
          <w:rFonts w:ascii="Times New Roman" w:hAnsi="Times New Roman" w:cs="Times New Roman" w:eastAsia="Times New Roman" w:hint="default"/>
        </w:rPr>
        <w:t>TCL</w:t>
      </w:r>
      <w:r>
        <w:rPr>
          <w:rFonts w:ascii="Times New Roman" w:hAnsi="Times New Roman" w:cs="Times New Roman" w:eastAsia="Times New Roman" w:hint="default"/>
          <w:spacing w:val="-14"/>
        </w:rPr>
        <w:t> </w:t>
      </w:r>
      <w:r>
        <w:rPr/>
        <w:t>通讯科技控股有限公司全球财务部会计经理、全 球终端事业部财务总监；</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月至</w:t>
      </w:r>
      <w:r>
        <w:rPr>
          <w:spacing w:val="-3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月，任安永华明会计师事务所高级审计师、审计经理；</w:t>
      </w:r>
    </w:p>
    <w:p>
      <w:pPr>
        <w:pStyle w:val="BodyText"/>
        <w:spacing w:line="280" w:lineRule="auto" w:before="9"/>
        <w:ind w:left="1133" w:right="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月至</w:t>
      </w:r>
      <w:r>
        <w:rPr>
          <w:spacing w:val="-4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月，任豪登国际管理顾问有限公司助理咨询师；</w:t>
      </w: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月至</w:t>
      </w:r>
      <w:r>
        <w:rPr>
          <w:spacing w:val="-44"/>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月，任 安永华明会计师事务所初级审计师、高级审计师。</w:t>
      </w:r>
    </w:p>
    <w:p>
      <w:pPr>
        <w:spacing w:line="240" w:lineRule="auto" w:before="12"/>
        <w:rPr>
          <w:rFonts w:ascii="宋体" w:hAnsi="宋体" w:cs="宋体" w:eastAsia="宋体" w:hint="default"/>
          <w:sz w:val="18"/>
          <w:szCs w:val="18"/>
        </w:rPr>
      </w:pPr>
    </w:p>
    <w:p>
      <w:pPr>
        <w:pStyle w:val="BodyText"/>
        <w:spacing w:line="280" w:lineRule="auto"/>
        <w:ind w:left="1134" w:right="1133" w:firstLine="420"/>
        <w:jc w:val="both"/>
      </w:pPr>
      <w:r>
        <w:rPr>
          <w:spacing w:val="-2"/>
        </w:rPr>
        <w:t>陈晓华先生，</w:t>
      </w:r>
      <w:r>
        <w:rPr>
          <w:rFonts w:ascii="Times New Roman" w:hAnsi="Times New Roman" w:cs="Times New Roman" w:eastAsia="Times New Roman" w:hint="default"/>
          <w:spacing w:val="-2"/>
        </w:rPr>
        <w:t>1974</w:t>
      </w:r>
      <w:r>
        <w:rPr>
          <w:rFonts w:ascii="Times New Roman" w:hAnsi="Times New Roman" w:cs="Times New Roman" w:eastAsia="Times New Roman" w:hint="default"/>
          <w:spacing w:val="6"/>
        </w:rPr>
        <w:t> </w:t>
      </w:r>
      <w:r>
        <w:rPr>
          <w:spacing w:val="-2"/>
        </w:rPr>
        <w:t>年出生，中国国籍，无境外永久居留权，毕业于清华大学应用电子技术专业，学士</w:t>
      </w:r>
      <w:r>
        <w:rPr/>
        <w:t> 学位</w:t>
      </w:r>
    </w:p>
    <w:p>
      <w:pPr>
        <w:spacing w:line="240" w:lineRule="auto" w:before="12"/>
        <w:rPr>
          <w:rFonts w:ascii="宋体" w:hAnsi="宋体" w:cs="宋体" w:eastAsia="宋体" w:hint="default"/>
          <w:sz w:val="18"/>
          <w:szCs w:val="18"/>
        </w:rPr>
      </w:pPr>
    </w:p>
    <w:p>
      <w:pPr>
        <w:pStyle w:val="BodyText"/>
        <w:spacing w:line="240" w:lineRule="auto"/>
        <w:ind w:right="0"/>
        <w:jc w:val="left"/>
      </w:pPr>
      <w:r>
        <w:rPr/>
        <w:t>自</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月至今担任本公司董事，现任北京凯普林光电科技股份有限公司、北京凯普林激光科技</w:t>
      </w:r>
    </w:p>
    <w:p>
      <w:pPr>
        <w:pStyle w:val="BodyText"/>
        <w:spacing w:line="240" w:lineRule="auto" w:before="50"/>
        <w:ind w:left="1133" w:right="0"/>
        <w:jc w:val="left"/>
      </w:pPr>
      <w:r>
        <w:rPr/>
        <w:t>有限公司董事长兼总经理、芯荣半导体有限公司董事。自 </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月至今担任北京凯普林光电科技股份</w:t>
      </w:r>
    </w:p>
    <w:p>
      <w:pPr>
        <w:pStyle w:val="BodyText"/>
        <w:spacing w:line="240" w:lineRule="auto" w:before="50"/>
        <w:ind w:left="1133" w:right="0"/>
        <w:jc w:val="left"/>
        <w:rPr>
          <w:rFonts w:ascii="Times New Roman" w:hAnsi="Times New Roman" w:cs="Times New Roman" w:eastAsia="Times New Roman" w:hint="default"/>
        </w:rPr>
      </w:pPr>
      <w:r>
        <w:rPr/>
        <w:t>有限公司总经理，自</w:t>
      </w:r>
      <w:r>
        <w:rPr>
          <w:spacing w:val="-41"/>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月至</w:t>
      </w:r>
      <w:r>
        <w:rPr>
          <w:spacing w:val="-42"/>
        </w:rPr>
        <w:t> </w:t>
      </w:r>
      <w:r>
        <w:rPr>
          <w:rFonts w:ascii="Times New Roman" w:hAnsi="Times New Roman" w:cs="Times New Roman" w:eastAsia="Times New Roman" w:hint="default"/>
        </w:rPr>
        <w:t>2003</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月担任北京巨创光电科技有限公司副总经理；自</w:t>
      </w:r>
      <w:r>
        <w:rPr>
          <w:spacing w:val="-42"/>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12</w:t>
      </w:r>
    </w:p>
    <w:p>
      <w:pPr>
        <w:pStyle w:val="BodyText"/>
        <w:spacing w:line="460" w:lineRule="auto" w:before="50"/>
        <w:ind w:right="4033" w:hanging="420"/>
        <w:jc w:val="left"/>
      </w:pPr>
      <w:r>
        <w:rPr/>
        <w:t>月至</w:t>
      </w:r>
      <w:r>
        <w:rPr>
          <w:rFonts w:ascii="Times New Roman" w:hAnsi="Times New Roman" w:cs="Times New Roman" w:eastAsia="Times New Roman" w:hint="default"/>
        </w:rPr>
        <w:t>2001</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月担任北京超讯通科技发展有限公司总经理。 邓锋先生，</w:t>
      </w:r>
      <w:r>
        <w:rPr>
          <w:rFonts w:ascii="Times New Roman" w:hAnsi="Times New Roman" w:cs="Times New Roman" w:eastAsia="Times New Roman" w:hint="default"/>
        </w:rPr>
        <w:t>1963</w:t>
      </w:r>
      <w:r>
        <w:rPr>
          <w:rFonts w:ascii="Times New Roman" w:hAnsi="Times New Roman" w:cs="Times New Roman" w:eastAsia="Times New Roman" w:hint="default"/>
          <w:spacing w:val="-12"/>
        </w:rPr>
        <w:t> </w:t>
      </w:r>
      <w:r>
        <w:rPr/>
        <w:t>年出生，美国国籍。</w:t>
      </w:r>
    </w:p>
    <w:p>
      <w:pPr>
        <w:pStyle w:val="BodyText"/>
        <w:spacing w:line="280" w:lineRule="auto" w:before="53"/>
        <w:ind w:left="1133" w:right="1129" w:firstLine="420"/>
        <w:jc w:val="both"/>
      </w:pPr>
      <w:r>
        <w:rPr/>
        <w:t>自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月至今担任本公司董事。邓锋先生为北极光创投旗下多支美元及人民币基金的创始合伙 人、北极光投资顾问（北京）有限公司董事总经理。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27"/>
        </w:rPr>
        <w:t> </w:t>
      </w:r>
      <w:r>
        <w:rPr/>
        <w:t>月至今，担任北极光投资顾问（北京）有 限公司创始人、董事总经理；</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月至</w:t>
      </w:r>
      <w:r>
        <w:rPr>
          <w:spacing w:val="-4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2"/>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月，就职于瞻博网络（</w:t>
      </w:r>
      <w:r>
        <w:rPr>
          <w:rFonts w:ascii="Times New Roman" w:hAnsi="Times New Roman" w:cs="Times New Roman" w:eastAsia="Times New Roman" w:hint="default"/>
        </w:rPr>
        <w:t>Juniper</w:t>
      </w:r>
      <w:r>
        <w:rPr>
          <w:rFonts w:ascii="Times New Roman" w:hAnsi="Times New Roman" w:cs="Times New Roman" w:eastAsia="Times New Roman" w:hint="default"/>
          <w:spacing w:val="28"/>
        </w:rPr>
        <w:t> </w:t>
      </w:r>
      <w:r>
        <w:rPr>
          <w:rFonts w:ascii="Times New Roman" w:hAnsi="Times New Roman" w:cs="Times New Roman" w:eastAsia="Times New Roman" w:hint="default"/>
        </w:rPr>
        <w:t>Networks</w:t>
      </w:r>
      <w:r>
        <w:rPr/>
        <w:t>），任公司</w:t>
      </w:r>
    </w:p>
    <w:p>
      <w:pPr>
        <w:pStyle w:val="BodyText"/>
        <w:spacing w:line="240" w:lineRule="auto" w:before="9"/>
        <w:ind w:left="1133" w:right="0"/>
        <w:jc w:val="left"/>
      </w:pPr>
      <w:r>
        <w:rPr/>
        <w:t>战略副总裁；</w:t>
      </w:r>
      <w:r>
        <w:rPr>
          <w:rFonts w:ascii="Times New Roman" w:hAnsi="Times New Roman" w:cs="Times New Roman" w:eastAsia="Times New Roman" w:hint="default"/>
        </w:rPr>
        <w:t>1997</w:t>
      </w:r>
      <w:r>
        <w:rPr>
          <w:rFonts w:ascii="Times New Roman" w:hAnsi="Times New Roman" w:cs="Times New Roman" w:eastAsia="Times New Roman" w:hint="default"/>
          <w:spacing w:val="-21"/>
        </w:rPr>
        <w:t> </w:t>
      </w:r>
      <w:r>
        <w:rPr/>
        <w:t>年</w:t>
      </w:r>
      <w:r>
        <w:rPr>
          <w:spacing w:val="-65"/>
        </w:rPr>
        <w:t> </w:t>
      </w:r>
      <w:r>
        <w:rPr>
          <w:rFonts w:ascii="Times New Roman" w:hAnsi="Times New Roman" w:cs="Times New Roman" w:eastAsia="Times New Roman" w:hint="default"/>
        </w:rPr>
        <w:t>10</w:t>
      </w:r>
      <w:r>
        <w:rPr>
          <w:rFonts w:ascii="Times New Roman" w:hAnsi="Times New Roman" w:cs="Times New Roman" w:eastAsia="Times New Roman" w:hint="default"/>
          <w:spacing w:val="-21"/>
        </w:rPr>
        <w:t> </w:t>
      </w:r>
      <w:r>
        <w:rPr/>
        <w:t>月至</w:t>
      </w:r>
      <w:r>
        <w:rPr>
          <w:spacing w:val="-65"/>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0"/>
        </w:rPr>
        <w:t> </w:t>
      </w:r>
      <w:r>
        <w:rPr/>
        <w:t>年</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月，就职于网屏技术公司（</w:t>
      </w:r>
      <w:r>
        <w:rPr>
          <w:rFonts w:ascii="Times New Roman" w:hAnsi="Times New Roman" w:cs="Times New Roman" w:eastAsia="Times New Roman" w:hint="default"/>
        </w:rPr>
        <w:t>NetScreen</w:t>
      </w:r>
      <w:r>
        <w:rPr/>
        <w:t>），任公司工程副总裁、首席</w:t>
      </w:r>
    </w:p>
    <w:p>
      <w:pPr>
        <w:pStyle w:val="BodyText"/>
        <w:spacing w:line="460" w:lineRule="auto" w:before="50"/>
        <w:ind w:left="1553" w:right="2595" w:hanging="420"/>
        <w:jc w:val="left"/>
      </w:pPr>
      <w:r>
        <w:rPr/>
        <w:t>策略官和董事会成员；</w:t>
      </w:r>
      <w:r>
        <w:rPr>
          <w:rFonts w:ascii="Times New Roman" w:hAnsi="Times New Roman" w:cs="Times New Roman" w:eastAsia="Times New Roman" w:hint="default"/>
        </w:rPr>
        <w:t>1993</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月至</w:t>
      </w:r>
      <w:r>
        <w:rPr>
          <w:spacing w:val="-54"/>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月，就职于英特尔（</w:t>
      </w:r>
      <w:r>
        <w:rPr>
          <w:rFonts w:ascii="Times New Roman" w:hAnsi="Times New Roman" w:cs="Times New Roman" w:eastAsia="Times New Roman" w:hint="default"/>
        </w:rPr>
        <w:t>Intel</w:t>
      </w:r>
      <w:r>
        <w:rPr/>
        <w:t>），任架构师。 独立董事：</w:t>
      </w:r>
    </w:p>
    <w:p>
      <w:pPr>
        <w:pStyle w:val="BodyText"/>
        <w:spacing w:line="240" w:lineRule="auto" w:before="91"/>
        <w:ind w:left="1553" w:right="0"/>
        <w:jc w:val="left"/>
      </w:pPr>
      <w:r>
        <w:rPr/>
        <w:t>王涌先生，</w:t>
      </w:r>
      <w:r>
        <w:rPr>
          <w:rFonts w:ascii="Times New Roman" w:hAnsi="Times New Roman" w:cs="Times New Roman" w:eastAsia="Times New Roman" w:hint="default"/>
        </w:rPr>
        <w:t>1968</w:t>
      </w:r>
      <w:r>
        <w:rPr>
          <w:rFonts w:ascii="Times New Roman" w:hAnsi="Times New Roman" w:cs="Times New Roman" w:eastAsia="Times New Roman" w:hint="default"/>
          <w:spacing w:val="-12"/>
        </w:rPr>
        <w:t> </w:t>
      </w:r>
      <w:r>
        <w:rPr/>
        <w:t>年出生，中国国籍，无境外永久居留权，中国政法大学民法学专业，博士学位</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自</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月至今担任本公司独立董事，现任中国政法大学民商经济法学院教授及商法研究所所长。</w:t>
      </w:r>
    </w:p>
    <w:p>
      <w:pPr>
        <w:pStyle w:val="BodyText"/>
        <w:spacing w:line="240" w:lineRule="auto" w:before="50"/>
        <w:ind w:left="1133" w:right="0"/>
        <w:jc w:val="left"/>
      </w:pPr>
      <w:r>
        <w:rPr/>
        <w:t>自</w:t>
      </w:r>
      <w:r>
        <w:rPr>
          <w:spacing w:val="-47"/>
        </w:rPr>
        <w:t> </w:t>
      </w:r>
      <w:r>
        <w:rPr>
          <w:rFonts w:ascii="Times New Roman" w:hAnsi="Times New Roman" w:cs="Times New Roman" w:eastAsia="Times New Roman" w:hint="default"/>
        </w:rPr>
        <w:t>1999</w:t>
      </w:r>
      <w:r>
        <w:rPr>
          <w:rFonts w:ascii="Times New Roman" w:hAnsi="Times New Roman" w:cs="Times New Roman" w:eastAsia="Times New Roman" w:hint="default"/>
          <w:spacing w:val="-11"/>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月至今在中国政法大学任教，担任民商经济法学院教授、商法研究所所长；自</w:t>
      </w:r>
      <w:r>
        <w:rPr>
          <w:spacing w:val="-49"/>
        </w:rPr>
        <w:t> </w:t>
      </w:r>
      <w:r>
        <w:rPr>
          <w:rFonts w:ascii="Times New Roman" w:hAnsi="Times New Roman" w:cs="Times New Roman" w:eastAsia="Times New Roman" w:hint="default"/>
        </w:rPr>
        <w:t>1990</w:t>
      </w:r>
      <w:r>
        <w:rPr>
          <w:rFonts w:ascii="Times New Roman" w:hAnsi="Times New Roman" w:cs="Times New Roman" w:eastAsia="Times New Roman" w:hint="default"/>
          <w:spacing w:val="-13"/>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月至</w:t>
      </w:r>
    </w:p>
    <w:p>
      <w:pPr>
        <w:pStyle w:val="BodyText"/>
        <w:spacing w:line="240" w:lineRule="auto" w:before="49"/>
        <w:ind w:left="1133" w:right="0"/>
        <w:jc w:val="left"/>
      </w:pPr>
      <w:r>
        <w:rPr>
          <w:rFonts w:ascii="Times New Roman" w:hAnsi="Times New Roman" w:cs="Times New Roman" w:eastAsia="Times New Roman" w:hint="default"/>
        </w:rPr>
        <w:t>1993</w:t>
      </w:r>
      <w:r>
        <w:rPr>
          <w:rFonts w:ascii="Times New Roman" w:hAnsi="Times New Roman" w:cs="Times New Roman" w:eastAsia="Times New Roman" w:hint="default"/>
          <w:spacing w:val="-11"/>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月就职于江苏省盐城市团委人事局。</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spacing w:val="-2"/>
        </w:rPr>
        <w:t>唐林林女士，</w:t>
      </w:r>
      <w:r>
        <w:rPr>
          <w:rFonts w:ascii="Times New Roman" w:hAnsi="Times New Roman" w:cs="Times New Roman" w:eastAsia="Times New Roman" w:hint="default"/>
          <w:spacing w:val="-2"/>
        </w:rPr>
        <w:t>1970</w:t>
      </w:r>
      <w:r>
        <w:rPr>
          <w:rFonts w:ascii="Times New Roman" w:hAnsi="Times New Roman" w:cs="Times New Roman" w:eastAsia="Times New Roman" w:hint="default"/>
          <w:spacing w:val="12"/>
        </w:rPr>
        <w:t> </w:t>
      </w:r>
      <w:r>
        <w:rPr>
          <w:spacing w:val="-2"/>
        </w:rPr>
        <w:t>年出生，中国国籍，无境外永久居留权，毕业于中国人民大学会计专业，硕士学位</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自 </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4"/>
        </w:rPr>
        <w:t> </w:t>
      </w:r>
      <w:r>
        <w:rPr/>
        <w:t>月至今担任本公司独立董事，现任中泓晟泰企业重整顾问（北京）有限公司董事兼总经</w:t>
      </w:r>
    </w:p>
    <w:p>
      <w:pPr>
        <w:pStyle w:val="BodyText"/>
        <w:spacing w:line="240" w:lineRule="auto" w:before="50"/>
        <w:ind w:left="1133" w:right="0"/>
        <w:jc w:val="left"/>
      </w:pPr>
      <w:r>
        <w:rPr/>
        <w:t>理，民生人寿保险股份有限公司独立董事。自</w:t>
      </w:r>
      <w:r>
        <w:rPr>
          <w:spacing w:val="-48"/>
        </w:rPr>
        <w:t> </w:t>
      </w:r>
      <w:r>
        <w:rPr>
          <w:rFonts w:ascii="Times New Roman" w:hAnsi="Times New Roman" w:cs="Times New Roman" w:eastAsia="Times New Roman" w:hint="default"/>
        </w:rPr>
        <w:t>1996</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月至</w:t>
      </w:r>
      <w:r>
        <w:rPr>
          <w:spacing w:val="-4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月担任中评资产评估有限责任公司</w:t>
      </w:r>
    </w:p>
    <w:p>
      <w:pPr>
        <w:pStyle w:val="BodyText"/>
        <w:spacing w:line="240" w:lineRule="auto" w:before="50"/>
        <w:ind w:left="1134" w:right="0"/>
        <w:jc w:val="left"/>
      </w:pPr>
      <w:r>
        <w:rPr/>
        <w:t>合伙人；自</w:t>
      </w:r>
      <w:r>
        <w:rPr>
          <w:spacing w:val="-54"/>
        </w:rPr>
        <w:t> </w:t>
      </w:r>
      <w:r>
        <w:rPr>
          <w:rFonts w:ascii="Times New Roman" w:hAnsi="Times New Roman" w:cs="Times New Roman" w:eastAsia="Times New Roman" w:hint="default"/>
        </w:rPr>
        <w:t>1991</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月至</w:t>
      </w:r>
      <w:r>
        <w:rPr>
          <w:spacing w:val="-54"/>
        </w:rPr>
        <w:t> </w:t>
      </w:r>
      <w:r>
        <w:rPr>
          <w:rFonts w:ascii="Times New Roman" w:hAnsi="Times New Roman" w:cs="Times New Roman" w:eastAsia="Times New Roman" w:hint="default"/>
        </w:rPr>
        <w:t>1996</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月担任沈阳商业银行科长。</w:t>
      </w:r>
    </w:p>
    <w:p>
      <w:pPr>
        <w:pStyle w:val="BodyText"/>
        <w:spacing w:line="560" w:lineRule="atLeast"/>
        <w:ind w:left="1553" w:right="1116"/>
        <w:jc w:val="left"/>
      </w:pPr>
      <w:r>
        <w:rPr>
          <w:spacing w:val="-2"/>
        </w:rPr>
        <w:t>许亮先生，</w:t>
      </w:r>
      <w:r>
        <w:rPr>
          <w:rFonts w:ascii="Times New Roman" w:hAnsi="Times New Roman" w:cs="Times New Roman" w:eastAsia="Times New Roman" w:hint="default"/>
          <w:spacing w:val="-2"/>
        </w:rPr>
        <w:t>1975</w:t>
      </w:r>
      <w:r>
        <w:rPr>
          <w:rFonts w:ascii="Times New Roman" w:hAnsi="Times New Roman" w:cs="Times New Roman" w:eastAsia="Times New Roman" w:hint="default"/>
        </w:rPr>
        <w:t> </w:t>
      </w:r>
      <w:r>
        <w:rPr>
          <w:spacing w:val="-2"/>
        </w:rPr>
        <w:t>年出生，中国国籍，无境外永久居留权，毕业于哈佛商学院，获得工商管理硕士学位</w:t>
      </w:r>
      <w:r>
        <w:rPr>
          <w:spacing w:val="-93"/>
        </w:rPr>
        <w:t> </w:t>
      </w:r>
      <w:r>
        <w:rPr>
          <w:spacing w:val="-93"/>
        </w:rPr>
      </w:r>
      <w:r>
        <w:rPr/>
        <w:t>自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月至今担任本公司独立董事，现任光影工场文化传播有限公司董事长兼总经理、北京合</w:t>
      </w:r>
    </w:p>
    <w:p>
      <w:pPr>
        <w:pStyle w:val="BodyText"/>
        <w:spacing w:line="240" w:lineRule="auto" w:before="50"/>
        <w:ind w:left="1133" w:right="0"/>
        <w:jc w:val="left"/>
      </w:pPr>
      <w:r>
        <w:rPr/>
        <w:t>一科文投资管理有限公司总经理。自</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月至</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月，担任</w:t>
      </w:r>
      <w:r>
        <w:rPr>
          <w:spacing w:val="-54"/>
        </w:rPr>
        <w:t> </w:t>
      </w:r>
      <w:r>
        <w:rPr>
          <w:rFonts w:ascii="Times New Roman" w:hAnsi="Times New Roman" w:cs="Times New Roman" w:eastAsia="Times New Roman" w:hint="default"/>
        </w:rPr>
        <w:t>Bona</w:t>
      </w:r>
      <w:r>
        <w:rPr>
          <w:rFonts w:ascii="Times New Roman" w:hAnsi="Times New Roman" w:cs="Times New Roman" w:eastAsia="Times New Roman" w:hint="default"/>
          <w:spacing w:val="9"/>
        </w:rPr>
        <w:t> </w:t>
      </w:r>
      <w:r>
        <w:rPr>
          <w:rFonts w:ascii="Times New Roman" w:hAnsi="Times New Roman" w:cs="Times New Roman" w:eastAsia="Times New Roman" w:hint="default"/>
        </w:rPr>
        <w:t>Film</w:t>
      </w:r>
      <w:r>
        <w:rPr>
          <w:rFonts w:ascii="Times New Roman" w:hAnsi="Times New Roman" w:cs="Times New Roman" w:eastAsia="Times New Roman" w:hint="default"/>
          <w:spacing w:val="7"/>
        </w:rPr>
        <w:t> </w:t>
      </w:r>
      <w:r>
        <w:rPr>
          <w:rFonts w:ascii="Times New Roman" w:hAnsi="Times New Roman" w:cs="Times New Roman" w:eastAsia="Times New Roman" w:hint="default"/>
        </w:rPr>
        <w:t>Group</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r>
        <w:rPr/>
        <w:t>（博纳影业集</w:t>
      </w:r>
    </w:p>
    <w:p>
      <w:pPr>
        <w:pStyle w:val="BodyText"/>
        <w:spacing w:line="240" w:lineRule="auto" w:before="50"/>
        <w:ind w:left="1133" w:right="0"/>
        <w:jc w:val="left"/>
      </w:pPr>
      <w:r>
        <w:rPr>
          <w:spacing w:val="-6"/>
        </w:rPr>
        <w:t>团）副总裁、首席财务官；自</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月至</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月，担任北京永新视博数字电视技术有限公司执行</w:t>
      </w:r>
    </w:p>
    <w:p>
      <w:pPr>
        <w:pStyle w:val="BodyText"/>
        <w:spacing w:line="240" w:lineRule="auto" w:before="50"/>
        <w:ind w:left="1134" w:right="0"/>
        <w:jc w:val="left"/>
        <w:rPr>
          <w:rFonts w:ascii="Times New Roman" w:hAnsi="Times New Roman" w:cs="Times New Roman" w:eastAsia="Times New Roman" w:hint="default"/>
        </w:rPr>
      </w:pPr>
      <w:r>
        <w:rPr/>
        <w:t>副总裁、首席财务官；自</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月至</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月，担任鼎晖中国风险投资基金（</w:t>
      </w:r>
      <w:r>
        <w:rPr>
          <w:rFonts w:ascii="Times New Roman" w:hAnsi="Times New Roman" w:cs="Times New Roman" w:eastAsia="Times New Roman" w:hint="default"/>
        </w:rPr>
        <w:t>CDH</w:t>
      </w:r>
      <w:r>
        <w:rPr>
          <w:rFonts w:ascii="Times New Roman" w:hAnsi="Times New Roman" w:cs="Times New Roman" w:eastAsia="Times New Roman" w:hint="default"/>
          <w:spacing w:val="-1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2"/>
        </w:rPr>
        <w:t> </w:t>
      </w:r>
      <w:r>
        <w:rPr>
          <w:rFonts w:ascii="Times New Roman" w:hAnsi="Times New Roman" w:cs="Times New Roman" w:eastAsia="Times New Roman" w:hint="default"/>
        </w:rPr>
        <w:t>Venture</w:t>
      </w:r>
    </w:p>
    <w:p>
      <w:pPr>
        <w:pStyle w:val="BodyText"/>
        <w:spacing w:line="280" w:lineRule="auto" w:before="49"/>
        <w:ind w:left="1133" w:right="0"/>
        <w:jc w:val="left"/>
      </w:pPr>
      <w:r>
        <w:rPr>
          <w:rFonts w:ascii="Times New Roman" w:hAnsi="Times New Roman" w:cs="Times New Roman" w:eastAsia="Times New Roman" w:hint="default"/>
        </w:rPr>
        <w:t>Capital</w:t>
      </w:r>
      <w:r>
        <w:rPr>
          <w:rFonts w:ascii="Times New Roman" w:hAnsi="Times New Roman" w:cs="Times New Roman" w:eastAsia="Times New Roman" w:hint="default"/>
          <w:spacing w:val="1"/>
        </w:rPr>
        <w:t> </w:t>
      </w:r>
      <w:r>
        <w:rPr>
          <w:rFonts w:ascii="Times New Roman" w:hAnsi="Times New Roman" w:cs="Times New Roman" w:eastAsia="Times New Roman" w:hint="default"/>
        </w:rPr>
        <w:t>Fund</w:t>
      </w:r>
      <w:r>
        <w:rPr/>
        <w:t>）助理副总裁；自</w:t>
      </w:r>
      <w:r>
        <w:rPr>
          <w:spacing w:val="-54"/>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月至</w:t>
      </w:r>
      <w:r>
        <w:rPr>
          <w:spacing w:val="-5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月，历任英特尔中国有限公司（</w:t>
      </w:r>
      <w:r>
        <w:rPr>
          <w:rFonts w:ascii="Times New Roman" w:hAnsi="Times New Roman" w:cs="Times New Roman" w:eastAsia="Times New Roman" w:hint="default"/>
        </w:rPr>
        <w:t>Intel China</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 高级财务分析师、战略项目经理。</w:t>
      </w:r>
    </w:p>
    <w:p>
      <w:pPr>
        <w:spacing w:line="240" w:lineRule="auto" w:before="12"/>
        <w:rPr>
          <w:rFonts w:ascii="宋体" w:hAnsi="宋体" w:cs="宋体" w:eastAsia="宋体" w:hint="default"/>
          <w:sz w:val="18"/>
          <w:szCs w:val="18"/>
        </w:rPr>
      </w:pPr>
    </w:p>
    <w:p>
      <w:pPr>
        <w:pStyle w:val="BodyText"/>
        <w:spacing w:line="240" w:lineRule="auto"/>
        <w:ind w:left="1553" w:right="0"/>
        <w:jc w:val="left"/>
      </w:pPr>
      <w:r>
        <w:rPr/>
        <w:t>监事：</w:t>
      </w:r>
    </w:p>
    <w:p>
      <w:pPr>
        <w:spacing w:line="240" w:lineRule="auto" w:before="10"/>
        <w:rPr>
          <w:rFonts w:ascii="宋体" w:hAnsi="宋体" w:cs="宋体" w:eastAsia="宋体" w:hint="default"/>
          <w:sz w:val="21"/>
          <w:szCs w:val="21"/>
        </w:rPr>
      </w:pPr>
    </w:p>
    <w:p>
      <w:pPr>
        <w:pStyle w:val="BodyText"/>
        <w:spacing w:line="280" w:lineRule="auto"/>
        <w:ind w:left="1134" w:right="1124" w:firstLine="420"/>
        <w:jc w:val="left"/>
      </w:pPr>
      <w:r>
        <w:rPr>
          <w:spacing w:val="-2"/>
        </w:rPr>
        <w:t>王琰先生，</w:t>
      </w:r>
      <w:r>
        <w:rPr>
          <w:rFonts w:ascii="Times New Roman" w:hAnsi="Times New Roman" w:cs="Times New Roman" w:eastAsia="Times New Roman" w:hint="default"/>
          <w:spacing w:val="-2"/>
        </w:rPr>
        <w:t>1972</w:t>
      </w:r>
      <w:r>
        <w:rPr>
          <w:rFonts w:ascii="Times New Roman" w:hAnsi="Times New Roman" w:cs="Times New Roman" w:eastAsia="Times New Roman" w:hint="default"/>
          <w:spacing w:val="7"/>
        </w:rPr>
        <w:t> </w:t>
      </w:r>
      <w:r>
        <w:rPr>
          <w:spacing w:val="-2"/>
        </w:rPr>
        <w:t>年出生，中国国籍，无境外永久居留权，毕业于北京大学光华管理学院，工商管理硕</w:t>
      </w:r>
      <w:r>
        <w:rPr/>
        <w:t> 士学位</w:t>
      </w:r>
    </w:p>
    <w:p>
      <w:pPr>
        <w:spacing w:line="240" w:lineRule="auto" w:before="0"/>
        <w:rPr>
          <w:rFonts w:ascii="宋体" w:hAnsi="宋体" w:cs="宋体" w:eastAsia="宋体" w:hint="default"/>
          <w:sz w:val="19"/>
          <w:szCs w:val="19"/>
        </w:rPr>
      </w:pPr>
    </w:p>
    <w:p>
      <w:pPr>
        <w:pStyle w:val="BodyText"/>
        <w:spacing w:line="240" w:lineRule="auto"/>
        <w:ind w:right="0"/>
        <w:jc w:val="left"/>
      </w:pPr>
      <w:r>
        <w:rPr/>
        <w:t>自</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月至今担任本公司监事会主席，现任国科瑞祺物联网创业投资有限公司董事。自</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w:t>
      </w:r>
    </w:p>
    <w:p>
      <w:pPr>
        <w:pStyle w:val="BodyText"/>
        <w:spacing w:line="240" w:lineRule="auto" w:before="49"/>
        <w:ind w:left="1133"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月至</w:t>
      </w:r>
      <w:r>
        <w:rPr>
          <w:spacing w:val="-5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月担任汇发基金（中国）管理公司副总裁；自</w:t>
      </w:r>
      <w:r>
        <w:rPr>
          <w:spacing w:val="-54"/>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月至</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月担任大连凯飞</w:t>
      </w:r>
    </w:p>
    <w:p>
      <w:pPr>
        <w:pStyle w:val="BodyText"/>
        <w:spacing w:line="288" w:lineRule="auto" w:before="50"/>
        <w:ind w:left="1134" w:right="1017"/>
        <w:jc w:val="left"/>
      </w:pPr>
      <w:r>
        <w:rPr>
          <w:spacing w:val="-6"/>
        </w:rPr>
        <w:t>精细化工有限公司总经理助理；自</w:t>
      </w:r>
      <w:r>
        <w:rPr>
          <w:spacing w:val="-50"/>
        </w:rPr>
        <w:t> </w:t>
      </w:r>
      <w:r>
        <w:rPr>
          <w:rFonts w:ascii="Times New Roman" w:hAnsi="Times New Roman" w:cs="Times New Roman" w:eastAsia="Times New Roman" w:hint="default"/>
        </w:rPr>
        <w:t>1996</w:t>
      </w:r>
      <w:r>
        <w:rPr>
          <w:rFonts w:ascii="Times New Roman" w:hAnsi="Times New Roman" w:cs="Times New Roman" w:eastAsia="Times New Roman" w:hint="default"/>
          <w:spacing w:val="-8"/>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月至</w:t>
      </w:r>
      <w:r>
        <w:rPr>
          <w:spacing w:val="-51"/>
        </w:rPr>
        <w:t> </w:t>
      </w:r>
      <w:r>
        <w:rPr>
          <w:rFonts w:ascii="Times New Roman" w:hAnsi="Times New Roman" w:cs="Times New Roman" w:eastAsia="Times New Roman" w:hint="default"/>
        </w:rPr>
        <w:t>2003</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spacing w:val="-1"/>
        </w:rPr>
        <w:t>月于中国建设银行大连市分行人民路支行工作，</w:t>
      </w:r>
      <w:r>
        <w:rPr/>
        <w:t> 历任青泥支行计算机科硬件工程师、国际业务部结算经理、市场营销中心客户经理、营业部综合科科长及 人民路支行副行长等职务。</w:t>
      </w:r>
    </w:p>
    <w:p>
      <w:pPr>
        <w:spacing w:line="240" w:lineRule="auto" w:before="11"/>
        <w:rPr>
          <w:rFonts w:ascii="宋体" w:hAnsi="宋体" w:cs="宋体" w:eastAsia="宋体" w:hint="default"/>
          <w:sz w:val="15"/>
          <w:szCs w:val="15"/>
        </w:rPr>
      </w:pPr>
    </w:p>
    <w:p>
      <w:pPr>
        <w:pStyle w:val="BodyText"/>
        <w:spacing w:line="240" w:lineRule="auto" w:before="35"/>
        <w:ind w:right="0"/>
        <w:jc w:val="left"/>
      </w:pPr>
      <w:r>
        <w:rPr>
          <w:spacing w:val="-2"/>
        </w:rPr>
        <w:t>刘学徽先生，</w:t>
      </w:r>
      <w:r>
        <w:rPr>
          <w:rFonts w:ascii="Times New Roman" w:hAnsi="Times New Roman" w:cs="Times New Roman" w:eastAsia="Times New Roman" w:hint="default"/>
          <w:spacing w:val="-2"/>
        </w:rPr>
        <w:t>1967</w:t>
      </w:r>
      <w:r>
        <w:rPr>
          <w:rFonts w:ascii="Times New Roman" w:hAnsi="Times New Roman" w:cs="Times New Roman" w:eastAsia="Times New Roman" w:hint="default"/>
        </w:rPr>
        <w:t> </w:t>
      </w:r>
      <w:r>
        <w:rPr>
          <w:spacing w:val="-2"/>
        </w:rPr>
        <w:t>年出生，中国国籍，无境外永久居留权，毕业于北京大学光华管理学院，</w:t>
      </w:r>
      <w:r>
        <w:rPr>
          <w:rFonts w:ascii="Times New Roman" w:hAnsi="Times New Roman" w:cs="Times New Roman" w:eastAsia="Times New Roman" w:hint="default"/>
          <w:spacing w:val="-2"/>
        </w:rPr>
        <w:t>EMBA</w:t>
      </w:r>
      <w:r>
        <w:rPr>
          <w:rFonts w:ascii="Times New Roman" w:hAnsi="Times New Roman" w:cs="Times New Roman" w:eastAsia="Times New Roman" w:hint="default"/>
          <w:spacing w:val="-15"/>
        </w:rPr>
        <w:t> </w:t>
      </w:r>
      <w:r>
        <w:rPr/>
        <w:t>学</w:t>
      </w:r>
    </w:p>
    <w:p>
      <w:pPr>
        <w:pStyle w:val="BodyText"/>
        <w:spacing w:line="240" w:lineRule="auto" w:before="49"/>
        <w:ind w:left="1133" w:right="0"/>
        <w:jc w:val="left"/>
      </w:pPr>
      <w:r>
        <w:rPr/>
        <w:t>位</w:t>
      </w: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自</w:t>
      </w:r>
      <w:r>
        <w:rPr>
          <w:spacing w:val="-3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月至今担任本公司监事，</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月至今历任高通无线半导体技术有限公司资深市场经</w:t>
      </w:r>
    </w:p>
    <w:p>
      <w:pPr>
        <w:pStyle w:val="BodyText"/>
        <w:spacing w:line="240" w:lineRule="auto" w:before="50"/>
        <w:ind w:left="1133" w:right="0"/>
        <w:jc w:val="left"/>
        <w:rPr>
          <w:rFonts w:ascii="Times New Roman" w:hAnsi="Times New Roman" w:cs="Times New Roman" w:eastAsia="Times New Roman" w:hint="default"/>
        </w:rPr>
      </w:pPr>
      <w:r>
        <w:rPr>
          <w:spacing w:val="-5"/>
        </w:rPr>
        <w:t>理、产品市场总监；</w:t>
      </w:r>
      <w:r>
        <w:rPr>
          <w:rFonts w:ascii="Times New Roman" w:hAnsi="Times New Roman" w:cs="Times New Roman" w:eastAsia="Times New Roman" w:hint="default"/>
          <w:spacing w:val="-5"/>
        </w:rPr>
        <w:t>2000</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月至</w:t>
      </w:r>
      <w:r>
        <w:rPr>
          <w:spacing w:val="-53"/>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0"/>
        </w:rPr>
        <w:t>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spacing w:val="-3"/>
        </w:rPr>
        <w:t>月担任太阳计算机系统（中国）有限公司高级销售经理；</w:t>
      </w:r>
      <w:r>
        <w:rPr>
          <w:rFonts w:ascii="Times New Roman" w:hAnsi="Times New Roman" w:cs="Times New Roman" w:eastAsia="Times New Roman" w:hint="default"/>
          <w:spacing w:val="-3"/>
        </w:rPr>
        <w:t>1996</w:t>
      </w:r>
    </w:p>
    <w:p>
      <w:pPr>
        <w:pStyle w:val="BodyText"/>
        <w:spacing w:line="280" w:lineRule="auto" w:before="49"/>
        <w:ind w:left="1133" w:right="1129"/>
        <w:jc w:val="left"/>
      </w:pP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月至</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月担任德州仪器（中国）有限公司销售经理；</w:t>
      </w:r>
      <w:r>
        <w:rPr>
          <w:rFonts w:ascii="Times New Roman" w:hAnsi="Times New Roman" w:cs="Times New Roman" w:eastAsia="Times New Roman" w:hint="default"/>
        </w:rPr>
        <w:t>1993</w:t>
      </w:r>
      <w:r>
        <w:rPr>
          <w:rFonts w:ascii="Times New Roman" w:hAnsi="Times New Roman" w:cs="Times New Roman" w:eastAsia="Times New Roman" w:hint="default"/>
          <w:spacing w:val="-12"/>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月至</w:t>
      </w:r>
      <w:r>
        <w:rPr>
          <w:spacing w:val="-53"/>
        </w:rPr>
        <w:t> </w:t>
      </w:r>
      <w:r>
        <w:rPr>
          <w:rFonts w:ascii="Times New Roman" w:hAnsi="Times New Roman" w:cs="Times New Roman" w:eastAsia="Times New Roman" w:hint="default"/>
        </w:rPr>
        <w:t>1996</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月担任铁道科学 研究院通信信号研究所工程师。</w:t>
      </w:r>
    </w:p>
    <w:p>
      <w:pPr>
        <w:pStyle w:val="BodyText"/>
        <w:spacing w:line="560" w:lineRule="exact" w:before="44"/>
        <w:ind w:left="1553" w:right="1119"/>
        <w:jc w:val="left"/>
      </w:pPr>
      <w:r>
        <w:rPr/>
        <w:t>王晶女士，</w:t>
      </w:r>
      <w:r>
        <w:rPr>
          <w:rFonts w:ascii="Times New Roman" w:hAnsi="Times New Roman" w:cs="Times New Roman" w:eastAsia="Times New Roman" w:hint="default"/>
        </w:rPr>
        <w:t>1983</w:t>
      </w:r>
      <w:r>
        <w:rPr>
          <w:rFonts w:ascii="Times New Roman" w:hAnsi="Times New Roman" w:cs="Times New Roman" w:eastAsia="Times New Roman" w:hint="default"/>
          <w:spacing w:val="-11"/>
        </w:rPr>
        <w:t> </w:t>
      </w:r>
      <w:r>
        <w:rPr/>
        <w:t>年出生，中国国籍，无境外永久居留权，毕业于福州大学法律硕士专业，硕士学位 自</w:t>
      </w:r>
      <w:r>
        <w:rPr>
          <w:spacing w:val="-3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月至今担任本公司职工监事、法务主管，</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月至今历任本公司法务专员、法务主</w:t>
      </w:r>
    </w:p>
    <w:p>
      <w:pPr>
        <w:pStyle w:val="BodyText"/>
        <w:spacing w:line="273" w:lineRule="exact"/>
        <w:ind w:left="1133" w:right="0"/>
        <w:jc w:val="left"/>
      </w:pPr>
      <w:r>
        <w:rPr/>
        <w:t>管；自</w:t>
      </w:r>
      <w:r>
        <w:rPr>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月至</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月担任北京超星数图信息技术有限公司法务专员。</w:t>
      </w:r>
    </w:p>
    <w:p>
      <w:pPr>
        <w:spacing w:line="240" w:lineRule="auto" w:before="7"/>
        <w:rPr>
          <w:rFonts w:ascii="宋体" w:hAnsi="宋体" w:cs="宋体" w:eastAsia="宋体" w:hint="default"/>
          <w:sz w:val="20"/>
          <w:szCs w:val="20"/>
        </w:rPr>
      </w:pPr>
    </w:p>
    <w:p>
      <w:pPr>
        <w:pStyle w:val="BodyText"/>
        <w:spacing w:line="240" w:lineRule="auto"/>
        <w:ind w:right="0"/>
        <w:jc w:val="left"/>
      </w:pPr>
      <w:r>
        <w:rPr/>
        <w:t>高级管理人员</w:t>
      </w:r>
    </w:p>
    <w:p>
      <w:pPr>
        <w:pStyle w:val="BodyText"/>
        <w:spacing w:line="560" w:lineRule="atLeast" w:before="14"/>
        <w:ind w:right="1119"/>
        <w:jc w:val="left"/>
      </w:pPr>
      <w:r>
        <w:rPr>
          <w:spacing w:val="-2"/>
        </w:rPr>
        <w:t>邹鹏程先生，</w:t>
      </w:r>
      <w:r>
        <w:rPr>
          <w:rFonts w:ascii="Times New Roman" w:hAnsi="Times New Roman" w:cs="Times New Roman" w:eastAsia="Times New Roman" w:hint="default"/>
          <w:spacing w:val="-2"/>
        </w:rPr>
        <w:t>1973</w:t>
      </w:r>
      <w:r>
        <w:rPr>
          <w:rFonts w:ascii="Times New Roman" w:hAnsi="Times New Roman" w:cs="Times New Roman" w:eastAsia="Times New Roman" w:hint="default"/>
        </w:rPr>
        <w:t> </w:t>
      </w:r>
      <w:r>
        <w:rPr>
          <w:spacing w:val="-2"/>
        </w:rPr>
        <w:t>年出生，中国国籍，无境外永久居留权，毕业于清华大学自动化系，获得学士学位</w:t>
      </w:r>
      <w:r>
        <w:rPr>
          <w:spacing w:val="-94"/>
        </w:rPr>
        <w:t> </w:t>
      </w:r>
      <w:r>
        <w:rPr>
          <w:spacing w:val="-94"/>
        </w:rPr>
      </w:r>
      <w:r>
        <w:rPr/>
        <w:t>自</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月至今任公司副总经理，</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月至</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月历任本公司产品市场部总监、战略</w:t>
      </w:r>
    </w:p>
    <w:p>
      <w:pPr>
        <w:pStyle w:val="BodyText"/>
        <w:spacing w:line="240" w:lineRule="auto" w:before="50"/>
        <w:ind w:left="1133" w:right="0"/>
        <w:jc w:val="left"/>
      </w:pPr>
      <w:r>
        <w:rPr/>
        <w:t>产品部总监，自</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月至</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月任公司高级副总裁；自</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月至</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月担任广州</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3" w:right="0"/>
        <w:jc w:val="left"/>
      </w:pPr>
      <w:r>
        <w:rPr/>
        <w:t>西格美信电子科技有限公司副总裁；</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月至</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月担任中科红旗软件科技有限公司服务器研</w:t>
      </w:r>
    </w:p>
    <w:p>
      <w:pPr>
        <w:pStyle w:val="BodyText"/>
        <w:spacing w:line="280" w:lineRule="auto" w:before="50"/>
        <w:ind w:left="1134" w:right="1085"/>
        <w:jc w:val="left"/>
      </w:pPr>
      <w:r>
        <w:rPr/>
        <w:t>发部门经理；</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月至</w:t>
      </w:r>
      <w:r>
        <w:rPr>
          <w:spacing w:val="-54"/>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月担任恩益禧（</w:t>
      </w:r>
      <w:r>
        <w:rPr>
          <w:rFonts w:ascii="Times New Roman" w:hAnsi="Times New Roman" w:cs="Times New Roman" w:eastAsia="Times New Roman" w:hint="default"/>
        </w:rPr>
        <w:t>NEC</w:t>
      </w:r>
      <w:r>
        <w:rPr/>
        <w:t>）</w:t>
      </w:r>
      <w:r>
        <w:rPr>
          <w:rFonts w:ascii="Times New Roman" w:hAnsi="Times New Roman" w:cs="Times New Roman" w:eastAsia="Times New Roman" w:hint="default"/>
        </w:rPr>
        <w:t>-</w:t>
      </w:r>
      <w:r>
        <w:rPr/>
        <w:t>中科院软件研究所有限公司（现已更名为： 日电卓越软件科技（北京）有限公司）项目负责经理；</w:t>
      </w:r>
      <w:r>
        <w:rPr>
          <w:rFonts w:ascii="Times New Roman" w:hAnsi="Times New Roman" w:cs="Times New Roman" w:eastAsia="Times New Roman" w:hint="default"/>
        </w:rPr>
        <w:t>1999</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月至</w:t>
      </w:r>
      <w:r>
        <w:rPr>
          <w:spacing w:val="-4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月，担任美国</w:t>
      </w:r>
      <w:r>
        <w:rPr>
          <w:spacing w:val="-43"/>
        </w:rPr>
        <w:t> </w:t>
      </w:r>
      <w:r>
        <w:rPr>
          <w:rFonts w:ascii="Times New Roman" w:hAnsi="Times New Roman" w:cs="Times New Roman" w:eastAsia="Times New Roman" w:hint="default"/>
        </w:rPr>
        <w:t>EPIC</w:t>
      </w:r>
      <w:r>
        <w:rPr>
          <w:rFonts w:ascii="Times New Roman" w:hAnsi="Times New Roman" w:cs="Times New Roman" w:eastAsia="Times New Roman" w:hint="default"/>
          <w:spacing w:val="9"/>
        </w:rPr>
        <w:t> </w:t>
      </w:r>
      <w:r>
        <w:rPr/>
        <w:t>公司</w:t>
      </w:r>
    </w:p>
    <w:p>
      <w:pPr>
        <w:pStyle w:val="BodyText"/>
        <w:spacing w:line="460" w:lineRule="auto" w:before="10"/>
        <w:ind w:right="6872" w:hanging="420"/>
        <w:jc w:val="left"/>
      </w:pPr>
      <w:r>
        <w:rPr/>
        <w:t>（</w:t>
      </w:r>
      <w:r>
        <w:rPr>
          <w:rFonts w:ascii="Times New Roman" w:hAnsi="Times New Roman" w:cs="Times New Roman" w:eastAsia="Times New Roman" w:hint="default"/>
        </w:rPr>
        <w:t>Epic Systems</w:t>
      </w:r>
      <w:r>
        <w:rPr>
          <w:rFonts w:ascii="Times New Roman" w:hAnsi="Times New Roman" w:cs="Times New Roman" w:eastAsia="Times New Roman" w:hint="default"/>
          <w:spacing w:val="-5"/>
        </w:rPr>
        <w:t> </w:t>
      </w:r>
      <w:r>
        <w:rPr>
          <w:rFonts w:ascii="Times New Roman" w:hAnsi="Times New Roman" w:cs="Times New Roman" w:eastAsia="Times New Roman" w:hint="default"/>
        </w:rPr>
        <w:t>Corporation</w:t>
      </w:r>
      <w:r>
        <w:rPr/>
        <w:t>）软件工程师。 在股东单位任职情况</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1238"/>
        <w:gridCol w:w="3285"/>
        <w:gridCol w:w="1096"/>
        <w:gridCol w:w="1232"/>
        <w:gridCol w:w="1370"/>
        <w:gridCol w:w="1636"/>
      </w:tblGrid>
      <w:tr>
        <w:trPr>
          <w:trHeight w:val="834"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433" w:right="252"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81" w:right="182"/>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430" w:right="25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272" w:right="181"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60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国科瑞祺物联网创业投资有限公司</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36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835"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03" w:right="222"/>
              <w:jc w:val="both"/>
              <w:rPr>
                <w:rFonts w:ascii="宋体" w:hAnsi="宋体" w:cs="宋体" w:eastAsia="宋体" w:hint="default"/>
                <w:sz w:val="18"/>
                <w:szCs w:val="18"/>
              </w:rPr>
            </w:pPr>
            <w:r>
              <w:rPr>
                <w:rFonts w:ascii="宋体" w:hAnsi="宋体" w:cs="宋体" w:eastAsia="宋体" w:hint="default"/>
                <w:sz w:val="18"/>
                <w:szCs w:val="18"/>
              </w:rPr>
              <w:t>在股东单位 任职情况的 说明</w:t>
            </w:r>
          </w:p>
        </w:tc>
        <w:tc>
          <w:tcPr>
            <w:tcW w:w="86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在其他单位任职情况</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1236"/>
        <w:gridCol w:w="3286"/>
        <w:gridCol w:w="1438"/>
        <w:gridCol w:w="1260"/>
        <w:gridCol w:w="992"/>
        <w:gridCol w:w="1643"/>
      </w:tblGrid>
      <w:tr>
        <w:trPr>
          <w:trHeight w:val="664"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33" w:right="251"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52" w:right="17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45" w:right="26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12"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276"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北京华晟天翔科技信息咨询有限公司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赵鸿飞</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吴安华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霍尔果斯安恒信息咨询有限公司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吴安华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达孜县创达立咨询有限公司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吴安华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达孜县创达信科技有限公司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耿增强</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深圳互连科技有限公司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陈晓华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北京凯普林光电科技股份有限公司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陈晓华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天津凯普林光电科技有限公司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陈晓华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天津凯普林激光科技有限公司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陈晓华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芯荣半导体有限公司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陈晓华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山东芯荣微电子股份有限公司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236"/>
        <w:gridCol w:w="3286"/>
        <w:gridCol w:w="1438"/>
        <w:gridCol w:w="1260"/>
        <w:gridCol w:w="992"/>
        <w:gridCol w:w="1643"/>
      </w:tblGrid>
      <w:tr>
        <w:trPr>
          <w:trHeight w:val="662"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33" w:right="251"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52" w:right="17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45" w:right="26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12"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276"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陈晓华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武汉洛芙科技股份有限公司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陈晓华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北京兰萱之家老年看护服务有限公司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北极光投资顾问（北京）有限公司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10"/>
              <w:jc w:val="left"/>
              <w:rPr>
                <w:rFonts w:ascii="宋体" w:hAnsi="宋体" w:cs="宋体" w:eastAsia="宋体" w:hint="default"/>
                <w:sz w:val="18"/>
                <w:szCs w:val="18"/>
              </w:rPr>
            </w:pPr>
            <w:r>
              <w:rPr>
                <w:rFonts w:ascii="宋体" w:hAnsi="宋体" w:cs="宋体" w:eastAsia="宋体" w:hint="default"/>
                <w:sz w:val="18"/>
                <w:szCs w:val="18"/>
              </w:rPr>
              <w:t>极地晨光创业投资管理（北京）有限公 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0"/>
              <w:jc w:val="left"/>
              <w:rPr>
                <w:rFonts w:ascii="宋体" w:hAnsi="宋体" w:cs="宋体" w:eastAsia="宋体" w:hint="default"/>
                <w:sz w:val="18"/>
                <w:szCs w:val="18"/>
              </w:rPr>
            </w:pPr>
            <w:r>
              <w:rPr>
                <w:rFonts w:ascii="宋体" w:hAnsi="宋体" w:cs="宋体" w:eastAsia="宋体" w:hint="default"/>
                <w:sz w:val="18"/>
                <w:szCs w:val="18"/>
              </w:rPr>
              <w:t>极地晨光创业投资管理（北京）有限公 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苏州同源创业投资管理有限公司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245"/>
              <w:jc w:val="left"/>
              <w:rPr>
                <w:rFonts w:ascii="宋体" w:hAnsi="宋体" w:cs="宋体" w:eastAsia="宋体" w:hint="default"/>
                <w:sz w:val="18"/>
                <w:szCs w:val="18"/>
              </w:rPr>
            </w:pPr>
            <w:r>
              <w:rPr>
                <w:rFonts w:ascii="宋体" w:hAnsi="宋体" w:cs="宋体" w:eastAsia="宋体" w:hint="default"/>
                <w:sz w:val="18"/>
                <w:szCs w:val="18"/>
              </w:rPr>
              <w:t>执行董事兼总 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苏州同源创业投资管理有限公司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苏州尚源创业投资管理有限公司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苏州松源创业投资管理有限公司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10"/>
              <w:jc w:val="left"/>
              <w:rPr>
                <w:rFonts w:ascii="宋体" w:hAnsi="宋体" w:cs="宋体" w:eastAsia="宋体" w:hint="default"/>
                <w:sz w:val="18"/>
                <w:szCs w:val="18"/>
              </w:rPr>
            </w:pPr>
            <w:r>
              <w:rPr>
                <w:rFonts w:ascii="宋体" w:hAnsi="宋体" w:cs="宋体" w:eastAsia="宋体" w:hint="default"/>
                <w:sz w:val="18"/>
                <w:szCs w:val="18"/>
              </w:rPr>
              <w:t>苏州北极光正源创业投资合伙企业（有 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110"/>
              <w:jc w:val="left"/>
              <w:rPr>
                <w:rFonts w:ascii="宋体" w:hAnsi="宋体" w:cs="宋体" w:eastAsia="宋体" w:hint="default"/>
                <w:sz w:val="18"/>
                <w:szCs w:val="18"/>
              </w:rPr>
            </w:pPr>
            <w:r>
              <w:rPr>
                <w:rFonts w:ascii="宋体" w:hAnsi="宋体" w:cs="宋体" w:eastAsia="宋体" w:hint="default"/>
                <w:sz w:val="18"/>
                <w:szCs w:val="18"/>
              </w:rPr>
              <w:t>苏州北极光泓源创业投资合伙企业（有 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0"/>
              <w:jc w:val="left"/>
              <w:rPr>
                <w:rFonts w:ascii="宋体" w:hAnsi="宋体" w:cs="宋体" w:eastAsia="宋体" w:hint="default"/>
                <w:sz w:val="18"/>
                <w:szCs w:val="18"/>
              </w:rPr>
            </w:pPr>
            <w:r>
              <w:rPr>
                <w:rFonts w:ascii="宋体" w:hAnsi="宋体" w:cs="宋体" w:eastAsia="宋体" w:hint="default"/>
                <w:sz w:val="18"/>
                <w:szCs w:val="18"/>
              </w:rPr>
              <w:t>苏州崇源创业投资管理合伙企业（有限 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0"/>
              <w:jc w:val="left"/>
              <w:rPr>
                <w:rFonts w:ascii="宋体" w:hAnsi="宋体" w:cs="宋体" w:eastAsia="宋体" w:hint="default"/>
                <w:sz w:val="18"/>
                <w:szCs w:val="18"/>
              </w:rPr>
            </w:pPr>
            <w:r>
              <w:rPr>
                <w:rFonts w:ascii="宋体" w:hAnsi="宋体" w:cs="宋体" w:eastAsia="宋体" w:hint="default"/>
                <w:sz w:val="18"/>
                <w:szCs w:val="18"/>
              </w:rPr>
              <w:t>苏州柏源创业投资管理合伙企业（有限 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0"/>
              <w:jc w:val="left"/>
              <w:rPr>
                <w:rFonts w:ascii="宋体" w:hAnsi="宋体" w:cs="宋体" w:eastAsia="宋体" w:hint="default"/>
                <w:sz w:val="18"/>
                <w:szCs w:val="18"/>
              </w:rPr>
            </w:pPr>
            <w:r>
              <w:rPr>
                <w:rFonts w:ascii="宋体" w:hAnsi="宋体" w:cs="宋体" w:eastAsia="宋体" w:hint="default"/>
                <w:sz w:val="18"/>
                <w:szCs w:val="18"/>
              </w:rPr>
              <w:t>重庆极创渝源股权投资基金合伙企业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11"/>
              <w:jc w:val="left"/>
              <w:rPr>
                <w:rFonts w:ascii="宋体" w:hAnsi="宋体" w:cs="宋体" w:eastAsia="宋体" w:hint="default"/>
                <w:sz w:val="18"/>
                <w:szCs w:val="18"/>
              </w:rPr>
            </w:pPr>
            <w:r>
              <w:rPr>
                <w:rFonts w:ascii="宋体" w:hAnsi="宋体" w:cs="宋体" w:eastAsia="宋体" w:hint="default"/>
                <w:sz w:val="18"/>
                <w:szCs w:val="18"/>
              </w:rPr>
              <w:t>重庆极创君源股权投资基金管理合伙企 业（有限合伙）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835"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3" w:right="111"/>
              <w:jc w:val="left"/>
              <w:rPr>
                <w:rFonts w:ascii="宋体" w:hAnsi="宋体" w:cs="宋体" w:eastAsia="宋体" w:hint="default"/>
                <w:sz w:val="18"/>
                <w:szCs w:val="18"/>
              </w:rPr>
            </w:pPr>
            <w:r>
              <w:rPr>
                <w:rFonts w:ascii="宋体" w:hAnsi="宋体" w:cs="宋体" w:eastAsia="宋体" w:hint="default"/>
                <w:sz w:val="18"/>
                <w:szCs w:val="18"/>
              </w:rPr>
              <w:t>苏州工业园区极创君源创业投资管理有 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1" w:right="102"/>
              <w:jc w:val="left"/>
              <w:rPr>
                <w:rFonts w:ascii="宋体" w:hAnsi="宋体" w:cs="宋体" w:eastAsia="宋体" w:hint="default"/>
                <w:sz w:val="18"/>
                <w:szCs w:val="18"/>
              </w:rPr>
            </w:pPr>
            <w:r>
              <w:rPr>
                <w:rFonts w:ascii="宋体" w:hAnsi="宋体" w:cs="宋体" w:eastAsia="宋体" w:hint="default"/>
                <w:sz w:val="18"/>
                <w:szCs w:val="18"/>
              </w:rPr>
              <w:t>执行董事兼总 </w:t>
            </w:r>
            <w:r>
              <w:rPr>
                <w:rFonts w:ascii="宋体" w:hAnsi="宋体" w:cs="宋体" w:eastAsia="宋体" w:hint="default"/>
                <w:spacing w:val="-6"/>
                <w:sz w:val="18"/>
                <w:szCs w:val="18"/>
              </w:rPr>
              <w:t>经理、法定代表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10"/>
              <w:jc w:val="left"/>
              <w:rPr>
                <w:rFonts w:ascii="宋体" w:hAnsi="宋体" w:cs="宋体" w:eastAsia="宋体" w:hint="default"/>
                <w:sz w:val="18"/>
                <w:szCs w:val="18"/>
              </w:rPr>
            </w:pPr>
            <w:r>
              <w:rPr>
                <w:rFonts w:ascii="宋体" w:hAnsi="宋体" w:cs="宋体" w:eastAsia="宋体" w:hint="default"/>
                <w:sz w:val="18"/>
                <w:szCs w:val="18"/>
              </w:rPr>
              <w:t>苏州极创槿源创业投资合伙企业（有限 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0"/>
              <w:jc w:val="left"/>
              <w:rPr>
                <w:rFonts w:ascii="宋体" w:hAnsi="宋体" w:cs="宋体" w:eastAsia="宋体" w:hint="default"/>
                <w:sz w:val="18"/>
                <w:szCs w:val="18"/>
              </w:rPr>
            </w:pPr>
            <w:r>
              <w:rPr>
                <w:rFonts w:ascii="宋体" w:hAnsi="宋体" w:cs="宋体" w:eastAsia="宋体" w:hint="default"/>
                <w:sz w:val="18"/>
                <w:szCs w:val="18"/>
              </w:rPr>
              <w:t>苏州极创金源创业投资合伙企业（有限 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32"/>
              <w:ind w:left="103" w:right="0"/>
              <w:jc w:val="left"/>
              <w:rPr>
                <w:rFonts w:ascii="宋体" w:hAnsi="宋体" w:cs="宋体" w:eastAsia="宋体" w:hint="default"/>
                <w:sz w:val="18"/>
                <w:szCs w:val="18"/>
              </w:rPr>
            </w:pPr>
            <w:r>
              <w:rPr>
                <w:rFonts w:ascii="宋体" w:hAnsi="宋体" w:cs="宋体" w:eastAsia="宋体" w:hint="default"/>
                <w:sz w:val="18"/>
                <w:szCs w:val="18"/>
              </w:rPr>
              <w:t>苏州极创绍源创业投资管理合伙企业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山石网科通信技术（北京）有限公司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236"/>
        <w:gridCol w:w="3286"/>
        <w:gridCol w:w="1438"/>
        <w:gridCol w:w="1260"/>
        <w:gridCol w:w="992"/>
        <w:gridCol w:w="1643"/>
      </w:tblGrid>
      <w:tr>
        <w:trPr>
          <w:trHeight w:val="662"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33" w:right="251"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52" w:right="17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45" w:right="26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12"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276"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苏州无双医疗设备有限公司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广州兰晟健智医药科技有限公司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西安介仁医疗信息技术有限公司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卡尤迪生物科技（北京）有限公司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北京小熊快跑科技有限公司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浙江云开亚美医药科技股份有限公司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北京大清生物技术股份有限公司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北京微步在线科技有限公司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二零二零（北京）医疗科技有限公司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南京智精灵教育科技有限公司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西安翼展电子科技有限公司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艾比玛特医药科技（上海）有限公司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邓锋</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影领科技（北京）有限公司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北京合一科文投资管理有限公司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天津合一科文投资管理有限公司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苏州合一科文投资合伙企</w:t>
            </w:r>
            <w:r>
              <w:rPr>
                <w:rFonts w:ascii="宋体" w:hAnsi="宋体" w:cs="宋体" w:eastAsia="宋体" w:hint="default"/>
                <w:spacing w:val="-81"/>
                <w:sz w:val="18"/>
                <w:szCs w:val="18"/>
              </w:rPr>
              <w:t>业</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宁波合一科文投资合伙企</w:t>
            </w:r>
            <w:r>
              <w:rPr>
                <w:rFonts w:ascii="宋体" w:hAnsi="宋体" w:cs="宋体" w:eastAsia="宋体" w:hint="default"/>
                <w:spacing w:val="-81"/>
                <w:sz w:val="18"/>
                <w:szCs w:val="18"/>
              </w:rPr>
              <w:t>业</w:t>
            </w:r>
            <w:r>
              <w:rPr>
                <w:rFonts w:ascii="宋体" w:hAnsi="宋体" w:cs="宋体" w:eastAsia="宋体" w:hint="default"/>
                <w:spacing w:val="-2"/>
                <w:sz w:val="18"/>
                <w:szCs w:val="18"/>
              </w:rPr>
              <w:t>（</w:t>
            </w:r>
            <w:r>
              <w:rPr>
                <w:rFonts w:ascii="宋体" w:hAnsi="宋体" w:cs="宋体" w:eastAsia="宋体" w:hint="default"/>
                <w:sz w:val="18"/>
                <w:szCs w:val="18"/>
              </w:rPr>
              <w:t>有限合伙）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宁波合一科文投资管理有限公司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103" w:right="0"/>
              <w:jc w:val="left"/>
              <w:rPr>
                <w:rFonts w:ascii="宋体" w:hAnsi="宋体" w:cs="宋体" w:eastAsia="宋体" w:hint="default"/>
                <w:sz w:val="18"/>
                <w:szCs w:val="18"/>
              </w:rPr>
            </w:pPr>
            <w:r>
              <w:rPr>
                <w:rFonts w:ascii="宋体" w:hAnsi="宋体" w:cs="宋体" w:eastAsia="宋体" w:hint="default"/>
                <w:sz w:val="18"/>
                <w:szCs w:val="18"/>
              </w:rPr>
              <w:t>上海合一科文创业投资管理合伙企业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1" w:right="245"/>
              <w:jc w:val="left"/>
              <w:rPr>
                <w:rFonts w:ascii="宋体" w:hAnsi="宋体" w:cs="宋体" w:eastAsia="宋体" w:hint="default"/>
                <w:sz w:val="18"/>
                <w:szCs w:val="18"/>
              </w:rPr>
            </w:pPr>
            <w:r>
              <w:rPr>
                <w:rFonts w:ascii="宋体" w:hAnsi="宋体" w:cs="宋体" w:eastAsia="宋体" w:hint="default"/>
                <w:sz w:val="18"/>
                <w:szCs w:val="18"/>
              </w:rPr>
              <w:t>执行事务合伙 人委派代表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财知（天津）文化科技有限公司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无锡许亮影视文化工作室</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236"/>
        <w:gridCol w:w="3286"/>
        <w:gridCol w:w="1438"/>
        <w:gridCol w:w="1260"/>
        <w:gridCol w:w="992"/>
        <w:gridCol w:w="1643"/>
      </w:tblGrid>
      <w:tr>
        <w:trPr>
          <w:trHeight w:val="662"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33" w:right="251"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52" w:right="17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45" w:right="26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12"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276"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诺德基金管理有限公司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上海嘉龙日日煮信息科技有限公司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光影工场文化传播有限公司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北京基因映画影业有限公司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视知（北京）传媒科技有限公司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嘉兴晓视界投资管理有限公司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北京秀兜网络技术有限公司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北京二只考拉文化传媒有限公司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北京我想认识你文化有限公司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北京费米子信息技术有限公司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许亮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北京远程视界眼科医院管理有限公司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北京信威通信技术股份有限公司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中粮地产（集团）股份有限公司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圣邦微电子（北京）股份有限公司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王涌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第一拖拉机股份有限公司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威海光威复合材料股份有限公司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王涌</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华能贵诚信托有限公司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唐林林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民生人寿保险股份有限公司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唐林林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10"/>
              <w:jc w:val="left"/>
              <w:rPr>
                <w:rFonts w:ascii="宋体" w:hAnsi="宋体" w:cs="宋体" w:eastAsia="宋体" w:hint="default"/>
                <w:sz w:val="18"/>
                <w:szCs w:val="18"/>
              </w:rPr>
            </w:pPr>
            <w:r>
              <w:rPr>
                <w:rFonts w:ascii="宋体" w:hAnsi="宋体" w:cs="宋体" w:eastAsia="宋体" w:hint="default"/>
                <w:sz w:val="18"/>
                <w:szCs w:val="18"/>
              </w:rPr>
              <w:t>中泓晟泰企业重整顾问（北京）有限公 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pacing w:val="-6"/>
                <w:sz w:val="18"/>
                <w:szCs w:val="18"/>
              </w:rPr>
              <w:t>董事长、总经理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唐林林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中南红文化集团股份有限公司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唐林林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澍源资本管理（北京）有限公司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1" w:right="102"/>
              <w:jc w:val="left"/>
              <w:rPr>
                <w:rFonts w:ascii="宋体" w:hAnsi="宋体" w:cs="宋体" w:eastAsia="宋体" w:hint="default"/>
                <w:sz w:val="18"/>
                <w:szCs w:val="18"/>
              </w:rPr>
            </w:pPr>
            <w:r>
              <w:rPr>
                <w:rFonts w:ascii="宋体" w:hAnsi="宋体" w:cs="宋体" w:eastAsia="宋体" w:hint="default"/>
                <w:spacing w:val="-6"/>
                <w:sz w:val="18"/>
                <w:szCs w:val="18"/>
              </w:rPr>
              <w:t>执行董事、总经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唐林林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甘肃奇正实业集团有限公司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236"/>
        <w:gridCol w:w="3286"/>
        <w:gridCol w:w="1438"/>
        <w:gridCol w:w="1260"/>
        <w:gridCol w:w="992"/>
        <w:gridCol w:w="1643"/>
      </w:tblGrid>
      <w:tr>
        <w:trPr>
          <w:trHeight w:val="662"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33" w:right="251"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52" w:right="173"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445" w:right="263"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12" w:right="12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276"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唐林林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上海翌健企业管理有限公司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2"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唐林林</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10"/>
              <w:jc w:val="left"/>
              <w:rPr>
                <w:rFonts w:ascii="宋体" w:hAnsi="宋体" w:cs="宋体" w:eastAsia="宋体" w:hint="default"/>
                <w:sz w:val="18"/>
                <w:szCs w:val="18"/>
              </w:rPr>
            </w:pPr>
            <w:r>
              <w:rPr>
                <w:rFonts w:ascii="宋体" w:hAnsi="宋体" w:cs="宋体" w:eastAsia="宋体" w:hint="default"/>
                <w:sz w:val="18"/>
                <w:szCs w:val="18"/>
              </w:rPr>
              <w:t>中泓晟泰企业资产管理（杭州）有限公 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王琰</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无锡海古德新技术有限公司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王琰</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苏州远创达科技有限公司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王琰</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上海兴芯微电子科技有限公司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王琰</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浙江信汇合成新材料有限公司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7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1"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王琰</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国科瑞祺物联网创业投资有限公司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60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刘学徽</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高通无线半导体技术有限公司</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宋体" w:hAnsi="宋体" w:cs="宋体" w:eastAsia="宋体" w:hint="default"/>
                <w:sz w:val="18"/>
                <w:szCs w:val="18"/>
              </w:rPr>
            </w:pPr>
            <w:r>
              <w:rPr>
                <w:rFonts w:ascii="宋体" w:hAnsi="宋体" w:cs="宋体" w:eastAsia="宋体" w:hint="default"/>
                <w:sz w:val="18"/>
                <w:szCs w:val="18"/>
              </w:rPr>
              <w:t>产品市场总监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72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835" w:hRule="exact"/>
        </w:trPr>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221"/>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12"/>
          <w:szCs w:val="12"/>
        </w:rPr>
      </w:pPr>
    </w:p>
    <w:p>
      <w:pPr>
        <w:pStyle w:val="BodyText"/>
        <w:spacing w:line="240" w:lineRule="auto" w:before="35"/>
        <w:ind w:right="0"/>
        <w:jc w:val="left"/>
      </w:pPr>
      <w:r>
        <w:rPr/>
        <w:t>公司现任及报告期内离任董事、监事和高级管理人员近三年证券监管机构处罚的情况</w:t>
      </w:r>
    </w:p>
    <w:p>
      <w:pPr>
        <w:spacing w:line="240" w:lineRule="auto" w:before="9"/>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both"/>
      </w:pPr>
      <w:bookmarkStart w:name="四、董事、监事、高级管理人员报酬情况" w:id="128"/>
      <w:bookmarkEnd w:id="128"/>
      <w:r>
        <w:rPr/>
      </w:r>
      <w:r>
        <w:rPr/>
        <w:t>四、董事、监事、高级管理人员报酬情况</w:t>
      </w:r>
    </w:p>
    <w:p>
      <w:pPr>
        <w:pStyle w:val="BodyText"/>
        <w:spacing w:line="550" w:lineRule="atLeast" w:before="203"/>
        <w:ind w:left="1553" w:right="1018"/>
        <w:jc w:val="left"/>
      </w:pPr>
      <w:r>
        <w:rPr/>
        <w:t>董事、监事、高级管理人员报酬的决策程序、确定依据、实际支付情况 </w:t>
      </w:r>
      <w:r>
        <w:rPr>
          <w:spacing w:val="-3"/>
        </w:rPr>
        <w:t>在公司担任行政职务的董事、监事，高级管理人员的报酬由公司支付。不在公司担任行政职务的董事、</w:t>
      </w:r>
    </w:p>
    <w:p>
      <w:pPr>
        <w:pStyle w:val="BodyText"/>
        <w:spacing w:line="297" w:lineRule="auto" w:before="66"/>
        <w:ind w:left="1133" w:right="1110"/>
        <w:jc w:val="both"/>
      </w:pPr>
      <w:r>
        <w:rPr>
          <w:spacing w:val="-1"/>
        </w:rPr>
        <w:t>监事，公司不支付报酬。董事报酬由董事会根据薪酬与考核委员会的提议，拟定报酬计划，制订预案报股</w:t>
      </w:r>
      <w:r>
        <w:rPr>
          <w:spacing w:val="-86"/>
        </w:rPr>
        <w:t> </w:t>
      </w:r>
      <w:r>
        <w:rPr>
          <w:spacing w:val="-86"/>
        </w:rPr>
      </w:r>
      <w:r>
        <w:rPr>
          <w:spacing w:val="-1"/>
        </w:rPr>
        <w:t>东大会批准。高级管理人员报酬由薪酬与考核委员会提议，拟定报酬计划，报董事会批准。本报告期，在</w:t>
      </w:r>
      <w:r>
        <w:rPr>
          <w:spacing w:val="-83"/>
        </w:rPr>
        <w:t> </w:t>
      </w:r>
      <w:r>
        <w:rPr>
          <w:spacing w:val="-83"/>
        </w:rPr>
      </w:r>
      <w:r>
        <w:rPr/>
        <w:t>公司担任行政职务的董事、监事，高级管理人员的报酬，及独立董事津贴已由公司支付完毕。全体董事、 监事、高级管理人员实际获得的报酬合计为</w:t>
      </w:r>
      <w:r>
        <w:rPr>
          <w:spacing w:val="-54"/>
        </w:rPr>
        <w:t> </w:t>
      </w:r>
      <w:r>
        <w:rPr>
          <w:rFonts w:ascii="Times New Roman" w:hAnsi="Times New Roman" w:cs="Times New Roman" w:eastAsia="Times New Roman" w:hint="default"/>
        </w:rPr>
        <w:t>378.17</w:t>
      </w:r>
      <w:r>
        <w:rPr>
          <w:rFonts w:ascii="Times New Roman" w:hAnsi="Times New Roman" w:cs="Times New Roman" w:eastAsia="Times New Roman" w:hint="default"/>
          <w:spacing w:val="-11"/>
        </w:rPr>
        <w:t> </w:t>
      </w:r>
      <w:r>
        <w:rPr/>
        <w:t>万元人民币。</w:t>
      </w:r>
    </w:p>
    <w:p>
      <w:pPr>
        <w:spacing w:line="240" w:lineRule="auto" w:before="2"/>
        <w:rPr>
          <w:rFonts w:ascii="宋体" w:hAnsi="宋体" w:cs="宋体" w:eastAsia="宋体" w:hint="default"/>
          <w:sz w:val="16"/>
          <w:szCs w:val="16"/>
        </w:rPr>
      </w:pPr>
    </w:p>
    <w:p>
      <w:pPr>
        <w:pStyle w:val="BodyText"/>
        <w:spacing w:line="240" w:lineRule="auto"/>
        <w:ind w:left="1553" w:right="0"/>
        <w:jc w:val="left"/>
      </w:pPr>
      <w:r>
        <w:rPr/>
        <w:t>公司报告期内董事、监事和高级管理人员报酬情况</w:t>
      </w:r>
    </w:p>
    <w:p>
      <w:pPr>
        <w:spacing w:line="240" w:lineRule="auto" w:before="0"/>
        <w:rPr>
          <w:rFonts w:ascii="宋体" w:hAnsi="宋体" w:cs="宋体" w:eastAsia="宋体" w:hint="default"/>
          <w:sz w:val="22"/>
          <w:szCs w:val="22"/>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410"/>
        <w:gridCol w:w="1408"/>
        <w:gridCol w:w="1409"/>
        <w:gridCol w:w="1406"/>
        <w:gridCol w:w="1408"/>
        <w:gridCol w:w="1407"/>
        <w:gridCol w:w="1408"/>
      </w:tblGrid>
      <w:tr>
        <w:trPr>
          <w:trHeight w:val="600"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58" w:right="15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58" w:right="15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8"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赵鸿飞</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66.18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耿增强</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44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90.12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吴安华</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pacing w:val="-10"/>
                <w:sz w:val="18"/>
                <w:szCs w:val="18"/>
              </w:rPr>
              <w:t>副董事长、副总</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410"/>
        <w:gridCol w:w="1408"/>
        <w:gridCol w:w="1409"/>
        <w:gridCol w:w="1406"/>
        <w:gridCol w:w="1408"/>
        <w:gridCol w:w="1407"/>
        <w:gridCol w:w="1408"/>
      </w:tblGrid>
      <w:tr>
        <w:trPr>
          <w:trHeight w:val="601"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58" w:right="15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58" w:right="15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经理</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冯娟鹃</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101" w:firstLine="55"/>
              <w:jc w:val="left"/>
              <w:rPr>
                <w:rFonts w:ascii="宋体" w:hAnsi="宋体" w:cs="宋体" w:eastAsia="宋体" w:hint="default"/>
                <w:sz w:val="18"/>
                <w:szCs w:val="18"/>
              </w:rPr>
            </w:pPr>
            <w:r>
              <w:rPr>
                <w:rFonts w:ascii="宋体" w:hAnsi="宋体" w:cs="宋体" w:eastAsia="宋体" w:hint="default"/>
                <w:sz w:val="18"/>
                <w:szCs w:val="18"/>
              </w:rPr>
              <w:t>董事、财务总 </w:t>
            </w:r>
            <w:r>
              <w:rPr>
                <w:rFonts w:ascii="宋体" w:hAnsi="宋体" w:cs="宋体" w:eastAsia="宋体" w:hint="default"/>
                <w:spacing w:val="-10"/>
                <w:sz w:val="18"/>
                <w:szCs w:val="18"/>
              </w:rPr>
              <w:t>监、董事会秘书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武楠</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428" w:right="101" w:hanging="326"/>
              <w:jc w:val="left"/>
              <w:rPr>
                <w:rFonts w:ascii="宋体" w:hAnsi="宋体" w:cs="宋体" w:eastAsia="宋体" w:hint="default"/>
                <w:sz w:val="18"/>
                <w:szCs w:val="18"/>
              </w:rPr>
            </w:pPr>
            <w:r>
              <w:rPr>
                <w:rFonts w:ascii="宋体" w:hAnsi="宋体" w:cs="宋体" w:eastAsia="宋体" w:hint="default"/>
                <w:spacing w:val="-10"/>
                <w:sz w:val="18"/>
                <w:szCs w:val="18"/>
              </w:rPr>
              <w:t>原董事、原董事</w:t>
            </w:r>
            <w:r>
              <w:rPr>
                <w:rFonts w:ascii="宋体" w:hAnsi="宋体" w:cs="宋体" w:eastAsia="宋体" w:hint="default"/>
                <w:sz w:val="18"/>
                <w:szCs w:val="18"/>
              </w:rPr>
              <w:t> 会秘书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38.87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邹鹏程</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46.8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王晶</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35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22.2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王涌</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唐林林</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许亮</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43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0"/>
              <w:jc w:val="center"/>
              <w:rPr>
                <w:rFonts w:ascii="Times New Roman" w:hAnsi="Times New Roman" w:cs="Times New Roman" w:eastAsia="Times New Roman" w:hint="default"/>
                <w:sz w:val="18"/>
                <w:szCs w:val="18"/>
              </w:rPr>
            </w:pPr>
            <w:r>
              <w:rPr>
                <w:rFonts w:ascii="Times New Roman"/>
                <w:sz w:val="18"/>
              </w:rPr>
              <w:t>--</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z w:val="18"/>
              </w:rPr>
              <w:t>378.17</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11"/>
          <w:szCs w:val="11"/>
        </w:rPr>
      </w:pPr>
    </w:p>
    <w:p>
      <w:pPr>
        <w:pStyle w:val="BodyText"/>
        <w:spacing w:line="240" w:lineRule="auto" w:before="35"/>
        <w:ind w:right="0"/>
        <w:jc w:val="left"/>
      </w:pPr>
      <w:r>
        <w:rPr/>
        <w:t>公司董事、高级管理人员报告期内被授予的股权激励情况</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892"/>
        <w:gridCol w:w="898"/>
        <w:gridCol w:w="896"/>
        <w:gridCol w:w="797"/>
        <w:gridCol w:w="996"/>
        <w:gridCol w:w="895"/>
        <w:gridCol w:w="896"/>
        <w:gridCol w:w="809"/>
        <w:gridCol w:w="983"/>
        <w:gridCol w:w="991"/>
        <w:gridCol w:w="802"/>
      </w:tblGrid>
      <w:tr>
        <w:trPr>
          <w:trHeight w:val="1068"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1"/>
              <w:ind w:left="172" w:right="173"/>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1"/>
              <w:ind w:left="122" w:right="122"/>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03" w:right="11" w:firstLine="30"/>
              <w:jc w:val="left"/>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4"/>
                <w:sz w:val="18"/>
                <w:szCs w:val="18"/>
              </w:rPr>
              <w:t>格（元</w:t>
            </w:r>
            <w:r>
              <w:rPr>
                <w:rFonts w:ascii="Times New Roman" w:hAnsi="Times New Roman" w:cs="Times New Roman" w:eastAsia="Times New Roman" w:hint="default"/>
                <w:spacing w:val="-14"/>
                <w:sz w:val="18"/>
                <w:szCs w:val="18"/>
              </w:rPr>
              <w:t>/</w:t>
            </w:r>
            <w:r>
              <w:rPr>
                <w:rFonts w:ascii="宋体" w:hAnsi="宋体" w:cs="宋体" w:eastAsia="宋体" w:hint="default"/>
                <w:spacing w:val="-14"/>
                <w:sz w:val="18"/>
                <w:szCs w:val="18"/>
              </w:rPr>
              <w:t>股）</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72" w:right="170"/>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25" w:lineRule="auto"/>
              <w:ind w:left="262" w:right="237" w:hanging="26"/>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72" w:right="173"/>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51"/>
              <w:ind w:left="129" w:right="12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26" w:right="125"/>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auto" w:before="39"/>
              <w:ind w:left="105" w:right="10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5"/>
              <w:ind w:left="126" w:right="125"/>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1068" w:hRule="exact"/>
        </w:trPr>
        <w:tc>
          <w:tcPr>
            <w:tcW w:w="892"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冯娟鹃</w:t>
            </w:r>
          </w:p>
        </w:tc>
        <w:tc>
          <w:tcPr>
            <w:tcW w:w="898" w:type="dxa"/>
            <w:tcBorders>
              <w:top w:val="single" w:sz="4" w:space="0" w:color="000000"/>
              <w:left w:val="single" w:sz="4" w:space="0" w:color="000000"/>
              <w:bottom w:val="single" w:sz="17" w:space="0" w:color="D2D2D2"/>
              <w:right w:val="single" w:sz="4" w:space="0" w:color="000000"/>
            </w:tcBorders>
          </w:tcPr>
          <w:p>
            <w:pPr>
              <w:pStyle w:val="TableParagraph"/>
              <w:spacing w:line="237" w:lineRule="auto" w:before="34"/>
              <w:ind w:left="103" w:right="62" w:hanging="39"/>
              <w:jc w:val="center"/>
              <w:rPr>
                <w:rFonts w:ascii="宋体" w:hAnsi="宋体" w:cs="宋体" w:eastAsia="宋体" w:hint="default"/>
                <w:sz w:val="18"/>
                <w:szCs w:val="18"/>
              </w:rPr>
            </w:pPr>
            <w:r>
              <w:rPr>
                <w:rFonts w:ascii="宋体" w:hAnsi="宋体" w:cs="宋体" w:eastAsia="宋体" w:hint="default"/>
                <w:spacing w:val="-10"/>
                <w:sz w:val="18"/>
                <w:szCs w:val="18"/>
              </w:rPr>
              <w:t>董事、财</w:t>
            </w:r>
            <w:r>
              <w:rPr>
                <w:rFonts w:ascii="宋体" w:hAnsi="宋体" w:cs="宋体" w:eastAsia="宋体" w:hint="default"/>
                <w:sz w:val="18"/>
                <w:szCs w:val="18"/>
              </w:rPr>
              <w:t> 务总监、 董事会 秘书</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32.32</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w:t>
            </w:r>
          </w:p>
        </w:tc>
      </w:tr>
      <w:tr>
        <w:trPr>
          <w:trHeight w:val="407"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80,000</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80,000</w:t>
            </w:r>
          </w:p>
        </w:tc>
      </w:tr>
      <w:tr>
        <w:trPr>
          <w:trHeight w:val="664"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1"/>
              <w:jc w:val="center"/>
              <w:rPr>
                <w:rFonts w:ascii="宋体" w:hAnsi="宋体" w:cs="宋体" w:eastAsia="宋体" w:hint="default"/>
                <w:sz w:val="18"/>
                <w:szCs w:val="18"/>
              </w:rPr>
            </w:pPr>
            <w:r>
              <w:rPr>
                <w:rFonts w:ascii="宋体" w:hAnsi="宋体" w:cs="宋体" w:eastAsia="宋体" w:hint="default"/>
                <w:sz w:val="18"/>
                <w:szCs w:val="18"/>
              </w:rPr>
              <w:t>备注</w:t>
            </w:r>
          </w:p>
          <w:p>
            <w:pPr>
              <w:pStyle w:val="TableParagraph"/>
              <w:spacing w:line="240" w:lineRule="auto" w:before="61"/>
              <w:ind w:left="44" w:right="0"/>
              <w:jc w:val="center"/>
              <w:rPr>
                <w:rFonts w:ascii="宋体" w:hAnsi="宋体" w:cs="宋体" w:eastAsia="宋体" w:hint="default"/>
                <w:sz w:val="18"/>
                <w:szCs w:val="18"/>
              </w:rPr>
            </w:pPr>
            <w:r>
              <w:rPr>
                <w:rFonts w:ascii="宋体" w:hAnsi="宋体" w:cs="宋体" w:eastAsia="宋体" w:hint="default"/>
                <w:sz w:val="18"/>
                <w:szCs w:val="18"/>
              </w:rPr>
              <w:t>（如有）</w:t>
            </w:r>
          </w:p>
        </w:tc>
        <w:tc>
          <w:tcPr>
            <w:tcW w:w="8964" w:type="dxa"/>
            <w:gridSpan w:val="10"/>
            <w:tcBorders>
              <w:top w:val="single" w:sz="13"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冯娟鹃所持股份均为股权激励限制性股票，本报告期内均未解锁。</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五、公司员工情况" w:id="129"/>
      <w:bookmarkEnd w:id="129"/>
      <w:r>
        <w:rPr/>
      </w:r>
      <w:r>
        <w:rPr/>
        <w:t>五、公司员工情况</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员工数量、专业构成及教育程度" w:id="130"/>
      <w:bookmarkEnd w:id="130"/>
      <w:r>
        <w:rPr/>
      </w:r>
      <w:r>
        <w:rPr>
          <w:rFonts w:ascii="Times New Roman" w:hAnsi="Times New Roman" w:cs="Times New Roman" w:eastAsia="Times New Roman" w:hint="default"/>
        </w:rPr>
        <w:t>1</w:t>
      </w:r>
      <w:r>
        <w:rPr>
          <w:rFonts w:ascii="微软雅黑" w:hAnsi="微软雅黑" w:cs="微软雅黑" w:eastAsia="微软雅黑" w:hint="default"/>
        </w:rPr>
        <w:t>、员工数量、专业构成及教育程度</w:t>
      </w:r>
    </w:p>
    <w:p>
      <w:pPr>
        <w:spacing w:line="240" w:lineRule="auto" w:before="13"/>
        <w:rPr>
          <w:rFonts w:ascii="微软雅黑" w:hAnsi="微软雅黑" w:cs="微软雅黑" w:eastAsia="微软雅黑" w:hint="default"/>
          <w:sz w:val="21"/>
          <w:szCs w:val="21"/>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40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422</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2,020</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2,442</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2,860</w:t>
            </w:r>
          </w:p>
        </w:tc>
      </w:tr>
      <w:tr>
        <w:trPr>
          <w:trHeight w:val="41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928"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388"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微软雅黑" w:hAnsi="微软雅黑" w:cs="微软雅黑" w:eastAsia="微软雅黑" w:hint="default"/>
          <w:sz w:val="20"/>
          <w:szCs w:val="20"/>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374"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15"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92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30</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2,230</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32</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150</w:t>
            </w:r>
          </w:p>
        </w:tc>
      </w:tr>
      <w:tr>
        <w:trPr>
          <w:trHeight w:val="415"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2,442</w:t>
            </w:r>
          </w:p>
        </w:tc>
      </w:tr>
      <w:tr>
        <w:trPr>
          <w:trHeight w:val="399"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9"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博士及以上学历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z w:val="18"/>
              </w:rPr>
              <w:t>1</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硕士学历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441</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1,792</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本科以下学历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208</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2,442</w:t>
            </w:r>
          </w:p>
        </w:tc>
      </w:tr>
    </w:tbl>
    <w:p>
      <w:pPr>
        <w:spacing w:line="240" w:lineRule="auto" w:before="14"/>
        <w:rPr>
          <w:rFonts w:ascii="微软雅黑" w:hAnsi="微软雅黑" w:cs="微软雅黑" w:eastAsia="微软雅黑" w:hint="default"/>
          <w:sz w:val="8"/>
          <w:szCs w:val="8"/>
        </w:rPr>
      </w:pPr>
    </w:p>
    <w:p>
      <w:pPr>
        <w:pStyle w:val="BodyText"/>
        <w:spacing w:line="324" w:lineRule="exact"/>
        <w:ind w:right="0"/>
        <w:jc w:val="left"/>
        <w:rPr>
          <w:rFonts w:ascii="微软雅黑" w:hAnsi="微软雅黑" w:cs="微软雅黑" w:eastAsia="微软雅黑" w:hint="default"/>
        </w:rPr>
      </w:pPr>
      <w:bookmarkStart w:name="2、薪酬政策" w:id="131"/>
      <w:bookmarkEnd w:id="131"/>
      <w:r>
        <w:rPr/>
      </w:r>
      <w:r>
        <w:rPr>
          <w:rFonts w:ascii="Times New Roman" w:hAnsi="Times New Roman" w:cs="Times New Roman" w:eastAsia="Times New Roman" w:hint="default"/>
        </w:rPr>
        <w:t>2</w:t>
      </w:r>
      <w:r>
        <w:rPr>
          <w:rFonts w:ascii="微软雅黑" w:hAnsi="微软雅黑" w:cs="微软雅黑" w:eastAsia="微软雅黑" w:hint="default"/>
        </w:rPr>
        <w:t>、薪酬政策</w:t>
      </w:r>
    </w:p>
    <w:p>
      <w:pPr>
        <w:spacing w:line="240" w:lineRule="auto" w:before="6"/>
        <w:rPr>
          <w:rFonts w:ascii="微软雅黑" w:hAnsi="微软雅黑" w:cs="微软雅黑" w:eastAsia="微软雅黑" w:hint="default"/>
          <w:sz w:val="23"/>
          <w:szCs w:val="23"/>
        </w:rPr>
      </w:pPr>
    </w:p>
    <w:p>
      <w:pPr>
        <w:pStyle w:val="BodyText"/>
        <w:spacing w:line="297" w:lineRule="auto"/>
        <w:ind w:left="1134" w:right="0" w:firstLine="396"/>
        <w:jc w:val="left"/>
      </w:pPr>
      <w:r>
        <w:rPr>
          <w:spacing w:val="-14"/>
        </w:rPr>
        <w:t>公司薪酬政策的宗旨在于将员工利益与公司业务发展与股东利益有效结合，吸引、保留和激励关键人才。责</w:t>
      </w:r>
      <w:r>
        <w:rPr/>
        <w:t> </w:t>
      </w:r>
      <w:r>
        <w:rPr>
          <w:spacing w:val="-14"/>
        </w:rPr>
        <w:t>任、能力和贡献是公司的价值分配依据，将总薪酬水平和对组织的价值及绩效有效链接。薪酬与福利是公司价值</w:t>
      </w:r>
      <w:r>
        <w:rPr>
          <w:spacing w:val="-61"/>
        </w:rPr>
        <w:t> </w:t>
      </w:r>
      <w:r>
        <w:rPr>
          <w:spacing w:val="-61"/>
        </w:rPr>
      </w:r>
      <w:r>
        <w:rPr>
          <w:spacing w:val="-14"/>
        </w:rPr>
        <w:t>分配及员工综合获得的重要组成部分。公司建立了成长性的工资体系，将结合公司经营状况与市场薪酬状况进行</w:t>
      </w:r>
      <w:r>
        <w:rPr>
          <w:spacing w:val="-60"/>
        </w:rPr>
        <w:t> </w:t>
      </w:r>
      <w:r>
        <w:rPr>
          <w:spacing w:val="-60"/>
        </w:rPr>
      </w:r>
      <w:r>
        <w:rPr>
          <w:spacing w:val="-14"/>
        </w:rPr>
        <w:t>调节和改善，同时倡导向“团结奋斗者”倾斜的薪酬理念，依据对组织的价值，并结合市场调查数据设计和调整</w:t>
      </w:r>
      <w:r>
        <w:rPr>
          <w:spacing w:val="-64"/>
        </w:rPr>
        <w:t> </w:t>
      </w:r>
      <w:r>
        <w:rPr>
          <w:spacing w:val="-64"/>
        </w:rPr>
      </w:r>
      <w:r>
        <w:rPr>
          <w:spacing w:val="-12"/>
        </w:rPr>
        <w:t>工资架构体系。公司的福利体系以国家基本社会保障制度为基础，同时实施企业年金计划，提供补充商业保险、</w:t>
      </w:r>
      <w:r>
        <w:rPr>
          <w:spacing w:val="-12"/>
        </w:rPr>
        <w:t> </w:t>
      </w:r>
      <w:r>
        <w:rPr>
          <w:spacing w:val="-16"/>
        </w:rPr>
        <w:t>补充医疗保险补贴、礼金、抚慰金、午餐、误餐补贴及交通补贴等补充福利，为员工提供丰富、完备的福利保障。</w:t>
      </w:r>
      <w:r>
        <w:rPr>
          <w:spacing w:val="-59"/>
        </w:rPr>
        <w:t> </w:t>
      </w:r>
      <w:r>
        <w:rPr>
          <w:spacing w:val="-59"/>
        </w:rPr>
      </w:r>
      <w:r>
        <w:rPr>
          <w:spacing w:val="-14"/>
        </w:rPr>
        <w:t>公司通过实施购房无息贷款制度与员工持股计划，留驻核心员工，为构建全面薪酬体系，持续加强人力资源管理</w:t>
      </w:r>
      <w:r>
        <w:rPr>
          <w:spacing w:val="-73"/>
        </w:rPr>
        <w:t> </w:t>
      </w:r>
      <w:r>
        <w:rPr>
          <w:spacing w:val="-73"/>
        </w:rPr>
      </w:r>
      <w:r>
        <w:rPr>
          <w:spacing w:val="-12"/>
        </w:rPr>
        <w:t>能力，同时为公司业务的稳健发展提供了持续、稳定的人才保证。</w:t>
      </w:r>
      <w:r>
        <w:rPr/>
      </w:r>
    </w:p>
    <w:p>
      <w:pPr>
        <w:spacing w:line="240" w:lineRule="auto" w:before="4"/>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3、培训计划" w:id="132"/>
      <w:bookmarkEnd w:id="132"/>
      <w:r>
        <w:rPr/>
      </w:r>
      <w:r>
        <w:rPr>
          <w:rFonts w:ascii="Times New Roman" w:hAnsi="Times New Roman" w:cs="Times New Roman" w:eastAsia="Times New Roman" w:hint="default"/>
        </w:rPr>
        <w:t>3</w:t>
      </w:r>
      <w:r>
        <w:rPr>
          <w:rFonts w:ascii="微软雅黑" w:hAnsi="微软雅黑" w:cs="微软雅黑" w:eastAsia="微软雅黑" w:hint="default"/>
        </w:rPr>
        <w:t>、培训计划</w:t>
      </w:r>
    </w:p>
    <w:p>
      <w:pPr>
        <w:spacing w:line="240" w:lineRule="auto" w:before="6"/>
        <w:rPr>
          <w:rFonts w:ascii="微软雅黑" w:hAnsi="微软雅黑" w:cs="微软雅黑" w:eastAsia="微软雅黑" w:hint="default"/>
          <w:sz w:val="23"/>
          <w:szCs w:val="23"/>
        </w:rPr>
      </w:pPr>
    </w:p>
    <w:p>
      <w:pPr>
        <w:pStyle w:val="BodyText"/>
        <w:spacing w:line="297" w:lineRule="auto"/>
        <w:ind w:left="1133" w:right="1131" w:firstLine="420"/>
        <w:jc w:val="both"/>
      </w:pPr>
      <w:r>
        <w:rPr>
          <w:spacing w:val="-1"/>
        </w:rPr>
        <w:t>公司注重员工的发展和成长，推广“导师制”、职位体系评估，为员工融入与发展提供了基础，员工</w:t>
      </w:r>
      <w:r>
        <w:rPr/>
        <w:t> </w:t>
      </w:r>
      <w:r>
        <w:rPr>
          <w:spacing w:val="-1"/>
        </w:rPr>
        <w:t>可依据自身特长、职业兴趣以及公司需求，选择适合的职业发展方向和机会。为促进员工职业能力的持续</w:t>
      </w:r>
      <w:r>
        <w:rPr>
          <w:spacing w:val="-83"/>
        </w:rPr>
        <w:t> </w:t>
      </w:r>
      <w:r>
        <w:rPr>
          <w:spacing w:val="-83"/>
        </w:rPr>
      </w:r>
      <w:r>
        <w:rPr>
          <w:spacing w:val="-1"/>
        </w:rPr>
        <w:t>提升，公司建立并不断建设中高层与一线经理“领导力”的培养体系，为员工制定系统的人力资源管理策</w:t>
      </w:r>
      <w:r>
        <w:rPr>
          <w:spacing w:val="-85"/>
        </w:rPr>
        <w:t> </w:t>
      </w:r>
      <w:r>
        <w:rPr>
          <w:spacing w:val="-85"/>
        </w:rPr>
      </w:r>
      <w:r>
        <w:rPr>
          <w:spacing w:val="-1"/>
        </w:rPr>
        <w:t>略，通过特定人才发展项目提供多元化的能力培训和进修机会，包括课堂学习、线上、在岗培训、外派培</w:t>
      </w:r>
      <w:r>
        <w:rPr>
          <w:spacing w:val="-83"/>
        </w:rPr>
        <w:t> </w:t>
      </w:r>
      <w:r>
        <w:rPr>
          <w:spacing w:val="-83"/>
        </w:rPr>
      </w:r>
      <w:r>
        <w:rPr>
          <w:spacing w:val="-1"/>
        </w:rPr>
        <w:t>训、项目实践和导师辅导等多种学习形式。同时，针对全体员工设定了基于文化价值、个人发展能力、自</w:t>
      </w:r>
      <w:r>
        <w:rPr>
          <w:spacing w:val="-83"/>
        </w:rPr>
        <w:t> </w:t>
      </w:r>
      <w:r>
        <w:rPr>
          <w:spacing w:val="-83"/>
        </w:rPr>
      </w:r>
      <w:r>
        <w:rPr/>
        <w:t>我觉察与技术发展的分享课程，为员工提供全面的成长支持、公平的职位晋升和发展空间。</w:t>
      </w:r>
    </w:p>
    <w:p>
      <w:pPr>
        <w:spacing w:line="240" w:lineRule="auto" w:before="5"/>
        <w:rPr>
          <w:rFonts w:ascii="宋体" w:hAnsi="宋体" w:cs="宋体" w:eastAsia="宋体" w:hint="default"/>
          <w:sz w:val="17"/>
          <w:szCs w:val="17"/>
        </w:rPr>
      </w:pPr>
    </w:p>
    <w:p>
      <w:pPr>
        <w:pStyle w:val="BodyText"/>
        <w:spacing w:line="240" w:lineRule="auto"/>
        <w:ind w:left="1553" w:right="0"/>
        <w:jc w:val="left"/>
        <w:rPr>
          <w:rFonts w:ascii="微软雅黑" w:hAnsi="微软雅黑" w:cs="微软雅黑" w:eastAsia="微软雅黑" w:hint="default"/>
        </w:rPr>
      </w:pPr>
      <w:bookmarkStart w:name="4、劳务外包情况" w:id="133"/>
      <w:bookmarkEnd w:id="133"/>
      <w:r>
        <w:rPr/>
      </w:r>
      <w:r>
        <w:rPr>
          <w:rFonts w:ascii="Times New Roman" w:hAnsi="Times New Roman" w:cs="Times New Roman" w:eastAsia="Times New Roman" w:hint="default"/>
        </w:rPr>
        <w:t>4</w:t>
      </w:r>
      <w:r>
        <w:rPr>
          <w:rFonts w:ascii="微软雅黑" w:hAnsi="微软雅黑" w:cs="微软雅黑" w:eastAsia="微软雅黑" w:hint="default"/>
        </w:rPr>
        <w:t>、劳务外包情况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1"/>
        <w:spacing w:line="441" w:lineRule="exact"/>
        <w:ind w:right="1"/>
        <w:jc w:val="center"/>
        <w:rPr>
          <w:b w:val="0"/>
          <w:bCs w:val="0"/>
        </w:rPr>
      </w:pPr>
      <w:bookmarkStart w:name="第九节 公司治理" w:id="134"/>
      <w:bookmarkEnd w:id="134"/>
      <w:r>
        <w:rPr>
          <w:b w:val="0"/>
          <w:bCs w:val="0"/>
        </w:rPr>
      </w:r>
      <w:bookmarkStart w:name="_bookmark8" w:id="135"/>
      <w:bookmarkEnd w:id="135"/>
      <w:r>
        <w:rPr>
          <w:b w:val="0"/>
          <w:bCs w:val="0"/>
        </w:rPr>
      </w:r>
      <w:r>
        <w:rPr/>
        <w:t>第九节</w:t>
      </w:r>
      <w:r>
        <w:rPr>
          <w:spacing w:val="64"/>
        </w:rPr>
        <w:t> </w:t>
      </w:r>
      <w:r>
        <w:rPr/>
        <w:t>公司治理</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8"/>
        <w:rPr>
          <w:rFonts w:ascii="微软雅黑" w:hAnsi="微软雅黑" w:cs="微软雅黑" w:eastAsia="微软雅黑" w:hint="default"/>
          <w:b/>
          <w:bCs/>
          <w:sz w:val="17"/>
          <w:szCs w:val="17"/>
        </w:rPr>
      </w:pPr>
    </w:p>
    <w:p>
      <w:pPr>
        <w:pStyle w:val="Heading2"/>
        <w:spacing w:line="397" w:lineRule="exact"/>
        <w:ind w:right="0"/>
        <w:jc w:val="left"/>
      </w:pPr>
      <w:bookmarkStart w:name="一、公司治理的基本状况" w:id="136"/>
      <w:bookmarkEnd w:id="136"/>
      <w:r>
        <w:rPr/>
      </w:r>
      <w:r>
        <w:rPr/>
        <w:t>一、公司治理的基本状况</w:t>
      </w:r>
    </w:p>
    <w:p>
      <w:pPr>
        <w:spacing w:line="240" w:lineRule="auto" w:before="11"/>
        <w:rPr>
          <w:rFonts w:ascii="微软雅黑" w:hAnsi="微软雅黑" w:cs="微软雅黑" w:eastAsia="微软雅黑" w:hint="default"/>
          <w:sz w:val="27"/>
          <w:szCs w:val="27"/>
        </w:rPr>
      </w:pPr>
    </w:p>
    <w:p>
      <w:pPr>
        <w:pStyle w:val="BodyText"/>
        <w:spacing w:line="297" w:lineRule="auto"/>
        <w:ind w:left="1134" w:right="1131"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律法规等要求，结合本公司的具体情况，不断完善公司的法人治理结构，建立健全公司内部管理和控制制</w:t>
      </w:r>
      <w:r>
        <w:rPr>
          <w:spacing w:val="-83"/>
        </w:rPr>
        <w:t> </w:t>
      </w:r>
      <w:r>
        <w:rPr>
          <w:spacing w:val="-83"/>
        </w:rPr>
      </w:r>
      <w:r>
        <w:rPr/>
        <w:t>度，持续深入开展公司治理活动，促进公司规范运作。</w:t>
      </w:r>
    </w:p>
    <w:p>
      <w:pPr>
        <w:pStyle w:val="BodyText"/>
        <w:spacing w:line="560" w:lineRule="exact" w:before="30"/>
        <w:ind w:right="0"/>
        <w:jc w:val="left"/>
      </w:pPr>
      <w:r>
        <w:rPr>
          <w:rFonts w:ascii="Times New Roman" w:hAnsi="Times New Roman" w:cs="Times New Roman" w:eastAsia="Times New Roman" w:hint="default"/>
        </w:rPr>
        <w:t>1</w:t>
      </w:r>
      <w:r>
        <w:rPr/>
        <w:t>、关于股东与股东大会 </w:t>
      </w:r>
      <w:r>
        <w:rPr>
          <w:spacing w:val="-1"/>
        </w:rPr>
        <w:t>公司严格按照《公司法》、《公司章程》、《上市公司股东大会规则》等相关法律、法规和规范性文</w:t>
      </w:r>
    </w:p>
    <w:p>
      <w:pPr>
        <w:pStyle w:val="BodyText"/>
        <w:spacing w:line="257" w:lineRule="exact"/>
        <w:ind w:left="1134" w:right="0"/>
        <w:jc w:val="left"/>
      </w:pPr>
      <w:r>
        <w:rPr/>
        <w:t>件的要求召开股东大会，规范股东大会的召集、召开及表决程序，确保所有股东享有平等的股东地位、平</w:t>
      </w:r>
    </w:p>
    <w:p>
      <w:pPr>
        <w:pStyle w:val="BodyText"/>
        <w:spacing w:line="297" w:lineRule="auto" w:before="66"/>
        <w:ind w:left="1134" w:right="0"/>
        <w:jc w:val="left"/>
      </w:pPr>
      <w:r>
        <w:rPr>
          <w:spacing w:val="-1"/>
        </w:rPr>
        <w:t>等的股东权利，并承担相应的义务，充分保护股东的合法权益，让中小投资者充分行使自己的权利；通过</w:t>
      </w:r>
      <w:r>
        <w:rPr>
          <w:spacing w:val="-83"/>
        </w:rPr>
        <w:t> </w:t>
      </w:r>
      <w:r>
        <w:rPr>
          <w:spacing w:val="-83"/>
        </w:rPr>
      </w:r>
      <w:r>
        <w:rPr/>
        <w:t>聘请律师出席见证，保证了会议的召集、召开和表决程序的合法性。</w:t>
      </w:r>
    </w:p>
    <w:p>
      <w:pPr>
        <w:pStyle w:val="BodyText"/>
        <w:spacing w:line="558" w:lineRule="exact" w:before="32"/>
        <w:ind w:right="0"/>
        <w:jc w:val="left"/>
      </w:pPr>
      <w:r>
        <w:rPr>
          <w:rFonts w:ascii="Times New Roman" w:hAnsi="Times New Roman" w:cs="Times New Roman" w:eastAsia="Times New Roman" w:hint="default"/>
        </w:rPr>
        <w:t>2</w:t>
      </w:r>
      <w:r>
        <w:rPr/>
        <w:t>、关于公司与实际控制人 </w:t>
      </w:r>
      <w:r>
        <w:rPr>
          <w:spacing w:val="-1"/>
        </w:rPr>
        <w:t>公司按照《公司法》、《证券法》、《公司章程》及证券监管部门的有关规定正确处理与实际控制人</w:t>
      </w:r>
    </w:p>
    <w:p>
      <w:pPr>
        <w:pStyle w:val="BodyText"/>
        <w:spacing w:line="259" w:lineRule="exact"/>
        <w:ind w:left="1134" w:right="0"/>
        <w:jc w:val="left"/>
      </w:pPr>
      <w:r>
        <w:rPr/>
        <w:t>的关系。本公司实际控制人依法行使其权利并承担相应义务，无占用公司资金、越权行使职权的情形，公</w:t>
      </w:r>
    </w:p>
    <w:p>
      <w:pPr>
        <w:pStyle w:val="BodyText"/>
        <w:spacing w:line="297" w:lineRule="auto" w:before="66"/>
        <w:ind w:left="1134" w:right="1131"/>
        <w:jc w:val="both"/>
      </w:pPr>
      <w:r>
        <w:rPr>
          <w:spacing w:val="-1"/>
        </w:rPr>
        <w:t>司不存在向实际控制人提供担保和财务资助的情形。本公司具有自主经营能力，在业务、人员、资金、财</w:t>
      </w:r>
      <w:r>
        <w:rPr>
          <w:spacing w:val="-83"/>
        </w:rPr>
        <w:t> </w:t>
      </w:r>
      <w:r>
        <w:rPr>
          <w:spacing w:val="-83"/>
        </w:rPr>
      </w:r>
      <w:r>
        <w:rPr>
          <w:spacing w:val="-1"/>
        </w:rPr>
        <w:t>务等方面均独立于控股股东，公司董事会、监事会和内部机构能够按照各自的议事规则和规章制度独立运</w:t>
      </w:r>
      <w:r>
        <w:rPr>
          <w:spacing w:val="-81"/>
        </w:rPr>
        <w:t> </w:t>
      </w:r>
      <w:r>
        <w:rPr>
          <w:spacing w:val="-81"/>
        </w:rPr>
      </w:r>
      <w:r>
        <w:rPr/>
        <w:t>作，各司其职。</w:t>
      </w:r>
    </w:p>
    <w:p>
      <w:pPr>
        <w:spacing w:line="240" w:lineRule="auto" w:before="1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3</w:t>
      </w:r>
      <w:r>
        <w:rPr/>
        <w:t>、关于董事与董事会</w:t>
      </w:r>
    </w:p>
    <w:p>
      <w:pPr>
        <w:spacing w:line="240" w:lineRule="auto" w:before="6"/>
        <w:rPr>
          <w:rFonts w:ascii="宋体" w:hAnsi="宋体" w:cs="宋体" w:eastAsia="宋体" w:hint="default"/>
          <w:sz w:val="20"/>
          <w:szCs w:val="20"/>
        </w:rPr>
      </w:pPr>
    </w:p>
    <w:p>
      <w:pPr>
        <w:pStyle w:val="BodyText"/>
        <w:spacing w:line="240" w:lineRule="auto"/>
        <w:ind w:right="0"/>
        <w:jc w:val="left"/>
      </w:pPr>
      <w:r>
        <w:rPr/>
        <w:t>公司第二届董事会由</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4"/>
        </w:rPr>
        <w:t>名董事组成，董事会人数及人员构成均符合法律、法规和《公司章程》的规定。</w:t>
      </w:r>
    </w:p>
    <w:p>
      <w:pPr>
        <w:pStyle w:val="BodyText"/>
        <w:spacing w:line="292" w:lineRule="auto" w:before="50"/>
        <w:ind w:left="1134" w:right="1023"/>
        <w:jc w:val="left"/>
      </w:pPr>
      <w:r>
        <w:rPr/>
        <w:t>公司依法选聘</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名独立董事，其中</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名为会计专业人士，</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名为法律专业人士，符合中国证监会《关于在 </w:t>
      </w:r>
      <w:r>
        <w:rPr>
          <w:spacing w:val="-3"/>
        </w:rPr>
        <w:t>上市公司建立独立董事制度的指导意见》的要求。董事会下设战略、审计、薪酬与考核、提名四个委员会，</w:t>
      </w:r>
      <w:r>
        <w:rPr>
          <w:spacing w:val="-93"/>
        </w:rPr>
        <w:t> </w:t>
      </w:r>
      <w:r>
        <w:rPr>
          <w:spacing w:val="-93"/>
        </w:rPr>
      </w:r>
      <w:r>
        <w:rPr/>
        <w:t>制订了相应的议事规则。公司董事严格按照《董事会议事规则》、《独立董事工作制度》及各委员会工作</w:t>
      </w:r>
      <w:r>
        <w:rPr/>
        <w:t> 规则等规章制度开展工作，勤勉尽责，确保董事会的有效运作和科学决策。</w:t>
      </w:r>
    </w:p>
    <w:p>
      <w:pPr>
        <w:spacing w:line="240" w:lineRule="auto" w:before="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4</w:t>
      </w:r>
      <w:r>
        <w:rPr/>
        <w:t>、关于监事与监事会</w:t>
      </w:r>
    </w:p>
    <w:p>
      <w:pPr>
        <w:spacing w:line="240" w:lineRule="auto" w:before="6"/>
        <w:rPr>
          <w:rFonts w:ascii="宋体" w:hAnsi="宋体" w:cs="宋体" w:eastAsia="宋体" w:hint="default"/>
          <w:sz w:val="20"/>
          <w:szCs w:val="20"/>
        </w:rPr>
      </w:pPr>
    </w:p>
    <w:p>
      <w:pPr>
        <w:pStyle w:val="BodyText"/>
        <w:spacing w:line="290" w:lineRule="auto"/>
        <w:ind w:left="1134" w:right="1132" w:firstLine="420"/>
        <w:jc w:val="both"/>
      </w:pPr>
      <w:r>
        <w:rPr/>
        <w:t>公司监事会设监事</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名，其中职工监事</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名，监事会的人数和构成符合法律、法规的要求。各位监事 </w:t>
      </w:r>
      <w:r>
        <w:rPr>
          <w:spacing w:val="-1"/>
        </w:rPr>
        <w:t>严格按照《公司法》、《公司章程》及本议事规则的规定履行职责，对全体股东负责，对公司财务以及公</w:t>
      </w:r>
      <w:r>
        <w:rPr>
          <w:spacing w:val="-85"/>
        </w:rPr>
        <w:t> </w:t>
      </w:r>
      <w:r>
        <w:rPr>
          <w:spacing w:val="-85"/>
        </w:rPr>
      </w:r>
      <w:r>
        <w:rPr/>
        <w:t>司董事、总经理及其他高级管理人员履行职责的合法合规性进行监督，维护公司及股东的合法权益。</w:t>
      </w:r>
    </w:p>
    <w:p>
      <w:pPr>
        <w:spacing w:line="240" w:lineRule="auto" w:before="4"/>
        <w:rPr>
          <w:rFonts w:ascii="宋体" w:hAnsi="宋体" w:cs="宋体" w:eastAsia="宋体" w:hint="default"/>
          <w:sz w:val="18"/>
          <w:szCs w:val="18"/>
        </w:rPr>
      </w:pPr>
    </w:p>
    <w:p>
      <w:pPr>
        <w:pStyle w:val="BodyText"/>
        <w:spacing w:line="240" w:lineRule="auto"/>
        <w:ind w:left="1553" w:right="0"/>
        <w:jc w:val="left"/>
      </w:pPr>
      <w:r>
        <w:rPr>
          <w:rFonts w:ascii="Times New Roman" w:hAnsi="Times New Roman" w:cs="Times New Roman" w:eastAsia="Times New Roman" w:hint="default"/>
        </w:rPr>
        <w:t>55</w:t>
      </w:r>
      <w:r>
        <w:rPr/>
        <w:t>、内部审计制度的建立与执行</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3" w:right="1027" w:firstLine="420"/>
        <w:jc w:val="both"/>
      </w:pPr>
      <w:r>
        <w:rPr>
          <w:spacing w:val="-6"/>
        </w:rPr>
        <w:t>为规范经营管理，控制风险，保证经营业务活动的正常开展，公司根据《公司法》、《证券法》、《企</w:t>
      </w:r>
      <w:r>
        <w:rPr/>
        <w:t> 业内部控制基本规范》等相关法律法规、规范性文件和公司规章制度有关规定和要求，结合公司的实际情 况、自身特点和管理需要，制定了贯穿于公司经营管理各层面、各环节的内部控制体系，并不断完善。通 </w:t>
      </w:r>
      <w:r>
        <w:rPr>
          <w:spacing w:val="-3"/>
        </w:rPr>
        <w:t>过对公司各项治理制度的规范和落实，公司的治理水平不断提高，有效地保证了公司各项经营目标的实现。</w:t>
      </w:r>
    </w:p>
    <w:p>
      <w:pPr>
        <w:spacing w:line="240" w:lineRule="auto" w:before="11"/>
        <w:rPr>
          <w:rFonts w:ascii="宋体" w:hAnsi="宋体" w:cs="宋体" w:eastAsia="宋体" w:hint="default"/>
          <w:sz w:val="17"/>
          <w:szCs w:val="17"/>
        </w:rPr>
      </w:pPr>
    </w:p>
    <w:p>
      <w:pPr>
        <w:pStyle w:val="BodyText"/>
        <w:spacing w:line="297" w:lineRule="auto"/>
        <w:ind w:left="1134" w:right="1023" w:firstLine="420"/>
        <w:jc w:val="left"/>
      </w:pPr>
      <w:r>
        <w:rPr/>
        <w:t>公司董事会下设审计委员会，主要负责公司内部审计与外部审计之间进行沟通，并监督公司内部审计 </w:t>
      </w:r>
      <w:r>
        <w:rPr>
          <w:spacing w:val="-3"/>
        </w:rPr>
        <w:t>制度的实施，审查公司内部控制制度的执行情况，审查公司的财务信息等。审计委员会下设独立的审计部，</w:t>
      </w:r>
      <w:r>
        <w:rPr>
          <w:spacing w:val="-90"/>
        </w:rPr>
        <w:t> </w:t>
      </w:r>
      <w:r>
        <w:rPr>
          <w:spacing w:val="-90"/>
        </w:rPr>
      </w:r>
      <w:r>
        <w:rPr/>
        <w:t>审计部直接对审计委员会负责及报告工作。</w:t>
      </w:r>
    </w:p>
    <w:p>
      <w:pPr>
        <w:pStyle w:val="BodyText"/>
        <w:spacing w:line="560" w:lineRule="exact" w:before="30"/>
        <w:ind w:right="0"/>
        <w:jc w:val="left"/>
      </w:pPr>
      <w:r>
        <w:rPr>
          <w:rFonts w:ascii="Times New Roman" w:hAnsi="Times New Roman" w:cs="Times New Roman" w:eastAsia="Times New Roman" w:hint="default"/>
        </w:rPr>
        <w:t>6</w:t>
      </w:r>
      <w:r>
        <w:rPr/>
        <w:t>、关于信息披露与透明度 </w:t>
      </w:r>
      <w:r>
        <w:rPr>
          <w:spacing w:val="-1"/>
        </w:rPr>
        <w:t>公司根据《深圳证券交易所股票上市规则》、《公司章程》、《信息披露管理制度》等规定，认真履</w:t>
      </w:r>
    </w:p>
    <w:p>
      <w:pPr>
        <w:pStyle w:val="BodyText"/>
        <w:spacing w:line="257" w:lineRule="exact"/>
        <w:ind w:left="1134" w:right="0"/>
        <w:jc w:val="both"/>
      </w:pPr>
      <w:r>
        <w:rPr/>
        <w:t>行信息披露义务，真实、准确、及时、完整地披露信息，确保公司所有股东公平的获得公司相关信息。公</w:t>
      </w:r>
    </w:p>
    <w:p>
      <w:pPr>
        <w:pStyle w:val="BodyText"/>
        <w:spacing w:line="288" w:lineRule="auto" w:before="66"/>
        <w:ind w:left="1133" w:right="1132"/>
        <w:jc w:val="both"/>
      </w:pPr>
      <w:r>
        <w:rPr/>
        <w:t>司指定《证券时报》、《证券日报》、巨潮资讯网 </w:t>
      </w:r>
      <w:r>
        <w:rPr>
          <w:rFonts w:ascii="Times New Roman" w:hAnsi="Times New Roman" w:cs="Times New Roman" w:eastAsia="Times New Roman" w:hint="default"/>
        </w:rPr>
        <w:t>http</w:t>
      </w:r>
      <w:r>
        <w:rPr/>
        <w:t>：</w:t>
      </w:r>
      <w:hyperlink r:id="rId17">
        <w:r>
          <w:rPr>
            <w:rFonts w:ascii="Times New Roman" w:hAnsi="Times New Roman" w:cs="Times New Roman" w:eastAsia="Times New Roman" w:hint="default"/>
          </w:rPr>
          <w:t>//w</w:t>
        </w:r>
      </w:hyperlink>
      <w:r>
        <w:rPr>
          <w:rFonts w:ascii="Times New Roman" w:hAnsi="Times New Roman" w:cs="Times New Roman" w:eastAsia="Times New Roman" w:hint="default"/>
        </w:rPr>
        <w:t>ww</w:t>
      </w:r>
      <w:hyperlink r:id="rId17">
        <w:r>
          <w:rPr>
            <w:rFonts w:ascii="Times New Roman" w:hAnsi="Times New Roman" w:cs="Times New Roman" w:eastAsia="Times New Roman" w:hint="default"/>
          </w:rPr>
          <w:t>.cninfo.com.cn</w:t>
        </w:r>
      </w:hyperlink>
      <w:r>
        <w:rPr>
          <w:rFonts w:ascii="Times New Roman" w:hAnsi="Times New Roman" w:cs="Times New Roman" w:eastAsia="Times New Roman" w:hint="default"/>
          <w:spacing w:val="-30"/>
        </w:rPr>
        <w:t> </w:t>
      </w:r>
      <w:r>
        <w:rPr/>
        <w:t>为公司信息披露的报纸和网 </w:t>
      </w:r>
      <w:r>
        <w:rPr>
          <w:spacing w:val="-1"/>
        </w:rPr>
        <w:t>站，同时还通过投资者来访接待、公司网站信息发布、电话专线、回答投资者提问等方式保持与投资者的</w:t>
      </w:r>
      <w:r>
        <w:rPr>
          <w:spacing w:val="-86"/>
        </w:rPr>
        <w:t> </w:t>
      </w:r>
      <w:r>
        <w:rPr>
          <w:spacing w:val="-86"/>
        </w:rPr>
      </w:r>
      <w:r>
        <w:rPr/>
        <w:t>良好沟通和信息透明度。</w:t>
      </w:r>
    </w:p>
    <w:p>
      <w:pPr>
        <w:pStyle w:val="BodyText"/>
        <w:spacing w:line="558" w:lineRule="exact" w:before="41"/>
        <w:ind w:right="0"/>
        <w:jc w:val="left"/>
      </w:pPr>
      <w:r>
        <w:rPr>
          <w:rFonts w:ascii="Times New Roman" w:hAnsi="Times New Roman" w:cs="Times New Roman" w:eastAsia="Times New Roman" w:hint="default"/>
        </w:rPr>
        <w:t>7</w:t>
      </w:r>
      <w:r>
        <w:rPr/>
        <w:t>、关于相关利益者 </w:t>
      </w:r>
      <w:r>
        <w:rPr>
          <w:spacing w:val="-1"/>
        </w:rPr>
        <w:t>公司充分尊重和维护利益相关者的合法权益，实现股东、职工和社会等各方面利益的协调平衡，重视</w:t>
      </w:r>
    </w:p>
    <w:p>
      <w:pPr>
        <w:pStyle w:val="BodyText"/>
        <w:spacing w:line="259" w:lineRule="exact"/>
        <w:ind w:left="1134" w:right="0"/>
        <w:jc w:val="both"/>
      </w:pPr>
      <w:r>
        <w:rPr/>
        <w:t>公司的社会责任，与利益相关者积极沟通、合作，共同推动公司持续、健康地发展。</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公司治理的实际状况与中国证监会发布的有关上市公司治理的规范性文件是否存在重大差异</w:t>
      </w:r>
    </w:p>
    <w:p>
      <w:pPr>
        <w:spacing w:line="240" w:lineRule="auto" w:before="9"/>
        <w:rPr>
          <w:rFonts w:ascii="宋体" w:hAnsi="宋体" w:cs="宋体" w:eastAsia="宋体" w:hint="default"/>
          <w:sz w:val="21"/>
          <w:szCs w:val="21"/>
        </w:rPr>
      </w:pPr>
    </w:p>
    <w:p>
      <w:pPr>
        <w:pStyle w:val="BodyText"/>
        <w:spacing w:line="460" w:lineRule="auto"/>
        <w:ind w:right="19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公司治理的实际状况与中国证监会发布的有关上市公司治理的规范性文件不存在重大差异。</w:t>
      </w:r>
    </w:p>
    <w:p>
      <w:pPr>
        <w:pStyle w:val="Heading2"/>
        <w:spacing w:line="240" w:lineRule="auto" w:before="161"/>
        <w:ind w:left="1133" w:right="0"/>
        <w:jc w:val="both"/>
      </w:pPr>
      <w:bookmarkStart w:name="二、公司相对于控股股东在业务、人员、资产、机构、财务等方面的独立情况" w:id="137"/>
      <w:bookmarkEnd w:id="137"/>
      <w:r>
        <w:rPr/>
      </w:r>
      <w:r>
        <w:rPr/>
        <w:t>二、公司相对于控股股东在业务、人员、资产、机构、财务等方面的独立情况</w:t>
      </w:r>
    </w:p>
    <w:p>
      <w:pPr>
        <w:spacing w:line="240" w:lineRule="auto" w:before="12"/>
        <w:rPr>
          <w:rFonts w:ascii="微软雅黑" w:hAnsi="微软雅黑" w:cs="微软雅黑" w:eastAsia="微软雅黑" w:hint="default"/>
          <w:sz w:val="27"/>
          <w:szCs w:val="27"/>
        </w:rPr>
      </w:pPr>
    </w:p>
    <w:p>
      <w:pPr>
        <w:pStyle w:val="BodyText"/>
        <w:spacing w:line="297" w:lineRule="auto"/>
        <w:ind w:left="1133" w:right="0" w:firstLine="420"/>
        <w:jc w:val="left"/>
      </w:pPr>
      <w:r>
        <w:rPr>
          <w:spacing w:val="-1"/>
        </w:rPr>
        <w:t>公司自成立及上市以来严格按照《公司法》、《证券法》等有关法律法规及《公司章程》的相关要求</w:t>
      </w:r>
      <w:r>
        <w:rPr/>
        <w:t> 规范运作，在业务、资产、人员、机构和财务等方面独立于公司控股股东。</w:t>
      </w:r>
    </w:p>
    <w:p>
      <w:pPr>
        <w:spacing w:line="240" w:lineRule="auto" w:before="4"/>
        <w:rPr>
          <w:rFonts w:ascii="宋体" w:hAnsi="宋体" w:cs="宋体" w:eastAsia="宋体" w:hint="default"/>
          <w:sz w:val="23"/>
          <w:szCs w:val="23"/>
        </w:rPr>
      </w:pPr>
    </w:p>
    <w:p>
      <w:pPr>
        <w:pStyle w:val="Heading2"/>
        <w:spacing w:line="240" w:lineRule="auto"/>
        <w:ind w:left="1133" w:right="0"/>
        <w:jc w:val="both"/>
      </w:pPr>
      <w:bookmarkStart w:name="三、同业竞争情况" w:id="138"/>
      <w:bookmarkEnd w:id="138"/>
      <w:r>
        <w:rPr/>
      </w:r>
      <w:r>
        <w:rPr/>
        <w:t>三、同业竞争情况</w:t>
      </w:r>
    </w:p>
    <w:p>
      <w:pPr>
        <w:spacing w:line="240" w:lineRule="auto" w:before="11"/>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right="0"/>
        <w:jc w:val="both"/>
      </w:pPr>
      <w:bookmarkStart w:name="四、报告期内召开的年度股东大会和临时股东大会的有关情况" w:id="139"/>
      <w:bookmarkEnd w:id="139"/>
      <w:r>
        <w:rPr/>
      </w:r>
      <w:r>
        <w:rPr/>
        <w:t>四、报告期内召开的年度股东大会和临时股东大会的有关情况</w:t>
      </w:r>
    </w:p>
    <w:p>
      <w:pPr>
        <w:spacing w:line="240" w:lineRule="auto" w:before="12"/>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本报告期股东大会情况" w:id="140"/>
      <w:bookmarkEnd w:id="140"/>
      <w:r>
        <w:rPr/>
      </w:r>
      <w:r>
        <w:rPr>
          <w:rFonts w:ascii="Times New Roman" w:hAnsi="Times New Roman" w:cs="Times New Roman" w:eastAsia="Times New Roman" w:hint="default"/>
        </w:rPr>
        <w:t>1</w:t>
      </w:r>
      <w:r>
        <w:rPr>
          <w:rFonts w:ascii="微软雅黑" w:hAnsi="微软雅黑" w:cs="微软雅黑" w:eastAsia="微软雅黑" w:hint="default"/>
        </w:rPr>
        <w:t>、本报告期股东大会情况</w:t>
      </w:r>
    </w:p>
    <w:p>
      <w:pPr>
        <w:spacing w:after="0" w:line="240" w:lineRule="auto"/>
        <w:jc w:val="left"/>
        <w:rPr>
          <w:rFonts w:ascii="微软雅黑" w:hAnsi="微软雅黑" w:cs="微软雅黑" w:eastAsia="微软雅黑" w:hint="default"/>
        </w:rPr>
        <w:sectPr>
          <w:pgSz w:w="11910" w:h="16840"/>
          <w:pgMar w:header="877" w:footer="979" w:top="1100" w:bottom="1160" w:left="0" w:right="0"/>
        </w:sectPr>
      </w:pPr>
    </w:p>
    <w:p>
      <w:pPr>
        <w:spacing w:line="240" w:lineRule="auto" w:before="10"/>
        <w:rPr>
          <w:rFonts w:ascii="微软雅黑" w:hAnsi="微软雅黑" w:cs="微软雅黑" w:eastAsia="微软雅黑" w:hint="default"/>
          <w:sz w:val="18"/>
          <w:szCs w:val="18"/>
        </w:rPr>
      </w:pPr>
    </w:p>
    <w:tbl>
      <w:tblPr>
        <w:tblW w:w="0" w:type="auto"/>
        <w:jc w:val="left"/>
        <w:tblInd w:w="1021" w:type="dxa"/>
        <w:tblLayout w:type="fixed"/>
        <w:tblCellMar>
          <w:top w:w="0" w:type="dxa"/>
          <w:left w:w="0" w:type="dxa"/>
          <w:bottom w:w="0" w:type="dxa"/>
          <w:right w:w="0" w:type="dxa"/>
        </w:tblCellMar>
        <w:tblLook w:val="01E0"/>
      </w:tblPr>
      <w:tblGrid>
        <w:gridCol w:w="1644"/>
        <w:gridCol w:w="1642"/>
        <w:gridCol w:w="1643"/>
        <w:gridCol w:w="1642"/>
        <w:gridCol w:w="1642"/>
        <w:gridCol w:w="1643"/>
      </w:tblGrid>
      <w:tr>
        <w:trPr>
          <w:trHeight w:val="407"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0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69.19%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2017-013</w:t>
            </w:r>
          </w:p>
        </w:tc>
      </w:tr>
      <w:tr>
        <w:trPr>
          <w:trHeight w:val="602"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2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微软雅黑" w:hAnsi="微软雅黑" w:cs="微软雅黑" w:eastAsia="微软雅黑" w:hint="default"/>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65.81%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3"/>
              <w:ind w:right="0"/>
              <w:jc w:val="center"/>
              <w:rPr>
                <w:rFonts w:ascii="Times New Roman" w:hAnsi="Times New Roman" w:cs="Times New Roman" w:eastAsia="Times New Roman" w:hint="default"/>
                <w:sz w:val="18"/>
                <w:szCs w:val="18"/>
              </w:rPr>
            </w:pPr>
            <w:r>
              <w:rPr>
                <w:rFonts w:ascii="Times New Roman"/>
                <w:sz w:val="18"/>
              </w:rPr>
              <w:t>2017-024</w:t>
            </w:r>
          </w:p>
        </w:tc>
      </w:tr>
      <w:tr>
        <w:trPr>
          <w:trHeight w:val="600"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25"/>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65.24%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2017-038</w:t>
            </w:r>
          </w:p>
        </w:tc>
      </w:tr>
      <w:tr>
        <w:trPr>
          <w:trHeight w:val="60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63.17%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2017-064</w:t>
            </w:r>
          </w:p>
        </w:tc>
      </w:tr>
      <w:tr>
        <w:trPr>
          <w:trHeight w:val="60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225"/>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时股东大会决议</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62.07%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2017-081</w:t>
            </w:r>
          </w:p>
        </w:tc>
      </w:tr>
    </w:tbl>
    <w:p>
      <w:pPr>
        <w:spacing w:line="240" w:lineRule="auto" w:before="14"/>
        <w:rPr>
          <w:rFonts w:ascii="微软雅黑" w:hAnsi="微软雅黑" w:cs="微软雅黑" w:eastAsia="微软雅黑" w:hint="default"/>
          <w:sz w:val="8"/>
          <w:szCs w:val="8"/>
        </w:rPr>
      </w:pPr>
    </w:p>
    <w:p>
      <w:pPr>
        <w:pStyle w:val="BodyText"/>
        <w:spacing w:line="324" w:lineRule="exact"/>
        <w:ind w:right="0"/>
        <w:jc w:val="left"/>
        <w:rPr>
          <w:rFonts w:ascii="微软雅黑" w:hAnsi="微软雅黑" w:cs="微软雅黑" w:eastAsia="微软雅黑" w:hint="default"/>
        </w:rPr>
      </w:pPr>
      <w:bookmarkStart w:name="2、表决权恢复的优先股股东请求召开临时股东大会" w:id="141"/>
      <w:bookmarkEnd w:id="141"/>
      <w:r>
        <w:rPr/>
      </w:r>
      <w:r>
        <w:rPr>
          <w:rFonts w:ascii="Times New Roman" w:hAnsi="Times New Roman" w:cs="Times New Roman" w:eastAsia="Times New Roman" w:hint="default"/>
        </w:rPr>
        <w:t>2</w:t>
      </w:r>
      <w:r>
        <w:rPr>
          <w:rFonts w:ascii="微软雅黑" w:hAnsi="微软雅黑" w:cs="微软雅黑" w:eastAsia="微软雅黑" w:hint="default"/>
        </w:rPr>
        <w:t>、表决权恢复的优先股股东请求召开临时股东大会</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2"/>
        <w:rPr>
          <w:rFonts w:ascii="宋体" w:hAnsi="宋体" w:cs="宋体" w:eastAsia="宋体" w:hint="default"/>
          <w:sz w:val="25"/>
          <w:szCs w:val="25"/>
        </w:rPr>
      </w:pPr>
    </w:p>
    <w:p>
      <w:pPr>
        <w:pStyle w:val="Heading2"/>
        <w:spacing w:line="240" w:lineRule="auto"/>
        <w:ind w:left="2" w:right="4881"/>
        <w:jc w:val="center"/>
      </w:pPr>
      <w:bookmarkStart w:name="五、报告期内独立董事履行职责的情况" w:id="142"/>
      <w:bookmarkEnd w:id="142"/>
      <w:r>
        <w:rPr/>
      </w:r>
      <w:r>
        <w:rPr/>
        <w:t>五、报告期内独立董事履行职责的情况</w:t>
      </w:r>
    </w:p>
    <w:p>
      <w:pPr>
        <w:spacing w:line="240" w:lineRule="auto" w:before="11"/>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独立董事出席董事会及股东大会的情况" w:id="143"/>
      <w:bookmarkEnd w:id="143"/>
      <w:r>
        <w:rPr/>
      </w:r>
      <w:r>
        <w:rPr>
          <w:rFonts w:ascii="Times New Roman" w:hAnsi="Times New Roman" w:cs="Times New Roman" w:eastAsia="Times New Roman" w:hint="default"/>
        </w:rPr>
        <w:t>1</w:t>
      </w:r>
      <w:r>
        <w:rPr>
          <w:rFonts w:ascii="微软雅黑" w:hAnsi="微软雅黑" w:cs="微软雅黑" w:eastAsia="微软雅黑" w:hint="default"/>
        </w:rPr>
        <w:t>、独立董事出席董事会及股东大会的情况</w:t>
      </w:r>
    </w:p>
    <w:p>
      <w:pPr>
        <w:spacing w:line="240" w:lineRule="auto" w:before="14"/>
        <w:rPr>
          <w:rFonts w:ascii="微软雅黑" w:hAnsi="微软雅黑" w:cs="微软雅黑" w:eastAsia="微软雅黑" w:hint="default"/>
          <w:sz w:val="21"/>
          <w:szCs w:val="21"/>
        </w:rPr>
      </w:pPr>
    </w:p>
    <w:tbl>
      <w:tblPr>
        <w:tblW w:w="0" w:type="auto"/>
        <w:jc w:val="left"/>
        <w:tblInd w:w="903" w:type="dxa"/>
        <w:tblLayout w:type="fixed"/>
        <w:tblCellMar>
          <w:top w:w="0" w:type="dxa"/>
          <w:left w:w="0" w:type="dxa"/>
          <w:bottom w:w="0" w:type="dxa"/>
          <w:right w:w="0" w:type="dxa"/>
        </w:tblCellMar>
        <w:tblLook w:val="01E0"/>
      </w:tblPr>
      <w:tblGrid>
        <w:gridCol w:w="1468"/>
        <w:gridCol w:w="1198"/>
        <w:gridCol w:w="1199"/>
        <w:gridCol w:w="1198"/>
        <w:gridCol w:w="1198"/>
        <w:gridCol w:w="1199"/>
        <w:gridCol w:w="1434"/>
        <w:gridCol w:w="1198"/>
      </w:tblGrid>
      <w:tr>
        <w:trPr>
          <w:trHeight w:val="408" w:hRule="exact"/>
        </w:trPr>
        <w:tc>
          <w:tcPr>
            <w:tcW w:w="1009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834" w:hRule="exact"/>
        </w:trPr>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微软雅黑" w:hAnsi="微软雅黑" w:cs="微软雅黑" w:eastAsia="微软雅黑"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43" w:right="143"/>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微软雅黑" w:hAnsi="微软雅黑" w:cs="微软雅黑" w:eastAsia="微软雅黑" w:hint="default"/>
                <w:sz w:val="10"/>
                <w:szCs w:val="10"/>
              </w:rPr>
            </w:pPr>
          </w:p>
          <w:p>
            <w:pPr>
              <w:pStyle w:val="TableParagraph"/>
              <w:spacing w:line="232" w:lineRule="exact"/>
              <w:ind w:left="233" w:right="143"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44" w:right="143"/>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微软雅黑" w:hAnsi="微软雅黑" w:cs="微软雅黑" w:eastAsia="微软雅黑" w:hint="default"/>
                <w:sz w:val="10"/>
                <w:szCs w:val="10"/>
              </w:rPr>
            </w:pPr>
          </w:p>
          <w:p>
            <w:pPr>
              <w:pStyle w:val="TableParagraph"/>
              <w:spacing w:line="232" w:lineRule="exact"/>
              <w:ind w:left="233" w:right="143"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微软雅黑" w:hAnsi="微软雅黑" w:cs="微软雅黑" w:eastAsia="微软雅黑" w:hint="default"/>
                <w:sz w:val="10"/>
                <w:szCs w:val="10"/>
              </w:rPr>
            </w:pPr>
          </w:p>
          <w:p>
            <w:pPr>
              <w:pStyle w:val="TableParagraph"/>
              <w:spacing w:line="232" w:lineRule="exact"/>
              <w:ind w:left="413" w:right="143"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71" w:right="170"/>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微软雅黑" w:hAnsi="微软雅黑" w:cs="微软雅黑" w:eastAsia="微软雅黑" w:hint="default"/>
                <w:sz w:val="10"/>
                <w:szCs w:val="10"/>
              </w:rPr>
            </w:pPr>
          </w:p>
          <w:p>
            <w:pPr>
              <w:pStyle w:val="TableParagraph"/>
              <w:spacing w:line="232" w:lineRule="exact"/>
              <w:ind w:left="323" w:right="143"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王涌</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唐林林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许亮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微软雅黑" w:hAnsi="微软雅黑" w:cs="微软雅黑" w:eastAsia="微软雅黑" w:hint="default"/>
          <w:sz w:val="8"/>
          <w:szCs w:val="8"/>
        </w:rPr>
      </w:pPr>
    </w:p>
    <w:p>
      <w:pPr>
        <w:pStyle w:val="BodyText"/>
        <w:spacing w:line="494" w:lineRule="auto" w:before="35"/>
        <w:ind w:right="6237"/>
        <w:jc w:val="left"/>
      </w:pPr>
      <w:r>
        <w:rPr/>
        <w:t>连续两次未亲自出席董事会的说明 </w:t>
      </w:r>
      <w:bookmarkStart w:name="2、独立董事对公司有关事项提出异议的情况" w:id="144"/>
      <w:bookmarkEnd w:id="144"/>
      <w:r>
        <w:rPr/>
      </w:r>
      <w:r>
        <w:rPr>
          <w:rFonts w:ascii="Times New Roman" w:hAnsi="Times New Roman" w:cs="Times New Roman" w:eastAsia="Times New Roman" w:hint="default"/>
        </w:rPr>
        <w:t>2</w:t>
      </w:r>
      <w:r>
        <w:rPr>
          <w:rFonts w:ascii="微软雅黑" w:hAnsi="微软雅黑" w:cs="微软雅黑" w:eastAsia="微软雅黑" w:hint="default"/>
        </w:rPr>
        <w:t>、独立董事对公司有关事项提出异议的情况 </w:t>
      </w:r>
      <w:r>
        <w:rPr/>
        <w:t>独立董事对公司有关事项是否提出异议</w:t>
      </w:r>
    </w:p>
    <w:p>
      <w:pPr>
        <w:pStyle w:val="BodyText"/>
        <w:spacing w:line="482" w:lineRule="auto" w:before="60"/>
        <w:ind w:right="59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 </w:t>
      </w:r>
      <w:bookmarkStart w:name="3、独立董事履行职责的其他说明" w:id="145"/>
      <w:bookmarkEnd w:id="145"/>
      <w:r>
        <w:rPr/>
      </w:r>
      <w:r>
        <w:rPr>
          <w:rFonts w:ascii="Times New Roman" w:hAnsi="Times New Roman" w:cs="Times New Roman" w:eastAsia="Times New Roman" w:hint="default"/>
        </w:rPr>
        <w:t>3</w:t>
      </w:r>
      <w:r>
        <w:rPr>
          <w:rFonts w:ascii="微软雅黑" w:hAnsi="微软雅黑" w:cs="微软雅黑" w:eastAsia="微软雅黑" w:hint="default"/>
        </w:rPr>
        <w:t>、独立董事履行职责的其他说明 </w:t>
      </w:r>
      <w:r>
        <w:rPr/>
        <w:t>独立董事对公司有关建议是否被采纳</w:t>
      </w:r>
    </w:p>
    <w:p>
      <w:pPr>
        <w:pStyle w:val="BodyText"/>
        <w:spacing w:line="240" w:lineRule="auto" w:before="7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t>独立董事对公司有关建议被采纳或未被采纳的说明</w:t>
      </w:r>
    </w:p>
    <w:p>
      <w:pPr>
        <w:spacing w:line="240" w:lineRule="auto" w:before="8"/>
        <w:rPr>
          <w:rFonts w:ascii="宋体" w:hAnsi="宋体" w:cs="宋体" w:eastAsia="宋体" w:hint="default"/>
          <w:sz w:val="21"/>
          <w:szCs w:val="21"/>
        </w:rPr>
      </w:pPr>
    </w:p>
    <w:p>
      <w:pPr>
        <w:pStyle w:val="BodyText"/>
        <w:spacing w:line="297" w:lineRule="auto"/>
        <w:ind w:left="1134" w:right="1132" w:firstLine="420"/>
        <w:jc w:val="both"/>
      </w:pPr>
      <w:r>
        <w:rPr>
          <w:spacing w:val="-1"/>
        </w:rPr>
        <w:t>报告期内，独立董事严格按照《公司章程》、《独立董事工作制度》等的相关规定勤勉履行职责，忠</w:t>
      </w:r>
      <w:r>
        <w:rPr/>
        <w:t> </w:t>
      </w:r>
      <w:r>
        <w:rPr>
          <w:spacing w:val="-1"/>
        </w:rPr>
        <w:t>实履行职务，积极参加历次董事会，审议各项议案。通过出席董事会、现场办公等方式，深入了解公司经</w:t>
      </w:r>
      <w:r>
        <w:rPr>
          <w:spacing w:val="-83"/>
        </w:rPr>
        <w:t> </w:t>
      </w:r>
      <w:r>
        <w:rPr>
          <w:spacing w:val="-83"/>
        </w:rPr>
      </w:r>
      <w:r>
        <w:rPr>
          <w:spacing w:val="-1"/>
        </w:rPr>
        <w:t>营状况和内部控制的建设及董事会各项决议执行情况，并利用自已的专业优势为公司经营和发展提出了合</w:t>
      </w:r>
      <w:r>
        <w:rPr>
          <w:spacing w:val="-81"/>
        </w:rPr>
        <w:t> </w:t>
      </w:r>
      <w:r>
        <w:rPr>
          <w:spacing w:val="-81"/>
        </w:rPr>
      </w:r>
      <w:r>
        <w:rPr>
          <w:spacing w:val="-1"/>
        </w:rPr>
        <w:t>理化的意见和建议，对公司利润分配、续聘审计机构等相关事项发表了客观、公正的独立意见，对董事会</w:t>
      </w:r>
      <w:r>
        <w:rPr>
          <w:spacing w:val="-85"/>
        </w:rPr>
        <w:t> </w:t>
      </w:r>
      <w:r>
        <w:rPr>
          <w:spacing w:val="-85"/>
        </w:rPr>
      </w:r>
      <w:r>
        <w:rPr/>
        <w:t>决策的公正、公平及保护中小投资者利益起到了积极作用。</w:t>
      </w:r>
    </w:p>
    <w:p>
      <w:pPr>
        <w:spacing w:line="240" w:lineRule="auto" w:before="3"/>
        <w:rPr>
          <w:rFonts w:ascii="宋体" w:hAnsi="宋体" w:cs="宋体" w:eastAsia="宋体" w:hint="default"/>
          <w:sz w:val="23"/>
          <w:szCs w:val="23"/>
        </w:rPr>
      </w:pPr>
    </w:p>
    <w:p>
      <w:pPr>
        <w:pStyle w:val="Heading2"/>
        <w:spacing w:line="240" w:lineRule="auto"/>
        <w:ind w:left="1133" w:right="0"/>
        <w:jc w:val="left"/>
      </w:pPr>
      <w:bookmarkStart w:name="六、董事会下设专门委员会在报告期内履行职责情况" w:id="146"/>
      <w:bookmarkEnd w:id="146"/>
      <w:r>
        <w:rPr/>
      </w:r>
      <w:r>
        <w:rPr/>
        <w:t>六、董事会下设专门委员会在报告期内履行职责情况</w:t>
      </w:r>
    </w:p>
    <w:p>
      <w:pPr>
        <w:spacing w:line="240" w:lineRule="auto" w:before="12"/>
        <w:rPr>
          <w:rFonts w:ascii="微软雅黑" w:hAnsi="微软雅黑" w:cs="微软雅黑" w:eastAsia="微软雅黑" w:hint="default"/>
          <w:sz w:val="27"/>
          <w:szCs w:val="27"/>
        </w:rPr>
      </w:pPr>
    </w:p>
    <w:p>
      <w:pPr>
        <w:pStyle w:val="BodyText"/>
        <w:spacing w:line="297" w:lineRule="auto"/>
        <w:ind w:left="1133" w:right="1109" w:firstLine="420"/>
        <w:jc w:val="both"/>
      </w:pPr>
      <w:r>
        <w:rPr>
          <w:spacing w:val="-1"/>
        </w:rPr>
        <w:t>为进一步完善公司法人治理结构，促进公司董事会科学、高效决策以及建立对公司管理层绩效评价机</w:t>
      </w:r>
      <w:r>
        <w:rPr/>
        <w:t> </w:t>
      </w:r>
      <w:r>
        <w:rPr>
          <w:spacing w:val="-1"/>
        </w:rPr>
        <w:t>制和激励机制，参照《上市公司治理准则》及《公司章程》等有关规定，公司董事会设立战略委员会、审</w:t>
      </w:r>
      <w:r>
        <w:rPr>
          <w:spacing w:val="-85"/>
        </w:rPr>
        <w:t> </w:t>
      </w:r>
      <w:r>
        <w:rPr>
          <w:spacing w:val="-85"/>
        </w:rPr>
      </w:r>
      <w:r>
        <w:rPr/>
        <w:t>计委员会、提名委员会、薪酬与考核委员会四个董事会下设委员会，报告期内，各委员会履职情况如下：</w:t>
      </w:r>
    </w:p>
    <w:p>
      <w:pPr>
        <w:pStyle w:val="BodyText"/>
        <w:spacing w:line="558" w:lineRule="exact" w:before="33"/>
        <w:ind w:right="0"/>
        <w:jc w:val="left"/>
      </w:pPr>
      <w:r>
        <w:rPr>
          <w:rFonts w:ascii="Times New Roman" w:hAnsi="Times New Roman" w:cs="Times New Roman" w:eastAsia="Times New Roman" w:hint="default"/>
        </w:rPr>
        <w:t>1</w:t>
      </w:r>
      <w:r>
        <w:rPr/>
        <w:t>、审计委员会履职情况 </w:t>
      </w:r>
      <w:r>
        <w:rPr>
          <w:spacing w:val="-1"/>
        </w:rPr>
        <w:t>报告期内，审计委员会根据《公司章程》、《董事会审计委员会工作制度》等相关要求，积极履行职</w:t>
      </w:r>
    </w:p>
    <w:p>
      <w:pPr>
        <w:pStyle w:val="BodyText"/>
        <w:spacing w:line="275" w:lineRule="exact"/>
        <w:ind w:left="1134" w:right="0"/>
        <w:jc w:val="left"/>
      </w:pPr>
      <w:r>
        <w:rPr/>
        <w:t>责，审计委员会共召开</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次会议。对公司财务报告和内控情况进行了监控，制定年度审计计划并对年度审</w:t>
      </w:r>
    </w:p>
    <w:p>
      <w:pPr>
        <w:pStyle w:val="BodyText"/>
        <w:spacing w:line="297" w:lineRule="auto" w:before="49"/>
        <w:ind w:left="1134" w:right="0"/>
        <w:jc w:val="left"/>
      </w:pPr>
      <w:r>
        <w:rPr>
          <w:spacing w:val="-1"/>
        </w:rPr>
        <w:t>计工作进行安排，在审计过程中与相关人员进行有效沟通，同时，审议公司内审部提交的年度审计计划及</w:t>
      </w:r>
      <w:r>
        <w:rPr>
          <w:spacing w:val="-83"/>
        </w:rPr>
        <w:t> </w:t>
      </w:r>
      <w:r>
        <w:rPr>
          <w:spacing w:val="-83"/>
        </w:rPr>
      </w:r>
      <w:r>
        <w:rPr/>
        <w:t>总结，切实履行了审计委员会的工作职责。</w:t>
      </w:r>
    </w:p>
    <w:p>
      <w:pPr>
        <w:pStyle w:val="BodyText"/>
        <w:spacing w:line="560" w:lineRule="exact" w:before="30"/>
        <w:ind w:right="1116"/>
        <w:jc w:val="left"/>
      </w:pPr>
      <w:r>
        <w:rPr>
          <w:rFonts w:ascii="Times New Roman" w:hAnsi="Times New Roman" w:cs="Times New Roman" w:eastAsia="Times New Roman" w:hint="default"/>
        </w:rPr>
        <w:t>2</w:t>
      </w:r>
      <w:r>
        <w:rPr/>
        <w:t>、战略委员会履职情况 报告期内，战略委员会按照《公司章程》、《董事会战略委员会工作制度》等相关要求，共召开</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次</w:t>
      </w:r>
    </w:p>
    <w:p>
      <w:pPr>
        <w:pStyle w:val="BodyText"/>
        <w:spacing w:line="257" w:lineRule="exact"/>
        <w:ind w:left="1134" w:right="0"/>
        <w:jc w:val="left"/>
      </w:pPr>
      <w:r>
        <w:rPr/>
        <w:t>会议，对公司对外投资及融资情况进行审议，进一步提高公司战略决策的合理性和科学性。</w:t>
      </w:r>
    </w:p>
    <w:p>
      <w:pPr>
        <w:pStyle w:val="BodyText"/>
        <w:spacing w:line="540" w:lineRule="atLeast" w:before="35"/>
        <w:ind w:right="1017"/>
        <w:jc w:val="left"/>
      </w:pPr>
      <w:r>
        <w:rPr>
          <w:rFonts w:ascii="Times New Roman" w:hAnsi="Times New Roman" w:cs="Times New Roman" w:eastAsia="Times New Roman" w:hint="default"/>
        </w:rPr>
        <w:t>3</w:t>
      </w:r>
      <w:r>
        <w:rPr/>
        <w:t>、薪酬与考核委员会履职情况 </w:t>
      </w:r>
      <w:r>
        <w:rPr>
          <w:spacing w:val="-3"/>
        </w:rPr>
        <w:t>报告期内，薪酬与考核委员会按照《公司章程》、《董事会薪酬与考核委员会工作制度》等相关要求，</w:t>
      </w:r>
    </w:p>
    <w:p>
      <w:pPr>
        <w:pStyle w:val="BodyText"/>
        <w:spacing w:line="280" w:lineRule="auto" w:before="66"/>
        <w:ind w:left="1134" w:right="1115"/>
        <w:jc w:val="left"/>
      </w:pPr>
      <w:r>
        <w:rPr/>
        <w:t>共召开</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次会议，对公司薪酬及绩效考核情况进行监督，审查董事、监事及高级管理人员的薪酬情况及股 权激励计划等事项，促进公司在规范运作的基础上，进一步提高在薪酬考核方面的科学性。</w:t>
      </w:r>
    </w:p>
    <w:p>
      <w:pPr>
        <w:pStyle w:val="BodyText"/>
        <w:spacing w:line="558" w:lineRule="exact" w:before="46"/>
        <w:ind w:right="1116"/>
        <w:jc w:val="left"/>
      </w:pPr>
      <w:r>
        <w:rPr>
          <w:rFonts w:ascii="Times New Roman" w:hAnsi="Times New Roman" w:cs="Times New Roman" w:eastAsia="Times New Roman" w:hint="default"/>
        </w:rPr>
        <w:t>4</w:t>
      </w:r>
      <w:r>
        <w:rPr/>
        <w:t>、提名委员会履职情况 报告期内，提名委员会按照《公司章程》、《董事会提名委员会工作制度》等相关要求，共召开</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次</w:t>
      </w:r>
    </w:p>
    <w:p>
      <w:pPr>
        <w:pStyle w:val="BodyText"/>
        <w:spacing w:line="259" w:lineRule="exact"/>
        <w:ind w:left="1134" w:right="0"/>
        <w:jc w:val="left"/>
      </w:pPr>
      <w:r>
        <w:rPr>
          <w:spacing w:val="-3"/>
        </w:rPr>
        <w:t>会议，对公司变更财务总监、增补董事、聘任董事会秘书的人员资格进行了认真的审查，未发现《公司法》</w:t>
      </w:r>
    </w:p>
    <w:p>
      <w:pPr>
        <w:pStyle w:val="BodyText"/>
        <w:spacing w:line="240" w:lineRule="auto" w:before="66"/>
        <w:ind w:left="1134" w:right="0"/>
        <w:jc w:val="left"/>
      </w:pPr>
      <w:r>
        <w:rPr/>
        <w:t>及相关法律法规规定禁止担任上市公司董事、高级管理人员的情形。</w:t>
      </w:r>
    </w:p>
    <w:p>
      <w:pPr>
        <w:spacing w:line="240" w:lineRule="auto" w:before="1"/>
        <w:rPr>
          <w:rFonts w:ascii="宋体" w:hAnsi="宋体" w:cs="宋体" w:eastAsia="宋体" w:hint="default"/>
          <w:sz w:val="27"/>
          <w:szCs w:val="27"/>
        </w:rPr>
      </w:pPr>
    </w:p>
    <w:p>
      <w:pPr>
        <w:pStyle w:val="Heading2"/>
        <w:spacing w:line="240" w:lineRule="auto"/>
        <w:ind w:right="0"/>
        <w:jc w:val="left"/>
      </w:pPr>
      <w:bookmarkStart w:name="七、监事会工作情况" w:id="147"/>
      <w:bookmarkEnd w:id="147"/>
      <w:r>
        <w:rPr/>
      </w:r>
      <w:r>
        <w:rPr/>
        <w:t>七、监事会工作情况</w:t>
      </w:r>
    </w:p>
    <w:p>
      <w:pPr>
        <w:spacing w:line="240" w:lineRule="auto" w:before="12"/>
        <w:rPr>
          <w:rFonts w:ascii="微软雅黑" w:hAnsi="微软雅黑" w:cs="微软雅黑" w:eastAsia="微软雅黑" w:hint="default"/>
          <w:sz w:val="27"/>
          <w:szCs w:val="27"/>
        </w:rPr>
      </w:pPr>
    </w:p>
    <w:p>
      <w:pPr>
        <w:pStyle w:val="BodyText"/>
        <w:spacing w:line="240" w:lineRule="auto"/>
        <w:ind w:right="0"/>
        <w:jc w:val="left"/>
      </w:pPr>
      <w:r>
        <w:rPr/>
        <w:t>监事会在报告期内的监督活动中发现公司是否存在风险</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t>公司监事会对报告期内的监督事项无异议。</w:t>
      </w:r>
    </w:p>
    <w:p>
      <w:pPr>
        <w:spacing w:line="240" w:lineRule="auto" w:before="1"/>
        <w:rPr>
          <w:rFonts w:ascii="宋体" w:hAnsi="宋体" w:cs="宋体" w:eastAsia="宋体" w:hint="default"/>
          <w:sz w:val="27"/>
          <w:szCs w:val="27"/>
        </w:rPr>
      </w:pPr>
    </w:p>
    <w:p>
      <w:pPr>
        <w:pStyle w:val="Heading2"/>
        <w:spacing w:line="240" w:lineRule="auto"/>
        <w:ind w:right="0"/>
        <w:jc w:val="left"/>
      </w:pPr>
      <w:bookmarkStart w:name="八、高级管理人员的考评及激励情况" w:id="148"/>
      <w:bookmarkEnd w:id="148"/>
      <w:r>
        <w:rPr/>
      </w:r>
      <w:r>
        <w:rPr/>
        <w:t>八、高级管理人员的考评及激励情况</w:t>
      </w:r>
    </w:p>
    <w:p>
      <w:pPr>
        <w:spacing w:line="240" w:lineRule="auto" w:before="12"/>
        <w:rPr>
          <w:rFonts w:ascii="微软雅黑" w:hAnsi="微软雅黑" w:cs="微软雅黑" w:eastAsia="微软雅黑" w:hint="default"/>
          <w:sz w:val="27"/>
          <w:szCs w:val="27"/>
        </w:rPr>
      </w:pPr>
    </w:p>
    <w:p>
      <w:pPr>
        <w:pStyle w:val="BodyText"/>
        <w:spacing w:line="297" w:lineRule="auto"/>
        <w:ind w:left="1134" w:right="1130" w:firstLine="420"/>
        <w:jc w:val="both"/>
      </w:pPr>
      <w:r>
        <w:rPr>
          <w:spacing w:val="-1"/>
        </w:rPr>
        <w:t>公司采用高级管理人员的薪酬与公司业绩挂钩的绩效考核与激励约束机制，公司高级管理人员实行基</w:t>
      </w:r>
      <w:r>
        <w:rPr/>
        <w:t> </w:t>
      </w:r>
      <w:r>
        <w:rPr>
          <w:spacing w:val="-1"/>
        </w:rPr>
        <w:t>本年薪和年终绩效考核相结合的薪酬制度；年末根据公司年度经营目标完成情况以及高级管理人员的工作</w:t>
      </w:r>
      <w:r>
        <w:rPr>
          <w:spacing w:val="-81"/>
        </w:rPr>
        <w:t> </w:t>
      </w:r>
      <w:r>
        <w:rPr>
          <w:spacing w:val="-81"/>
        </w:rPr>
      </w:r>
      <w:r>
        <w:rPr>
          <w:spacing w:val="-1"/>
        </w:rPr>
        <w:t>业绩，由董事会薪酬与考核委员会对高级管理人员进行年度绩效考核，并监督薪酬制度执行情况。公司则</w:t>
      </w:r>
      <w:r>
        <w:rPr>
          <w:spacing w:val="-83"/>
        </w:rPr>
        <w:t> </w:t>
      </w:r>
      <w:r>
        <w:rPr>
          <w:spacing w:val="-83"/>
        </w:rPr>
      </w:r>
      <w:r>
        <w:rPr>
          <w:spacing w:val="-1"/>
        </w:rPr>
        <w:t>根据绩效考核结果兑现其绩效年薪，并进行奖惩。同时对核心经营团队采取长期激励措施，通过对组织单</w:t>
      </w:r>
      <w:r>
        <w:rPr>
          <w:spacing w:val="-82"/>
        </w:rPr>
        <w:t> </w:t>
      </w:r>
      <w:r>
        <w:rPr>
          <w:spacing w:val="-82"/>
        </w:rPr>
      </w:r>
      <w:r>
        <w:rPr/>
        <w:t>元经营效益结果考核，实现公司与核心经营团队经营效益的分享。</w:t>
      </w:r>
    </w:p>
    <w:p>
      <w:pPr>
        <w:spacing w:line="240" w:lineRule="auto" w:before="4"/>
        <w:rPr>
          <w:rFonts w:ascii="宋体" w:hAnsi="宋体" w:cs="宋体" w:eastAsia="宋体" w:hint="default"/>
          <w:sz w:val="23"/>
          <w:szCs w:val="23"/>
        </w:rPr>
      </w:pPr>
    </w:p>
    <w:p>
      <w:pPr>
        <w:pStyle w:val="Heading2"/>
        <w:spacing w:line="240" w:lineRule="auto"/>
        <w:ind w:left="1133" w:right="0"/>
        <w:jc w:val="left"/>
      </w:pPr>
      <w:bookmarkStart w:name="九、内部控制评价报告" w:id="149"/>
      <w:bookmarkEnd w:id="149"/>
      <w:r>
        <w:rPr/>
      </w:r>
      <w:r>
        <w:rPr/>
        <w:t>九、内部控制评价报告</w:t>
      </w:r>
    </w:p>
    <w:p>
      <w:pPr>
        <w:spacing w:line="240" w:lineRule="auto" w:before="11"/>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报告期内发现的内部控制重大缺陷的具体情况" w:id="150"/>
      <w:bookmarkEnd w:id="150"/>
      <w:r>
        <w:rPr/>
      </w:r>
      <w:r>
        <w:rPr>
          <w:rFonts w:ascii="Times New Roman" w:hAnsi="Times New Roman" w:cs="Times New Roman" w:eastAsia="Times New Roman" w:hint="default"/>
        </w:rPr>
        <w:t>1</w:t>
      </w:r>
      <w:r>
        <w:rPr>
          <w:rFonts w:ascii="微软雅黑" w:hAnsi="微软雅黑" w:cs="微软雅黑" w:eastAsia="微软雅黑" w:hint="default"/>
        </w:rPr>
        <w:t>、报告期内发现的内部控制重大缺陷的具体情况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2、内控自我评价报告" w:id="151"/>
      <w:bookmarkEnd w:id="151"/>
      <w:r>
        <w:rPr/>
      </w:r>
      <w:r>
        <w:rPr>
          <w:rFonts w:ascii="Times New Roman" w:hAnsi="Times New Roman" w:cs="Times New Roman" w:eastAsia="Times New Roman" w:hint="default"/>
        </w:rPr>
        <w:t>2</w:t>
      </w:r>
      <w:r>
        <w:rPr>
          <w:rFonts w:ascii="微软雅黑" w:hAnsi="微软雅黑" w:cs="微软雅黑" w:eastAsia="微软雅黑" w:hint="default"/>
        </w:rPr>
        <w:t>、内控自我评价报告</w:t>
      </w:r>
    </w:p>
    <w:p>
      <w:pPr>
        <w:spacing w:line="240" w:lineRule="auto" w:before="13"/>
        <w:rPr>
          <w:rFonts w:ascii="微软雅黑" w:hAnsi="微软雅黑" w:cs="微软雅黑" w:eastAsia="微软雅黑" w:hint="default"/>
          <w:sz w:val="21"/>
          <w:szCs w:val="21"/>
        </w:rPr>
      </w:pPr>
    </w:p>
    <w:tbl>
      <w:tblPr>
        <w:tblW w:w="0" w:type="auto"/>
        <w:jc w:val="left"/>
        <w:tblInd w:w="1021" w:type="dxa"/>
        <w:tblLayout w:type="fixed"/>
        <w:tblCellMar>
          <w:top w:w="0" w:type="dxa"/>
          <w:left w:w="0" w:type="dxa"/>
          <w:bottom w:w="0" w:type="dxa"/>
          <w:right w:w="0" w:type="dxa"/>
        </w:tblCellMar>
        <w:tblLook w:val="01E0"/>
      </w:tblPr>
      <w:tblGrid>
        <w:gridCol w:w="3291"/>
        <w:gridCol w:w="3422"/>
        <w:gridCol w:w="3143"/>
      </w:tblGrid>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7">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《内部控制自我评价报告》</w:t>
            </w:r>
          </w:p>
        </w:tc>
      </w:tr>
      <w:tr>
        <w:trPr>
          <w:trHeight w:val="60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611"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565"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9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518"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4"/>
              <w:ind w:right="0"/>
              <w:jc w:val="left"/>
              <w:rPr>
                <w:rFonts w:ascii="微软雅黑" w:hAnsi="微软雅黑" w:cs="微软雅黑" w:eastAsia="微软雅黑"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22" w:type="dxa"/>
            <w:tcBorders>
              <w:top w:val="single" w:sz="8" w:space="0" w:color="D2D2D2"/>
              <w:left w:val="single" w:sz="4" w:space="0" w:color="000000"/>
              <w:bottom w:val="single" w:sz="4" w:space="0" w:color="000000"/>
              <w:right w:val="single" w:sz="4" w:space="0" w:color="000000"/>
            </w:tcBorders>
          </w:tcPr>
          <w:p>
            <w:pPr>
              <w:pStyle w:val="TableParagraph"/>
              <w:spacing w:line="235" w:lineRule="auto" w:before="41"/>
              <w:ind w:left="103" w:right="6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）重大缺陷：一项内部控制缺陷单独 或连同其他缺陷具备合理可能性导致不 </w:t>
            </w:r>
            <w:r>
              <w:rPr>
                <w:rFonts w:ascii="宋体" w:hAnsi="宋体" w:cs="宋体" w:eastAsia="宋体" w:hint="default"/>
                <w:spacing w:val="-2"/>
                <w:sz w:val="18"/>
                <w:szCs w:val="18"/>
              </w:rPr>
              <w:t>能及时防止、发现并纠正财务报表中的重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大错报。如：公司董事、监事和高级管理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人员的舞弊行为；注册会计师发现的却未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被公司内部控制识别的当期财务报告中 </w:t>
            </w:r>
            <w:r>
              <w:rPr>
                <w:rFonts w:ascii="宋体" w:hAnsi="宋体" w:cs="宋体" w:eastAsia="宋体" w:hint="default"/>
                <w:spacing w:val="-2"/>
                <w:sz w:val="18"/>
                <w:szCs w:val="18"/>
              </w:rPr>
              <w:t>的重大错报；审计委员会和审计部门对公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司的对外财务报告和财务报告内部控制 </w:t>
            </w:r>
            <w:r>
              <w:rPr>
                <w:rFonts w:ascii="宋体" w:hAnsi="宋体" w:cs="宋体" w:eastAsia="宋体" w:hint="default"/>
                <w:spacing w:val="-7"/>
                <w:sz w:val="18"/>
                <w:szCs w:val="18"/>
              </w:rPr>
              <w:t>监督无效。（</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）重要缺陷：内部控制缺陷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单独或连同其他缺陷具备合理可能性导 致不能及时防止或发现并纠正财务报告 </w:t>
            </w:r>
            <w:r>
              <w:rPr>
                <w:rFonts w:ascii="宋体" w:hAnsi="宋体" w:cs="宋体" w:eastAsia="宋体" w:hint="default"/>
                <w:spacing w:val="-2"/>
                <w:sz w:val="18"/>
                <w:szCs w:val="18"/>
              </w:rPr>
              <w:t>中虽然未达到和超过重要性水平，但仍应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引起董事会和管理层重视的错报。如：未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依照公认会计准则选择和应用会计政策； </w:t>
            </w:r>
            <w:r>
              <w:rPr>
                <w:rFonts w:ascii="宋体" w:hAnsi="宋体" w:cs="宋体" w:eastAsia="宋体" w:hint="default"/>
                <w:spacing w:val="-2"/>
                <w:sz w:val="18"/>
                <w:szCs w:val="18"/>
              </w:rPr>
              <w:t>未建立反舞弊程序和控制措施；重要信息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泄露并对公司业务运作带来重大损失；对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于期末财务报告过程的控制不能合理保 证编制的财务报表达到真实、准确的目 </w:t>
            </w:r>
            <w:r>
              <w:rPr>
                <w:rFonts w:ascii="宋体" w:hAnsi="宋体" w:cs="宋体" w:eastAsia="宋体" w:hint="default"/>
                <w:spacing w:val="-7"/>
                <w:sz w:val="18"/>
                <w:szCs w:val="18"/>
              </w:rPr>
              <w:t>标。（</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）一般缺陷：不构成重大缺陷和重</w:t>
            </w:r>
          </w:p>
        </w:tc>
        <w:tc>
          <w:tcPr>
            <w:tcW w:w="314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2"/>
              <w:ind w:right="0"/>
              <w:jc w:val="left"/>
              <w:rPr>
                <w:rFonts w:ascii="微软雅黑" w:hAnsi="微软雅黑" w:cs="微软雅黑" w:eastAsia="微软雅黑" w:hint="default"/>
                <w:sz w:val="23"/>
                <w:szCs w:val="23"/>
              </w:rPr>
            </w:pPr>
          </w:p>
          <w:p>
            <w:pPr>
              <w:pStyle w:val="TableParagraph"/>
              <w:spacing w:line="235"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）重大缺陷：违反国家法律法规或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规范性文件；重要业务缺乏制度控制 或系统性失效，且缺乏有效的补偿性 控制；内部控制评价的结果特别是重 大缺陷未得到有效整改；其他对公司 </w:t>
            </w:r>
            <w:r>
              <w:rPr>
                <w:rFonts w:ascii="宋体" w:hAnsi="宋体" w:cs="宋体" w:eastAsia="宋体" w:hint="default"/>
                <w:spacing w:val="-6"/>
                <w:sz w:val="18"/>
                <w:szCs w:val="18"/>
              </w:rPr>
              <w:t>产生重大负面影响的情形。（</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w:t>
            </w:r>
            <w:r>
              <w:rPr>
                <w:rFonts w:ascii="宋体" w:hAnsi="宋体" w:cs="宋体" w:eastAsia="宋体" w:hint="default"/>
                <w:spacing w:val="-78"/>
                <w:sz w:val="18"/>
                <w:szCs w:val="18"/>
              </w:rPr>
              <w:t> </w:t>
            </w:r>
            <w:r>
              <w:rPr>
                <w:rFonts w:ascii="宋体" w:hAnsi="宋体" w:cs="宋体" w:eastAsia="宋体" w:hint="default"/>
                <w:spacing w:val="-3"/>
                <w:sz w:val="18"/>
                <w:szCs w:val="18"/>
              </w:rPr>
              <w:t>缺陷：重要业务制度或系统存在缺陷；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内部控制评价的结果特别是重要缺陷 未得到整改；其他对公司产生较大负 </w:t>
            </w:r>
            <w:r>
              <w:rPr>
                <w:rFonts w:ascii="宋体" w:hAnsi="宋体" w:cs="宋体" w:eastAsia="宋体" w:hint="default"/>
                <w:spacing w:val="-6"/>
                <w:sz w:val="18"/>
                <w:szCs w:val="18"/>
              </w:rPr>
              <w:t>面影响的情形。（</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）一般缺陷：决策</w:t>
            </w:r>
            <w:r>
              <w:rPr>
                <w:rFonts w:ascii="宋体" w:hAnsi="宋体" w:cs="宋体" w:eastAsia="宋体" w:hint="default"/>
                <w:spacing w:val="-78"/>
                <w:sz w:val="18"/>
                <w:szCs w:val="18"/>
              </w:rPr>
              <w:t> </w:t>
            </w:r>
            <w:r>
              <w:rPr>
                <w:rFonts w:ascii="宋体" w:hAnsi="宋体" w:cs="宋体" w:eastAsia="宋体" w:hint="default"/>
                <w:sz w:val="18"/>
                <w:szCs w:val="18"/>
              </w:rPr>
              <w:t>程序效率不高；一般业务制度或系统 存在缺陷；一般缺陷未得到整改；其 他对公司产生负面影响的情形。</w:t>
            </w:r>
          </w:p>
        </w:tc>
      </w:tr>
    </w:tbl>
    <w:p>
      <w:pPr>
        <w:spacing w:after="0" w:line="235"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微软雅黑" w:hAnsi="微软雅黑" w:cs="微软雅黑" w:eastAsia="微软雅黑" w:hint="default"/>
          <w:sz w:val="18"/>
          <w:szCs w:val="18"/>
        </w:rPr>
      </w:pPr>
    </w:p>
    <w:tbl>
      <w:tblPr>
        <w:tblW w:w="0" w:type="auto"/>
        <w:jc w:val="left"/>
        <w:tblInd w:w="1021" w:type="dxa"/>
        <w:tblLayout w:type="fixed"/>
        <w:tblCellMar>
          <w:top w:w="0" w:type="dxa"/>
          <w:left w:w="0" w:type="dxa"/>
          <w:bottom w:w="0" w:type="dxa"/>
          <w:right w:w="0" w:type="dxa"/>
        </w:tblCellMar>
        <w:tblLook w:val="01E0"/>
      </w:tblPr>
      <w:tblGrid>
        <w:gridCol w:w="3291"/>
        <w:gridCol w:w="3422"/>
        <w:gridCol w:w="3143"/>
      </w:tblGrid>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要的财务报告内部控制缺陷。</w:t>
            </w:r>
          </w:p>
        </w:tc>
        <w:tc>
          <w:tcPr>
            <w:tcW w:w="3143" w:type="dxa"/>
            <w:tcBorders>
              <w:top w:val="single" w:sz="4" w:space="0" w:color="000000"/>
              <w:left w:val="single" w:sz="4" w:space="0" w:color="000000"/>
              <w:bottom w:val="single" w:sz="4" w:space="0" w:color="000000"/>
              <w:right w:val="single" w:sz="4" w:space="0" w:color="000000"/>
            </w:tcBorders>
          </w:tcPr>
          <w:p>
            <w:pPr/>
          </w:p>
        </w:tc>
      </w:tr>
      <w:tr>
        <w:trPr>
          <w:trHeight w:val="2002"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2"/>
              <w:ind w:right="0"/>
              <w:jc w:val="left"/>
              <w:rPr>
                <w:rFonts w:ascii="微软雅黑" w:hAnsi="微软雅黑" w:cs="微软雅黑" w:eastAsia="微软雅黑"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4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）重大缺陷：潜在错报金额大于最近 一个会计年度公司合并报表净利润的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）重要缺陷：潜在错报</w:t>
            </w:r>
          </w:p>
          <w:p>
            <w:pPr>
              <w:pStyle w:val="TableParagraph"/>
              <w:spacing w:line="230"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金额介于最近一个会计年度公司合并报 表净利润的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）一般缺陷：潜在错报金额小于最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近一个会计年度公司合并报表净利润的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sz w:val="22"/>
                <w:szCs w:val="22"/>
              </w:rPr>
            </w:pPr>
          </w:p>
          <w:p>
            <w:pPr>
              <w:pStyle w:val="TableParagraph"/>
              <w:spacing w:line="228" w:lineRule="auto"/>
              <w:ind w:left="103"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）重大缺陷：直接损失</w:t>
            </w:r>
            <w:r>
              <w:rPr>
                <w:rFonts w:ascii="Times New Roman" w:hAnsi="Times New Roman" w:cs="Times New Roman" w:eastAsia="Times New Roman" w:hint="default"/>
                <w:sz w:val="18"/>
                <w:szCs w:val="18"/>
              </w:rPr>
              <w:t>≥</w:t>
            </w:r>
            <w:r>
              <w:rPr>
                <w:rFonts w:ascii="宋体" w:hAnsi="宋体" w:cs="宋体" w:eastAsia="宋体" w:hint="default"/>
                <w:sz w:val="18"/>
                <w:szCs w:val="18"/>
              </w:rPr>
              <w:t>资产净额 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）重要缺陷：资产净额的</w:t>
            </w:r>
            <w:r>
              <w:rPr>
                <w:rFonts w:ascii="宋体" w:hAnsi="宋体" w:cs="宋体" w:eastAsia="宋体" w:hint="default"/>
                <w:spacing w:val="-85"/>
                <w:sz w:val="18"/>
                <w:szCs w:val="18"/>
              </w:rPr>
              <w:t> </w:t>
            </w:r>
            <w:r>
              <w:rPr>
                <w:rFonts w:ascii="Times New Roman" w:hAnsi="Times New Roman" w:cs="Times New Roman" w:eastAsia="Times New Roman" w:hint="default"/>
                <w:spacing w:val="-1"/>
                <w:w w:val="100"/>
                <w:sz w:val="18"/>
                <w:szCs w:val="18"/>
              </w:rPr>
              <w:t>0.5%</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直接损失＜资产净额的</w:t>
            </w:r>
            <w:r>
              <w:rPr>
                <w:rFonts w:ascii="宋体" w:hAnsi="宋体" w:cs="宋体" w:eastAsia="宋体" w:hint="default"/>
                <w:spacing w:val="-35"/>
                <w:w w:val="100"/>
                <w:sz w:val="18"/>
                <w:szCs w:val="18"/>
              </w:rPr>
              <w:t> </w:t>
            </w:r>
            <w:r>
              <w:rPr>
                <w:rFonts w:ascii="Times New Roman" w:hAnsi="Times New Roman" w:cs="Times New Roman" w:eastAsia="Times New Roman" w:hint="default"/>
                <w:spacing w:val="-29"/>
                <w:sz w:val="18"/>
                <w:szCs w:val="18"/>
              </w:rPr>
              <w:t>1%</w:t>
            </w:r>
            <w:r>
              <w:rPr>
                <w:rFonts w:ascii="宋体" w:hAnsi="宋体" w:cs="宋体" w:eastAsia="宋体" w:hint="default"/>
                <w:spacing w:val="-29"/>
                <w:sz w:val="18"/>
                <w:szCs w:val="18"/>
              </w:rPr>
              <w:t>。（</w:t>
            </w:r>
            <w:r>
              <w:rPr>
                <w:rFonts w:ascii="Times New Roman" w:hAnsi="Times New Roman" w:cs="Times New Roman" w:eastAsia="Times New Roman" w:hint="default"/>
                <w:spacing w:val="-29"/>
                <w:sz w:val="18"/>
                <w:szCs w:val="18"/>
              </w:rPr>
              <w:t>3</w:t>
            </w:r>
            <w:r>
              <w:rPr>
                <w:rFonts w:ascii="宋体" w:hAnsi="宋体" w:cs="宋体" w:eastAsia="宋体" w:hint="default"/>
                <w:spacing w:val="-29"/>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一般缺陷：直接损失＜资产净额的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微软雅黑" w:hAnsi="微软雅黑" w:cs="微软雅黑" w:eastAsia="微软雅黑" w:hint="default"/>
          <w:sz w:val="19"/>
          <w:szCs w:val="19"/>
        </w:rPr>
      </w:pPr>
    </w:p>
    <w:p>
      <w:pPr>
        <w:pStyle w:val="Heading2"/>
        <w:spacing w:line="397" w:lineRule="exact"/>
        <w:ind w:right="0"/>
        <w:jc w:val="left"/>
      </w:pPr>
      <w:bookmarkStart w:name="十、内部控制审计报告或鉴证报告" w:id="152"/>
      <w:bookmarkEnd w:id="152"/>
      <w:r>
        <w:rPr/>
      </w:r>
      <w:r>
        <w:rPr/>
        <w:t>十、内部控制审计报告或鉴证报告</w:t>
      </w:r>
    </w:p>
    <w:p>
      <w:pPr>
        <w:spacing w:line="240" w:lineRule="auto" w:before="11"/>
        <w:rPr>
          <w:rFonts w:ascii="微软雅黑" w:hAnsi="微软雅黑" w:cs="微软雅黑" w:eastAsia="微软雅黑" w:hint="default"/>
          <w:sz w:val="27"/>
          <w:szCs w:val="27"/>
        </w:rPr>
      </w:pPr>
    </w:p>
    <w:p>
      <w:pPr>
        <w:pStyle w:val="BodyText"/>
        <w:spacing w:line="240" w:lineRule="auto"/>
        <w:ind w:right="0"/>
        <w:jc w:val="left"/>
      </w:pPr>
      <w:r>
        <w:rPr/>
        <w:t>内部控制鉴证报告</w:t>
      </w:r>
    </w:p>
    <w:p>
      <w:pPr>
        <w:spacing w:line="240" w:lineRule="auto" w:before="5"/>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742"/>
        <w:gridCol w:w="7113"/>
      </w:tblGrid>
      <w:tr>
        <w:trPr>
          <w:trHeight w:val="407"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600" w:hRule="exact"/>
        </w:trPr>
        <w:tc>
          <w:tcPr>
            <w:tcW w:w="9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11"/>
              <w:jc w:val="left"/>
              <w:rPr>
                <w:rFonts w:ascii="宋体" w:hAnsi="宋体" w:cs="宋体" w:eastAsia="宋体" w:hint="default"/>
                <w:sz w:val="18"/>
                <w:szCs w:val="18"/>
              </w:rPr>
            </w:pPr>
            <w:r>
              <w:rPr>
                <w:rFonts w:ascii="宋体" w:hAnsi="宋体" w:cs="宋体" w:eastAsia="宋体" w:hint="default"/>
                <w:sz w:val="18"/>
                <w:szCs w:val="18"/>
              </w:rPr>
              <w:t>我们认为，中科创达公司于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日在所有重大方面有效地保持了按照《企业内部控制基本规范》建立的与财务 报表相关的内部控制。</w:t>
            </w:r>
          </w:p>
        </w:tc>
      </w:tr>
      <w:tr>
        <w:trPr>
          <w:trHeight w:val="408"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7">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《内部控制自我评价报告的审核评价意见》</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8"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会计师事务所是否出具非标准意见的内部控制鉴证报告</w:t>
      </w:r>
    </w:p>
    <w:p>
      <w:pPr>
        <w:spacing w:line="240" w:lineRule="auto" w:before="8"/>
        <w:rPr>
          <w:rFonts w:ascii="宋体" w:hAnsi="宋体" w:cs="宋体" w:eastAsia="宋体" w:hint="default"/>
          <w:sz w:val="21"/>
          <w:szCs w:val="21"/>
        </w:rPr>
      </w:pPr>
    </w:p>
    <w:p>
      <w:pPr>
        <w:pStyle w:val="BodyText"/>
        <w:spacing w:line="460" w:lineRule="auto"/>
        <w:ind w:right="31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会计师事务所出具的内部控制鉴证报告与董事会的自我评价报告意见是否一致</w:t>
      </w:r>
    </w:p>
    <w:p>
      <w:pPr>
        <w:pStyle w:val="BodyText"/>
        <w:spacing w:line="240" w:lineRule="auto" w:before="90"/>
        <w:ind w:left="15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28"/>
        <w:ind w:right="0"/>
        <w:jc w:val="center"/>
        <w:rPr>
          <w:b w:val="0"/>
          <w:bCs w:val="0"/>
        </w:rPr>
      </w:pPr>
      <w:bookmarkStart w:name="第十节 公司债券相关情况" w:id="153"/>
      <w:bookmarkEnd w:id="153"/>
      <w:r>
        <w:rPr>
          <w:b w:val="0"/>
          <w:bCs w:val="0"/>
        </w:rPr>
      </w:r>
      <w:bookmarkStart w:name="_bookmark9" w:id="154"/>
      <w:bookmarkEnd w:id="154"/>
      <w:r>
        <w:rPr>
          <w:b w:val="0"/>
          <w:bCs w:val="0"/>
        </w:rPr>
      </w:r>
      <w:r>
        <w:rPr/>
        <w:t>第十节</w:t>
      </w:r>
      <w:r>
        <w:rPr>
          <w:spacing w:val="63"/>
        </w:rPr>
        <w:t> </w:t>
      </w:r>
      <w:r>
        <w:rPr/>
        <w:t>公司债券相关情况</w:t>
      </w:r>
      <w:r>
        <w:rPr>
          <w:b w:val="0"/>
          <w:bCs w:val="0"/>
        </w:rPr>
      </w:r>
    </w:p>
    <w:p>
      <w:pPr>
        <w:spacing w:line="240" w:lineRule="auto" w:before="0"/>
        <w:rPr>
          <w:rFonts w:ascii="微软雅黑" w:hAnsi="微软雅黑" w:cs="微软雅黑" w:eastAsia="微软雅黑" w:hint="default"/>
          <w:b/>
          <w:bCs/>
          <w:sz w:val="32"/>
          <w:szCs w:val="32"/>
        </w:rPr>
      </w:pPr>
    </w:p>
    <w:p>
      <w:pPr>
        <w:spacing w:line="240" w:lineRule="auto" w:before="12"/>
        <w:rPr>
          <w:rFonts w:ascii="微软雅黑" w:hAnsi="微软雅黑" w:cs="微软雅黑" w:eastAsia="微软雅黑" w:hint="default"/>
          <w:b/>
          <w:bCs/>
          <w:sz w:val="21"/>
          <w:szCs w:val="21"/>
        </w:rPr>
      </w:pPr>
    </w:p>
    <w:p>
      <w:pPr>
        <w:pStyle w:val="BodyText"/>
        <w:spacing w:line="297" w:lineRule="auto"/>
        <w:ind w:left="1133" w:right="1116" w:firstLine="420"/>
        <w:jc w:val="left"/>
      </w:pPr>
      <w:r>
        <w:rPr>
          <w:spacing w:val="-1"/>
        </w:rPr>
        <w:t>公司是否存在公开发行并在证券交易所上市，且在年度报告批准报出日未到期或到期未能全额兑付的</w:t>
      </w:r>
      <w:r>
        <w:rPr/>
        <w:t> 公司债券</w:t>
      </w:r>
    </w:p>
    <w:p>
      <w:pPr>
        <w:spacing w:line="240" w:lineRule="auto" w:before="12"/>
        <w:rPr>
          <w:rFonts w:ascii="宋体" w:hAnsi="宋体" w:cs="宋体" w:eastAsia="宋体" w:hint="default"/>
          <w:sz w:val="17"/>
          <w:szCs w:val="17"/>
        </w:rPr>
      </w:pPr>
    </w:p>
    <w:p>
      <w:pPr>
        <w:pStyle w:val="BodyText"/>
        <w:spacing w:line="240" w:lineRule="auto"/>
        <w:ind w:right="0"/>
        <w:jc w:val="left"/>
      </w:pPr>
      <w:r>
        <w:rPr/>
        <w:t>否</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28"/>
        <w:ind w:right="0"/>
        <w:jc w:val="center"/>
        <w:rPr>
          <w:b w:val="0"/>
          <w:bCs w:val="0"/>
        </w:rPr>
      </w:pPr>
      <w:bookmarkStart w:name="第十一节 财务报告" w:id="155"/>
      <w:bookmarkEnd w:id="155"/>
      <w:r>
        <w:rPr>
          <w:b w:val="0"/>
          <w:bCs w:val="0"/>
        </w:rPr>
      </w:r>
      <w:bookmarkStart w:name="_bookmark10" w:id="156"/>
      <w:bookmarkEnd w:id="156"/>
      <w:r>
        <w:rPr>
          <w:b w:val="0"/>
          <w:bCs w:val="0"/>
        </w:rPr>
      </w:r>
      <w:r>
        <w:rPr/>
        <w:t>第十一节</w:t>
      </w:r>
      <w:r>
        <w:rPr>
          <w:spacing w:val="62"/>
        </w:rPr>
        <w:t> </w:t>
      </w:r>
      <w:r>
        <w:rPr/>
        <w:t>财务报告</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17"/>
          <w:szCs w:val="17"/>
        </w:rPr>
      </w:pPr>
    </w:p>
    <w:p>
      <w:pPr>
        <w:pStyle w:val="Heading2"/>
        <w:spacing w:line="397" w:lineRule="exact"/>
        <w:ind w:left="1133" w:right="0"/>
        <w:jc w:val="left"/>
      </w:pPr>
      <w:bookmarkStart w:name="一、审计报告" w:id="157"/>
      <w:bookmarkEnd w:id="157"/>
      <w:r>
        <w:rPr/>
      </w:r>
      <w:r>
        <w:rPr/>
        <w:t>一、审计报告</w:t>
      </w:r>
    </w:p>
    <w:p>
      <w:pPr>
        <w:spacing w:line="240" w:lineRule="auto" w:before="2"/>
        <w:rPr>
          <w:rFonts w:ascii="微软雅黑" w:hAnsi="微软雅黑" w:cs="微软雅黑" w:eastAsia="微软雅黑" w:hint="default"/>
          <w:sz w:val="26"/>
          <w:szCs w:val="26"/>
        </w:rPr>
      </w:pPr>
    </w:p>
    <w:tbl>
      <w:tblPr>
        <w:tblW w:w="0" w:type="auto"/>
        <w:jc w:val="left"/>
        <w:tblInd w:w="1021" w:type="dxa"/>
        <w:tblLayout w:type="fixed"/>
        <w:tblCellMar>
          <w:top w:w="0" w:type="dxa"/>
          <w:left w:w="0" w:type="dxa"/>
          <w:bottom w:w="0" w:type="dxa"/>
          <w:right w:w="0" w:type="dxa"/>
        </w:tblCellMar>
        <w:tblLook w:val="01E0"/>
      </w:tblPr>
      <w:tblGrid>
        <w:gridCol w:w="4927"/>
        <w:gridCol w:w="4929"/>
      </w:tblGrid>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8"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0117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李万军、蔡中伏</w:t>
            </w:r>
          </w:p>
        </w:tc>
      </w:tr>
    </w:tbl>
    <w:p>
      <w:pPr>
        <w:spacing w:line="240" w:lineRule="auto" w:before="0"/>
        <w:rPr>
          <w:rFonts w:ascii="微软雅黑" w:hAnsi="微软雅黑" w:cs="微软雅黑" w:eastAsia="微软雅黑" w:hint="default"/>
          <w:sz w:val="20"/>
          <w:szCs w:val="20"/>
        </w:rPr>
      </w:pPr>
    </w:p>
    <w:p>
      <w:pPr>
        <w:spacing w:line="240" w:lineRule="auto" w:before="11"/>
        <w:rPr>
          <w:rFonts w:ascii="微软雅黑" w:hAnsi="微软雅黑" w:cs="微软雅黑" w:eastAsia="微软雅黑" w:hint="default"/>
          <w:sz w:val="16"/>
          <w:szCs w:val="16"/>
        </w:rPr>
      </w:pPr>
    </w:p>
    <w:p>
      <w:pPr>
        <w:pStyle w:val="Heading3"/>
        <w:spacing w:line="355" w:lineRule="exact"/>
        <w:ind w:left="4245" w:right="3764"/>
        <w:jc w:val="center"/>
        <w:rPr>
          <w:rFonts w:ascii="微软雅黑" w:hAnsi="微软雅黑" w:cs="微软雅黑" w:eastAsia="微软雅黑" w:hint="default"/>
        </w:rPr>
      </w:pPr>
      <w:r>
        <w:rPr>
          <w:rFonts w:ascii="微软雅黑" w:hAnsi="微软雅黑" w:cs="微软雅黑" w:eastAsia="微软雅黑" w:hint="default"/>
        </w:rPr>
        <w:t>审计报告正文</w:t>
      </w:r>
    </w:p>
    <w:p>
      <w:pPr>
        <w:spacing w:line="240" w:lineRule="auto" w:before="10"/>
        <w:rPr>
          <w:rFonts w:ascii="微软雅黑" w:hAnsi="微软雅黑" w:cs="微软雅黑" w:eastAsia="微软雅黑" w:hint="default"/>
          <w:sz w:val="23"/>
          <w:szCs w:val="23"/>
        </w:rPr>
      </w:pPr>
    </w:p>
    <w:p>
      <w:pPr>
        <w:pStyle w:val="BodyText"/>
        <w:spacing w:line="323" w:lineRule="exact"/>
        <w:ind w:left="1553" w:right="0"/>
        <w:jc w:val="left"/>
        <w:rPr>
          <w:rFonts w:ascii="微软雅黑" w:hAnsi="微软雅黑" w:cs="微软雅黑" w:eastAsia="微软雅黑" w:hint="default"/>
        </w:rPr>
      </w:pPr>
      <w:r>
        <w:rPr>
          <w:rFonts w:ascii="微软雅黑" w:hAnsi="微软雅黑" w:cs="微软雅黑" w:eastAsia="微软雅黑" w:hint="default"/>
        </w:rPr>
        <w:t>一、审计意见</w:t>
      </w:r>
    </w:p>
    <w:p>
      <w:pPr>
        <w:spacing w:line="240" w:lineRule="auto" w:before="6"/>
        <w:rPr>
          <w:rFonts w:ascii="微软雅黑" w:hAnsi="微软雅黑" w:cs="微软雅黑" w:eastAsia="微软雅黑" w:hint="default"/>
          <w:sz w:val="23"/>
          <w:szCs w:val="23"/>
        </w:rPr>
      </w:pPr>
    </w:p>
    <w:p>
      <w:pPr>
        <w:pStyle w:val="BodyText"/>
        <w:spacing w:line="280" w:lineRule="auto"/>
        <w:ind w:left="1134" w:right="1130" w:firstLine="420"/>
        <w:jc w:val="both"/>
      </w:pPr>
      <w:r>
        <w:rPr>
          <w:spacing w:val="-7"/>
        </w:rPr>
        <w:t>我们审计了中科创达软件股份有限公司（以下简称中科创达公司）的财务报表，包括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w:t>
      </w:r>
      <w:r>
        <w:rPr>
          <w:spacing w:val="-75"/>
        </w:rPr>
        <w:t> </w:t>
      </w:r>
      <w:r>
        <w:rPr>
          <w:rFonts w:ascii="Times New Roman" w:hAnsi="Times New Roman" w:cs="Times New Roman" w:eastAsia="Times New Roman" w:hint="default"/>
        </w:rPr>
        <w:t>31 </w:t>
      </w:r>
      <w:r>
        <w:rPr/>
        <w:t>日的合并及公司资产负债表，</w:t>
      </w:r>
      <w:r>
        <w:rPr>
          <w:rFonts w:ascii="Times New Roman" w:hAnsi="Times New Roman" w:cs="Times New Roman" w:eastAsia="Times New Roman" w:hint="default"/>
        </w:rPr>
        <w:t>2017 </w:t>
      </w:r>
      <w:r>
        <w:rPr/>
        <w:t>年度的合并及公司利润表、合并及公司现金流量表、合并及公司股东</w:t>
      </w:r>
      <w:r>
        <w:rPr>
          <w:spacing w:val="-91"/>
        </w:rPr>
        <w:t> </w:t>
      </w:r>
      <w:r>
        <w:rPr/>
        <w:t>权益变动表以及财务报表附注。</w:t>
      </w:r>
    </w:p>
    <w:p>
      <w:pPr>
        <w:spacing w:line="240" w:lineRule="auto" w:before="12"/>
        <w:rPr>
          <w:rFonts w:ascii="宋体" w:hAnsi="宋体" w:cs="宋体" w:eastAsia="宋体" w:hint="default"/>
          <w:sz w:val="18"/>
          <w:szCs w:val="18"/>
        </w:rPr>
      </w:pPr>
    </w:p>
    <w:p>
      <w:pPr>
        <w:pStyle w:val="BodyText"/>
        <w:spacing w:line="290" w:lineRule="auto"/>
        <w:ind w:left="1134" w:right="1131" w:firstLine="420"/>
        <w:jc w:val="both"/>
      </w:pPr>
      <w:r>
        <w:rPr>
          <w:spacing w:val="-1"/>
        </w:rPr>
        <w:t>我们认为，后附的财务报表在所有重大方面按照企业会计准则的规定编制，公允反映了中科创达公司</w:t>
      </w:r>
      <w:r>
        <w:rPr/>
        <w:t>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4"/>
        </w:rPr>
        <w:t>日的合并及公司财务状况以及 </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spacing w:val="4"/>
        </w:rPr>
        <w:t>年度的合并及公司经营成果和合并及公司现金流</w:t>
      </w:r>
      <w:r>
        <w:rPr/>
        <w:t> 量。</w:t>
      </w:r>
    </w:p>
    <w:p>
      <w:pPr>
        <w:spacing w:line="240" w:lineRule="auto" w:before="9"/>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r>
        <w:rPr>
          <w:rFonts w:ascii="微软雅黑" w:hAnsi="微软雅黑" w:cs="微软雅黑" w:eastAsia="微软雅黑" w:hint="default"/>
        </w:rPr>
        <w:t>二、形成审计意见的基础</w:t>
      </w:r>
    </w:p>
    <w:p>
      <w:pPr>
        <w:spacing w:line="240" w:lineRule="auto" w:before="6"/>
        <w:rPr>
          <w:rFonts w:ascii="微软雅黑" w:hAnsi="微软雅黑" w:cs="微软雅黑" w:eastAsia="微软雅黑" w:hint="default"/>
          <w:sz w:val="23"/>
          <w:szCs w:val="23"/>
        </w:rPr>
      </w:pPr>
    </w:p>
    <w:p>
      <w:pPr>
        <w:pStyle w:val="BodyText"/>
        <w:spacing w:line="297" w:lineRule="auto"/>
        <w:ind w:left="1134" w:right="1131" w:firstLine="420"/>
        <w:jc w:val="both"/>
      </w:pPr>
      <w:r>
        <w:rPr>
          <w:spacing w:val="-1"/>
        </w:rPr>
        <w:t>我们按照中国注册会计师审计准则的规定执行了审计工作。审计报告“注册会计师对财务报表审计的</w:t>
      </w:r>
      <w:r>
        <w:rPr/>
        <w:t> </w:t>
      </w:r>
      <w:r>
        <w:rPr>
          <w:spacing w:val="-1"/>
        </w:rPr>
        <w:t>责任”部分进一步阐述了我们在这些准则下的责任。按照中国注册会计师职业道德守则，我们独立于中科</w:t>
      </w:r>
      <w:r>
        <w:rPr>
          <w:spacing w:val="-83"/>
        </w:rPr>
        <w:t> </w:t>
      </w:r>
      <w:r>
        <w:rPr>
          <w:spacing w:val="-83"/>
        </w:rPr>
      </w:r>
      <w:r>
        <w:rPr>
          <w:spacing w:val="-1"/>
        </w:rPr>
        <w:t>创达公司，并履行了职业道德方面的其他责任。我们相信，我们获取的审计证据是充分、适当的，为发表</w:t>
      </w:r>
      <w:r>
        <w:rPr>
          <w:spacing w:val="-83"/>
        </w:rPr>
        <w:t> </w:t>
      </w:r>
      <w:r>
        <w:rPr>
          <w:spacing w:val="-83"/>
        </w:rPr>
      </w:r>
      <w:r>
        <w:rPr/>
        <w:t>审计意见提供了基础。</w:t>
      </w:r>
    </w:p>
    <w:p>
      <w:pPr>
        <w:spacing w:line="240" w:lineRule="auto" w:before="3"/>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r>
        <w:rPr>
          <w:rFonts w:ascii="微软雅黑" w:hAnsi="微软雅黑" w:cs="微软雅黑" w:eastAsia="微软雅黑" w:hint="default"/>
        </w:rPr>
        <w:t>三、关键审计事项</w:t>
      </w:r>
    </w:p>
    <w:p>
      <w:pPr>
        <w:spacing w:line="240" w:lineRule="auto" w:before="7"/>
        <w:rPr>
          <w:rFonts w:ascii="微软雅黑" w:hAnsi="微软雅黑" w:cs="微软雅黑" w:eastAsia="微软雅黑" w:hint="default"/>
          <w:sz w:val="23"/>
          <w:szCs w:val="23"/>
        </w:rPr>
      </w:pPr>
    </w:p>
    <w:p>
      <w:pPr>
        <w:pStyle w:val="BodyText"/>
        <w:spacing w:line="297" w:lineRule="auto"/>
        <w:ind w:left="1134" w:right="1131" w:firstLine="42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spacing w:line="240" w:lineRule="auto" w:before="10"/>
        <w:rPr>
          <w:rFonts w:ascii="宋体" w:hAnsi="宋体" w:cs="宋体" w:eastAsia="宋体" w:hint="default"/>
          <w:sz w:val="17"/>
          <w:szCs w:val="17"/>
        </w:rPr>
      </w:pPr>
    </w:p>
    <w:p>
      <w:pPr>
        <w:pStyle w:val="BodyText"/>
        <w:spacing w:line="240" w:lineRule="auto"/>
        <w:ind w:left="1553" w:right="0"/>
        <w:jc w:val="left"/>
      </w:pPr>
      <w:r>
        <w:rPr/>
        <w:t>（一）收入确认</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rFonts w:ascii="Times New Roman" w:hAnsi="Times New Roman" w:cs="Times New Roman" w:eastAsia="Times New Roman" w:hint="default"/>
        </w:rPr>
        <w:t>1</w:t>
      </w:r>
      <w:r>
        <w:rPr/>
        <w:t>、</w:t>
      </w:r>
      <w:r>
        <w:rPr>
          <w:spacing w:val="-20"/>
        </w:rPr>
        <w:t> </w:t>
      </w:r>
      <w:r>
        <w:rPr/>
        <w:t>事项描述</w:t>
      </w:r>
    </w:p>
    <w:p>
      <w:pPr>
        <w:spacing w:line="240" w:lineRule="auto" w:before="6"/>
        <w:rPr>
          <w:rFonts w:ascii="宋体" w:hAnsi="宋体" w:cs="宋体" w:eastAsia="宋体" w:hint="default"/>
          <w:sz w:val="20"/>
          <w:szCs w:val="20"/>
        </w:rPr>
      </w:pPr>
    </w:p>
    <w:p>
      <w:pPr>
        <w:pStyle w:val="BodyText"/>
        <w:spacing w:line="290" w:lineRule="auto"/>
        <w:ind w:left="1133" w:right="1130" w:firstLine="420"/>
        <w:jc w:val="both"/>
      </w:pPr>
      <w:r>
        <w:rPr/>
        <w:t>如后附财务报表附注五、</w:t>
      </w:r>
      <w:r>
        <w:rPr>
          <w:rFonts w:ascii="Times New Roman" w:hAnsi="Times New Roman" w:cs="Times New Roman" w:eastAsia="Times New Roman" w:hint="default"/>
        </w:rPr>
        <w:t>43</w:t>
      </w:r>
      <w:r>
        <w:rPr>
          <w:rFonts w:ascii="Times New Roman" w:hAnsi="Times New Roman" w:cs="Times New Roman" w:eastAsia="Times New Roman" w:hint="default"/>
          <w:spacing w:val="-12"/>
        </w:rPr>
        <w:t> </w:t>
      </w:r>
      <w:r>
        <w:rPr/>
        <w:t>所示，中科创达公司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年度主营业务收入中的软件开发收入</w:t>
      </w:r>
      <w:r>
        <w:rPr>
          <w:spacing w:val="-55"/>
        </w:rPr>
        <w:t> </w:t>
      </w:r>
      <w:r>
        <w:rPr>
          <w:rFonts w:ascii="Times New Roman" w:hAnsi="Times New Roman" w:cs="Times New Roman" w:eastAsia="Times New Roman" w:hint="default"/>
        </w:rPr>
        <w:t>44,720.50</w:t>
      </w:r>
      <w:r>
        <w:rPr>
          <w:rFonts w:ascii="Times New Roman" w:hAnsi="Times New Roman" w:cs="Times New Roman" w:eastAsia="Times New Roman" w:hint="default"/>
          <w:spacing w:val="-1"/>
        </w:rPr>
        <w:t> </w:t>
      </w:r>
      <w:r>
        <w:rPr>
          <w:spacing w:val="-3"/>
        </w:rPr>
        <w:t>万元（合并财务报表口径，下同）占主营业务收入总额</w:t>
      </w:r>
      <w:r>
        <w:rPr>
          <w:spacing w:val="-57"/>
        </w:rPr>
        <w:t> </w:t>
      </w:r>
      <w:r>
        <w:rPr>
          <w:rFonts w:ascii="Times New Roman" w:hAnsi="Times New Roman" w:cs="Times New Roman" w:eastAsia="Times New Roman" w:hint="default"/>
        </w:rPr>
        <w:t>116,126.85</w:t>
      </w:r>
      <w:r>
        <w:rPr>
          <w:rFonts w:ascii="Times New Roman" w:hAnsi="Times New Roman" w:cs="Times New Roman" w:eastAsia="Times New Roman" w:hint="default"/>
          <w:spacing w:val="-14"/>
        </w:rPr>
        <w:t> </w:t>
      </w:r>
      <w:r>
        <w:rPr/>
        <w:t>万元的</w:t>
      </w:r>
      <w:r>
        <w:rPr>
          <w:spacing w:val="-59"/>
        </w:rPr>
        <w:t> </w:t>
      </w:r>
      <w:r>
        <w:rPr>
          <w:rFonts w:ascii="Times New Roman" w:hAnsi="Times New Roman" w:cs="Times New Roman" w:eastAsia="Times New Roman" w:hint="default"/>
        </w:rPr>
        <w:t>38.51%</w:t>
      </w:r>
      <w:r>
        <w:rPr/>
        <w:t>，中科创达公司对于软件 </w:t>
      </w:r>
      <w:r>
        <w:rPr>
          <w:spacing w:val="-1"/>
        </w:rPr>
        <w:t>开发业务在资产负债表日提供劳务交易的结果能够可靠估计的，采用完工百分比法确认收入，完工百分比</w:t>
      </w:r>
      <w:r>
        <w:rPr>
          <w:spacing w:val="-81"/>
        </w:rPr>
        <w:t> </w:t>
      </w:r>
      <w:r>
        <w:rPr>
          <w:spacing w:val="-81"/>
        </w:rPr>
      </w:r>
      <w:r>
        <w:rPr>
          <w:spacing w:val="-1"/>
        </w:rPr>
        <w:t>依据已经发生的成本占估计总成本的比例确定。管理层需要对软件开发业务的预计总收入和预计总成本作</w:t>
      </w:r>
      <w:r>
        <w:rPr>
          <w:spacing w:val="-81"/>
        </w:rPr>
        <w:t> </w:t>
      </w:r>
      <w:r>
        <w:rPr>
          <w:spacing w:val="-81"/>
        </w:rPr>
      </w:r>
      <w:r>
        <w:rPr>
          <w:spacing w:val="-1"/>
        </w:rPr>
        <w:t>出合理估计以确定完工进度，并应于合同执行过程中持续评估和修订，涉及管理层的重大会计估计，因此</w:t>
      </w:r>
      <w:r>
        <w:rPr>
          <w:spacing w:val="-83"/>
        </w:rPr>
        <w:t> </w:t>
      </w:r>
      <w:r>
        <w:rPr>
          <w:spacing w:val="-83"/>
        </w:rPr>
      </w:r>
      <w:r>
        <w:rPr/>
        <w:t>我们将其认定为关键审计事项。</w:t>
      </w:r>
    </w:p>
    <w:p>
      <w:pPr>
        <w:spacing w:line="240" w:lineRule="auto" w:before="4"/>
        <w:rPr>
          <w:rFonts w:ascii="宋体" w:hAnsi="宋体" w:cs="宋体" w:eastAsia="宋体" w:hint="default"/>
          <w:sz w:val="18"/>
          <w:szCs w:val="18"/>
        </w:rPr>
      </w:pPr>
    </w:p>
    <w:p>
      <w:pPr>
        <w:pStyle w:val="BodyText"/>
        <w:spacing w:line="460" w:lineRule="auto"/>
        <w:ind w:left="1553" w:right="4663"/>
        <w:jc w:val="left"/>
      </w:pPr>
      <w:r>
        <w:rPr>
          <w:rFonts w:ascii="Times New Roman" w:hAnsi="Times New Roman" w:cs="Times New Roman" w:eastAsia="Times New Roman" w:hint="default"/>
        </w:rPr>
        <w:t>2</w:t>
      </w:r>
      <w:r>
        <w:rPr/>
        <w:t>、审计应对 我们针对收入确认和计量问题执行的审计程序包括但不限于：</w:t>
      </w:r>
    </w:p>
    <w:p>
      <w:pPr>
        <w:pStyle w:val="BodyText"/>
        <w:spacing w:line="240" w:lineRule="auto" w:before="90"/>
        <w:ind w:left="1553" w:right="0"/>
        <w:jc w:val="left"/>
      </w:pPr>
      <w:r>
        <w:rPr/>
        <w:t>（</w:t>
      </w:r>
      <w:r>
        <w:rPr>
          <w:rFonts w:ascii="Times New Roman" w:hAnsi="Times New Roman" w:cs="Times New Roman" w:eastAsia="Times New Roman" w:hint="default"/>
        </w:rPr>
        <w:t>1</w:t>
      </w:r>
      <w:r>
        <w:rPr/>
        <w:t>）测试与软件开发业务预算编制和收入确认相关的关键内部控制；</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w:t>
      </w:r>
      <w:r>
        <w:rPr>
          <w:rFonts w:ascii="Times New Roman" w:hAnsi="Times New Roman" w:cs="Times New Roman" w:eastAsia="Times New Roman" w:hint="default"/>
        </w:rPr>
        <w:t>2</w:t>
      </w:r>
      <w:r>
        <w:rPr/>
        <w:t>）重新计算软件开发业务台账中的软件开发合同完工百分比，以验证其准确性；</w:t>
      </w:r>
    </w:p>
    <w:p>
      <w:pPr>
        <w:spacing w:line="240" w:lineRule="auto" w:before="7"/>
        <w:rPr>
          <w:rFonts w:ascii="宋体" w:hAnsi="宋体" w:cs="宋体" w:eastAsia="宋体" w:hint="default"/>
          <w:sz w:val="20"/>
          <w:szCs w:val="20"/>
        </w:rPr>
      </w:pPr>
    </w:p>
    <w:p>
      <w:pPr>
        <w:pStyle w:val="BodyText"/>
        <w:spacing w:line="280" w:lineRule="auto"/>
        <w:ind w:left="1134" w:right="0" w:firstLine="420"/>
        <w:jc w:val="left"/>
      </w:pPr>
      <w:r>
        <w:rPr/>
        <w:t>（</w:t>
      </w:r>
      <w:r>
        <w:rPr>
          <w:rFonts w:ascii="Times New Roman" w:hAnsi="Times New Roman" w:cs="Times New Roman" w:eastAsia="Times New Roman" w:hint="default"/>
        </w:rPr>
        <w:t>3</w:t>
      </w:r>
      <w:r>
        <w:rPr/>
        <w:t>）选取软件开发合同样本，检查管理层预计总收入和预计总成本所依据的软件开发合同和成本预 算资料，评价管理层所作估计是否合理、依据是否充分；</w:t>
      </w:r>
    </w:p>
    <w:p>
      <w:pPr>
        <w:spacing w:line="240" w:lineRule="auto" w:before="0"/>
        <w:rPr>
          <w:rFonts w:ascii="宋体" w:hAnsi="宋体" w:cs="宋体" w:eastAsia="宋体" w:hint="default"/>
          <w:sz w:val="19"/>
          <w:szCs w:val="19"/>
        </w:rPr>
      </w:pPr>
    </w:p>
    <w:p>
      <w:pPr>
        <w:pStyle w:val="BodyText"/>
        <w:spacing w:line="280" w:lineRule="auto"/>
        <w:ind w:left="1134" w:right="0" w:firstLine="420"/>
        <w:jc w:val="left"/>
      </w:pPr>
      <w:r>
        <w:rPr/>
        <w:t>（</w:t>
      </w:r>
      <w:r>
        <w:rPr>
          <w:rFonts w:ascii="Times New Roman" w:hAnsi="Times New Roman" w:cs="Times New Roman" w:eastAsia="Times New Roman" w:hint="default"/>
        </w:rPr>
        <w:t>4</w:t>
      </w:r>
      <w:r>
        <w:rPr/>
        <w:t>）选取样本对本年度已完工的软件开发合同测试预算成本与实际发生成本的差异，测试预算成本 估计的合理性；</w:t>
      </w:r>
    </w:p>
    <w:p>
      <w:pPr>
        <w:spacing w:line="240" w:lineRule="auto" w:before="0"/>
        <w:rPr>
          <w:rFonts w:ascii="宋体" w:hAnsi="宋体" w:cs="宋体" w:eastAsia="宋体" w:hint="default"/>
          <w:sz w:val="19"/>
          <w:szCs w:val="19"/>
        </w:rPr>
      </w:pPr>
    </w:p>
    <w:p>
      <w:pPr>
        <w:pStyle w:val="BodyText"/>
        <w:spacing w:line="240" w:lineRule="auto"/>
        <w:ind w:left="1553" w:right="0"/>
        <w:jc w:val="left"/>
      </w:pPr>
      <w:r>
        <w:rPr/>
        <w:t>（</w:t>
      </w:r>
      <w:r>
        <w:rPr>
          <w:rFonts w:ascii="Times New Roman" w:hAnsi="Times New Roman" w:cs="Times New Roman" w:eastAsia="Times New Roman" w:hint="default"/>
        </w:rPr>
        <w:t>5</w:t>
      </w:r>
      <w:r>
        <w:rPr/>
        <w:t>）选取样本检查软件开发成本归集的准确性；</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w:t>
      </w:r>
      <w:r>
        <w:rPr>
          <w:rFonts w:ascii="Times New Roman" w:hAnsi="Times New Roman" w:cs="Times New Roman" w:eastAsia="Times New Roman" w:hint="default"/>
        </w:rPr>
        <w:t>6</w:t>
      </w:r>
      <w:r>
        <w:rPr/>
        <w:t>）我们向管理层、治理层进行询问</w:t>
      </w:r>
      <w:r>
        <w:rPr>
          <w:spacing w:val="-23"/>
        </w:rPr>
        <w:t> </w:t>
      </w:r>
      <w:r>
        <w:rPr/>
        <w:t>，评价管理层诚信及舞弊风险。</w:t>
      </w:r>
    </w:p>
    <w:p>
      <w:pPr>
        <w:spacing w:line="240" w:lineRule="auto" w:before="6"/>
        <w:rPr>
          <w:rFonts w:ascii="宋体" w:hAnsi="宋体" w:cs="宋体" w:eastAsia="宋体" w:hint="default"/>
          <w:sz w:val="20"/>
          <w:szCs w:val="20"/>
        </w:rPr>
      </w:pPr>
    </w:p>
    <w:p>
      <w:pPr>
        <w:pStyle w:val="BodyText"/>
        <w:spacing w:line="240" w:lineRule="auto"/>
        <w:ind w:right="0"/>
        <w:jc w:val="left"/>
      </w:pPr>
      <w:r>
        <w:rPr/>
        <w:t>（二）或有对价公允价值的确认</w:t>
      </w:r>
    </w:p>
    <w:p>
      <w:pPr>
        <w:spacing w:line="240" w:lineRule="auto" w:before="10"/>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1</w:t>
      </w:r>
      <w:r>
        <w:rPr/>
        <w:t>、事项描述</w:t>
      </w:r>
    </w:p>
    <w:p>
      <w:pPr>
        <w:spacing w:line="240" w:lineRule="auto" w:before="6"/>
        <w:rPr>
          <w:rFonts w:ascii="宋体" w:hAnsi="宋体" w:cs="宋体" w:eastAsia="宋体" w:hint="default"/>
          <w:sz w:val="20"/>
          <w:szCs w:val="20"/>
        </w:rPr>
      </w:pPr>
    </w:p>
    <w:p>
      <w:pPr>
        <w:pStyle w:val="BodyText"/>
        <w:spacing w:line="285" w:lineRule="auto"/>
        <w:ind w:left="1134" w:right="1110" w:firstLine="420"/>
        <w:jc w:val="both"/>
      </w:pPr>
      <w:r>
        <w:rPr/>
        <w:t>如后附财务报表附注五、</w:t>
      </w:r>
      <w:r>
        <w:rPr>
          <w:rFonts w:ascii="Times New Roman" w:hAnsi="Times New Roman" w:cs="Times New Roman" w:eastAsia="Times New Roman" w:hint="default"/>
        </w:rPr>
        <w:t>22 </w:t>
      </w:r>
      <w:r>
        <w:rPr/>
        <w:t>所述，</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年收购北京爱普新思电子技术有限公司和北京慧驰科技有限 公司</w:t>
      </w:r>
      <w:r>
        <w:rPr>
          <w:spacing w:val="7"/>
        </w:rPr>
        <w:t> </w:t>
      </w:r>
      <w:r>
        <w:rPr>
          <w:rFonts w:ascii="Times New Roman" w:hAnsi="Times New Roman" w:cs="Times New Roman" w:eastAsia="Times New Roman" w:hint="default"/>
        </w:rPr>
        <w:t>100%</w:t>
      </w:r>
      <w:r>
        <w:rPr/>
        <w:t>股权，涉及或有对价。根据《企业会计准则》规定，对于除权益结算以外的或有对价可以划分 </w:t>
      </w:r>
      <w:r>
        <w:rPr>
          <w:spacing w:val="-2"/>
        </w:rPr>
        <w:t>为以公允价值计量且其变动计入当期损益的金融资产</w:t>
      </w:r>
      <w:r>
        <w:rPr>
          <w:rFonts w:ascii="Times New Roman" w:hAnsi="Times New Roman" w:cs="Times New Roman" w:eastAsia="Times New Roman" w:hint="default"/>
          <w:spacing w:val="-2"/>
        </w:rPr>
        <w:t>/</w:t>
      </w:r>
      <w:r>
        <w:rPr>
          <w:spacing w:val="-2"/>
        </w:rPr>
        <w:t>金融负债，其后续公允价值变动应计入当期损益。于</w:t>
      </w:r>
      <w:r>
        <w:rPr>
          <w:spacing w:val="-93"/>
        </w:rPr>
        <w:t> </w:t>
      </w:r>
      <w:r>
        <w:rPr>
          <w:spacing w:val="-93"/>
        </w:rPr>
      </w:r>
      <w:r>
        <w:rPr/>
        <w:t>资产负债表日对收购北京爱普新思电子技术有限公司和北京慧驰科技有限公司的或有对价进行重新评估， 根据评估报告确认公允价值变动收益</w:t>
      </w:r>
      <w:r>
        <w:rPr>
          <w:spacing w:val="-52"/>
        </w:rPr>
        <w:t> </w:t>
      </w:r>
      <w:r>
        <w:rPr>
          <w:rFonts w:ascii="Times New Roman" w:hAnsi="Times New Roman" w:cs="Times New Roman" w:eastAsia="Times New Roman" w:hint="default"/>
        </w:rPr>
        <w:t>1,791.89</w:t>
      </w:r>
      <w:r>
        <w:rPr>
          <w:rFonts w:ascii="Times New Roman" w:hAnsi="Times New Roman" w:cs="Times New Roman" w:eastAsia="Times New Roman" w:hint="default"/>
          <w:spacing w:val="-11"/>
        </w:rPr>
        <w:t> </w:t>
      </w:r>
      <w:r>
        <w:rPr/>
        <w:t>万元。</w:t>
      </w:r>
    </w:p>
    <w:p>
      <w:pPr>
        <w:spacing w:line="240" w:lineRule="auto" w:before="1"/>
        <w:rPr>
          <w:rFonts w:ascii="宋体" w:hAnsi="宋体" w:cs="宋体" w:eastAsia="宋体" w:hint="default"/>
          <w:sz w:val="17"/>
          <w:szCs w:val="17"/>
        </w:rPr>
      </w:pPr>
    </w:p>
    <w:p>
      <w:pPr>
        <w:pStyle w:val="BodyText"/>
        <w:spacing w:line="240" w:lineRule="auto"/>
        <w:ind w:left="1553" w:right="0"/>
        <w:jc w:val="left"/>
      </w:pPr>
      <w:r>
        <w:rPr/>
        <w:t>由于或有对价的确认涉及管理层的重大会计估计，因此我们将其认定为关键审计事项。</w:t>
      </w:r>
    </w:p>
    <w:p>
      <w:pPr>
        <w:spacing w:line="240" w:lineRule="auto" w:before="10"/>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2</w:t>
      </w:r>
      <w:r>
        <w:rPr/>
        <w:t>、审计应对</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w:t>
      </w:r>
      <w:r>
        <w:rPr>
          <w:rFonts w:ascii="Times New Roman" w:hAnsi="Times New Roman" w:cs="Times New Roman" w:eastAsia="Times New Roman" w:hint="default"/>
        </w:rPr>
        <w:t>1</w:t>
      </w:r>
      <w:r>
        <w:rPr/>
        <w:t>）复核管理层对资产负债表日或有对价相应的会计处理是否符合企业会计准则的规定；</w:t>
      </w:r>
    </w:p>
    <w:p>
      <w:pPr>
        <w:spacing w:line="240" w:lineRule="auto" w:before="6"/>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2</w:t>
      </w:r>
      <w:r>
        <w:rPr/>
        <w:t>）与管理层聘任的评估专家进行访谈，对其独立性和胜任能力进行评价；</w:t>
      </w:r>
    </w:p>
    <w:p>
      <w:pPr>
        <w:spacing w:line="240" w:lineRule="auto" w:before="7"/>
        <w:rPr>
          <w:rFonts w:ascii="宋体" w:hAnsi="宋体" w:cs="宋体" w:eastAsia="宋体" w:hint="default"/>
          <w:sz w:val="20"/>
          <w:szCs w:val="20"/>
        </w:rPr>
      </w:pPr>
    </w:p>
    <w:p>
      <w:pPr>
        <w:pStyle w:val="BodyText"/>
        <w:spacing w:line="280" w:lineRule="auto"/>
        <w:ind w:left="1134" w:right="0" w:firstLine="420"/>
        <w:jc w:val="left"/>
      </w:pPr>
      <w:r>
        <w:rPr/>
        <w:t>（</w:t>
      </w:r>
      <w:r>
        <w:rPr>
          <w:rFonts w:ascii="Times New Roman" w:hAnsi="Times New Roman" w:cs="Times New Roman" w:eastAsia="Times New Roman" w:hint="default"/>
        </w:rPr>
        <w:t>3</w:t>
      </w:r>
      <w:r>
        <w:rPr/>
        <w:t>）复核管理层及其评估专家在评估资产负债表日或有对价的公允价值时运用的模型的适当性，基 本假设、重大估计及判断的合理性；</w:t>
      </w:r>
    </w:p>
    <w:p>
      <w:pPr>
        <w:spacing w:after="0" w:line="28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553" w:right="0"/>
        <w:jc w:val="left"/>
      </w:pPr>
      <w:r>
        <w:rPr/>
        <w:t>（</w:t>
      </w:r>
      <w:r>
        <w:rPr>
          <w:rFonts w:ascii="Times New Roman" w:hAnsi="Times New Roman" w:cs="Times New Roman" w:eastAsia="Times New Roman" w:hint="default"/>
        </w:rPr>
        <w:t>4</w:t>
      </w:r>
      <w:r>
        <w:rPr/>
        <w:t>）复核财务报告中或有对价相关披露的充分性。</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r>
        <w:rPr>
          <w:rFonts w:ascii="微软雅黑" w:hAnsi="微软雅黑" w:cs="微软雅黑" w:eastAsia="微软雅黑" w:hint="default"/>
        </w:rPr>
        <w:t>四、其他信息</w:t>
      </w:r>
    </w:p>
    <w:p>
      <w:pPr>
        <w:spacing w:line="240" w:lineRule="auto" w:before="7"/>
        <w:rPr>
          <w:rFonts w:ascii="微软雅黑" w:hAnsi="微软雅黑" w:cs="微软雅黑" w:eastAsia="微软雅黑" w:hint="default"/>
          <w:sz w:val="23"/>
          <w:szCs w:val="23"/>
        </w:rPr>
      </w:pPr>
    </w:p>
    <w:p>
      <w:pPr>
        <w:pStyle w:val="BodyText"/>
        <w:spacing w:line="280" w:lineRule="auto"/>
        <w:ind w:left="1133" w:right="1120" w:firstLine="420"/>
        <w:jc w:val="left"/>
      </w:pPr>
      <w:r>
        <w:rPr/>
        <w:t>中科创达公司管理层（以下简称管理层）对其他信息负责。其他信息包括</w:t>
      </w:r>
      <w:r>
        <w:rPr>
          <w:spacing w:val="-35"/>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年年度报告中涵 盖的信息，但不包括财务报表和我们的审计报告。我们在审计报告日前已经获取</w:t>
      </w:r>
      <w:r>
        <w:rPr>
          <w:spacing w:val="-52"/>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年年度报告。</w:t>
      </w:r>
    </w:p>
    <w:p>
      <w:pPr>
        <w:pStyle w:val="BodyText"/>
        <w:spacing w:line="560" w:lineRule="exact" w:before="25"/>
        <w:ind w:left="1553" w:right="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257" w:lineRule="exact"/>
        <w:ind w:left="1133" w:right="0"/>
        <w:jc w:val="left"/>
      </w:pPr>
      <w:r>
        <w:rPr/>
        <w:t>表或我们在审计过程中了解到的情况存在重大不一致或者似乎存在重大错报。</w:t>
      </w:r>
    </w:p>
    <w:p>
      <w:pPr>
        <w:spacing w:line="240" w:lineRule="auto" w:before="10"/>
        <w:rPr>
          <w:rFonts w:ascii="宋体" w:hAnsi="宋体" w:cs="宋体" w:eastAsia="宋体" w:hint="default"/>
          <w:sz w:val="21"/>
          <w:szCs w:val="21"/>
        </w:rPr>
      </w:pPr>
    </w:p>
    <w:p>
      <w:pPr>
        <w:pStyle w:val="BodyText"/>
        <w:spacing w:line="297" w:lineRule="auto"/>
        <w:ind w:left="1133" w:right="0" w:firstLine="420"/>
        <w:jc w:val="left"/>
      </w:pPr>
      <w:r>
        <w:rPr>
          <w:spacing w:val="-1"/>
        </w:rPr>
        <w:t>基于我们已执行的工作，如果我们确定其他信息存在重大错报，我们应当报告该事实。在这方面，我</w:t>
      </w:r>
      <w:r>
        <w:rPr/>
        <w:t> 们无任何事项需要报告。</w:t>
      </w:r>
    </w:p>
    <w:p>
      <w:pPr>
        <w:spacing w:line="240" w:lineRule="auto" w:before="4"/>
        <w:rPr>
          <w:rFonts w:ascii="宋体" w:hAnsi="宋体" w:cs="宋体" w:eastAsia="宋体" w:hint="default"/>
          <w:sz w:val="17"/>
          <w:szCs w:val="17"/>
        </w:rPr>
      </w:pPr>
    </w:p>
    <w:p>
      <w:pPr>
        <w:pStyle w:val="BodyText"/>
        <w:spacing w:line="240" w:lineRule="auto"/>
        <w:ind w:left="1553" w:right="0"/>
        <w:jc w:val="left"/>
        <w:rPr>
          <w:rFonts w:ascii="微软雅黑" w:hAnsi="微软雅黑" w:cs="微软雅黑" w:eastAsia="微软雅黑" w:hint="default"/>
        </w:rPr>
      </w:pPr>
      <w:r>
        <w:rPr>
          <w:rFonts w:ascii="微软雅黑" w:hAnsi="微软雅黑" w:cs="微软雅黑" w:eastAsia="微软雅黑" w:hint="default"/>
        </w:rPr>
        <w:t>五、管理层和治理层对财务报表的责任</w:t>
      </w:r>
    </w:p>
    <w:p>
      <w:pPr>
        <w:spacing w:line="240" w:lineRule="auto" w:before="6"/>
        <w:rPr>
          <w:rFonts w:ascii="微软雅黑" w:hAnsi="微软雅黑" w:cs="微软雅黑" w:eastAsia="微软雅黑" w:hint="default"/>
          <w:sz w:val="23"/>
          <w:szCs w:val="23"/>
        </w:rPr>
      </w:pPr>
    </w:p>
    <w:p>
      <w:pPr>
        <w:pStyle w:val="BodyText"/>
        <w:spacing w:line="297" w:lineRule="auto"/>
        <w:ind w:left="1134" w:right="0" w:firstLine="420"/>
        <w:jc w:val="left"/>
      </w:pPr>
      <w:r>
        <w:rPr>
          <w:spacing w:val="-1"/>
        </w:rPr>
        <w:t>中科创达公司管理层（以下简称管理层）负责按照企业会计准则的规定编制财务报表，使其实现公允</w:t>
      </w:r>
      <w:r>
        <w:rPr/>
        <w:t> 反映，并设计、执行和维护必要的内部控制，以使财务报表不存在由于舞弊或错误导致的重大错报。</w:t>
      </w:r>
    </w:p>
    <w:p>
      <w:pPr>
        <w:spacing w:line="240" w:lineRule="auto" w:before="12"/>
        <w:rPr>
          <w:rFonts w:ascii="宋体" w:hAnsi="宋体" w:cs="宋体" w:eastAsia="宋体" w:hint="default"/>
          <w:sz w:val="17"/>
          <w:szCs w:val="17"/>
        </w:rPr>
      </w:pPr>
    </w:p>
    <w:p>
      <w:pPr>
        <w:pStyle w:val="BodyText"/>
        <w:spacing w:line="297" w:lineRule="auto"/>
        <w:ind w:left="1133" w:right="0" w:firstLine="420"/>
        <w:jc w:val="left"/>
      </w:pPr>
      <w:r>
        <w:rPr>
          <w:spacing w:val="-1"/>
        </w:rPr>
        <w:t>在编制财务报表时，管理层负责评估中科创达公司的持续经营能力，披露与持续经营相关的事项，并</w:t>
      </w:r>
      <w:r>
        <w:rPr/>
        <w:t> 运用持续经营假设，除非管理层计划清算中科创达公司、终止运营或别无其他现实的选择。</w:t>
      </w:r>
    </w:p>
    <w:p>
      <w:pPr>
        <w:spacing w:line="240" w:lineRule="auto" w:before="12"/>
        <w:rPr>
          <w:rFonts w:ascii="宋体" w:hAnsi="宋体" w:cs="宋体" w:eastAsia="宋体" w:hint="default"/>
          <w:sz w:val="17"/>
          <w:szCs w:val="17"/>
        </w:rPr>
      </w:pPr>
    </w:p>
    <w:p>
      <w:pPr>
        <w:pStyle w:val="BodyText"/>
        <w:spacing w:line="240" w:lineRule="auto"/>
        <w:ind w:left="1553" w:right="0"/>
        <w:jc w:val="left"/>
      </w:pPr>
      <w:r>
        <w:rPr/>
        <w:t>治理层负责监督中科创达公司的财务报告过程。</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r>
        <w:rPr>
          <w:rFonts w:ascii="微软雅黑" w:hAnsi="微软雅黑" w:cs="微软雅黑" w:eastAsia="微软雅黑" w:hint="default"/>
        </w:rPr>
        <w:t>六、注册会计师对财务报表审计的责任</w:t>
      </w:r>
    </w:p>
    <w:p>
      <w:pPr>
        <w:spacing w:line="240" w:lineRule="auto" w:before="6"/>
        <w:rPr>
          <w:rFonts w:ascii="微软雅黑" w:hAnsi="微软雅黑" w:cs="微软雅黑" w:eastAsia="微软雅黑" w:hint="default"/>
          <w:sz w:val="23"/>
          <w:szCs w:val="23"/>
        </w:rPr>
      </w:pPr>
    </w:p>
    <w:p>
      <w:pPr>
        <w:pStyle w:val="BodyText"/>
        <w:spacing w:line="297" w:lineRule="auto"/>
        <w:ind w:left="1134" w:right="1130"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0"/>
        </w:rPr>
        <w:t> </w:t>
      </w:r>
      <w:r>
        <w:rPr>
          <w:spacing w:val="-80"/>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spacing w:line="240" w:lineRule="auto" w:before="12"/>
        <w:rPr>
          <w:rFonts w:ascii="宋体" w:hAnsi="宋体" w:cs="宋体" w:eastAsia="宋体" w:hint="default"/>
          <w:sz w:val="17"/>
          <w:szCs w:val="17"/>
        </w:rPr>
      </w:pPr>
    </w:p>
    <w:p>
      <w:pPr>
        <w:pStyle w:val="BodyText"/>
        <w:spacing w:line="297" w:lineRule="auto"/>
        <w:ind w:left="1133" w:right="1116" w:firstLine="420"/>
        <w:jc w:val="left"/>
      </w:pPr>
      <w:r>
        <w:rPr>
          <w:spacing w:val="-1"/>
        </w:rPr>
        <w:t>在按照审计准则执行审计工作的过程中，我们运用职业判断，并保持职业怀疑。同时，我们也执行以</w:t>
      </w:r>
      <w:r>
        <w:rPr/>
        <w:t> 下工作：</w:t>
      </w:r>
    </w:p>
    <w:p>
      <w:pPr>
        <w:spacing w:line="240" w:lineRule="auto" w:before="12"/>
        <w:rPr>
          <w:rFonts w:ascii="宋体" w:hAnsi="宋体" w:cs="宋体" w:eastAsia="宋体" w:hint="default"/>
          <w:sz w:val="17"/>
          <w:szCs w:val="17"/>
        </w:rPr>
      </w:pPr>
    </w:p>
    <w:p>
      <w:pPr>
        <w:pStyle w:val="BodyText"/>
        <w:spacing w:line="292" w:lineRule="auto"/>
        <w:ind w:left="1134" w:right="1023" w:firstLine="42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spacing w:line="240" w:lineRule="auto" w:before="2"/>
        <w:rPr>
          <w:rFonts w:ascii="宋体" w:hAnsi="宋体" w:cs="宋体" w:eastAsia="宋体" w:hint="default"/>
          <w:sz w:val="18"/>
          <w:szCs w:val="18"/>
        </w:rPr>
      </w:pPr>
    </w:p>
    <w:p>
      <w:pPr>
        <w:pStyle w:val="BodyText"/>
        <w:spacing w:line="240" w:lineRule="auto"/>
        <w:ind w:left="1553" w:right="0"/>
        <w:jc w:val="left"/>
      </w:pPr>
      <w:r>
        <w:rPr/>
        <w:t>（</w:t>
      </w:r>
      <w:r>
        <w:rPr>
          <w:rFonts w:ascii="Times New Roman" w:hAnsi="Times New Roman" w:cs="Times New Roman" w:eastAsia="Times New Roman" w:hint="default"/>
        </w:rPr>
        <w:t>2</w:t>
      </w:r>
      <w:r>
        <w:rPr/>
        <w:t>）了解与审计相关的内部控制，以设计恰当的审计程序。</w:t>
      </w:r>
    </w:p>
    <w:p>
      <w:pPr>
        <w:spacing w:line="240" w:lineRule="auto" w:before="6"/>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7"/>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）对管理层使用持续经营假设的恰当性得出结论。同时，根据获取的审计证据，就可能导致对中</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3" w:right="1130"/>
        <w:jc w:val="both"/>
      </w:pPr>
      <w:r>
        <w:rPr>
          <w:spacing w:val="-1"/>
        </w:rPr>
        <w:t>科创达公司持续经营能力产生重大疑虑的事项或情况是否存在重大不确定性得出结论。如果我们得出结论</w:t>
      </w:r>
      <w:r>
        <w:rPr>
          <w:spacing w:val="-81"/>
        </w:rPr>
        <w:t> </w:t>
      </w:r>
      <w:r>
        <w:rPr>
          <w:spacing w:val="-81"/>
        </w:rPr>
      </w:r>
      <w:r>
        <w:rPr>
          <w:spacing w:val="-1"/>
        </w:rPr>
        <w:t>认为存在重大不确定性，审计准则要求我们在审计报告中提请报表使用者注意财务报表中的相关披露；如</w:t>
      </w:r>
      <w:r>
        <w:rPr>
          <w:spacing w:val="-80"/>
        </w:rPr>
        <w:t> </w:t>
      </w:r>
      <w:r>
        <w:rPr>
          <w:spacing w:val="-80"/>
        </w:rPr>
      </w:r>
      <w:r>
        <w:rPr>
          <w:spacing w:val="-1"/>
        </w:rPr>
        <w:t>果披露不充分，我们应当发表非无保留意见。我们的结论基于截至审计报告日可获得的信息。然而，未来</w:t>
      </w:r>
      <w:r>
        <w:rPr>
          <w:spacing w:val="-85"/>
        </w:rPr>
        <w:t> </w:t>
      </w:r>
      <w:r>
        <w:rPr>
          <w:spacing w:val="-85"/>
        </w:rPr>
      </w:r>
      <w:r>
        <w:rPr/>
        <w:t>的事项或情况可能导致中科创达公司不能持续经营。</w:t>
      </w:r>
    </w:p>
    <w:p>
      <w:pPr>
        <w:spacing w:line="240" w:lineRule="auto" w:before="11"/>
        <w:rPr>
          <w:rFonts w:ascii="宋体" w:hAnsi="宋体" w:cs="宋体" w:eastAsia="宋体" w:hint="default"/>
          <w:sz w:val="17"/>
          <w:szCs w:val="17"/>
        </w:rPr>
      </w:pPr>
    </w:p>
    <w:p>
      <w:pPr>
        <w:pStyle w:val="BodyText"/>
        <w:spacing w:line="280" w:lineRule="auto"/>
        <w:ind w:left="1134" w:right="1135" w:firstLine="420"/>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 和事项。</w:t>
      </w:r>
    </w:p>
    <w:p>
      <w:pPr>
        <w:spacing w:line="240" w:lineRule="auto" w:before="12"/>
        <w:rPr>
          <w:rFonts w:ascii="宋体" w:hAnsi="宋体" w:cs="宋体" w:eastAsia="宋体" w:hint="default"/>
          <w:sz w:val="18"/>
          <w:szCs w:val="18"/>
        </w:rPr>
      </w:pPr>
    </w:p>
    <w:p>
      <w:pPr>
        <w:pStyle w:val="BodyText"/>
        <w:spacing w:line="280" w:lineRule="auto"/>
        <w:ind w:left="1134" w:right="1141" w:firstLine="420"/>
        <w:jc w:val="both"/>
      </w:pPr>
      <w:r>
        <w:rPr/>
        <w:t>（</w:t>
      </w:r>
      <w:r>
        <w:rPr>
          <w:rFonts w:ascii="Times New Roman" w:hAnsi="Times New Roman" w:cs="Times New Roman" w:eastAsia="Times New Roman" w:hint="default"/>
        </w:rPr>
        <w:t>6</w:t>
      </w:r>
      <w:r>
        <w:rPr/>
        <w:t>）就中科创达公司中实体或业务活动的财务信息获取充分、适当的审计证据，以对财务报表发表 意见。我们负责指导、监督和执行集团审计，并对审计意见承担全部责任。</w:t>
      </w:r>
    </w:p>
    <w:p>
      <w:pPr>
        <w:spacing w:line="240" w:lineRule="auto" w:before="0"/>
        <w:rPr>
          <w:rFonts w:ascii="宋体" w:hAnsi="宋体" w:cs="宋体" w:eastAsia="宋体" w:hint="default"/>
          <w:sz w:val="19"/>
          <w:szCs w:val="19"/>
        </w:rPr>
      </w:pPr>
    </w:p>
    <w:p>
      <w:pPr>
        <w:pStyle w:val="BodyText"/>
        <w:spacing w:line="297" w:lineRule="auto"/>
        <w:ind w:left="1134"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spacing w:line="240" w:lineRule="auto" w:before="12"/>
        <w:rPr>
          <w:rFonts w:ascii="宋体" w:hAnsi="宋体" w:cs="宋体" w:eastAsia="宋体" w:hint="default"/>
          <w:sz w:val="17"/>
          <w:szCs w:val="17"/>
        </w:rPr>
      </w:pPr>
    </w:p>
    <w:p>
      <w:pPr>
        <w:pStyle w:val="BodyText"/>
        <w:spacing w:line="297" w:lineRule="auto"/>
        <w:ind w:left="1134" w:right="1131"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w:t>
      </w:r>
    </w:p>
    <w:p>
      <w:pPr>
        <w:spacing w:line="240" w:lineRule="auto" w:before="12"/>
        <w:rPr>
          <w:rFonts w:ascii="宋体" w:hAnsi="宋体" w:cs="宋体" w:eastAsia="宋体" w:hint="default"/>
          <w:sz w:val="17"/>
          <w:szCs w:val="17"/>
        </w:rPr>
      </w:pPr>
    </w:p>
    <w:p>
      <w:pPr>
        <w:pStyle w:val="BodyText"/>
        <w:spacing w:line="297" w:lineRule="auto"/>
        <w:ind w:left="1134"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4"/>
        <w:rPr>
          <w:rFonts w:ascii="宋体" w:hAnsi="宋体" w:cs="宋体" w:eastAsia="宋体" w:hint="default"/>
          <w:sz w:val="23"/>
          <w:szCs w:val="23"/>
        </w:rPr>
      </w:pPr>
    </w:p>
    <w:p>
      <w:pPr>
        <w:pStyle w:val="Heading2"/>
        <w:spacing w:line="240" w:lineRule="auto"/>
        <w:ind w:right="0"/>
        <w:jc w:val="both"/>
      </w:pPr>
      <w:bookmarkStart w:name="二、财务报表" w:id="158"/>
      <w:bookmarkEnd w:id="158"/>
      <w:r>
        <w:rPr/>
      </w:r>
      <w:r>
        <w:rPr/>
        <w:t>二、财务报表</w:t>
      </w:r>
    </w:p>
    <w:p>
      <w:pPr>
        <w:spacing w:line="240" w:lineRule="auto" w:before="12"/>
        <w:rPr>
          <w:rFonts w:ascii="微软雅黑" w:hAnsi="微软雅黑" w:cs="微软雅黑" w:eastAsia="微软雅黑" w:hint="default"/>
          <w:sz w:val="27"/>
          <w:szCs w:val="27"/>
        </w:rPr>
      </w:pPr>
    </w:p>
    <w:p>
      <w:pPr>
        <w:pStyle w:val="BodyText"/>
        <w:spacing w:line="240" w:lineRule="auto"/>
        <w:ind w:right="0"/>
        <w:jc w:val="left"/>
      </w:pPr>
      <w:r>
        <w:rPr/>
        <w:t>财务附注中报表的单位为：人民币元</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1、合并资产负债表" w:id="159"/>
      <w:bookmarkEnd w:id="159"/>
      <w:r>
        <w:rPr/>
      </w:r>
      <w:r>
        <w:rPr>
          <w:rFonts w:ascii="Times New Roman" w:hAnsi="Times New Roman" w:cs="Times New Roman" w:eastAsia="Times New Roman" w:hint="default"/>
        </w:rPr>
        <w:t>1</w:t>
      </w:r>
      <w:r>
        <w:rPr>
          <w:rFonts w:ascii="微软雅黑" w:hAnsi="微软雅黑" w:cs="微软雅黑" w:eastAsia="微软雅黑" w:hint="default"/>
        </w:rPr>
        <w:t>、合并资产负债表</w:t>
      </w:r>
    </w:p>
    <w:p>
      <w:pPr>
        <w:spacing w:line="240" w:lineRule="auto" w:before="8"/>
        <w:rPr>
          <w:rFonts w:ascii="微软雅黑" w:hAnsi="微软雅黑" w:cs="微软雅黑" w:eastAsia="微软雅黑" w:hint="default"/>
          <w:sz w:val="17"/>
          <w:szCs w:val="17"/>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编制单位：中科创达软件股份有限公司</w:t>
      </w:r>
    </w:p>
    <w:p>
      <w:pPr>
        <w:spacing w:before="59"/>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38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5"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1,274,602,996.80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1,126,710,415.50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2,466,088.51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3,543,536.03</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405,667,009.02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335,226,251.87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38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9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42,129,448.70</w:t>
            </w:r>
          </w:p>
        </w:tc>
        <w:tc>
          <w:tcPr>
            <w:tcW w:w="340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8,647,668.05</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5,715,386.44</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11,275,330.75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8,555,376.72</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8,463,149.40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16,708,781.83</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52,452,923.93</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6,634,979.76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5,446,979.60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7,311,856.47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5,090,335.69</w:t>
            </w: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1,816,719,169.78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1,509,929,345.29</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151,891,508.11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93,127,919.06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50,814,287.58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19,124,332.31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47,975,653.30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104,624,388.86</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75,179,755.20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73,364,749.74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236,581,271.33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28,227,300.22</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2,239,183.37</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239,422,345.36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29,784,127.69</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8,489,086.53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7,245,101.41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8,992,223.20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7,780,527.67</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21,565,256.37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31,049,401.95</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840,911,386.98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396,567,032.28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38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9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2,657,630,556.76</w:t>
            </w:r>
          </w:p>
        </w:tc>
        <w:tc>
          <w:tcPr>
            <w:tcW w:w="340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1,906,496,377.57</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666,543,140.00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349,045,488.00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41,445,871.46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45,292,000.00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92,929,165.27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16,342,492.26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18,750,149.47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13,262,967.23</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46,691,287.48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47,574,234.55</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21,393,277.83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18,235,981.46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391,748.90</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1,237,338.30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1,346,822.49</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209,779,923.24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275,638,056.41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3,360,378.28</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10,982,646.41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2,838,908.34</w:t>
            </w: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1,113,504,926.64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769,576,950.74</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166,006,416.18</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6,840,738.68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6,567,325.11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38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99" w:type="dxa"/>
            <w:tcBorders>
              <w:top w:val="single" w:sz="12" w:space="0" w:color="D2D2D2"/>
              <w:left w:val="single" w:sz="4" w:space="0" w:color="000000"/>
              <w:bottom w:val="single" w:sz="4" w:space="0" w:color="000000"/>
              <w:right w:val="single" w:sz="4" w:space="0" w:color="000000"/>
            </w:tcBorders>
          </w:tcPr>
          <w:p>
            <w:pPr/>
          </w:p>
        </w:tc>
        <w:tc>
          <w:tcPr>
            <w:tcW w:w="3401" w:type="dxa"/>
            <w:tcBorders>
              <w:top w:val="single" w:sz="12" w:space="0" w:color="D2D2D2"/>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500,000.00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500,000.00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22,574,240.04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16,956,229.46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41,491,674.39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1,588,522.38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237,413,069.29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25,612,076.95</w:t>
            </w: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1,350,917,995.93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795,189,027.69</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403,878,622.00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403,059,644.00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384,344.40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384,344.40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630,783,455.92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618,814,990.37</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182,388,017.67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265,017,689.99</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3,258,823.01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-871,839.05</w:t>
            </w:r>
            <w:r>
              <w:rPr>
                <w:rFonts w:ascii="Times New Roman"/>
                <w:sz w:val="18"/>
              </w:rPr>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54,432,581.15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48,530,257.74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342,328,045.64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298,062,242.14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1,252,677,854.45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1,102,961,949.61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54,034,706.38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8,345,400.27</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1,306,712,560.83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2"/>
                <w:sz w:val="18"/>
              </w:rPr>
              <w:t>1,111,307,349.88</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2,657,630,556.76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1,906,496,377.57</w:t>
            </w:r>
          </w:p>
        </w:tc>
      </w:tr>
    </w:tbl>
    <w:p>
      <w:pPr>
        <w:spacing w:line="240" w:lineRule="auto" w:before="3"/>
        <w:rPr>
          <w:rFonts w:ascii="Times New Roman" w:hAnsi="Times New Roman" w:cs="Times New Roman" w:eastAsia="Times New Roman" w:hint="default"/>
          <w:sz w:val="23"/>
          <w:szCs w:val="23"/>
        </w:rPr>
      </w:pPr>
    </w:p>
    <w:p>
      <w:pPr>
        <w:tabs>
          <w:tab w:pos="4554" w:val="left" w:leader="none"/>
          <w:tab w:pos="8695" w:val="left" w:leader="none"/>
        </w:tabs>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法定代表人：赵鸿飞</w:t>
        <w:tab/>
        <w:t>主管会计工作负责人：冯娟鹃</w:t>
        <w:tab/>
        <w:t>会计机构负责人：马晓培</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pStyle w:val="BodyText"/>
        <w:spacing w:line="240" w:lineRule="auto" w:before="131"/>
        <w:ind w:left="1553" w:right="0"/>
        <w:jc w:val="left"/>
        <w:rPr>
          <w:rFonts w:ascii="微软雅黑" w:hAnsi="微软雅黑" w:cs="微软雅黑" w:eastAsia="微软雅黑" w:hint="default"/>
        </w:rPr>
      </w:pPr>
      <w:bookmarkStart w:name="2、母公司资产负债表" w:id="160"/>
      <w:bookmarkEnd w:id="160"/>
      <w:r>
        <w:rPr/>
      </w:r>
      <w:r>
        <w:rPr>
          <w:rFonts w:ascii="Times New Roman" w:hAnsi="Times New Roman" w:cs="Times New Roman" w:eastAsia="Times New Roman" w:hint="default"/>
        </w:rPr>
        <w:t>2</w:t>
      </w:r>
      <w:r>
        <w:rPr>
          <w:rFonts w:ascii="微软雅黑" w:hAnsi="微软雅黑" w:cs="微软雅黑" w:eastAsia="微软雅黑" w:hint="default"/>
        </w:rPr>
        <w:t>、母公司资产负债表</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40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693,065,895.75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994,929,746.87</w:t>
            </w:r>
          </w:p>
        </w:tc>
      </w:tr>
      <w:tr>
        <w:trPr>
          <w:trHeight w:val="71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377,739,643.67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354,854,848.20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32,547,886.55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26,328,043.45</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5,715,386.44</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35,857,390.45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30,772,382.90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46,310.46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43,050.23</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5,217,300.00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4,163,939.96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3,389,245.87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464,415.72</w:t>
            </w: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1,153,579,059.19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1,411,556,427.33</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72,531,228.00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19,598,691.00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4,938,654.57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8,765,664.71</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677,525,571.50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327,527,134.21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4,046,130.24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6,220,378.26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17,185,051.06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6,835,636.87</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2,209,715.01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779,919.14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1,197,091.78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5,441,071.80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4,251,677.20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15,713,531.37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16,435,801.95</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798,161,157.68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393,041,790.99</w:t>
            </w: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1,951,740,216.87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1,804,598,218.32</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351,246,360.00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283,005,248.00</w:t>
            </w:r>
          </w:p>
        </w:tc>
      </w:tr>
      <w:tr>
        <w:trPr>
          <w:trHeight w:val="71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35,301,716.26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45,292,000.00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86,565,537.00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67,949,885.51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5,944,328.48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1,844,242.47</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13,005,077.04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21,296,872.56</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9,808,477.81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6,808,784.06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1,237,338.30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1,346,822.49</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194,626,139.12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270,676,914.62</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1,550,808.26</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697,734,974.01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699,771,577.97</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18,000,000.00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15,420,000.00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18,000,000.00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15,420,000.00</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715,734,974.01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715,191,577.97</w:t>
            </w:r>
          </w:p>
        </w:tc>
      </w:tr>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403,878,622.00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403,059,644.00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626,790,277.26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594,787,384.84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182,388,017.67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265,017,689.99</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54,432,581.15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48,530,257.74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333,291,780.12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308,047,043.76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1,236,005,242.86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1,089,406,640.35</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1,951,740,216.87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1,804,598,218.32</w:t>
            </w:r>
          </w:p>
        </w:tc>
      </w:tr>
    </w:tbl>
    <w:p>
      <w:pPr>
        <w:spacing w:line="240" w:lineRule="auto" w:before="3"/>
        <w:rPr>
          <w:rFonts w:ascii="Times New Roman" w:hAnsi="Times New Roman" w:cs="Times New Roman" w:eastAsia="Times New Roman" w:hint="default"/>
          <w:sz w:val="13"/>
          <w:szCs w:val="13"/>
        </w:rPr>
      </w:pPr>
    </w:p>
    <w:p>
      <w:pPr>
        <w:pStyle w:val="BodyText"/>
        <w:spacing w:line="324" w:lineRule="exact"/>
        <w:ind w:right="0"/>
        <w:jc w:val="left"/>
        <w:rPr>
          <w:rFonts w:ascii="微软雅黑" w:hAnsi="微软雅黑" w:cs="微软雅黑" w:eastAsia="微软雅黑" w:hint="default"/>
        </w:rPr>
      </w:pPr>
      <w:bookmarkStart w:name="3、合并利润表" w:id="161"/>
      <w:bookmarkEnd w:id="161"/>
      <w:r>
        <w:rPr/>
      </w:r>
      <w:r>
        <w:rPr>
          <w:rFonts w:ascii="Times New Roman" w:hAnsi="Times New Roman" w:cs="Times New Roman" w:eastAsia="Times New Roman" w:hint="default"/>
        </w:rPr>
        <w:t>3</w:t>
      </w:r>
      <w:r>
        <w:rPr>
          <w:rFonts w:ascii="微软雅黑" w:hAnsi="微软雅黑" w:cs="微软雅黑" w:eastAsia="微软雅黑" w:hint="default"/>
        </w:rPr>
        <w:t>、合并利润表</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173"/>
        <w:gridCol w:w="3306"/>
        <w:gridCol w:w="3376"/>
      </w:tblGrid>
      <w:tr>
        <w:trPr>
          <w:trHeight w:val="38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7"/>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337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8"/>
                <w:szCs w:val="18"/>
              </w:rPr>
            </w:pPr>
            <w:r>
              <w:rPr>
                <w:rFonts w:ascii="Times New Roman"/>
                <w:spacing w:val="-1"/>
                <w:sz w:val="18"/>
              </w:rPr>
              <w:t>847,902,181.67</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847,902,181.67</w:t>
            </w: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1,126,641,704.70</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761,656,706.12</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739,507,068.74</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454,338,538.87</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173"/>
        <w:gridCol w:w="3306"/>
        <w:gridCol w:w="3376"/>
      </w:tblGrid>
      <w:tr>
        <w:trPr>
          <w:trHeight w:val="389"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6" w:type="dxa"/>
            <w:tcBorders>
              <w:top w:val="single" w:sz="12" w:space="0" w:color="D2D2D2"/>
              <w:left w:val="single" w:sz="4" w:space="0" w:color="000000"/>
              <w:bottom w:val="single" w:sz="4" w:space="0" w:color="000000"/>
              <w:right w:val="single" w:sz="4" w:space="0" w:color="000000"/>
            </w:tcBorders>
          </w:tcPr>
          <w:p>
            <w:pPr/>
          </w:p>
        </w:tc>
        <w:tc>
          <w:tcPr>
            <w:tcW w:w="3376" w:type="dxa"/>
            <w:tcBorders>
              <w:top w:val="single" w:sz="12" w:space="0" w:color="D2D2D2"/>
              <w:left w:val="single" w:sz="4" w:space="0" w:color="000000"/>
              <w:bottom w:val="single" w:sz="4" w:space="0" w:color="000000"/>
              <w:right w:val="single" w:sz="4" w:space="0" w:color="000000"/>
            </w:tcBorders>
          </w:tcPr>
          <w:p>
            <w:pP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4,720,598.34</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4,641,199.31</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46,453,300.96</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46,719,827.65</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282,992,277.73</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263,884,006.11</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31,946,116.94</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-10,175,621.65</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21,022,341.99</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2,248,755.83</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4,787,716.05</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-1,396,412.31</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7,954,916.74</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3,786,721.16</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7,839,750.46</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-1,456,178.53</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9"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-54,582.66</w:t>
            </w:r>
            <w:r>
              <w:rPr>
                <w:rFonts w:ascii="Times New Roman"/>
                <w:sz w:val="18"/>
              </w:rPr>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25,299.85</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30,494,989.50</w:t>
            </w: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78,868,575.81</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88,661,084.25</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953,453.60</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43,438,289.91</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559,319.83</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827,622.50</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79,262,709.58</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131,271,751.66</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3,124,068.18</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11,207,391.25</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76,138,641.40</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120,064,360.41</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以“－”号填列）</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76,138,641.40</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120,064,360.41</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以“－”号填列）</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78,044,301.23</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120,282,199.78</w:t>
            </w: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-1,905,659.83</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-217,839.37</w:t>
            </w:r>
            <w:r>
              <w:rPr>
                <w:rFonts w:ascii="Times New Roman"/>
                <w:sz w:val="18"/>
              </w:rPr>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4,196,180.64</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1,679,005.89</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8"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4,130,662.06</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1,611,345.18</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46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021" w:type="dxa"/>
        <w:tblLayout w:type="fixed"/>
        <w:tblCellMar>
          <w:top w:w="0" w:type="dxa"/>
          <w:left w:w="0" w:type="dxa"/>
          <w:bottom w:w="0" w:type="dxa"/>
          <w:right w:w="0" w:type="dxa"/>
        </w:tblCellMar>
        <w:tblLook w:val="01E0"/>
      </w:tblPr>
      <w:tblGrid>
        <w:gridCol w:w="3173"/>
        <w:gridCol w:w="3306"/>
        <w:gridCol w:w="3376"/>
      </w:tblGrid>
      <w:tr>
        <w:trPr>
          <w:trHeight w:val="38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6"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6" w:type="dxa"/>
            <w:tcBorders>
              <w:top w:val="single" w:sz="12" w:space="0" w:color="D2D2D2"/>
              <w:left w:val="single" w:sz="4" w:space="0" w:color="000000"/>
              <w:bottom w:val="single" w:sz="4" w:space="0" w:color="000000"/>
              <w:right w:val="single" w:sz="4" w:space="0" w:color="000000"/>
            </w:tcBorders>
          </w:tcPr>
          <w:p>
            <w:pPr/>
          </w:p>
        </w:tc>
        <w:tc>
          <w:tcPr>
            <w:tcW w:w="3376" w:type="dxa"/>
            <w:tcBorders>
              <w:top w:val="single" w:sz="12" w:space="0" w:color="D2D2D2"/>
              <w:left w:val="single" w:sz="4" w:space="0" w:color="000000"/>
              <w:bottom w:val="single" w:sz="4" w:space="0" w:color="000000"/>
              <w:right w:val="single" w:sz="4" w:space="0" w:color="000000"/>
            </w:tcBorders>
          </w:tcPr>
          <w:p>
            <w:pP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78"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9"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4,130,662.06</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1,611,345.18</w:t>
            </w:r>
          </w:p>
        </w:tc>
      </w:tr>
      <w:tr>
        <w:trPr>
          <w:trHeight w:val="1026"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03" w:right="178"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-3,347,484.69</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2,181,411.65</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22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7,478,146.75</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-570,066.47</w:t>
            </w:r>
            <w:r>
              <w:rPr>
                <w:rFonts w:ascii="Times New Roman"/>
                <w:sz w:val="18"/>
              </w:rPr>
            </w: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6" w:type="dxa"/>
            <w:tcBorders>
              <w:top w:val="single" w:sz="4" w:space="0" w:color="000000"/>
              <w:left w:val="single" w:sz="4" w:space="0" w:color="000000"/>
              <w:bottom w:val="single" w:sz="4" w:space="0" w:color="000000"/>
              <w:right w:val="single" w:sz="4" w:space="0" w:color="000000"/>
            </w:tcBorders>
          </w:tcPr>
          <w:p>
            <w:pPr/>
          </w:p>
        </w:tc>
        <w:tc>
          <w:tcPr>
            <w:tcW w:w="3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8"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65,518.58</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67,660.71</w:t>
            </w:r>
          </w:p>
        </w:tc>
      </w:tr>
      <w:tr>
        <w:trPr>
          <w:trHeight w:val="407"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80,334,822.04</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121,743,366.30</w:t>
            </w:r>
          </w:p>
        </w:tc>
      </w:tr>
      <w:tr>
        <w:trPr>
          <w:trHeight w:val="71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8"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82,174,963.29</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121,893,544.96</w:t>
            </w: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-1,840,141.25</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-150,178.66</w:t>
            </w:r>
            <w:r>
              <w:rPr>
                <w:rFonts w:ascii="Times New Roman"/>
                <w:sz w:val="18"/>
              </w:rPr>
            </w:r>
          </w:p>
        </w:tc>
      </w:tr>
      <w:tr>
        <w:trPr>
          <w:trHeight w:val="404"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0.1970</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0.3039</w:t>
            </w:r>
          </w:p>
        </w:tc>
      </w:tr>
      <w:tr>
        <w:trPr>
          <w:trHeight w:val="408" w:hRule="exact"/>
        </w:trPr>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0.1935</w:t>
            </w:r>
          </w:p>
        </w:tc>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0.2999</w:t>
            </w:r>
          </w:p>
        </w:tc>
      </w:tr>
    </w:tbl>
    <w:p>
      <w:pPr>
        <w:spacing w:line="240" w:lineRule="auto" w:before="10"/>
        <w:rPr>
          <w:rFonts w:ascii="Times New Roman" w:hAnsi="Times New Roman" w:cs="Times New Roman" w:eastAsia="Times New Roman" w:hint="default"/>
          <w:sz w:val="12"/>
          <w:szCs w:val="12"/>
        </w:rPr>
      </w:pPr>
    </w:p>
    <w:p>
      <w:pPr>
        <w:pStyle w:val="BodyText"/>
        <w:spacing w:line="280" w:lineRule="auto" w:before="35"/>
        <w:ind w:left="1133" w:right="1114" w:firstLine="42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1"/>
        </w:rPr>
        <w:t> </w:t>
      </w:r>
      <w:r>
        <w:rPr/>
        <w:t>元，上期被合并方实现的 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4"/>
        <w:rPr>
          <w:rFonts w:ascii="宋体" w:hAnsi="宋体" w:cs="宋体" w:eastAsia="宋体" w:hint="default"/>
          <w:sz w:val="27"/>
          <w:szCs w:val="27"/>
        </w:rPr>
      </w:pPr>
    </w:p>
    <w:p>
      <w:pPr>
        <w:tabs>
          <w:tab w:pos="4554" w:val="left" w:leader="none"/>
          <w:tab w:pos="8695" w:val="left" w:leader="none"/>
        </w:tabs>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法定代表人：赵鸿飞</w:t>
        <w:tab/>
        <w:t>主管会计工作负责人：冯娟鹃</w:t>
        <w:tab/>
        <w:t>会计机构负责人：马晓培</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pStyle w:val="BodyText"/>
        <w:spacing w:line="240" w:lineRule="auto" w:before="131"/>
        <w:ind w:left="1553" w:right="0"/>
        <w:jc w:val="left"/>
        <w:rPr>
          <w:rFonts w:ascii="微软雅黑" w:hAnsi="微软雅黑" w:cs="微软雅黑" w:eastAsia="微软雅黑" w:hint="default"/>
        </w:rPr>
      </w:pPr>
      <w:bookmarkStart w:name="4、母公司利润表" w:id="162"/>
      <w:bookmarkEnd w:id="162"/>
      <w:r>
        <w:rPr/>
      </w:r>
      <w:r>
        <w:rPr>
          <w:rFonts w:ascii="Times New Roman" w:hAnsi="Times New Roman" w:cs="Times New Roman" w:eastAsia="Times New Roman" w:hint="default"/>
        </w:rPr>
        <w:t>4</w:t>
      </w:r>
      <w:r>
        <w:rPr>
          <w:rFonts w:ascii="微软雅黑" w:hAnsi="微软雅黑" w:cs="微软雅黑" w:eastAsia="微软雅黑" w:hint="default"/>
        </w:rPr>
        <w:t>、母公司利润表</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590,166,154.00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662,359,486.32</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407,058,768.02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414,355,937.28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2,650,732.54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3,445,902.41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9,415,470.11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12,076,996.07</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96,852,047.08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120,517,625.72</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31,035,045.03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-16,473,490.09</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4,498,554.07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574,738.63</w:t>
            </w: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01" w:firstLine="36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r>
              <w:rPr>
                <w:rFonts w:ascii="宋体" w:hAnsi="宋体" w:cs="宋体" w:eastAsia="宋体" w:hint="default"/>
                <w:sz w:val="18"/>
                <w:szCs w:val="18"/>
              </w:rPr>
              <w:t> “－”号填列）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4,787,716.05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-1,396,412.31</w:t>
            </w: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823"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1,406,054.25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-4,423,192.03</w:t>
            </w: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01"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r>
              <w:rPr>
                <w:rFonts w:ascii="宋体" w:hAnsi="宋体" w:cs="宋体" w:eastAsia="宋体" w:hint="default"/>
                <w:sz w:val="18"/>
                <w:szCs w:val="18"/>
              </w:rPr>
              <w:t> 业的投资收益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1,026,619.97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-9,491,144.70</w:t>
            </w:r>
          </w:p>
        </w:tc>
      </w:tr>
      <w:tr>
        <w:trPr>
          <w:trHeight w:val="600"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2" w:firstLine="720"/>
              <w:jc w:val="lef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 号填列）</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1,022.91</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18,130,451.41</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
                <w:sz w:val="18"/>
                <w:szCs w:val="18"/>
              </w:rPr>
              <w:t>二、营业利润（亏损以“－”号填列）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62,979,758.86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122,043,194.87</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354,181.94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36,978,536.21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39,492.76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767,731.00</w:t>
            </w: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03"/>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63,294,448.04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158,254,000.08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4,271,213.95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11,135,170.22</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
                <w:sz w:val="18"/>
                <w:szCs w:val="18"/>
              </w:rPr>
              <w:t>四、净利润（净亏损以“－”号填列）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59,023,234.09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147,118,829.86</w:t>
            </w: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01" w:firstLine="346"/>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sz w:val="18"/>
                <w:szCs w:val="18"/>
              </w:rPr>
              <w:t> 以“－”号填列）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59,023,234.09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147,118,829.86</w:t>
            </w: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01" w:firstLine="346"/>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sz w:val="18"/>
                <w:szCs w:val="18"/>
              </w:rPr>
              <w:t> 以“－”号填列）</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01" w:firstLine="339"/>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w:t>
            </w:r>
            <w:r>
              <w:rPr>
                <w:rFonts w:ascii="宋体" w:hAnsi="宋体" w:cs="宋体" w:eastAsia="宋体" w:hint="default"/>
                <w:sz w:val="18"/>
                <w:szCs w:val="18"/>
              </w:rPr>
              <w:t> 其他综合收益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0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0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8"/>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056"/>
        <w:gridCol w:w="3399"/>
        <w:gridCol w:w="3401"/>
      </w:tblGrid>
      <w:tr>
        <w:trPr>
          <w:trHeight w:val="40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02"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9"/>
              <w:ind w:left="103" w:right="101" w:firstLine="339"/>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w:t>
            </w:r>
            <w:r>
              <w:rPr>
                <w:rFonts w:ascii="宋体" w:hAnsi="宋体" w:cs="宋体" w:eastAsia="宋体" w:hint="default"/>
                <w:sz w:val="18"/>
                <w:szCs w:val="18"/>
              </w:rPr>
              <w:t> 他综合收益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40"/>
              <w:ind w:left="103" w:right="10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3" w:right="10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0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3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13"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99"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90"/>
              <w:ind w:left="2251" w:right="0"/>
              <w:jc w:val="left"/>
              <w:rPr>
                <w:rFonts w:ascii="Times New Roman" w:hAnsi="Times New Roman" w:cs="Times New Roman" w:eastAsia="Times New Roman" w:hint="default"/>
                <w:sz w:val="18"/>
                <w:szCs w:val="18"/>
              </w:rPr>
            </w:pPr>
            <w:r>
              <w:rPr>
                <w:rFonts w:ascii="Times New Roman"/>
                <w:sz w:val="18"/>
              </w:rPr>
              <w:t>59,023,234.09</w:t>
            </w:r>
          </w:p>
        </w:tc>
        <w:tc>
          <w:tcPr>
            <w:tcW w:w="3401"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90"/>
              <w:ind w:left="2168" w:right="0"/>
              <w:jc w:val="left"/>
              <w:rPr>
                <w:rFonts w:ascii="Times New Roman" w:hAnsi="Times New Roman" w:cs="Times New Roman" w:eastAsia="Times New Roman" w:hint="default"/>
                <w:sz w:val="18"/>
                <w:szCs w:val="18"/>
              </w:rPr>
            </w:pPr>
            <w:r>
              <w:rPr>
                <w:rFonts w:ascii="Times New Roman"/>
                <w:sz w:val="18"/>
              </w:rPr>
              <w:t>147,118,829.86</w:t>
            </w:r>
          </w:p>
        </w:tc>
      </w:tr>
      <w:tr>
        <w:trPr>
          <w:trHeight w:val="384"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23"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99" w:type="dxa"/>
            <w:tcBorders>
              <w:top w:val="single" w:sz="17" w:space="0" w:color="D2D2D2"/>
              <w:left w:val="single" w:sz="4" w:space="0" w:color="000000"/>
              <w:bottom w:val="single" w:sz="4" w:space="0" w:color="000000"/>
              <w:right w:val="single" w:sz="4" w:space="0" w:color="000000"/>
            </w:tcBorders>
          </w:tcPr>
          <w:p>
            <w:pPr/>
          </w:p>
        </w:tc>
        <w:tc>
          <w:tcPr>
            <w:tcW w:w="3401" w:type="dxa"/>
            <w:tcBorders>
              <w:top w:val="single" w:sz="17" w:space="0" w:color="D2D2D2"/>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5、合并现金流量表" w:id="163"/>
      <w:bookmarkEnd w:id="163"/>
      <w:r>
        <w:rPr/>
      </w:r>
      <w:r>
        <w:rPr>
          <w:rFonts w:ascii="Times New Roman" w:hAnsi="Times New Roman" w:cs="Times New Roman" w:eastAsia="Times New Roman" w:hint="default"/>
        </w:rPr>
        <w:t>5</w:t>
      </w:r>
      <w:r>
        <w:rPr>
          <w:rFonts w:ascii="微软雅黑" w:hAnsi="微软雅黑" w:cs="微软雅黑" w:eastAsia="微软雅黑" w:hint="default"/>
        </w:rPr>
        <w:t>、合并现金流量表</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483"/>
        <w:gridCol w:w="3186"/>
        <w:gridCol w:w="3186"/>
      </w:tblGrid>
      <w:tr>
        <w:trPr>
          <w:trHeight w:val="406"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Times New Roman" w:hAnsi="Times New Roman" w:cs="Times New Roman" w:eastAsia="Times New Roman" w:hint="default"/>
                <w:sz w:val="18"/>
                <w:szCs w:val="18"/>
              </w:rPr>
            </w:pPr>
            <w:r>
              <w:rPr>
                <w:rFonts w:ascii="Times New Roman"/>
                <w:spacing w:val="-1"/>
                <w:sz w:val="18"/>
              </w:rPr>
              <w:t>1,181,331,119.59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822,734,054.95</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2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 期损益的金融资产净增加额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15,978,748.23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23,328,811.73</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30,815,041.84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19,890,917.13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3483"/>
        <w:gridCol w:w="3186"/>
        <w:gridCol w:w="3186"/>
      </w:tblGrid>
      <w:tr>
        <w:trPr>
          <w:trHeight w:val="404"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1,228,124,909.66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865,953,783.81</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373,746,029.41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147,622,965.62</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528,715,805.55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488,989,414.78</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55,061,076.97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61,100,837.69</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89,239,224.53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94,277,643.53</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1,046,762,136.46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791,990,861.62</w:t>
            </w:r>
          </w:p>
        </w:tc>
      </w:tr>
      <w:tr>
        <w:trPr>
          <w:trHeight w:val="409"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181,362,773.20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73,962,922.19</w:t>
            </w:r>
          </w:p>
        </w:tc>
      </w:tr>
      <w:tr>
        <w:trPr>
          <w:trHeight w:val="404"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9"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13,940,762.42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277,904,077.99</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773,664.85</w:t>
            </w:r>
          </w:p>
        </w:tc>
      </w:tr>
      <w:tr>
        <w:trPr>
          <w:trHeight w:val="600"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3" w:right="129"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 资产收回的现金净额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4,096,949.75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7,854.70</w:t>
            </w:r>
          </w:p>
        </w:tc>
      </w:tr>
      <w:tr>
        <w:trPr>
          <w:trHeight w:val="601"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29"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 金净额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9,454,722.74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27,992,434.91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280,485,597.54</w:t>
            </w:r>
          </w:p>
        </w:tc>
      </w:tr>
      <w:tr>
        <w:trPr>
          <w:trHeight w:val="601"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29"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 资产支付的现金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22,284,068.37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27,896,256.10</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73,325,089.21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368,788,501.24</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2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 金净额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346,549,423.63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10,848,631.04</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4,360,450.79</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442,158,581.21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411,893,839.17</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-414,166,146.30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-131,408,241.63</w:t>
            </w:r>
          </w:p>
        </w:tc>
      </w:tr>
      <w:tr>
        <w:trPr>
          <w:trHeight w:val="404"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36,589,150.00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272,502,959.92</w:t>
            </w:r>
          </w:p>
        </w:tc>
      </w:tr>
      <w:tr>
        <w:trPr>
          <w:trHeight w:val="601"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27"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 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4,279,200.00</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725,330,000.00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336,140,699.86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3483"/>
        <w:gridCol w:w="3186"/>
        <w:gridCol w:w="3186"/>
      </w:tblGrid>
      <w:tr>
        <w:trPr>
          <w:trHeight w:val="404"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17,642,170.68</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761,919,150.00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626,285,830.46</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284,603,409.76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117,245,217.39</w:t>
            </w:r>
          </w:p>
        </w:tc>
      </w:tr>
      <w:tr>
        <w:trPr>
          <w:trHeight w:val="601"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43,999,502.30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51,508,998.80</w:t>
            </w:r>
          </w:p>
        </w:tc>
      </w:tr>
      <w:tr>
        <w:trPr>
          <w:trHeight w:val="600"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1" w:firstLine="360"/>
              <w:jc w:val="left"/>
              <w:rPr>
                <w:rFonts w:ascii="宋体" w:hAnsi="宋体" w:cs="宋体" w:eastAsia="宋体" w:hint="default"/>
                <w:sz w:val="18"/>
                <w:szCs w:val="18"/>
              </w:rPr>
            </w:pPr>
            <w:r>
              <w:rPr>
                <w:rFonts w:ascii="宋体" w:hAnsi="宋体" w:cs="宋体" w:eastAsia="宋体" w:hint="default"/>
                <w:spacing w:val="-4"/>
                <w:sz w:val="18"/>
                <w:szCs w:val="18"/>
              </w:rPr>
              <w:t>其中：子公司支付给少数股东的股利、</w:t>
            </w:r>
            <w:r>
              <w:rPr>
                <w:rFonts w:ascii="宋体" w:hAnsi="宋体" w:cs="宋体" w:eastAsia="宋体" w:hint="default"/>
                <w:sz w:val="18"/>
                <w:szCs w:val="18"/>
              </w:rPr>
              <w:t> 利润</w:t>
            </w:r>
          </w:p>
        </w:tc>
        <w:tc>
          <w:tcPr>
            <w:tcW w:w="3186"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439,964,271.29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8,963,217.72</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768,567,183.35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177,717,433.91</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-6,648,033.35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448,568,396.55</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-7,769,508.15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3,861,109.71</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-247,220,914.60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394,984,186.82</w:t>
            </w:r>
          </w:p>
        </w:tc>
      </w:tr>
      <w:tr>
        <w:trPr>
          <w:trHeight w:val="407"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1,062,419,515.50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667,435,328.68</w:t>
            </w:r>
          </w:p>
        </w:tc>
      </w:tr>
      <w:tr>
        <w:trPr>
          <w:trHeight w:val="408" w:hRule="exact"/>
        </w:trPr>
        <w:tc>
          <w:tcPr>
            <w:tcW w:w="3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815,198,600.90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1,062,419,515.50</w:t>
            </w:r>
          </w:p>
        </w:tc>
      </w:tr>
    </w:tbl>
    <w:p>
      <w:pPr>
        <w:spacing w:line="240" w:lineRule="auto" w:before="3"/>
        <w:rPr>
          <w:rFonts w:ascii="Times New Roman" w:hAnsi="Times New Roman" w:cs="Times New Roman" w:eastAsia="Times New Roman" w:hint="default"/>
          <w:sz w:val="13"/>
          <w:szCs w:val="13"/>
        </w:rPr>
      </w:pPr>
    </w:p>
    <w:p>
      <w:pPr>
        <w:pStyle w:val="BodyText"/>
        <w:spacing w:line="324" w:lineRule="exact"/>
        <w:ind w:right="0"/>
        <w:jc w:val="left"/>
        <w:rPr>
          <w:rFonts w:ascii="微软雅黑" w:hAnsi="微软雅黑" w:cs="微软雅黑" w:eastAsia="微软雅黑" w:hint="default"/>
        </w:rPr>
      </w:pPr>
      <w:bookmarkStart w:name="6、母公司现金流量表" w:id="164"/>
      <w:bookmarkEnd w:id="164"/>
      <w:r>
        <w:rPr/>
      </w:r>
      <w:r>
        <w:rPr>
          <w:rFonts w:ascii="Times New Roman" w:hAnsi="Times New Roman" w:cs="Times New Roman" w:eastAsia="Times New Roman" w:hint="default"/>
        </w:rPr>
        <w:t>6</w:t>
      </w:r>
      <w:r>
        <w:rPr>
          <w:rFonts w:ascii="微软雅黑" w:hAnsi="微软雅黑" w:cs="微软雅黑" w:eastAsia="微软雅黑" w:hint="default"/>
        </w:rPr>
        <w:t>、母公司现金流量表</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567"/>
        <w:gridCol w:w="3144"/>
        <w:gridCol w:w="3144"/>
      </w:tblGrid>
      <w:tr>
        <w:trPr>
          <w:trHeight w:val="406"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585,369,016.09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614,699,792.37</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15,245,392.23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22,613,981.73</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22,978,122.97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12,916,969.27</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623,592,531.29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650,230,743.37</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339,016,802.55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357,085,915.12</w:t>
            </w:r>
          </w:p>
        </w:tc>
      </w:tr>
      <w:tr>
        <w:trPr>
          <w:trHeight w:val="408"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113,868,833.40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129,547,275.33</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30,932,862.03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47,064,731.47</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59,544,945.09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98,693,652.38</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543,363,443.07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632,391,574.30</w:t>
            </w:r>
          </w:p>
        </w:tc>
      </w:tr>
      <w:tr>
        <w:trPr>
          <w:trHeight w:val="409"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80,229,088.22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17,839,169.07</w:t>
            </w:r>
          </w:p>
        </w:tc>
      </w:tr>
      <w:tr>
        <w:trPr>
          <w:trHeight w:val="40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10"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1,067,463.00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270,900,000.00</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764,894.81</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63"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31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3567"/>
        <w:gridCol w:w="3144"/>
        <w:gridCol w:w="3144"/>
      </w:tblGrid>
      <w:tr>
        <w:trPr>
          <w:trHeight w:val="40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产收回的现金净额</w:t>
            </w:r>
          </w:p>
        </w:tc>
        <w:tc>
          <w:tcPr>
            <w:tcW w:w="3144"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21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 金净额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402,000.00</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5,156,402.74</w:t>
            </w:r>
          </w:p>
        </w:tc>
        <w:tc>
          <w:tcPr>
            <w:tcW w:w="314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6,723,865.74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272,066,894.81</w:t>
            </w:r>
          </w:p>
        </w:tc>
      </w:tr>
      <w:tr>
        <w:trPr>
          <w:trHeight w:val="6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01"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w:t>
            </w:r>
            <w:r>
              <w:rPr>
                <w:rFonts w:ascii="宋体" w:hAnsi="宋体" w:cs="宋体" w:eastAsia="宋体" w:hint="default"/>
                <w:sz w:val="18"/>
                <w:szCs w:val="18"/>
              </w:rPr>
              <w:t> 产支付的现金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14,053,319.50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12,079,940.63</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384,201,199.97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388,537,078.00</w:t>
            </w:r>
          </w:p>
        </w:tc>
      </w:tr>
      <w:tr>
        <w:trPr>
          <w:trHeight w:val="601"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21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 金净额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2,041,666.66</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400,654,519.47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417,658,685.29</w:t>
            </w:r>
          </w:p>
        </w:tc>
      </w:tr>
      <w:tr>
        <w:trPr>
          <w:trHeight w:val="409"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-393,930,653.73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-145,591,790.48</w:t>
            </w:r>
          </w:p>
        </w:tc>
      </w:tr>
      <w:tr>
        <w:trPr>
          <w:trHeight w:val="404"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36,489,150.00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268,223,759.92</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305,084,000.00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318,295,229.86</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144"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144" w:type="dxa"/>
            <w:tcBorders>
              <w:top w:val="single" w:sz="4" w:space="0" w:color="000000"/>
              <w:left w:val="single" w:sz="4" w:space="0" w:color="000000"/>
              <w:bottom w:val="single" w:sz="4" w:space="0" w:color="000000"/>
              <w:right w:val="single" w:sz="4" w:space="0" w:color="000000"/>
            </w:tcBorders>
          </w:tcPr>
          <w:p>
            <w:pPr/>
          </w:p>
        </w:tc>
        <w:tc>
          <w:tcPr>
            <w:tcW w:w="314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341,573,150.00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586,518,989.78</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241,549,626.56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66,618,873.05</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pacing w:val="-5"/>
                <w:sz w:val="18"/>
                <w:szCs w:val="18"/>
              </w:rPr>
              <w:t>分配股利、利润或偿付利息支付的现金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38,983,685.79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49,877,808.64</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437,901,271.29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7,963,217.72</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718,434,583.64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124,459,899.41</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-376,861,433.64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462,059,090.37</w:t>
            </w:r>
          </w:p>
        </w:tc>
      </w:tr>
      <w:tr>
        <w:trPr>
          <w:trHeight w:val="408"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-6,414,347.87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140,774.58</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-696,977,347.02</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334,447,243.54</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930,638,846.87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596,191,603.33</w:t>
            </w:r>
          </w:p>
        </w:tc>
      </w:tr>
      <w:tr>
        <w:trPr>
          <w:trHeight w:val="407"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233,661,499.85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930,638,846.87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7"/>
        <w:rPr>
          <w:rFonts w:ascii="Times New Roman" w:hAnsi="Times New Roman" w:cs="Times New Roman" w:eastAsia="Times New Roman" w:hint="default"/>
          <w:sz w:val="27"/>
          <w:szCs w:val="27"/>
        </w:rPr>
      </w:pPr>
    </w:p>
    <w:p>
      <w:pPr>
        <w:pStyle w:val="BodyText"/>
        <w:spacing w:line="324" w:lineRule="exact"/>
        <w:ind w:left="914" w:right="0"/>
        <w:jc w:val="left"/>
        <w:rPr>
          <w:rFonts w:ascii="微软雅黑" w:hAnsi="微软雅黑" w:cs="微软雅黑" w:eastAsia="微软雅黑" w:hint="default"/>
        </w:rPr>
      </w:pPr>
      <w:bookmarkStart w:name="7、合并所有者权益变动表" w:id="165"/>
      <w:bookmarkEnd w:id="165"/>
      <w:r>
        <w:rPr/>
      </w:r>
      <w:r>
        <w:rPr>
          <w:rFonts w:ascii="Times New Roman" w:hAnsi="Times New Roman" w:cs="Times New Roman" w:eastAsia="Times New Roman" w:hint="default"/>
        </w:rPr>
        <w:t>7</w:t>
      </w:r>
      <w:r>
        <w:rPr>
          <w:rFonts w:ascii="微软雅黑" w:hAnsi="微软雅黑" w:cs="微软雅黑" w:eastAsia="微软雅黑" w:hint="default"/>
        </w:rPr>
        <w:t>、合并所有者权益变动表</w:t>
      </w:r>
    </w:p>
    <w:p>
      <w:pPr>
        <w:spacing w:line="240" w:lineRule="auto" w:before="6"/>
        <w:rPr>
          <w:rFonts w:ascii="微软雅黑" w:hAnsi="微软雅黑" w:cs="微软雅黑" w:eastAsia="微软雅黑" w:hint="default"/>
          <w:sz w:val="23"/>
          <w:szCs w:val="23"/>
        </w:rPr>
      </w:pPr>
    </w:p>
    <w:p>
      <w:pPr>
        <w:pStyle w:val="BodyText"/>
        <w:spacing w:line="240" w:lineRule="auto"/>
        <w:ind w:left="914" w:right="0"/>
        <w:jc w:val="left"/>
      </w:pPr>
      <w:r>
        <w:rPr/>
        <w:t>本期金额</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99"/>
        <w:gridCol w:w="1301"/>
        <w:gridCol w:w="523"/>
        <w:gridCol w:w="523"/>
        <w:gridCol w:w="1004"/>
        <w:gridCol w:w="1302"/>
        <w:gridCol w:w="1302"/>
        <w:gridCol w:w="1130"/>
        <w:gridCol w:w="523"/>
        <w:gridCol w:w="1213"/>
        <w:gridCol w:w="536"/>
        <w:gridCol w:w="1310"/>
        <w:gridCol w:w="1214"/>
        <w:gridCol w:w="1430"/>
      </w:tblGrid>
      <w:tr>
        <w:trPr>
          <w:trHeight w:val="394"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3"/>
              <w:ind w:right="0"/>
              <w:jc w:val="center"/>
              <w:rPr>
                <w:rFonts w:ascii="宋体" w:hAnsi="宋体" w:cs="宋体" w:eastAsia="宋体" w:hint="default"/>
                <w:sz w:val="17"/>
                <w:szCs w:val="17"/>
              </w:rPr>
            </w:pPr>
            <w:r>
              <w:rPr>
                <w:rFonts w:ascii="宋体" w:hAnsi="宋体" w:cs="宋体" w:eastAsia="宋体" w:hint="default"/>
                <w:spacing w:val="-12"/>
                <w:sz w:val="17"/>
                <w:szCs w:val="17"/>
              </w:rPr>
              <w:t>项目</w:t>
            </w:r>
            <w:r>
              <w:rPr>
                <w:rFonts w:ascii="宋体" w:hAnsi="宋体" w:cs="宋体" w:eastAsia="宋体" w:hint="default"/>
                <w:sz w:val="17"/>
                <w:szCs w:val="17"/>
              </w:rPr>
            </w:r>
          </w:p>
        </w:tc>
        <w:tc>
          <w:tcPr>
            <w:tcW w:w="1331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7"/>
                <w:szCs w:val="17"/>
              </w:rPr>
            </w:pPr>
            <w:r>
              <w:rPr>
                <w:rFonts w:ascii="宋体" w:hAnsi="宋体" w:cs="宋体" w:eastAsia="宋体" w:hint="default"/>
                <w:spacing w:val="-12"/>
                <w:sz w:val="17"/>
                <w:szCs w:val="17"/>
              </w:rPr>
              <w:t>本期</w:t>
            </w:r>
            <w:r>
              <w:rPr>
                <w:rFonts w:ascii="宋体" w:hAnsi="宋体" w:cs="宋体" w:eastAsia="宋体" w:hint="default"/>
                <w:sz w:val="17"/>
                <w:szCs w:val="17"/>
              </w:rPr>
            </w:r>
          </w:p>
        </w:tc>
      </w:tr>
      <w:tr>
        <w:trPr>
          <w:trHeight w:val="394" w:hRule="exact"/>
        </w:trPr>
        <w:tc>
          <w:tcPr>
            <w:tcW w:w="1999" w:type="dxa"/>
            <w:vMerge/>
            <w:tcBorders>
              <w:left w:val="single" w:sz="4" w:space="0" w:color="000000"/>
              <w:right w:val="single" w:sz="4" w:space="0" w:color="000000"/>
            </w:tcBorders>
            <w:shd w:val="clear" w:color="auto" w:fill="D2D2D2"/>
          </w:tcPr>
          <w:p>
            <w:pPr/>
          </w:p>
        </w:tc>
        <w:tc>
          <w:tcPr>
            <w:tcW w:w="106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3" w:right="0"/>
              <w:jc w:val="center"/>
              <w:rPr>
                <w:rFonts w:ascii="宋体" w:hAnsi="宋体" w:cs="宋体" w:eastAsia="宋体" w:hint="default"/>
                <w:sz w:val="17"/>
                <w:szCs w:val="17"/>
              </w:rPr>
            </w:pPr>
            <w:r>
              <w:rPr>
                <w:rFonts w:ascii="宋体" w:hAnsi="宋体" w:cs="宋体" w:eastAsia="宋体" w:hint="default"/>
                <w:spacing w:val="-12"/>
                <w:sz w:val="17"/>
                <w:szCs w:val="17"/>
              </w:rPr>
              <w:t>归属于母公司所有者权益</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28" w:right="0"/>
              <w:jc w:val="left"/>
              <w:rPr>
                <w:rFonts w:ascii="宋体" w:hAnsi="宋体" w:cs="宋体" w:eastAsia="宋体" w:hint="default"/>
                <w:sz w:val="17"/>
                <w:szCs w:val="17"/>
              </w:rPr>
            </w:pPr>
            <w:r>
              <w:rPr>
                <w:rFonts w:ascii="宋体" w:hAnsi="宋体" w:cs="宋体" w:eastAsia="宋体" w:hint="default"/>
                <w:spacing w:val="-11"/>
                <w:sz w:val="17"/>
                <w:szCs w:val="17"/>
              </w:rPr>
              <w:t>少数股东权益</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57" w:right="0"/>
              <w:jc w:val="left"/>
              <w:rPr>
                <w:rFonts w:ascii="宋体" w:hAnsi="宋体" w:cs="宋体" w:eastAsia="宋体" w:hint="default"/>
                <w:sz w:val="17"/>
                <w:szCs w:val="17"/>
              </w:rPr>
            </w:pPr>
            <w:r>
              <w:rPr>
                <w:rFonts w:ascii="宋体" w:hAnsi="宋体" w:cs="宋体" w:eastAsia="宋体" w:hint="default"/>
                <w:spacing w:val="-11"/>
                <w:sz w:val="17"/>
                <w:szCs w:val="17"/>
              </w:rPr>
              <w:t>所有者权益合计</w:t>
            </w:r>
          </w:p>
        </w:tc>
      </w:tr>
      <w:tr>
        <w:trPr>
          <w:trHeight w:val="407" w:hRule="exact"/>
        </w:trPr>
        <w:tc>
          <w:tcPr>
            <w:tcW w:w="1999" w:type="dxa"/>
            <w:vMerge/>
            <w:tcBorders>
              <w:left w:val="single" w:sz="4" w:space="0" w:color="000000"/>
              <w:right w:val="single" w:sz="4" w:space="0" w:color="000000"/>
            </w:tcBorders>
            <w:shd w:val="clear" w:color="auto" w:fill="D2D2D2"/>
          </w:tcPr>
          <w:p>
            <w:pP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12"/>
                <w:sz w:val="17"/>
                <w:szCs w:val="17"/>
              </w:rPr>
              <w:t>股本</w:t>
            </w:r>
            <w:r>
              <w:rPr>
                <w:rFonts w:ascii="宋体" w:hAnsi="宋体" w:cs="宋体" w:eastAsia="宋体" w:hint="default"/>
                <w:sz w:val="17"/>
                <w:szCs w:val="17"/>
              </w:rPr>
            </w:r>
          </w:p>
        </w:tc>
        <w:tc>
          <w:tcPr>
            <w:tcW w:w="2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545" w:right="0"/>
              <w:jc w:val="left"/>
              <w:rPr>
                <w:rFonts w:ascii="宋体" w:hAnsi="宋体" w:cs="宋体" w:eastAsia="宋体" w:hint="default"/>
                <w:sz w:val="17"/>
                <w:szCs w:val="17"/>
              </w:rPr>
            </w:pPr>
            <w:r>
              <w:rPr>
                <w:rFonts w:ascii="宋体" w:hAnsi="宋体" w:cs="宋体" w:eastAsia="宋体" w:hint="default"/>
                <w:spacing w:val="-11"/>
                <w:sz w:val="17"/>
                <w:szCs w:val="17"/>
              </w:rPr>
              <w:t>其他权益工具</w:t>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29" w:right="0"/>
              <w:jc w:val="left"/>
              <w:rPr>
                <w:rFonts w:ascii="宋体" w:hAnsi="宋体" w:cs="宋体" w:eastAsia="宋体" w:hint="default"/>
                <w:sz w:val="17"/>
                <w:szCs w:val="17"/>
              </w:rPr>
            </w:pPr>
            <w:r>
              <w:rPr>
                <w:rFonts w:ascii="宋体" w:hAnsi="宋体" w:cs="宋体" w:eastAsia="宋体" w:hint="default"/>
                <w:spacing w:val="-12"/>
                <w:sz w:val="17"/>
                <w:szCs w:val="17"/>
              </w:rPr>
              <w:t>资本公积</w:t>
            </w:r>
            <w:r>
              <w:rPr>
                <w:rFonts w:ascii="宋体" w:hAnsi="宋体" w:cs="宋体" w:eastAsia="宋体" w:hint="default"/>
                <w:sz w:val="17"/>
                <w:szCs w:val="17"/>
              </w:rPr>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52" w:right="0"/>
              <w:jc w:val="left"/>
              <w:rPr>
                <w:rFonts w:ascii="宋体" w:hAnsi="宋体" w:cs="宋体" w:eastAsia="宋体" w:hint="default"/>
                <w:sz w:val="17"/>
                <w:szCs w:val="17"/>
              </w:rPr>
            </w:pPr>
            <w:r>
              <w:rPr>
                <w:rFonts w:ascii="宋体" w:hAnsi="宋体" w:cs="宋体" w:eastAsia="宋体" w:hint="default"/>
                <w:spacing w:val="-10"/>
                <w:sz w:val="17"/>
                <w:szCs w:val="17"/>
              </w:rPr>
              <w:t>减：库存股</w:t>
            </w:r>
          </w:p>
        </w:tc>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86" w:right="0"/>
              <w:jc w:val="left"/>
              <w:rPr>
                <w:rFonts w:ascii="宋体" w:hAnsi="宋体" w:cs="宋体" w:eastAsia="宋体" w:hint="default"/>
                <w:sz w:val="17"/>
                <w:szCs w:val="17"/>
              </w:rPr>
            </w:pPr>
            <w:r>
              <w:rPr>
                <w:rFonts w:ascii="宋体" w:hAnsi="宋体" w:cs="宋体" w:eastAsia="宋体" w:hint="default"/>
                <w:spacing w:val="-11"/>
                <w:sz w:val="17"/>
                <w:szCs w:val="17"/>
              </w:rPr>
              <w:t>其他综合收益</w:t>
            </w: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0"/>
                <w:szCs w:val="20"/>
              </w:rPr>
            </w:pPr>
          </w:p>
          <w:p>
            <w:pPr>
              <w:pStyle w:val="TableParagraph"/>
              <w:spacing w:line="220" w:lineRule="exact"/>
              <w:ind w:left="98" w:right="96"/>
              <w:jc w:val="left"/>
              <w:rPr>
                <w:rFonts w:ascii="宋体" w:hAnsi="宋体" w:cs="宋体" w:eastAsia="宋体" w:hint="default"/>
                <w:sz w:val="17"/>
                <w:szCs w:val="17"/>
              </w:rPr>
            </w:pPr>
            <w:r>
              <w:rPr>
                <w:rFonts w:ascii="宋体" w:hAnsi="宋体" w:cs="宋体" w:eastAsia="宋体" w:hint="default"/>
                <w:spacing w:val="-12"/>
                <w:sz w:val="17"/>
                <w:szCs w:val="17"/>
              </w:rPr>
              <w:t>专项</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储备</w:t>
            </w:r>
            <w:r>
              <w:rPr>
                <w:rFonts w:ascii="宋体" w:hAnsi="宋体" w:cs="宋体" w:eastAsia="宋体" w:hint="default"/>
                <w:sz w:val="17"/>
                <w:szCs w:val="17"/>
              </w:rPr>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85" w:right="0"/>
              <w:jc w:val="left"/>
              <w:rPr>
                <w:rFonts w:ascii="宋体" w:hAnsi="宋体" w:cs="宋体" w:eastAsia="宋体" w:hint="default"/>
                <w:sz w:val="17"/>
                <w:szCs w:val="17"/>
              </w:rPr>
            </w:pPr>
            <w:r>
              <w:rPr>
                <w:rFonts w:ascii="宋体" w:hAnsi="宋体" w:cs="宋体" w:eastAsia="宋体" w:hint="default"/>
                <w:spacing w:val="-12"/>
                <w:sz w:val="17"/>
                <w:szCs w:val="17"/>
              </w:rPr>
              <w:t>盈余公积</w:t>
            </w:r>
            <w:r>
              <w:rPr>
                <w:rFonts w:ascii="宋体" w:hAnsi="宋体" w:cs="宋体" w:eastAsia="宋体" w:hint="default"/>
                <w:sz w:val="17"/>
                <w:szCs w:val="17"/>
              </w:rPr>
            </w:r>
          </w:p>
        </w:tc>
        <w:tc>
          <w:tcPr>
            <w:tcW w:w="53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143"/>
              <w:ind w:left="105" w:right="102"/>
              <w:jc w:val="both"/>
              <w:rPr>
                <w:rFonts w:ascii="宋体" w:hAnsi="宋体" w:cs="宋体" w:eastAsia="宋体" w:hint="default"/>
                <w:sz w:val="17"/>
                <w:szCs w:val="17"/>
              </w:rPr>
            </w:pPr>
            <w:r>
              <w:rPr>
                <w:rFonts w:ascii="宋体" w:hAnsi="宋体" w:cs="宋体" w:eastAsia="宋体" w:hint="default"/>
                <w:spacing w:val="-12"/>
                <w:sz w:val="17"/>
                <w:szCs w:val="17"/>
              </w:rPr>
              <w:t>一般</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风险</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准备</w:t>
            </w:r>
            <w:r>
              <w:rPr>
                <w:rFonts w:ascii="宋体" w:hAnsi="宋体" w:cs="宋体" w:eastAsia="宋体" w:hint="default"/>
                <w:sz w:val="17"/>
                <w:szCs w:val="17"/>
              </w:rPr>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55" w:right="0"/>
              <w:jc w:val="left"/>
              <w:rPr>
                <w:rFonts w:ascii="宋体" w:hAnsi="宋体" w:cs="宋体" w:eastAsia="宋体" w:hint="default"/>
                <w:sz w:val="17"/>
                <w:szCs w:val="17"/>
              </w:rPr>
            </w:pPr>
            <w:r>
              <w:rPr>
                <w:rFonts w:ascii="宋体" w:hAnsi="宋体" w:cs="宋体" w:eastAsia="宋体" w:hint="default"/>
                <w:spacing w:val="-10"/>
                <w:sz w:val="17"/>
                <w:szCs w:val="17"/>
              </w:rPr>
              <w:t>未分配利润</w:t>
            </w:r>
          </w:p>
        </w:tc>
        <w:tc>
          <w:tcPr>
            <w:tcW w:w="1214"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r>
      <w:tr>
        <w:trPr>
          <w:trHeight w:val="588"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76" w:right="96" w:hanging="78"/>
              <w:jc w:val="left"/>
              <w:rPr>
                <w:rFonts w:ascii="宋体" w:hAnsi="宋体" w:cs="宋体" w:eastAsia="宋体" w:hint="default"/>
                <w:sz w:val="17"/>
                <w:szCs w:val="17"/>
              </w:rPr>
            </w:pPr>
            <w:r>
              <w:rPr>
                <w:rFonts w:ascii="宋体" w:hAnsi="宋体" w:cs="宋体" w:eastAsia="宋体" w:hint="default"/>
                <w:spacing w:val="-12"/>
                <w:sz w:val="17"/>
                <w:szCs w:val="17"/>
              </w:rPr>
              <w:t>优先</w:t>
            </w:r>
            <w:r>
              <w:rPr>
                <w:rFonts w:ascii="宋体" w:hAnsi="宋体" w:cs="宋体" w:eastAsia="宋体" w:hint="default"/>
                <w:spacing w:val="-12"/>
                <w:w w:val="100"/>
                <w:sz w:val="17"/>
                <w:szCs w:val="17"/>
              </w:rPr>
              <w:t> </w:t>
            </w:r>
            <w:r>
              <w:rPr>
                <w:rFonts w:ascii="宋体" w:hAnsi="宋体" w:cs="宋体" w:eastAsia="宋体" w:hint="default"/>
                <w:sz w:val="17"/>
                <w:szCs w:val="17"/>
              </w:rPr>
              <w:t>股</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77" w:right="96" w:hanging="80"/>
              <w:jc w:val="left"/>
              <w:rPr>
                <w:rFonts w:ascii="宋体" w:hAnsi="宋体" w:cs="宋体" w:eastAsia="宋体" w:hint="default"/>
                <w:sz w:val="17"/>
                <w:szCs w:val="17"/>
              </w:rPr>
            </w:pPr>
            <w:r>
              <w:rPr>
                <w:rFonts w:ascii="宋体" w:hAnsi="宋体" w:cs="宋体" w:eastAsia="宋体" w:hint="default"/>
                <w:spacing w:val="-12"/>
                <w:sz w:val="17"/>
                <w:szCs w:val="17"/>
              </w:rPr>
              <w:t>永续</w:t>
            </w:r>
            <w:r>
              <w:rPr>
                <w:rFonts w:ascii="宋体" w:hAnsi="宋体" w:cs="宋体" w:eastAsia="宋体" w:hint="default"/>
                <w:spacing w:val="-12"/>
                <w:w w:val="100"/>
                <w:sz w:val="17"/>
                <w:szCs w:val="17"/>
              </w:rPr>
              <w:t> </w:t>
            </w:r>
            <w:r>
              <w:rPr>
                <w:rFonts w:ascii="宋体" w:hAnsi="宋体" w:cs="宋体" w:eastAsia="宋体" w:hint="default"/>
                <w:sz w:val="17"/>
                <w:szCs w:val="17"/>
              </w:rPr>
              <w:t>债</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pacing w:val="-12"/>
                <w:sz w:val="17"/>
                <w:szCs w:val="17"/>
              </w:rPr>
              <w:t>其他</w:t>
            </w:r>
            <w:r>
              <w:rPr>
                <w:rFonts w:ascii="宋体" w:hAnsi="宋体" w:cs="宋体" w:eastAsia="宋体" w:hint="default"/>
                <w:sz w:val="17"/>
                <w:szCs w:val="17"/>
              </w:rPr>
            </w:r>
          </w:p>
        </w:tc>
        <w:tc>
          <w:tcPr>
            <w:tcW w:w="1302"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536"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7"/>
                <w:szCs w:val="17"/>
              </w:rPr>
            </w:pPr>
            <w:r>
              <w:rPr>
                <w:rFonts w:ascii="Times New Roman"/>
                <w:spacing w:val="-6"/>
                <w:sz w:val="17"/>
              </w:rPr>
              <w:t>403,059,644.00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384,344.40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618,814,990.37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265,017,689.99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-871,839.05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48,530,257.74</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298,062,242.14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8,345,400.27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7"/>
                <w:sz w:val="17"/>
              </w:rPr>
              <w:t>1,111,307,349.88</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2"/>
              <w:ind w:left="771"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34" w:lineRule="exact"/>
              <w:ind w:left="5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8"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3"/>
              <w:jc w:val="right"/>
              <w:rPr>
                <w:rFonts w:ascii="Times New Roman" w:hAnsi="Times New Roman" w:cs="Times New Roman" w:eastAsia="Times New Roman" w:hint="default"/>
                <w:sz w:val="17"/>
                <w:szCs w:val="17"/>
              </w:rPr>
            </w:pPr>
            <w:r>
              <w:rPr>
                <w:rFonts w:ascii="Times New Roman"/>
                <w:spacing w:val="-6"/>
                <w:sz w:val="17"/>
              </w:rPr>
              <w:t>403,059,644.00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384,344.40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618,814,990.37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265,017,689.99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-871,839.05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48,530,257.74</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298,062,242.14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8,345,400.27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7"/>
                <w:sz w:val="17"/>
              </w:rPr>
              <w:t>1,111,307,349.88</w:t>
            </w:r>
          </w:p>
        </w:tc>
      </w:tr>
      <w:tr>
        <w:trPr>
          <w:trHeight w:val="600" w:hRule="exact"/>
        </w:trPr>
        <w:tc>
          <w:tcPr>
            <w:tcW w:w="1999" w:type="dxa"/>
            <w:tcBorders>
              <w:top w:val="single" w:sz="4" w:space="0" w:color="000000"/>
              <w:left w:val="single" w:sz="4" w:space="0" w:color="000000"/>
              <w:bottom w:val="single" w:sz="4" w:space="0" w:color="000000"/>
              <w:right w:val="single" w:sz="25" w:space="0" w:color="FFFFFF"/>
            </w:tcBorders>
            <w:shd w:val="clear" w:color="auto" w:fill="D2D2D2"/>
          </w:tcPr>
          <w:p>
            <w:pPr>
              <w:pStyle w:val="TableParagraph"/>
              <w:spacing w:line="234" w:lineRule="exact" w:before="32"/>
              <w:ind w:left="5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4" w:lineRule="exact"/>
              <w:ind w:left="51" w:right="-64"/>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301" w:type="dxa"/>
            <w:tcBorders>
              <w:top w:val="single" w:sz="4" w:space="0" w:color="000000"/>
              <w:left w:val="single" w:sz="25"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6"/>
                <w:sz w:val="17"/>
              </w:rPr>
              <w:t>818,978.00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7"/>
                <w:sz w:val="17"/>
              </w:rPr>
              <w:t>11,968,465.55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-82,629,672.32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4,130,662.06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5,902,323.41</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44,265,803.50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7"/>
                <w:sz w:val="17"/>
              </w:rPr>
              <w:t>45,689,306.11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195,405,210.95</w:t>
            </w:r>
          </w:p>
        </w:tc>
      </w:tr>
      <w:tr>
        <w:trPr>
          <w:trHeight w:val="408"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4,130,662.06</w:t>
            </w: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78,044,301.23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-1,840,141.25</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7"/>
                <w:szCs w:val="17"/>
              </w:rPr>
            </w:pPr>
            <w:r>
              <w:rPr>
                <w:rFonts w:ascii="Times New Roman"/>
                <w:spacing w:val="-6"/>
                <w:sz w:val="17"/>
              </w:rPr>
              <w:t>80,334,822.04</w:t>
            </w:r>
          </w:p>
        </w:tc>
      </w:tr>
      <w:tr>
        <w:trPr>
          <w:trHeight w:val="600"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51" w:right="137"/>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6"/>
                <w:sz w:val="17"/>
              </w:rPr>
              <w:t>818,978.00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7"/>
                <w:sz w:val="17"/>
              </w:rPr>
              <w:t>11,968,465.55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-81,788,274.22</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47,529,447.36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142,105,165.13</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6"/>
                <w:sz w:val="17"/>
              </w:rPr>
              <w:t>45,054,386.76</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6"/>
                <w:sz w:val="17"/>
              </w:rPr>
              <w:t>45,054,386.76</w:t>
            </w:r>
          </w:p>
        </w:tc>
      </w:tr>
      <w:tr>
        <w:trPr>
          <w:trHeight w:val="6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51"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r>
    </w:tbl>
    <w:p>
      <w:pPr>
        <w:spacing w:after="0" w:line="240" w:lineRule="auto"/>
        <w:jc w:val="right"/>
        <w:rPr>
          <w:rFonts w:ascii="Times New Roman" w:hAnsi="Times New Roman" w:cs="Times New Roman" w:eastAsia="Times New Roman" w:hint="default"/>
          <w:sz w:val="17"/>
          <w:szCs w:val="17"/>
        </w:rPr>
        <w:sectPr>
          <w:headerReference w:type="default" r:id="rId18"/>
          <w:footerReference w:type="default" r:id="rId19"/>
          <w:pgSz w:w="16840" w:h="11910" w:orient="landscape"/>
          <w:pgMar w:header="877" w:footer="979" w:top="1100" w:bottom="1160" w:left="640" w:right="0"/>
          <w:pgNumType w:start="92"/>
        </w:sectPr>
      </w:pPr>
    </w:p>
    <w:p>
      <w:pPr>
        <w:spacing w:line="240" w:lineRule="auto" w:before="0"/>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999"/>
        <w:gridCol w:w="1301"/>
        <w:gridCol w:w="523"/>
        <w:gridCol w:w="523"/>
        <w:gridCol w:w="1004"/>
        <w:gridCol w:w="1302"/>
        <w:gridCol w:w="1302"/>
        <w:gridCol w:w="1130"/>
        <w:gridCol w:w="523"/>
        <w:gridCol w:w="1213"/>
        <w:gridCol w:w="536"/>
        <w:gridCol w:w="1310"/>
        <w:gridCol w:w="1214"/>
        <w:gridCol w:w="1430"/>
      </w:tblGrid>
      <w:tr>
        <w:trPr>
          <w:trHeight w:val="394"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12"/>
                <w:sz w:val="17"/>
                <w:szCs w:val="17"/>
              </w:rPr>
              <w:t>项目</w:t>
            </w:r>
            <w:r>
              <w:rPr>
                <w:rFonts w:ascii="宋体" w:hAnsi="宋体" w:cs="宋体" w:eastAsia="宋体" w:hint="default"/>
                <w:sz w:val="17"/>
                <w:szCs w:val="17"/>
              </w:rPr>
            </w:r>
          </w:p>
        </w:tc>
        <w:tc>
          <w:tcPr>
            <w:tcW w:w="1331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7"/>
                <w:szCs w:val="17"/>
              </w:rPr>
            </w:pPr>
            <w:r>
              <w:rPr>
                <w:rFonts w:ascii="宋体" w:hAnsi="宋体" w:cs="宋体" w:eastAsia="宋体" w:hint="default"/>
                <w:spacing w:val="-12"/>
                <w:sz w:val="17"/>
                <w:szCs w:val="17"/>
              </w:rPr>
              <w:t>本期</w:t>
            </w:r>
            <w:r>
              <w:rPr>
                <w:rFonts w:ascii="宋体" w:hAnsi="宋体" w:cs="宋体" w:eastAsia="宋体" w:hint="default"/>
                <w:sz w:val="17"/>
                <w:szCs w:val="17"/>
              </w:rPr>
            </w:r>
          </w:p>
        </w:tc>
      </w:tr>
      <w:tr>
        <w:trPr>
          <w:trHeight w:val="394" w:hRule="exact"/>
        </w:trPr>
        <w:tc>
          <w:tcPr>
            <w:tcW w:w="1999" w:type="dxa"/>
            <w:vMerge/>
            <w:tcBorders>
              <w:left w:val="single" w:sz="4" w:space="0" w:color="000000"/>
              <w:right w:val="single" w:sz="4" w:space="0" w:color="000000"/>
            </w:tcBorders>
            <w:shd w:val="clear" w:color="auto" w:fill="D2D2D2"/>
          </w:tcPr>
          <w:p>
            <w:pPr/>
          </w:p>
        </w:tc>
        <w:tc>
          <w:tcPr>
            <w:tcW w:w="106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3" w:right="0"/>
              <w:jc w:val="center"/>
              <w:rPr>
                <w:rFonts w:ascii="宋体" w:hAnsi="宋体" w:cs="宋体" w:eastAsia="宋体" w:hint="default"/>
                <w:sz w:val="17"/>
                <w:szCs w:val="17"/>
              </w:rPr>
            </w:pPr>
            <w:r>
              <w:rPr>
                <w:rFonts w:ascii="宋体" w:hAnsi="宋体" w:cs="宋体" w:eastAsia="宋体" w:hint="default"/>
                <w:spacing w:val="-12"/>
                <w:sz w:val="17"/>
                <w:szCs w:val="17"/>
              </w:rPr>
              <w:t>归属于母公司所有者权益</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8" w:right="0"/>
              <w:jc w:val="left"/>
              <w:rPr>
                <w:rFonts w:ascii="宋体" w:hAnsi="宋体" w:cs="宋体" w:eastAsia="宋体" w:hint="default"/>
                <w:sz w:val="17"/>
                <w:szCs w:val="17"/>
              </w:rPr>
            </w:pPr>
            <w:r>
              <w:rPr>
                <w:rFonts w:ascii="宋体" w:hAnsi="宋体" w:cs="宋体" w:eastAsia="宋体" w:hint="default"/>
                <w:spacing w:val="-11"/>
                <w:sz w:val="17"/>
                <w:szCs w:val="17"/>
              </w:rPr>
              <w:t>少数股东权益</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57" w:right="0"/>
              <w:jc w:val="left"/>
              <w:rPr>
                <w:rFonts w:ascii="宋体" w:hAnsi="宋体" w:cs="宋体" w:eastAsia="宋体" w:hint="default"/>
                <w:sz w:val="17"/>
                <w:szCs w:val="17"/>
              </w:rPr>
            </w:pPr>
            <w:r>
              <w:rPr>
                <w:rFonts w:ascii="宋体" w:hAnsi="宋体" w:cs="宋体" w:eastAsia="宋体" w:hint="default"/>
                <w:spacing w:val="-11"/>
                <w:sz w:val="17"/>
                <w:szCs w:val="17"/>
              </w:rPr>
              <w:t>所有者权益合计</w:t>
            </w:r>
          </w:p>
        </w:tc>
      </w:tr>
      <w:tr>
        <w:trPr>
          <w:trHeight w:val="407" w:hRule="exact"/>
        </w:trPr>
        <w:tc>
          <w:tcPr>
            <w:tcW w:w="1999" w:type="dxa"/>
            <w:vMerge/>
            <w:tcBorders>
              <w:left w:val="single" w:sz="4" w:space="0" w:color="000000"/>
              <w:right w:val="single" w:sz="4" w:space="0" w:color="000000"/>
            </w:tcBorders>
            <w:shd w:val="clear" w:color="auto" w:fill="D2D2D2"/>
          </w:tcPr>
          <w:p>
            <w:pP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12"/>
                <w:sz w:val="17"/>
                <w:szCs w:val="17"/>
              </w:rPr>
              <w:t>股本</w:t>
            </w:r>
            <w:r>
              <w:rPr>
                <w:rFonts w:ascii="宋体" w:hAnsi="宋体" w:cs="宋体" w:eastAsia="宋体" w:hint="default"/>
                <w:sz w:val="17"/>
                <w:szCs w:val="17"/>
              </w:rPr>
            </w:r>
          </w:p>
        </w:tc>
        <w:tc>
          <w:tcPr>
            <w:tcW w:w="2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545" w:right="0"/>
              <w:jc w:val="left"/>
              <w:rPr>
                <w:rFonts w:ascii="宋体" w:hAnsi="宋体" w:cs="宋体" w:eastAsia="宋体" w:hint="default"/>
                <w:sz w:val="17"/>
                <w:szCs w:val="17"/>
              </w:rPr>
            </w:pPr>
            <w:r>
              <w:rPr>
                <w:rFonts w:ascii="宋体" w:hAnsi="宋体" w:cs="宋体" w:eastAsia="宋体" w:hint="default"/>
                <w:spacing w:val="-11"/>
                <w:sz w:val="17"/>
                <w:szCs w:val="17"/>
              </w:rPr>
              <w:t>其他权益工具</w:t>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29" w:right="0"/>
              <w:jc w:val="left"/>
              <w:rPr>
                <w:rFonts w:ascii="宋体" w:hAnsi="宋体" w:cs="宋体" w:eastAsia="宋体" w:hint="default"/>
                <w:sz w:val="17"/>
                <w:szCs w:val="17"/>
              </w:rPr>
            </w:pPr>
            <w:r>
              <w:rPr>
                <w:rFonts w:ascii="宋体" w:hAnsi="宋体" w:cs="宋体" w:eastAsia="宋体" w:hint="default"/>
                <w:spacing w:val="-12"/>
                <w:sz w:val="17"/>
                <w:szCs w:val="17"/>
              </w:rPr>
              <w:t>资本公积</w:t>
            </w:r>
            <w:r>
              <w:rPr>
                <w:rFonts w:ascii="宋体" w:hAnsi="宋体" w:cs="宋体" w:eastAsia="宋体" w:hint="default"/>
                <w:sz w:val="17"/>
                <w:szCs w:val="17"/>
              </w:rPr>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52" w:right="0"/>
              <w:jc w:val="left"/>
              <w:rPr>
                <w:rFonts w:ascii="宋体" w:hAnsi="宋体" w:cs="宋体" w:eastAsia="宋体" w:hint="default"/>
                <w:sz w:val="17"/>
                <w:szCs w:val="17"/>
              </w:rPr>
            </w:pPr>
            <w:r>
              <w:rPr>
                <w:rFonts w:ascii="宋体" w:hAnsi="宋体" w:cs="宋体" w:eastAsia="宋体" w:hint="default"/>
                <w:spacing w:val="-10"/>
                <w:sz w:val="17"/>
                <w:szCs w:val="17"/>
              </w:rPr>
              <w:t>减：库存股</w:t>
            </w:r>
          </w:p>
        </w:tc>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6" w:right="0"/>
              <w:jc w:val="left"/>
              <w:rPr>
                <w:rFonts w:ascii="宋体" w:hAnsi="宋体" w:cs="宋体" w:eastAsia="宋体" w:hint="default"/>
                <w:sz w:val="17"/>
                <w:szCs w:val="17"/>
              </w:rPr>
            </w:pPr>
            <w:r>
              <w:rPr>
                <w:rFonts w:ascii="宋体" w:hAnsi="宋体" w:cs="宋体" w:eastAsia="宋体" w:hint="default"/>
                <w:spacing w:val="-11"/>
                <w:sz w:val="17"/>
                <w:szCs w:val="17"/>
              </w:rPr>
              <w:t>其他综合收益</w:t>
            </w: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8" w:right="96"/>
              <w:jc w:val="left"/>
              <w:rPr>
                <w:rFonts w:ascii="宋体" w:hAnsi="宋体" w:cs="宋体" w:eastAsia="宋体" w:hint="default"/>
                <w:sz w:val="17"/>
                <w:szCs w:val="17"/>
              </w:rPr>
            </w:pPr>
            <w:r>
              <w:rPr>
                <w:rFonts w:ascii="宋体" w:hAnsi="宋体" w:cs="宋体" w:eastAsia="宋体" w:hint="default"/>
                <w:spacing w:val="-12"/>
                <w:sz w:val="17"/>
                <w:szCs w:val="17"/>
              </w:rPr>
              <w:t>专项</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储备</w:t>
            </w:r>
            <w:r>
              <w:rPr>
                <w:rFonts w:ascii="宋体" w:hAnsi="宋体" w:cs="宋体" w:eastAsia="宋体" w:hint="default"/>
                <w:sz w:val="17"/>
                <w:szCs w:val="17"/>
              </w:rPr>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5" w:right="0"/>
              <w:jc w:val="left"/>
              <w:rPr>
                <w:rFonts w:ascii="宋体" w:hAnsi="宋体" w:cs="宋体" w:eastAsia="宋体" w:hint="default"/>
                <w:sz w:val="17"/>
                <w:szCs w:val="17"/>
              </w:rPr>
            </w:pPr>
            <w:r>
              <w:rPr>
                <w:rFonts w:ascii="宋体" w:hAnsi="宋体" w:cs="宋体" w:eastAsia="宋体" w:hint="default"/>
                <w:spacing w:val="-12"/>
                <w:sz w:val="17"/>
                <w:szCs w:val="17"/>
              </w:rPr>
              <w:t>盈余公积</w:t>
            </w:r>
            <w:r>
              <w:rPr>
                <w:rFonts w:ascii="宋体" w:hAnsi="宋体" w:cs="宋体" w:eastAsia="宋体" w:hint="default"/>
                <w:sz w:val="17"/>
                <w:szCs w:val="17"/>
              </w:rPr>
            </w:r>
          </w:p>
        </w:tc>
        <w:tc>
          <w:tcPr>
            <w:tcW w:w="5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0"/>
              <w:ind w:left="105" w:right="102"/>
              <w:jc w:val="both"/>
              <w:rPr>
                <w:rFonts w:ascii="宋体" w:hAnsi="宋体" w:cs="宋体" w:eastAsia="宋体" w:hint="default"/>
                <w:sz w:val="17"/>
                <w:szCs w:val="17"/>
              </w:rPr>
            </w:pPr>
            <w:r>
              <w:rPr>
                <w:rFonts w:ascii="宋体" w:hAnsi="宋体" w:cs="宋体" w:eastAsia="宋体" w:hint="default"/>
                <w:spacing w:val="-12"/>
                <w:sz w:val="17"/>
                <w:szCs w:val="17"/>
              </w:rPr>
              <w:t>一般</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风险</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准备</w:t>
            </w:r>
            <w:r>
              <w:rPr>
                <w:rFonts w:ascii="宋体" w:hAnsi="宋体" w:cs="宋体" w:eastAsia="宋体" w:hint="default"/>
                <w:sz w:val="17"/>
                <w:szCs w:val="17"/>
              </w:rPr>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55" w:right="0"/>
              <w:jc w:val="left"/>
              <w:rPr>
                <w:rFonts w:ascii="宋体" w:hAnsi="宋体" w:cs="宋体" w:eastAsia="宋体" w:hint="default"/>
                <w:sz w:val="17"/>
                <w:szCs w:val="17"/>
              </w:rPr>
            </w:pPr>
            <w:r>
              <w:rPr>
                <w:rFonts w:ascii="宋体" w:hAnsi="宋体" w:cs="宋体" w:eastAsia="宋体" w:hint="default"/>
                <w:spacing w:val="-10"/>
                <w:sz w:val="17"/>
                <w:szCs w:val="17"/>
              </w:rPr>
              <w:t>未分配利润</w:t>
            </w:r>
          </w:p>
        </w:tc>
        <w:tc>
          <w:tcPr>
            <w:tcW w:w="1214"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r>
      <w:tr>
        <w:trPr>
          <w:trHeight w:val="588"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70"/>
              <w:ind w:left="176" w:right="96" w:hanging="78"/>
              <w:jc w:val="left"/>
              <w:rPr>
                <w:rFonts w:ascii="宋体" w:hAnsi="宋体" w:cs="宋体" w:eastAsia="宋体" w:hint="default"/>
                <w:sz w:val="17"/>
                <w:szCs w:val="17"/>
              </w:rPr>
            </w:pPr>
            <w:r>
              <w:rPr>
                <w:rFonts w:ascii="宋体" w:hAnsi="宋体" w:cs="宋体" w:eastAsia="宋体" w:hint="default"/>
                <w:spacing w:val="-12"/>
                <w:sz w:val="17"/>
                <w:szCs w:val="17"/>
              </w:rPr>
              <w:t>优先</w:t>
            </w:r>
            <w:r>
              <w:rPr>
                <w:rFonts w:ascii="宋体" w:hAnsi="宋体" w:cs="宋体" w:eastAsia="宋体" w:hint="default"/>
                <w:spacing w:val="-12"/>
                <w:w w:val="100"/>
                <w:sz w:val="17"/>
                <w:szCs w:val="17"/>
              </w:rPr>
              <w:t> </w:t>
            </w:r>
            <w:r>
              <w:rPr>
                <w:rFonts w:ascii="宋体" w:hAnsi="宋体" w:cs="宋体" w:eastAsia="宋体" w:hint="default"/>
                <w:sz w:val="17"/>
                <w:szCs w:val="17"/>
              </w:rPr>
              <w:t>股</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70"/>
              <w:ind w:left="177" w:right="96" w:hanging="80"/>
              <w:jc w:val="left"/>
              <w:rPr>
                <w:rFonts w:ascii="宋体" w:hAnsi="宋体" w:cs="宋体" w:eastAsia="宋体" w:hint="default"/>
                <w:sz w:val="17"/>
                <w:szCs w:val="17"/>
              </w:rPr>
            </w:pPr>
            <w:r>
              <w:rPr>
                <w:rFonts w:ascii="宋体" w:hAnsi="宋体" w:cs="宋体" w:eastAsia="宋体" w:hint="default"/>
                <w:spacing w:val="-12"/>
                <w:sz w:val="17"/>
                <w:szCs w:val="17"/>
              </w:rPr>
              <w:t>永续</w:t>
            </w:r>
            <w:r>
              <w:rPr>
                <w:rFonts w:ascii="宋体" w:hAnsi="宋体" w:cs="宋体" w:eastAsia="宋体" w:hint="default"/>
                <w:spacing w:val="-12"/>
                <w:w w:val="100"/>
                <w:sz w:val="17"/>
                <w:szCs w:val="17"/>
              </w:rPr>
              <w:t> </w:t>
            </w:r>
            <w:r>
              <w:rPr>
                <w:rFonts w:ascii="宋体" w:hAnsi="宋体" w:cs="宋体" w:eastAsia="宋体" w:hint="default"/>
                <w:sz w:val="17"/>
                <w:szCs w:val="17"/>
              </w:rPr>
              <w:t>债</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pacing w:val="-12"/>
                <w:sz w:val="17"/>
                <w:szCs w:val="17"/>
              </w:rPr>
              <w:t>其他</w:t>
            </w:r>
            <w:r>
              <w:rPr>
                <w:rFonts w:ascii="宋体" w:hAnsi="宋体" w:cs="宋体" w:eastAsia="宋体" w:hint="default"/>
                <w:sz w:val="17"/>
                <w:szCs w:val="17"/>
              </w:rPr>
            </w:r>
          </w:p>
        </w:tc>
        <w:tc>
          <w:tcPr>
            <w:tcW w:w="1302"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536"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r>
      <w:tr>
        <w:trPr>
          <w:trHeight w:val="600"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51"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6"/>
                <w:sz w:val="17"/>
              </w:rPr>
              <w:t>2,685,000.00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21,026,245.43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-81,788,274.22</w:t>
            </w: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61,207.37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105,560,727.02</w:t>
            </w:r>
          </w:p>
        </w:tc>
      </w:tr>
      <w:tr>
        <w:trPr>
          <w:trHeight w:val="408"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3"/>
              <w:jc w:val="right"/>
              <w:rPr>
                <w:rFonts w:ascii="Times New Roman" w:hAnsi="Times New Roman" w:cs="Times New Roman" w:eastAsia="Times New Roman" w:hint="default"/>
                <w:sz w:val="17"/>
                <w:szCs w:val="17"/>
              </w:rPr>
            </w:pPr>
            <w:r>
              <w:rPr>
                <w:rFonts w:ascii="Times New Roman"/>
                <w:spacing w:val="-6"/>
                <w:sz w:val="17"/>
              </w:rPr>
              <w:t>-1,866,022.00</w:t>
            </w: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6"/>
                <w:sz w:val="17"/>
              </w:rPr>
              <w:t>-9,057,779.88</w:t>
            </w: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6"/>
                <w:sz w:val="17"/>
              </w:rPr>
              <w:t>2,413,853.23</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6"/>
                <w:sz w:val="17"/>
              </w:rPr>
              <w:t>-8,509,948.65</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-841,398.10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5,902,323.41</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-33,778,497.73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-27,034,776.22</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5,902,323.41</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-5,902,323.41</w:t>
            </w: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51"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-841,398.10</w:t>
            </w: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-27,876,174.32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6"/>
                <w:sz w:val="17"/>
              </w:rPr>
              <w:t>-27,034,776.22</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6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51" w:right="137"/>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600"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32"/>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5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6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33"/>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51"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8"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3"/>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01"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r>
    </w:tbl>
    <w:p>
      <w:pPr>
        <w:spacing w:after="0" w:line="240" w:lineRule="auto"/>
        <w:jc w:val="right"/>
        <w:rPr>
          <w:rFonts w:ascii="Times New Roman" w:hAnsi="Times New Roman" w:cs="Times New Roman" w:eastAsia="Times New Roman" w:hint="default"/>
          <w:sz w:val="17"/>
          <w:szCs w:val="17"/>
        </w:rPr>
        <w:sectPr>
          <w:pgSz w:w="16840" w:h="11910" w:orient="landscape"/>
          <w:pgMar w:header="877" w:footer="979" w:top="1100" w:bottom="1160" w:left="640" w:right="0"/>
        </w:sectPr>
      </w:pPr>
    </w:p>
    <w:p>
      <w:pPr>
        <w:spacing w:line="240" w:lineRule="auto" w:before="0"/>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999"/>
        <w:gridCol w:w="1302"/>
        <w:gridCol w:w="523"/>
        <w:gridCol w:w="523"/>
        <w:gridCol w:w="1004"/>
        <w:gridCol w:w="1302"/>
        <w:gridCol w:w="1302"/>
        <w:gridCol w:w="1130"/>
        <w:gridCol w:w="523"/>
        <w:gridCol w:w="1213"/>
        <w:gridCol w:w="536"/>
        <w:gridCol w:w="1310"/>
        <w:gridCol w:w="1214"/>
        <w:gridCol w:w="1430"/>
      </w:tblGrid>
      <w:tr>
        <w:trPr>
          <w:trHeight w:val="394"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pacing w:val="-12"/>
                <w:sz w:val="17"/>
                <w:szCs w:val="17"/>
              </w:rPr>
              <w:t>项目</w:t>
            </w:r>
            <w:r>
              <w:rPr>
                <w:rFonts w:ascii="宋体" w:hAnsi="宋体" w:cs="宋体" w:eastAsia="宋体" w:hint="default"/>
                <w:sz w:val="17"/>
                <w:szCs w:val="17"/>
              </w:rPr>
            </w:r>
          </w:p>
        </w:tc>
        <w:tc>
          <w:tcPr>
            <w:tcW w:w="1331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 w:right="0"/>
              <w:jc w:val="center"/>
              <w:rPr>
                <w:rFonts w:ascii="宋体" w:hAnsi="宋体" w:cs="宋体" w:eastAsia="宋体" w:hint="default"/>
                <w:sz w:val="17"/>
                <w:szCs w:val="17"/>
              </w:rPr>
            </w:pPr>
            <w:r>
              <w:rPr>
                <w:rFonts w:ascii="宋体" w:hAnsi="宋体" w:cs="宋体" w:eastAsia="宋体" w:hint="default"/>
                <w:spacing w:val="-12"/>
                <w:sz w:val="17"/>
                <w:szCs w:val="17"/>
              </w:rPr>
              <w:t>本期</w:t>
            </w:r>
            <w:r>
              <w:rPr>
                <w:rFonts w:ascii="宋体" w:hAnsi="宋体" w:cs="宋体" w:eastAsia="宋体" w:hint="default"/>
                <w:sz w:val="17"/>
                <w:szCs w:val="17"/>
              </w:rPr>
            </w:r>
          </w:p>
        </w:tc>
      </w:tr>
      <w:tr>
        <w:trPr>
          <w:trHeight w:val="394" w:hRule="exact"/>
        </w:trPr>
        <w:tc>
          <w:tcPr>
            <w:tcW w:w="1999" w:type="dxa"/>
            <w:vMerge/>
            <w:tcBorders>
              <w:left w:val="single" w:sz="4" w:space="0" w:color="000000"/>
              <w:right w:val="single" w:sz="4" w:space="0" w:color="000000"/>
            </w:tcBorders>
            <w:shd w:val="clear" w:color="auto" w:fill="D2D2D2"/>
          </w:tcPr>
          <w:p>
            <w:pPr/>
          </w:p>
        </w:tc>
        <w:tc>
          <w:tcPr>
            <w:tcW w:w="106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4" w:right="0"/>
              <w:jc w:val="center"/>
              <w:rPr>
                <w:rFonts w:ascii="宋体" w:hAnsi="宋体" w:cs="宋体" w:eastAsia="宋体" w:hint="default"/>
                <w:sz w:val="17"/>
                <w:szCs w:val="17"/>
              </w:rPr>
            </w:pPr>
            <w:r>
              <w:rPr>
                <w:rFonts w:ascii="宋体" w:hAnsi="宋体" w:cs="宋体" w:eastAsia="宋体" w:hint="default"/>
                <w:spacing w:val="-12"/>
                <w:sz w:val="17"/>
                <w:szCs w:val="17"/>
              </w:rPr>
              <w:t>归属于母公司所有者权益</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8" w:right="0"/>
              <w:jc w:val="left"/>
              <w:rPr>
                <w:rFonts w:ascii="宋体" w:hAnsi="宋体" w:cs="宋体" w:eastAsia="宋体" w:hint="default"/>
                <w:sz w:val="17"/>
                <w:szCs w:val="17"/>
              </w:rPr>
            </w:pPr>
            <w:r>
              <w:rPr>
                <w:rFonts w:ascii="宋体" w:hAnsi="宋体" w:cs="宋体" w:eastAsia="宋体" w:hint="default"/>
                <w:spacing w:val="-11"/>
                <w:sz w:val="17"/>
                <w:szCs w:val="17"/>
              </w:rPr>
              <w:t>少数股东权益</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57" w:right="0"/>
              <w:jc w:val="left"/>
              <w:rPr>
                <w:rFonts w:ascii="宋体" w:hAnsi="宋体" w:cs="宋体" w:eastAsia="宋体" w:hint="default"/>
                <w:sz w:val="17"/>
                <w:szCs w:val="17"/>
              </w:rPr>
            </w:pPr>
            <w:r>
              <w:rPr>
                <w:rFonts w:ascii="宋体" w:hAnsi="宋体" w:cs="宋体" w:eastAsia="宋体" w:hint="default"/>
                <w:spacing w:val="-11"/>
                <w:sz w:val="17"/>
                <w:szCs w:val="17"/>
              </w:rPr>
              <w:t>所有者权益合计</w:t>
            </w:r>
          </w:p>
        </w:tc>
      </w:tr>
      <w:tr>
        <w:trPr>
          <w:trHeight w:val="407" w:hRule="exact"/>
        </w:trPr>
        <w:tc>
          <w:tcPr>
            <w:tcW w:w="1999" w:type="dxa"/>
            <w:vMerge/>
            <w:tcBorders>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pacing w:val="-12"/>
                <w:sz w:val="17"/>
                <w:szCs w:val="17"/>
              </w:rPr>
              <w:t>股本</w:t>
            </w:r>
            <w:r>
              <w:rPr>
                <w:rFonts w:ascii="宋体" w:hAnsi="宋体" w:cs="宋体" w:eastAsia="宋体" w:hint="default"/>
                <w:sz w:val="17"/>
                <w:szCs w:val="17"/>
              </w:rPr>
            </w:r>
          </w:p>
        </w:tc>
        <w:tc>
          <w:tcPr>
            <w:tcW w:w="2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545" w:right="0"/>
              <w:jc w:val="left"/>
              <w:rPr>
                <w:rFonts w:ascii="宋体" w:hAnsi="宋体" w:cs="宋体" w:eastAsia="宋体" w:hint="default"/>
                <w:sz w:val="17"/>
                <w:szCs w:val="17"/>
              </w:rPr>
            </w:pPr>
            <w:r>
              <w:rPr>
                <w:rFonts w:ascii="宋体" w:hAnsi="宋体" w:cs="宋体" w:eastAsia="宋体" w:hint="default"/>
                <w:spacing w:val="-11"/>
                <w:sz w:val="17"/>
                <w:szCs w:val="17"/>
              </w:rPr>
              <w:t>其他权益工具</w:t>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29" w:right="0"/>
              <w:jc w:val="left"/>
              <w:rPr>
                <w:rFonts w:ascii="宋体" w:hAnsi="宋体" w:cs="宋体" w:eastAsia="宋体" w:hint="default"/>
                <w:sz w:val="17"/>
                <w:szCs w:val="17"/>
              </w:rPr>
            </w:pPr>
            <w:r>
              <w:rPr>
                <w:rFonts w:ascii="宋体" w:hAnsi="宋体" w:cs="宋体" w:eastAsia="宋体" w:hint="default"/>
                <w:spacing w:val="-12"/>
                <w:sz w:val="17"/>
                <w:szCs w:val="17"/>
              </w:rPr>
              <w:t>资本公积</w:t>
            </w:r>
            <w:r>
              <w:rPr>
                <w:rFonts w:ascii="宋体" w:hAnsi="宋体" w:cs="宋体" w:eastAsia="宋体" w:hint="default"/>
                <w:sz w:val="17"/>
                <w:szCs w:val="17"/>
              </w:rPr>
            </w:r>
          </w:p>
        </w:tc>
        <w:tc>
          <w:tcPr>
            <w:tcW w:w="13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52" w:right="0"/>
              <w:jc w:val="left"/>
              <w:rPr>
                <w:rFonts w:ascii="宋体" w:hAnsi="宋体" w:cs="宋体" w:eastAsia="宋体" w:hint="default"/>
                <w:sz w:val="17"/>
                <w:szCs w:val="17"/>
              </w:rPr>
            </w:pPr>
            <w:r>
              <w:rPr>
                <w:rFonts w:ascii="宋体" w:hAnsi="宋体" w:cs="宋体" w:eastAsia="宋体" w:hint="default"/>
                <w:spacing w:val="-10"/>
                <w:sz w:val="17"/>
                <w:szCs w:val="17"/>
              </w:rPr>
              <w:t>减：库存股</w:t>
            </w:r>
          </w:p>
        </w:tc>
        <w:tc>
          <w:tcPr>
            <w:tcW w:w="1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6" w:right="0"/>
              <w:jc w:val="left"/>
              <w:rPr>
                <w:rFonts w:ascii="宋体" w:hAnsi="宋体" w:cs="宋体" w:eastAsia="宋体" w:hint="default"/>
                <w:sz w:val="17"/>
                <w:szCs w:val="17"/>
              </w:rPr>
            </w:pPr>
            <w:r>
              <w:rPr>
                <w:rFonts w:ascii="宋体" w:hAnsi="宋体" w:cs="宋体" w:eastAsia="宋体" w:hint="default"/>
                <w:spacing w:val="-11"/>
                <w:sz w:val="17"/>
                <w:szCs w:val="17"/>
              </w:rPr>
              <w:t>其他综合收益</w:t>
            </w: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98" w:right="96"/>
              <w:jc w:val="left"/>
              <w:rPr>
                <w:rFonts w:ascii="宋体" w:hAnsi="宋体" w:cs="宋体" w:eastAsia="宋体" w:hint="default"/>
                <w:sz w:val="17"/>
                <w:szCs w:val="17"/>
              </w:rPr>
            </w:pPr>
            <w:r>
              <w:rPr>
                <w:rFonts w:ascii="宋体" w:hAnsi="宋体" w:cs="宋体" w:eastAsia="宋体" w:hint="default"/>
                <w:spacing w:val="-12"/>
                <w:sz w:val="17"/>
                <w:szCs w:val="17"/>
              </w:rPr>
              <w:t>专项</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储备</w:t>
            </w:r>
            <w:r>
              <w:rPr>
                <w:rFonts w:ascii="宋体" w:hAnsi="宋体" w:cs="宋体" w:eastAsia="宋体" w:hint="default"/>
                <w:sz w:val="17"/>
                <w:szCs w:val="17"/>
              </w:rPr>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5" w:right="0"/>
              <w:jc w:val="left"/>
              <w:rPr>
                <w:rFonts w:ascii="宋体" w:hAnsi="宋体" w:cs="宋体" w:eastAsia="宋体" w:hint="default"/>
                <w:sz w:val="17"/>
                <w:szCs w:val="17"/>
              </w:rPr>
            </w:pPr>
            <w:r>
              <w:rPr>
                <w:rFonts w:ascii="宋体" w:hAnsi="宋体" w:cs="宋体" w:eastAsia="宋体" w:hint="default"/>
                <w:spacing w:val="-12"/>
                <w:sz w:val="17"/>
                <w:szCs w:val="17"/>
              </w:rPr>
              <w:t>盈余公积</w:t>
            </w:r>
            <w:r>
              <w:rPr>
                <w:rFonts w:ascii="宋体" w:hAnsi="宋体" w:cs="宋体" w:eastAsia="宋体" w:hint="default"/>
                <w:sz w:val="17"/>
                <w:szCs w:val="17"/>
              </w:rPr>
            </w:r>
          </w:p>
        </w:tc>
        <w:tc>
          <w:tcPr>
            <w:tcW w:w="5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0"/>
              <w:ind w:left="105" w:right="102"/>
              <w:jc w:val="both"/>
              <w:rPr>
                <w:rFonts w:ascii="宋体" w:hAnsi="宋体" w:cs="宋体" w:eastAsia="宋体" w:hint="default"/>
                <w:sz w:val="17"/>
                <w:szCs w:val="17"/>
              </w:rPr>
            </w:pPr>
            <w:r>
              <w:rPr>
                <w:rFonts w:ascii="宋体" w:hAnsi="宋体" w:cs="宋体" w:eastAsia="宋体" w:hint="default"/>
                <w:spacing w:val="-12"/>
                <w:sz w:val="17"/>
                <w:szCs w:val="17"/>
              </w:rPr>
              <w:t>一般</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风险</w:t>
            </w:r>
            <w:r>
              <w:rPr>
                <w:rFonts w:ascii="宋体" w:hAnsi="宋体" w:cs="宋体" w:eastAsia="宋体" w:hint="default"/>
                <w:spacing w:val="-12"/>
                <w:w w:val="100"/>
                <w:sz w:val="17"/>
                <w:szCs w:val="17"/>
              </w:rPr>
              <w:t> </w:t>
            </w:r>
            <w:r>
              <w:rPr>
                <w:rFonts w:ascii="宋体" w:hAnsi="宋体" w:cs="宋体" w:eastAsia="宋体" w:hint="default"/>
                <w:spacing w:val="-12"/>
                <w:sz w:val="17"/>
                <w:szCs w:val="17"/>
              </w:rPr>
              <w:t>准备</w:t>
            </w:r>
            <w:r>
              <w:rPr>
                <w:rFonts w:ascii="宋体" w:hAnsi="宋体" w:cs="宋体" w:eastAsia="宋体" w:hint="default"/>
                <w:sz w:val="17"/>
                <w:szCs w:val="17"/>
              </w:rPr>
            </w: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55" w:right="0"/>
              <w:jc w:val="left"/>
              <w:rPr>
                <w:rFonts w:ascii="宋体" w:hAnsi="宋体" w:cs="宋体" w:eastAsia="宋体" w:hint="default"/>
                <w:sz w:val="17"/>
                <w:szCs w:val="17"/>
              </w:rPr>
            </w:pPr>
            <w:r>
              <w:rPr>
                <w:rFonts w:ascii="宋体" w:hAnsi="宋体" w:cs="宋体" w:eastAsia="宋体" w:hint="default"/>
                <w:spacing w:val="-10"/>
                <w:sz w:val="17"/>
                <w:szCs w:val="17"/>
              </w:rPr>
              <w:t>未分配利润</w:t>
            </w:r>
          </w:p>
        </w:tc>
        <w:tc>
          <w:tcPr>
            <w:tcW w:w="1214" w:type="dxa"/>
            <w:vMerge/>
            <w:tcBorders>
              <w:left w:val="single" w:sz="4" w:space="0" w:color="000000"/>
              <w:right w:val="single" w:sz="4" w:space="0" w:color="000000"/>
            </w:tcBorders>
            <w:shd w:val="clear" w:color="auto" w:fill="D2D2D2"/>
          </w:tcPr>
          <w:p>
            <w:pPr/>
          </w:p>
        </w:tc>
        <w:tc>
          <w:tcPr>
            <w:tcW w:w="1430" w:type="dxa"/>
            <w:vMerge/>
            <w:tcBorders>
              <w:left w:val="single" w:sz="4" w:space="0" w:color="000000"/>
              <w:right w:val="single" w:sz="4" w:space="0" w:color="000000"/>
            </w:tcBorders>
            <w:shd w:val="clear" w:color="auto" w:fill="D2D2D2"/>
          </w:tcPr>
          <w:p>
            <w:pPr/>
          </w:p>
        </w:tc>
      </w:tr>
      <w:tr>
        <w:trPr>
          <w:trHeight w:val="588"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70"/>
              <w:ind w:left="176" w:right="96" w:hanging="78"/>
              <w:jc w:val="left"/>
              <w:rPr>
                <w:rFonts w:ascii="宋体" w:hAnsi="宋体" w:cs="宋体" w:eastAsia="宋体" w:hint="default"/>
                <w:sz w:val="17"/>
                <w:szCs w:val="17"/>
              </w:rPr>
            </w:pPr>
            <w:r>
              <w:rPr>
                <w:rFonts w:ascii="宋体" w:hAnsi="宋体" w:cs="宋体" w:eastAsia="宋体" w:hint="default"/>
                <w:spacing w:val="-12"/>
                <w:sz w:val="17"/>
                <w:szCs w:val="17"/>
              </w:rPr>
              <w:t>优先</w:t>
            </w:r>
            <w:r>
              <w:rPr>
                <w:rFonts w:ascii="宋体" w:hAnsi="宋体" w:cs="宋体" w:eastAsia="宋体" w:hint="default"/>
                <w:spacing w:val="-12"/>
                <w:w w:val="100"/>
                <w:sz w:val="17"/>
                <w:szCs w:val="17"/>
              </w:rPr>
              <w:t> </w:t>
            </w:r>
            <w:r>
              <w:rPr>
                <w:rFonts w:ascii="宋体" w:hAnsi="宋体" w:cs="宋体" w:eastAsia="宋体" w:hint="default"/>
                <w:sz w:val="17"/>
                <w:szCs w:val="17"/>
              </w:rPr>
              <w:t>股</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70"/>
              <w:ind w:left="177" w:right="96" w:hanging="80"/>
              <w:jc w:val="left"/>
              <w:rPr>
                <w:rFonts w:ascii="宋体" w:hAnsi="宋体" w:cs="宋体" w:eastAsia="宋体" w:hint="default"/>
                <w:sz w:val="17"/>
                <w:szCs w:val="17"/>
              </w:rPr>
            </w:pPr>
            <w:r>
              <w:rPr>
                <w:rFonts w:ascii="宋体" w:hAnsi="宋体" w:cs="宋体" w:eastAsia="宋体" w:hint="default"/>
                <w:spacing w:val="-12"/>
                <w:sz w:val="17"/>
                <w:szCs w:val="17"/>
              </w:rPr>
              <w:t>永续</w:t>
            </w:r>
            <w:r>
              <w:rPr>
                <w:rFonts w:ascii="宋体" w:hAnsi="宋体" w:cs="宋体" w:eastAsia="宋体" w:hint="default"/>
                <w:spacing w:val="-12"/>
                <w:w w:val="100"/>
                <w:sz w:val="17"/>
                <w:szCs w:val="17"/>
              </w:rPr>
              <w:t> </w:t>
            </w:r>
            <w:r>
              <w:rPr>
                <w:rFonts w:ascii="宋体" w:hAnsi="宋体" w:cs="宋体" w:eastAsia="宋体" w:hint="default"/>
                <w:sz w:val="17"/>
                <w:szCs w:val="17"/>
              </w:rPr>
              <w:t>债</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pacing w:val="-12"/>
                <w:sz w:val="17"/>
                <w:szCs w:val="17"/>
              </w:rPr>
              <w:t>其他</w:t>
            </w:r>
            <w:r>
              <w:rPr>
                <w:rFonts w:ascii="宋体" w:hAnsi="宋体" w:cs="宋体" w:eastAsia="宋体" w:hint="default"/>
                <w:sz w:val="17"/>
                <w:szCs w:val="17"/>
              </w:rPr>
            </w:r>
          </w:p>
        </w:tc>
        <w:tc>
          <w:tcPr>
            <w:tcW w:w="1302"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130"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536" w:type="dxa"/>
            <w:vMerge/>
            <w:tcBorders>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0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5"/>
                <w:sz w:val="17"/>
              </w:rPr>
              <w:t>0.00</w:t>
            </w:r>
          </w:p>
        </w:tc>
      </w:tr>
      <w:tr>
        <w:trPr>
          <w:trHeight w:val="407"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1" w:right="0"/>
              <w:jc w:val="left"/>
              <w:rPr>
                <w:rFonts w:ascii="Times New Roman" w:hAnsi="Times New Roman" w:cs="Times New Roman" w:eastAsia="Times New Roman" w:hint="default"/>
                <w:sz w:val="17"/>
                <w:szCs w:val="17"/>
              </w:rPr>
            </w:pPr>
            <w:r>
              <w:rPr>
                <w:rFonts w:ascii="Times New Roman"/>
                <w:spacing w:val="-6"/>
                <w:sz w:val="17"/>
              </w:rPr>
              <w:t>403,878,622.00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7" w:right="0"/>
              <w:jc w:val="left"/>
              <w:rPr>
                <w:rFonts w:ascii="Times New Roman" w:hAnsi="Times New Roman" w:cs="Times New Roman" w:eastAsia="Times New Roman" w:hint="default"/>
                <w:sz w:val="17"/>
                <w:szCs w:val="17"/>
              </w:rPr>
            </w:pPr>
            <w:r>
              <w:rPr>
                <w:rFonts w:ascii="Times New Roman"/>
                <w:spacing w:val="-5"/>
                <w:sz w:val="17"/>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8" w:right="0"/>
              <w:jc w:val="left"/>
              <w:rPr>
                <w:rFonts w:ascii="Times New Roman" w:hAnsi="Times New Roman" w:cs="Times New Roman" w:eastAsia="Times New Roman" w:hint="default"/>
                <w:sz w:val="17"/>
                <w:szCs w:val="17"/>
              </w:rPr>
            </w:pPr>
            <w:r>
              <w:rPr>
                <w:rFonts w:ascii="Times New Roman"/>
                <w:spacing w:val="-5"/>
                <w:sz w:val="17"/>
              </w:rPr>
              <w:t>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38" w:right="0"/>
              <w:jc w:val="left"/>
              <w:rPr>
                <w:rFonts w:ascii="Times New Roman" w:hAnsi="Times New Roman" w:cs="Times New Roman" w:eastAsia="Times New Roman" w:hint="default"/>
                <w:sz w:val="17"/>
                <w:szCs w:val="17"/>
              </w:rPr>
            </w:pPr>
            <w:r>
              <w:rPr>
                <w:rFonts w:ascii="Times New Roman"/>
                <w:spacing w:val="-6"/>
                <w:sz w:val="17"/>
              </w:rPr>
              <w:t>384,344.40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2" w:right="0"/>
              <w:jc w:val="left"/>
              <w:rPr>
                <w:rFonts w:ascii="Times New Roman" w:hAnsi="Times New Roman" w:cs="Times New Roman" w:eastAsia="Times New Roman" w:hint="default"/>
                <w:sz w:val="17"/>
                <w:szCs w:val="17"/>
              </w:rPr>
            </w:pPr>
            <w:r>
              <w:rPr>
                <w:rFonts w:ascii="Times New Roman"/>
                <w:spacing w:val="-6"/>
                <w:sz w:val="17"/>
              </w:rPr>
              <w:t>630,783,455.92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62" w:right="0"/>
              <w:jc w:val="left"/>
              <w:rPr>
                <w:rFonts w:ascii="Times New Roman" w:hAnsi="Times New Roman" w:cs="Times New Roman" w:eastAsia="Times New Roman" w:hint="default"/>
                <w:sz w:val="17"/>
                <w:szCs w:val="17"/>
              </w:rPr>
            </w:pPr>
            <w:r>
              <w:rPr>
                <w:rFonts w:ascii="Times New Roman"/>
                <w:spacing w:val="-6"/>
                <w:sz w:val="17"/>
              </w:rPr>
              <w:t>182,388,017.67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48" w:right="0"/>
              <w:jc w:val="left"/>
              <w:rPr>
                <w:rFonts w:ascii="Times New Roman" w:hAnsi="Times New Roman" w:cs="Times New Roman" w:eastAsia="Times New Roman" w:hint="default"/>
                <w:sz w:val="17"/>
                <w:szCs w:val="17"/>
              </w:rPr>
            </w:pPr>
            <w:r>
              <w:rPr>
                <w:rFonts w:ascii="Times New Roman"/>
                <w:spacing w:val="-6"/>
                <w:sz w:val="17"/>
              </w:rPr>
              <w:t>3,258,823.01</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88" w:right="0"/>
              <w:jc w:val="left"/>
              <w:rPr>
                <w:rFonts w:ascii="Times New Roman" w:hAnsi="Times New Roman" w:cs="Times New Roman" w:eastAsia="Times New Roman" w:hint="default"/>
                <w:sz w:val="17"/>
                <w:szCs w:val="17"/>
              </w:rPr>
            </w:pPr>
            <w:r>
              <w:rPr>
                <w:rFonts w:ascii="Times New Roman"/>
                <w:spacing w:val="-5"/>
                <w:sz w:val="17"/>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52" w:right="0"/>
              <w:jc w:val="left"/>
              <w:rPr>
                <w:rFonts w:ascii="Times New Roman" w:hAnsi="Times New Roman" w:cs="Times New Roman" w:eastAsia="Times New Roman" w:hint="default"/>
                <w:sz w:val="17"/>
                <w:szCs w:val="17"/>
              </w:rPr>
            </w:pPr>
            <w:r>
              <w:rPr>
                <w:rFonts w:ascii="Times New Roman"/>
                <w:spacing w:val="-6"/>
                <w:sz w:val="17"/>
              </w:rPr>
              <w:t>54,432,581.15</w:t>
            </w:r>
          </w:p>
        </w:tc>
        <w:tc>
          <w:tcPr>
            <w:tcW w:w="536"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71" w:right="0"/>
              <w:jc w:val="left"/>
              <w:rPr>
                <w:rFonts w:ascii="Times New Roman" w:hAnsi="Times New Roman" w:cs="Times New Roman" w:eastAsia="Times New Roman" w:hint="default"/>
                <w:sz w:val="17"/>
                <w:szCs w:val="17"/>
              </w:rPr>
            </w:pPr>
            <w:r>
              <w:rPr>
                <w:rFonts w:ascii="Times New Roman"/>
                <w:spacing w:val="-6"/>
                <w:sz w:val="17"/>
              </w:rPr>
              <w:t>342,328,045.64</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52" w:right="0"/>
              <w:jc w:val="left"/>
              <w:rPr>
                <w:rFonts w:ascii="Times New Roman" w:hAnsi="Times New Roman" w:cs="Times New Roman" w:eastAsia="Times New Roman" w:hint="default"/>
                <w:sz w:val="17"/>
                <w:szCs w:val="17"/>
              </w:rPr>
            </w:pPr>
            <w:r>
              <w:rPr>
                <w:rFonts w:ascii="Times New Roman"/>
                <w:spacing w:val="-6"/>
                <w:sz w:val="17"/>
              </w:rPr>
              <w:t>54,034,706.38</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7"/>
                <w:szCs w:val="17"/>
              </w:rPr>
            </w:pPr>
            <w:r>
              <w:rPr>
                <w:rFonts w:ascii="Times New Roman"/>
                <w:spacing w:val="-6"/>
                <w:sz w:val="17"/>
              </w:rPr>
              <w:t>1,306,712,560.83</w:t>
            </w:r>
          </w:p>
        </w:tc>
      </w:tr>
    </w:tbl>
    <w:p>
      <w:pPr>
        <w:spacing w:line="240" w:lineRule="auto" w:before="10"/>
        <w:rPr>
          <w:rFonts w:ascii="Times New Roman" w:hAnsi="Times New Roman" w:cs="Times New Roman" w:eastAsia="Times New Roman" w:hint="default"/>
          <w:sz w:val="12"/>
          <w:szCs w:val="12"/>
        </w:rPr>
      </w:pPr>
    </w:p>
    <w:p>
      <w:pPr>
        <w:pStyle w:val="BodyText"/>
        <w:spacing w:line="240" w:lineRule="auto" w:before="35"/>
        <w:ind w:left="914" w:right="0"/>
        <w:jc w:val="left"/>
      </w:pPr>
      <w:r>
        <w:rPr/>
        <w:t>上期金额</w:t>
      </w:r>
    </w:p>
    <w:p>
      <w:pPr>
        <w:spacing w:line="240" w:lineRule="auto" w:before="9"/>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7"/>
          <w:szCs w:val="7"/>
        </w:rPr>
      </w:pPr>
    </w:p>
    <w:tbl>
      <w:tblPr>
        <w:tblW w:w="0" w:type="auto"/>
        <w:jc w:val="left"/>
        <w:tblInd w:w="431" w:type="dxa"/>
        <w:tblLayout w:type="fixed"/>
        <w:tblCellMar>
          <w:top w:w="0" w:type="dxa"/>
          <w:left w:w="0" w:type="dxa"/>
          <w:bottom w:w="0" w:type="dxa"/>
          <w:right w:w="0" w:type="dxa"/>
        </w:tblCellMar>
        <w:tblLook w:val="01E0"/>
      </w:tblPr>
      <w:tblGrid>
        <w:gridCol w:w="1988"/>
        <w:gridCol w:w="1156"/>
        <w:gridCol w:w="596"/>
        <w:gridCol w:w="598"/>
        <w:gridCol w:w="864"/>
        <w:gridCol w:w="1208"/>
        <w:gridCol w:w="1156"/>
        <w:gridCol w:w="1040"/>
        <w:gridCol w:w="800"/>
        <w:gridCol w:w="1072"/>
        <w:gridCol w:w="800"/>
        <w:gridCol w:w="1156"/>
        <w:gridCol w:w="987"/>
        <w:gridCol w:w="1265"/>
      </w:tblGrid>
      <w:tr>
        <w:trPr>
          <w:trHeight w:val="397" w:hRule="exact"/>
        </w:trPr>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项目</w:t>
            </w:r>
            <w:r>
              <w:rPr>
                <w:rFonts w:ascii="宋体" w:hAnsi="宋体" w:cs="宋体" w:eastAsia="宋体" w:hint="default"/>
                <w:sz w:val="18"/>
                <w:szCs w:val="18"/>
              </w:rPr>
            </w:r>
          </w:p>
        </w:tc>
        <w:tc>
          <w:tcPr>
            <w:tcW w:w="1269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 w:right="0"/>
              <w:jc w:val="center"/>
              <w:rPr>
                <w:rFonts w:ascii="宋体" w:hAnsi="宋体" w:cs="宋体" w:eastAsia="宋体" w:hint="default"/>
                <w:sz w:val="18"/>
                <w:szCs w:val="18"/>
              </w:rPr>
            </w:pPr>
            <w:r>
              <w:rPr>
                <w:rFonts w:ascii="宋体" w:hAnsi="宋体" w:cs="宋体" w:eastAsia="宋体" w:hint="default"/>
                <w:spacing w:val="-12"/>
                <w:sz w:val="18"/>
                <w:szCs w:val="18"/>
              </w:rPr>
              <w:t>上期</w:t>
            </w:r>
            <w:r>
              <w:rPr>
                <w:rFonts w:ascii="宋体" w:hAnsi="宋体" w:cs="宋体" w:eastAsia="宋体" w:hint="default"/>
                <w:sz w:val="18"/>
                <w:szCs w:val="18"/>
              </w:rPr>
            </w:r>
          </w:p>
        </w:tc>
      </w:tr>
      <w:tr>
        <w:trPr>
          <w:trHeight w:val="397" w:hRule="exact"/>
        </w:trPr>
        <w:tc>
          <w:tcPr>
            <w:tcW w:w="1988" w:type="dxa"/>
            <w:vMerge/>
            <w:tcBorders>
              <w:left w:val="single" w:sz="4" w:space="0" w:color="000000"/>
              <w:right w:val="single" w:sz="4" w:space="0" w:color="000000"/>
            </w:tcBorders>
            <w:shd w:val="clear" w:color="auto" w:fill="D2D2D2"/>
          </w:tcPr>
          <w:p>
            <w:pPr/>
          </w:p>
        </w:tc>
        <w:tc>
          <w:tcPr>
            <w:tcW w:w="1044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pacing w:val="-12"/>
                <w:sz w:val="18"/>
                <w:szCs w:val="18"/>
              </w:rPr>
              <w:t>归属于母公司所有者权益</w:t>
            </w:r>
            <w:r>
              <w:rPr>
                <w:rFonts w:ascii="宋体" w:hAnsi="宋体" w:cs="宋体" w:eastAsia="宋体" w:hint="default"/>
                <w:sz w:val="18"/>
                <w:szCs w:val="18"/>
              </w:rPr>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403" w:right="69" w:hanging="336"/>
              <w:jc w:val="left"/>
              <w:rPr>
                <w:rFonts w:ascii="宋体" w:hAnsi="宋体" w:cs="宋体" w:eastAsia="宋体" w:hint="default"/>
                <w:sz w:val="18"/>
                <w:szCs w:val="18"/>
              </w:rPr>
            </w:pPr>
            <w:r>
              <w:rPr>
                <w:rFonts w:ascii="宋体" w:hAnsi="宋体" w:cs="宋体" w:eastAsia="宋体" w:hint="default"/>
                <w:spacing w:val="-12"/>
                <w:sz w:val="18"/>
                <w:szCs w:val="18"/>
              </w:rPr>
              <w:t>少数股东权 </w:t>
            </w:r>
            <w:r>
              <w:rPr>
                <w:rFonts w:ascii="宋体" w:hAnsi="宋体" w:cs="宋体" w:eastAsia="宋体" w:hint="default"/>
                <w:sz w:val="18"/>
                <w:szCs w:val="18"/>
              </w:rPr>
              <w:t>益</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543" w:right="121" w:hanging="420"/>
              <w:jc w:val="left"/>
              <w:rPr>
                <w:rFonts w:ascii="宋体" w:hAnsi="宋体" w:cs="宋体" w:eastAsia="宋体" w:hint="default"/>
                <w:sz w:val="18"/>
                <w:szCs w:val="18"/>
              </w:rPr>
            </w:pPr>
            <w:r>
              <w:rPr>
                <w:rFonts w:ascii="宋体" w:hAnsi="宋体" w:cs="宋体" w:eastAsia="宋体" w:hint="default"/>
                <w:spacing w:val="-12"/>
                <w:sz w:val="18"/>
                <w:szCs w:val="18"/>
              </w:rPr>
              <w:t>所有者权益合 </w:t>
            </w:r>
            <w:r>
              <w:rPr>
                <w:rFonts w:ascii="宋体" w:hAnsi="宋体" w:cs="宋体" w:eastAsia="宋体" w:hint="default"/>
                <w:sz w:val="18"/>
                <w:szCs w:val="18"/>
              </w:rPr>
              <w:t>计</w:t>
            </w:r>
          </w:p>
        </w:tc>
      </w:tr>
      <w:tr>
        <w:trPr>
          <w:trHeight w:val="407" w:hRule="exact"/>
        </w:trPr>
        <w:tc>
          <w:tcPr>
            <w:tcW w:w="1988" w:type="dxa"/>
            <w:vMerge/>
            <w:tcBorders>
              <w:left w:val="single" w:sz="4" w:space="0" w:color="000000"/>
              <w:right w:val="single" w:sz="4" w:space="0" w:color="000000"/>
            </w:tcBorders>
            <w:shd w:val="clear" w:color="auto" w:fill="D2D2D2"/>
          </w:tcPr>
          <w:p>
            <w:pP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pacing w:val="-12"/>
                <w:sz w:val="18"/>
                <w:szCs w:val="18"/>
              </w:rPr>
              <w:t>股本</w:t>
            </w:r>
            <w:r>
              <w:rPr>
                <w:rFonts w:ascii="宋体" w:hAnsi="宋体" w:cs="宋体" w:eastAsia="宋体" w:hint="default"/>
                <w:sz w:val="18"/>
                <w:szCs w:val="18"/>
              </w:rPr>
            </w:r>
          </w:p>
        </w:tc>
        <w:tc>
          <w:tcPr>
            <w:tcW w:w="20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9" w:right="0"/>
              <w:jc w:val="left"/>
              <w:rPr>
                <w:rFonts w:ascii="宋体" w:hAnsi="宋体" w:cs="宋体" w:eastAsia="宋体" w:hint="default"/>
                <w:sz w:val="18"/>
                <w:szCs w:val="18"/>
              </w:rPr>
            </w:pPr>
            <w:r>
              <w:rPr>
                <w:rFonts w:ascii="宋体" w:hAnsi="宋体" w:cs="宋体" w:eastAsia="宋体" w:hint="default"/>
                <w:spacing w:val="-12"/>
                <w:sz w:val="18"/>
                <w:szCs w:val="18"/>
              </w:rPr>
              <w:t>其他权益工具</w:t>
            </w:r>
            <w:r>
              <w:rPr>
                <w:rFonts w:ascii="宋体" w:hAnsi="宋体" w:cs="宋体" w:eastAsia="宋体" w:hint="default"/>
                <w:sz w:val="18"/>
                <w:szCs w:val="18"/>
              </w:rPr>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2" w:right="0"/>
              <w:jc w:val="left"/>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r>
              <w:rPr>
                <w:rFonts w:ascii="宋体" w:hAnsi="宋体" w:cs="宋体" w:eastAsia="宋体" w:hint="default"/>
                <w:sz w:val="18"/>
                <w:szCs w:val="18"/>
              </w:rPr>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430" w:right="95" w:hanging="336"/>
              <w:jc w:val="left"/>
              <w:rPr>
                <w:rFonts w:ascii="宋体" w:hAnsi="宋体" w:cs="宋体" w:eastAsia="宋体" w:hint="default"/>
                <w:sz w:val="18"/>
                <w:szCs w:val="18"/>
              </w:rPr>
            </w:pPr>
            <w:r>
              <w:rPr>
                <w:rFonts w:ascii="宋体" w:hAnsi="宋体" w:cs="宋体" w:eastAsia="宋体" w:hint="default"/>
                <w:spacing w:val="-12"/>
                <w:sz w:val="18"/>
                <w:szCs w:val="18"/>
              </w:rPr>
              <w:t>其他综合收 </w:t>
            </w:r>
            <w:r>
              <w:rPr>
                <w:rFonts w:ascii="宋体" w:hAnsi="宋体" w:cs="宋体" w:eastAsia="宋体" w:hint="default"/>
                <w:sz w:val="18"/>
                <w:szCs w:val="18"/>
              </w:rPr>
              <w:t>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0" w:right="0"/>
              <w:jc w:val="left"/>
              <w:rPr>
                <w:rFonts w:ascii="宋体" w:hAnsi="宋体" w:cs="宋体" w:eastAsia="宋体" w:hint="default"/>
                <w:sz w:val="18"/>
                <w:szCs w:val="18"/>
              </w:rPr>
            </w:pPr>
            <w:r>
              <w:rPr>
                <w:rFonts w:ascii="宋体" w:hAnsi="宋体" w:cs="宋体" w:eastAsia="宋体" w:hint="default"/>
                <w:spacing w:val="-12"/>
                <w:sz w:val="18"/>
                <w:szCs w:val="18"/>
              </w:rPr>
              <w:t>专项储备</w:t>
            </w:r>
            <w:r>
              <w:rPr>
                <w:rFonts w:ascii="宋体" w:hAnsi="宋体" w:cs="宋体" w:eastAsia="宋体" w:hint="default"/>
                <w:sz w:val="18"/>
                <w:szCs w:val="18"/>
              </w:rPr>
            </w:r>
          </w:p>
        </w:tc>
        <w:tc>
          <w:tcPr>
            <w:tcW w:w="10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94" w:right="0"/>
              <w:jc w:val="left"/>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0"/>
                <w:szCs w:val="20"/>
              </w:rPr>
            </w:pPr>
          </w:p>
          <w:p>
            <w:pPr>
              <w:pStyle w:val="TableParagraph"/>
              <w:spacing w:line="232" w:lineRule="exact"/>
              <w:ind w:left="226" w:right="59" w:hanging="168"/>
              <w:jc w:val="left"/>
              <w:rPr>
                <w:rFonts w:ascii="宋体" w:hAnsi="宋体" w:cs="宋体" w:eastAsia="宋体" w:hint="default"/>
                <w:sz w:val="18"/>
                <w:szCs w:val="18"/>
              </w:rPr>
            </w:pPr>
            <w:r>
              <w:rPr>
                <w:rFonts w:ascii="宋体" w:hAnsi="宋体" w:cs="宋体" w:eastAsia="宋体" w:hint="default"/>
                <w:spacing w:val="-12"/>
                <w:sz w:val="18"/>
                <w:szCs w:val="18"/>
              </w:rPr>
              <w:t>一般风险 准备</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987"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r>
      <w:tr>
        <w:trPr>
          <w:trHeight w:val="611"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8" w:right="125" w:hanging="84"/>
              <w:jc w:val="left"/>
              <w:rPr>
                <w:rFonts w:ascii="宋体" w:hAnsi="宋体" w:cs="宋体" w:eastAsia="宋体" w:hint="default"/>
                <w:sz w:val="18"/>
                <w:szCs w:val="18"/>
              </w:rPr>
            </w:pPr>
            <w:r>
              <w:rPr>
                <w:rFonts w:ascii="宋体" w:hAnsi="宋体" w:cs="宋体" w:eastAsia="宋体" w:hint="default"/>
                <w:spacing w:val="-12"/>
                <w:sz w:val="18"/>
                <w:szCs w:val="18"/>
              </w:rPr>
              <w:t>优先 </w:t>
            </w:r>
            <w:r>
              <w:rPr>
                <w:rFonts w:ascii="宋体" w:hAnsi="宋体" w:cs="宋体" w:eastAsia="宋体" w:hint="default"/>
                <w:sz w:val="18"/>
                <w:szCs w:val="18"/>
              </w:rPr>
              <w:t>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209" w:right="125" w:hanging="84"/>
              <w:jc w:val="left"/>
              <w:rPr>
                <w:rFonts w:ascii="宋体" w:hAnsi="宋体" w:cs="宋体" w:eastAsia="宋体" w:hint="default"/>
                <w:sz w:val="18"/>
                <w:szCs w:val="18"/>
              </w:rPr>
            </w:pPr>
            <w:r>
              <w:rPr>
                <w:rFonts w:ascii="宋体" w:hAnsi="宋体" w:cs="宋体" w:eastAsia="宋体" w:hint="default"/>
                <w:spacing w:val="-12"/>
                <w:sz w:val="18"/>
                <w:szCs w:val="18"/>
              </w:rPr>
              <w:t>永续 </w:t>
            </w:r>
            <w:r>
              <w:rPr>
                <w:rFonts w:ascii="宋体" w:hAnsi="宋体" w:cs="宋体" w:eastAsia="宋体" w:hint="default"/>
                <w:sz w:val="18"/>
                <w:szCs w:val="18"/>
              </w:rPr>
              <w:t>债</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1072"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一、上年期末余额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pacing w:val="-6"/>
                <w:sz w:val="18"/>
              </w:rPr>
              <w:t>100,000,000.00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right"/>
              <w:rPr>
                <w:rFonts w:ascii="Times New Roman" w:hAnsi="Times New Roman" w:cs="Times New Roman" w:eastAsia="Times New Roman" w:hint="default"/>
                <w:sz w:val="18"/>
                <w:szCs w:val="18"/>
              </w:rPr>
            </w:pPr>
            <w:r>
              <w:rPr>
                <w:rFonts w:ascii="Times New Roman"/>
                <w:spacing w:val="-6"/>
                <w:sz w:val="18"/>
              </w:rPr>
              <w:t>596,020,547.05</w:t>
            </w: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pacing w:val="-6"/>
                <w:sz w:val="18"/>
              </w:rPr>
              <w:t>-2,483,184.23</w:t>
            </w: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6"/>
                <w:sz w:val="18"/>
              </w:rPr>
              <w:t>33,862,369.77</w:t>
            </w: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right"/>
              <w:rPr>
                <w:rFonts w:ascii="Times New Roman" w:hAnsi="Times New Roman" w:cs="Times New Roman" w:eastAsia="Times New Roman" w:hint="default"/>
                <w:sz w:val="18"/>
                <w:szCs w:val="18"/>
              </w:rPr>
            </w:pPr>
            <w:r>
              <w:rPr>
                <w:rFonts w:ascii="Times New Roman"/>
                <w:spacing w:val="-6"/>
                <w:sz w:val="18"/>
              </w:rPr>
              <w:t>242,423,206.15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6"/>
                <w:sz w:val="18"/>
              </w:rPr>
              <w:t>4,445,015.67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right"/>
              <w:rPr>
                <w:rFonts w:ascii="Times New Roman" w:hAnsi="Times New Roman" w:cs="Times New Roman" w:eastAsia="Times New Roman" w:hint="default"/>
                <w:sz w:val="18"/>
                <w:szCs w:val="18"/>
              </w:rPr>
            </w:pPr>
            <w:r>
              <w:rPr>
                <w:rFonts w:ascii="Times New Roman"/>
                <w:spacing w:val="-6"/>
                <w:sz w:val="18"/>
              </w:rPr>
              <w:t>974,267,954.41</w:t>
            </w: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3"/>
              <w:jc w:val="right"/>
              <w:rPr>
                <w:rFonts w:ascii="宋体" w:hAnsi="宋体" w:cs="宋体" w:eastAsia="宋体" w:hint="default"/>
                <w:sz w:val="18"/>
                <w:szCs w:val="18"/>
              </w:rPr>
            </w:pPr>
            <w:r>
              <w:rPr>
                <w:rFonts w:ascii="宋体" w:hAnsi="宋体" w:cs="宋体" w:eastAsia="宋体" w:hint="default"/>
                <w:spacing w:val="-12"/>
                <w:sz w:val="18"/>
                <w:szCs w:val="18"/>
              </w:rPr>
              <w:t>加：会计政策变更</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3"/>
              <w:jc w:val="right"/>
              <w:rPr>
                <w:rFonts w:ascii="宋体" w:hAnsi="宋体" w:cs="宋体" w:eastAsia="宋体" w:hint="default"/>
                <w:sz w:val="18"/>
                <w:szCs w:val="18"/>
              </w:rPr>
            </w:pPr>
            <w:r>
              <w:rPr>
                <w:rFonts w:ascii="宋体" w:hAnsi="宋体" w:cs="宋体" w:eastAsia="宋体" w:hint="default"/>
                <w:spacing w:val="-12"/>
                <w:sz w:val="18"/>
                <w:szCs w:val="18"/>
              </w:rPr>
              <w:t>前期差错更正</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33"/>
              <w:ind w:left="724" w:right="0"/>
              <w:jc w:val="left"/>
              <w:rPr>
                <w:rFonts w:ascii="宋体" w:hAnsi="宋体" w:cs="宋体" w:eastAsia="宋体" w:hint="default"/>
                <w:sz w:val="18"/>
                <w:szCs w:val="18"/>
              </w:rPr>
            </w:pPr>
            <w:r>
              <w:rPr>
                <w:rFonts w:ascii="宋体" w:hAnsi="宋体" w:cs="宋体" w:eastAsia="宋体" w:hint="default"/>
                <w:spacing w:val="-12"/>
                <w:sz w:val="18"/>
                <w:szCs w:val="18"/>
              </w:rPr>
              <w:t>同一控制下企业</w:t>
            </w:r>
            <w:r>
              <w:rPr>
                <w:rFonts w:ascii="宋体" w:hAnsi="宋体" w:cs="宋体" w:eastAsia="宋体" w:hint="default"/>
                <w:sz w:val="18"/>
                <w:szCs w:val="18"/>
              </w:rPr>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合并</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0"/>
              <w:jc w:val="center"/>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6"/>
                <w:sz w:val="18"/>
              </w:rPr>
              <w:t>-43,995.02</w:t>
            </w: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2"/>
              <w:jc w:val="right"/>
              <w:rPr>
                <w:rFonts w:ascii="Times New Roman" w:hAnsi="Times New Roman" w:cs="Times New Roman" w:eastAsia="Times New Roman" w:hint="default"/>
                <w:sz w:val="18"/>
                <w:szCs w:val="18"/>
              </w:rPr>
            </w:pPr>
            <w:r>
              <w:rPr>
                <w:rFonts w:ascii="Times New Roman"/>
                <w:spacing w:val="-6"/>
                <w:sz w:val="18"/>
              </w:rPr>
              <w:t>43,995.02</w:t>
            </w: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二、本年期初余额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pacing w:val="-6"/>
                <w:sz w:val="18"/>
              </w:rPr>
              <w:t>100,000,000.00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1"/>
              <w:jc w:val="right"/>
              <w:rPr>
                <w:rFonts w:ascii="Times New Roman" w:hAnsi="Times New Roman" w:cs="Times New Roman" w:eastAsia="Times New Roman" w:hint="default"/>
                <w:sz w:val="18"/>
                <w:szCs w:val="18"/>
              </w:rPr>
            </w:pPr>
            <w:r>
              <w:rPr>
                <w:rFonts w:ascii="Times New Roman"/>
                <w:spacing w:val="-6"/>
                <w:sz w:val="18"/>
              </w:rPr>
              <w:t>596,020,547.05</w:t>
            </w: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 w:right="0"/>
              <w:jc w:val="center"/>
              <w:rPr>
                <w:rFonts w:ascii="Times New Roman" w:hAnsi="Times New Roman" w:cs="Times New Roman" w:eastAsia="Times New Roman" w:hint="default"/>
                <w:sz w:val="18"/>
                <w:szCs w:val="18"/>
              </w:rPr>
            </w:pPr>
            <w:r>
              <w:rPr>
                <w:rFonts w:ascii="Times New Roman"/>
                <w:spacing w:val="-6"/>
                <w:sz w:val="18"/>
              </w:rPr>
              <w:t>-2,483,184.23</w:t>
            </w: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right"/>
              <w:rPr>
                <w:rFonts w:ascii="Times New Roman" w:hAnsi="Times New Roman" w:cs="Times New Roman" w:eastAsia="Times New Roman" w:hint="default"/>
                <w:sz w:val="18"/>
                <w:szCs w:val="18"/>
              </w:rPr>
            </w:pPr>
            <w:r>
              <w:rPr>
                <w:rFonts w:ascii="Times New Roman"/>
                <w:spacing w:val="-6"/>
                <w:sz w:val="18"/>
              </w:rPr>
              <w:t>33,818,374.75</w:t>
            </w: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1"/>
              <w:jc w:val="right"/>
              <w:rPr>
                <w:rFonts w:ascii="Times New Roman" w:hAnsi="Times New Roman" w:cs="Times New Roman" w:eastAsia="Times New Roman" w:hint="default"/>
                <w:sz w:val="18"/>
                <w:szCs w:val="18"/>
              </w:rPr>
            </w:pPr>
            <w:r>
              <w:rPr>
                <w:rFonts w:ascii="Times New Roman"/>
                <w:spacing w:val="-6"/>
                <w:sz w:val="18"/>
              </w:rPr>
              <w:t>242,467,201.17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right"/>
              <w:rPr>
                <w:rFonts w:ascii="Times New Roman" w:hAnsi="Times New Roman" w:cs="Times New Roman" w:eastAsia="Times New Roman" w:hint="default"/>
                <w:sz w:val="18"/>
                <w:szCs w:val="18"/>
              </w:rPr>
            </w:pPr>
            <w:r>
              <w:rPr>
                <w:rFonts w:ascii="Times New Roman"/>
                <w:spacing w:val="-6"/>
                <w:sz w:val="18"/>
              </w:rPr>
              <w:t>4,445,015.67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1"/>
              <w:jc w:val="right"/>
              <w:rPr>
                <w:rFonts w:ascii="Times New Roman" w:hAnsi="Times New Roman" w:cs="Times New Roman" w:eastAsia="Times New Roman" w:hint="default"/>
                <w:sz w:val="18"/>
                <w:szCs w:val="18"/>
              </w:rPr>
            </w:pPr>
            <w:r>
              <w:rPr>
                <w:rFonts w:ascii="Times New Roman"/>
                <w:spacing w:val="-6"/>
                <w:sz w:val="18"/>
              </w:rPr>
              <w:t>974,267,954.41</w:t>
            </w: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52" w:right="38"/>
              <w:jc w:val="left"/>
              <w:rPr>
                <w:rFonts w:ascii="宋体" w:hAnsi="宋体" w:cs="宋体" w:eastAsia="宋体" w:hint="default"/>
                <w:sz w:val="18"/>
                <w:szCs w:val="18"/>
              </w:rPr>
            </w:pPr>
            <w:r>
              <w:rPr>
                <w:rFonts w:ascii="宋体" w:hAnsi="宋体" w:cs="宋体" w:eastAsia="宋体" w:hint="default"/>
                <w:spacing w:val="-24"/>
                <w:sz w:val="18"/>
                <w:szCs w:val="18"/>
              </w:rPr>
              <w:t>三、本期增减变动金额（减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少以“－”号填列）</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pacing w:val="-6"/>
                <w:sz w:val="18"/>
              </w:rPr>
              <w:t>303,059,644.00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pacing w:val="-6"/>
                <w:sz w:val="18"/>
              </w:rPr>
              <w:t>384,344.40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22,794,443.32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pacing w:val="-6"/>
                <w:sz w:val="18"/>
              </w:rPr>
              <w:t>265,017,689.99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pacing w:val="-7"/>
                <w:sz w:val="18"/>
              </w:rPr>
              <w:t>1,611,345.18</w:t>
            </w: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7"/>
                <w:sz w:val="18"/>
              </w:rPr>
              <w:t>14,711,882.99</w:t>
            </w: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55,595,040.97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3,900,384.60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137,039,395.47</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79" w:top="1100" w:bottom="1160" w:left="64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988"/>
        <w:gridCol w:w="1156"/>
        <w:gridCol w:w="596"/>
        <w:gridCol w:w="598"/>
        <w:gridCol w:w="864"/>
        <w:gridCol w:w="1208"/>
        <w:gridCol w:w="1156"/>
        <w:gridCol w:w="1040"/>
        <w:gridCol w:w="800"/>
        <w:gridCol w:w="1072"/>
        <w:gridCol w:w="800"/>
        <w:gridCol w:w="1156"/>
        <w:gridCol w:w="987"/>
        <w:gridCol w:w="1265"/>
      </w:tblGrid>
      <w:tr>
        <w:trPr>
          <w:trHeight w:val="398" w:hRule="exact"/>
        </w:trPr>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pacing w:val="-12"/>
                <w:sz w:val="18"/>
                <w:szCs w:val="18"/>
              </w:rPr>
              <w:t>项目</w:t>
            </w:r>
            <w:r>
              <w:rPr>
                <w:rFonts w:ascii="宋体" w:hAnsi="宋体" w:cs="宋体" w:eastAsia="宋体" w:hint="default"/>
                <w:sz w:val="18"/>
                <w:szCs w:val="18"/>
              </w:rPr>
            </w:r>
          </w:p>
        </w:tc>
        <w:tc>
          <w:tcPr>
            <w:tcW w:w="1269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pacing w:val="-12"/>
                <w:sz w:val="18"/>
                <w:szCs w:val="18"/>
              </w:rPr>
              <w:t>上期</w:t>
            </w:r>
            <w:r>
              <w:rPr>
                <w:rFonts w:ascii="宋体" w:hAnsi="宋体" w:cs="宋体" w:eastAsia="宋体" w:hint="default"/>
                <w:sz w:val="18"/>
                <w:szCs w:val="18"/>
              </w:rPr>
            </w:r>
          </w:p>
        </w:tc>
      </w:tr>
      <w:tr>
        <w:trPr>
          <w:trHeight w:val="397" w:hRule="exact"/>
        </w:trPr>
        <w:tc>
          <w:tcPr>
            <w:tcW w:w="1988" w:type="dxa"/>
            <w:vMerge/>
            <w:tcBorders>
              <w:left w:val="single" w:sz="4" w:space="0" w:color="000000"/>
              <w:right w:val="single" w:sz="4" w:space="0" w:color="000000"/>
            </w:tcBorders>
            <w:shd w:val="clear" w:color="auto" w:fill="D2D2D2"/>
          </w:tcPr>
          <w:p>
            <w:pPr/>
          </w:p>
        </w:tc>
        <w:tc>
          <w:tcPr>
            <w:tcW w:w="1044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pacing w:val="-12"/>
                <w:sz w:val="18"/>
                <w:szCs w:val="18"/>
              </w:rPr>
              <w:t>归属于母公司所有者权益</w:t>
            </w:r>
            <w:r>
              <w:rPr>
                <w:rFonts w:ascii="宋体" w:hAnsi="宋体" w:cs="宋体" w:eastAsia="宋体" w:hint="default"/>
                <w:sz w:val="18"/>
                <w:szCs w:val="18"/>
              </w:rPr>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403" w:right="69" w:hanging="336"/>
              <w:jc w:val="left"/>
              <w:rPr>
                <w:rFonts w:ascii="宋体" w:hAnsi="宋体" w:cs="宋体" w:eastAsia="宋体" w:hint="default"/>
                <w:sz w:val="18"/>
                <w:szCs w:val="18"/>
              </w:rPr>
            </w:pPr>
            <w:r>
              <w:rPr>
                <w:rFonts w:ascii="宋体" w:hAnsi="宋体" w:cs="宋体" w:eastAsia="宋体" w:hint="default"/>
                <w:spacing w:val="-12"/>
                <w:sz w:val="18"/>
                <w:szCs w:val="18"/>
              </w:rPr>
              <w:t>少数股东权 </w:t>
            </w:r>
            <w:r>
              <w:rPr>
                <w:rFonts w:ascii="宋体" w:hAnsi="宋体" w:cs="宋体" w:eastAsia="宋体" w:hint="default"/>
                <w:sz w:val="18"/>
                <w:szCs w:val="18"/>
              </w:rPr>
              <w:t>益</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543" w:right="121" w:hanging="420"/>
              <w:jc w:val="left"/>
              <w:rPr>
                <w:rFonts w:ascii="宋体" w:hAnsi="宋体" w:cs="宋体" w:eastAsia="宋体" w:hint="default"/>
                <w:sz w:val="18"/>
                <w:szCs w:val="18"/>
              </w:rPr>
            </w:pPr>
            <w:r>
              <w:rPr>
                <w:rFonts w:ascii="宋体" w:hAnsi="宋体" w:cs="宋体" w:eastAsia="宋体" w:hint="default"/>
                <w:spacing w:val="-12"/>
                <w:sz w:val="18"/>
                <w:szCs w:val="18"/>
              </w:rPr>
              <w:t>所有者权益合 </w:t>
            </w:r>
            <w:r>
              <w:rPr>
                <w:rFonts w:ascii="宋体" w:hAnsi="宋体" w:cs="宋体" w:eastAsia="宋体" w:hint="default"/>
                <w:sz w:val="18"/>
                <w:szCs w:val="18"/>
              </w:rPr>
              <w:t>计</w:t>
            </w:r>
          </w:p>
        </w:tc>
      </w:tr>
      <w:tr>
        <w:trPr>
          <w:trHeight w:val="407" w:hRule="exact"/>
        </w:trPr>
        <w:tc>
          <w:tcPr>
            <w:tcW w:w="1988" w:type="dxa"/>
            <w:vMerge/>
            <w:tcBorders>
              <w:left w:val="single" w:sz="4" w:space="0" w:color="000000"/>
              <w:right w:val="single" w:sz="4" w:space="0" w:color="000000"/>
            </w:tcBorders>
            <w:shd w:val="clear" w:color="auto" w:fill="D2D2D2"/>
          </w:tcPr>
          <w:p>
            <w:pP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pacing w:val="-12"/>
                <w:sz w:val="18"/>
                <w:szCs w:val="18"/>
              </w:rPr>
              <w:t>股本</w:t>
            </w:r>
            <w:r>
              <w:rPr>
                <w:rFonts w:ascii="宋体" w:hAnsi="宋体" w:cs="宋体" w:eastAsia="宋体" w:hint="default"/>
                <w:sz w:val="18"/>
                <w:szCs w:val="18"/>
              </w:rPr>
            </w:r>
          </w:p>
        </w:tc>
        <w:tc>
          <w:tcPr>
            <w:tcW w:w="20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19" w:right="0"/>
              <w:jc w:val="left"/>
              <w:rPr>
                <w:rFonts w:ascii="宋体" w:hAnsi="宋体" w:cs="宋体" w:eastAsia="宋体" w:hint="default"/>
                <w:sz w:val="18"/>
                <w:szCs w:val="18"/>
              </w:rPr>
            </w:pPr>
            <w:r>
              <w:rPr>
                <w:rFonts w:ascii="宋体" w:hAnsi="宋体" w:cs="宋体" w:eastAsia="宋体" w:hint="default"/>
                <w:spacing w:val="-12"/>
                <w:sz w:val="18"/>
                <w:szCs w:val="18"/>
              </w:rPr>
              <w:t>其他权益工具</w:t>
            </w:r>
            <w:r>
              <w:rPr>
                <w:rFonts w:ascii="宋体" w:hAnsi="宋体" w:cs="宋体" w:eastAsia="宋体" w:hint="default"/>
                <w:sz w:val="18"/>
                <w:szCs w:val="18"/>
              </w:rPr>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2" w:right="0"/>
              <w:jc w:val="left"/>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r>
              <w:rPr>
                <w:rFonts w:ascii="宋体" w:hAnsi="宋体" w:cs="宋体" w:eastAsia="宋体" w:hint="default"/>
                <w:sz w:val="18"/>
                <w:szCs w:val="18"/>
              </w:rPr>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2" w:lineRule="exact"/>
              <w:ind w:left="430" w:right="95" w:hanging="336"/>
              <w:jc w:val="left"/>
              <w:rPr>
                <w:rFonts w:ascii="宋体" w:hAnsi="宋体" w:cs="宋体" w:eastAsia="宋体" w:hint="default"/>
                <w:sz w:val="18"/>
                <w:szCs w:val="18"/>
              </w:rPr>
            </w:pPr>
            <w:r>
              <w:rPr>
                <w:rFonts w:ascii="宋体" w:hAnsi="宋体" w:cs="宋体" w:eastAsia="宋体" w:hint="default"/>
                <w:spacing w:val="-12"/>
                <w:sz w:val="18"/>
                <w:szCs w:val="18"/>
              </w:rPr>
              <w:t>其他综合收 </w:t>
            </w:r>
            <w:r>
              <w:rPr>
                <w:rFonts w:ascii="宋体" w:hAnsi="宋体" w:cs="宋体" w:eastAsia="宋体" w:hint="default"/>
                <w:sz w:val="18"/>
                <w:szCs w:val="18"/>
              </w:rPr>
              <w:t>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pacing w:val="-12"/>
                <w:sz w:val="18"/>
                <w:szCs w:val="18"/>
              </w:rPr>
              <w:t>专项储备</w:t>
            </w:r>
            <w:r>
              <w:rPr>
                <w:rFonts w:ascii="宋体" w:hAnsi="宋体" w:cs="宋体" w:eastAsia="宋体" w:hint="default"/>
                <w:sz w:val="18"/>
                <w:szCs w:val="18"/>
              </w:rPr>
            </w:r>
          </w:p>
        </w:tc>
        <w:tc>
          <w:tcPr>
            <w:tcW w:w="10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4" w:right="0"/>
              <w:jc w:val="left"/>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2" w:lineRule="exact"/>
              <w:ind w:left="226" w:right="59" w:hanging="168"/>
              <w:jc w:val="left"/>
              <w:rPr>
                <w:rFonts w:ascii="宋体" w:hAnsi="宋体" w:cs="宋体" w:eastAsia="宋体" w:hint="default"/>
                <w:sz w:val="18"/>
                <w:szCs w:val="18"/>
              </w:rPr>
            </w:pPr>
            <w:r>
              <w:rPr>
                <w:rFonts w:ascii="宋体" w:hAnsi="宋体" w:cs="宋体" w:eastAsia="宋体" w:hint="default"/>
                <w:spacing w:val="-12"/>
                <w:sz w:val="18"/>
                <w:szCs w:val="18"/>
              </w:rPr>
              <w:t>一般风险 准备</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987"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r>
      <w:tr>
        <w:trPr>
          <w:trHeight w:val="610"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08" w:right="125" w:hanging="84"/>
              <w:jc w:val="left"/>
              <w:rPr>
                <w:rFonts w:ascii="宋体" w:hAnsi="宋体" w:cs="宋体" w:eastAsia="宋体" w:hint="default"/>
                <w:sz w:val="18"/>
                <w:szCs w:val="18"/>
              </w:rPr>
            </w:pPr>
            <w:r>
              <w:rPr>
                <w:rFonts w:ascii="宋体" w:hAnsi="宋体" w:cs="宋体" w:eastAsia="宋体" w:hint="default"/>
                <w:spacing w:val="-12"/>
                <w:sz w:val="18"/>
                <w:szCs w:val="18"/>
              </w:rPr>
              <w:t>优先 </w:t>
            </w:r>
            <w:r>
              <w:rPr>
                <w:rFonts w:ascii="宋体" w:hAnsi="宋体" w:cs="宋体" w:eastAsia="宋体" w:hint="default"/>
                <w:sz w:val="18"/>
                <w:szCs w:val="18"/>
              </w:rPr>
              <w:t>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09" w:right="125" w:hanging="84"/>
              <w:jc w:val="left"/>
              <w:rPr>
                <w:rFonts w:ascii="宋体" w:hAnsi="宋体" w:cs="宋体" w:eastAsia="宋体" w:hint="default"/>
                <w:sz w:val="18"/>
                <w:szCs w:val="18"/>
              </w:rPr>
            </w:pPr>
            <w:r>
              <w:rPr>
                <w:rFonts w:ascii="宋体" w:hAnsi="宋体" w:cs="宋体" w:eastAsia="宋体" w:hint="default"/>
                <w:spacing w:val="-12"/>
                <w:sz w:val="18"/>
                <w:szCs w:val="18"/>
              </w:rPr>
              <w:t>永续 </w:t>
            </w:r>
            <w:r>
              <w:rPr>
                <w:rFonts w:ascii="宋体" w:hAnsi="宋体" w:cs="宋体" w:eastAsia="宋体" w:hint="default"/>
                <w:sz w:val="18"/>
                <w:szCs w:val="18"/>
              </w:rPr>
              <w:t>债</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1072"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（一）综合收益总额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12" w:right="0"/>
              <w:jc w:val="left"/>
              <w:rPr>
                <w:rFonts w:ascii="Times New Roman" w:hAnsi="Times New Roman" w:cs="Times New Roman" w:eastAsia="Times New Roman" w:hint="default"/>
                <w:sz w:val="18"/>
                <w:szCs w:val="18"/>
              </w:rPr>
            </w:pPr>
            <w:r>
              <w:rPr>
                <w:rFonts w:ascii="Times New Roman"/>
                <w:spacing w:val="-7"/>
                <w:sz w:val="18"/>
              </w:rPr>
              <w:t>1,611,345.18</w:t>
            </w: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 w:right="0"/>
              <w:jc w:val="center"/>
              <w:rPr>
                <w:rFonts w:ascii="Times New Roman" w:hAnsi="Times New Roman" w:cs="Times New Roman" w:eastAsia="Times New Roman" w:hint="default"/>
                <w:sz w:val="18"/>
                <w:szCs w:val="18"/>
              </w:rPr>
            </w:pPr>
            <w:r>
              <w:rPr>
                <w:rFonts w:ascii="Times New Roman"/>
                <w:spacing w:val="-6"/>
                <w:sz w:val="18"/>
              </w:rPr>
              <w:t>120,282,199.78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right"/>
              <w:rPr>
                <w:rFonts w:ascii="Times New Roman" w:hAnsi="Times New Roman" w:cs="Times New Roman" w:eastAsia="Times New Roman" w:hint="default"/>
                <w:sz w:val="18"/>
                <w:szCs w:val="18"/>
              </w:rPr>
            </w:pPr>
            <w:r>
              <w:rPr>
                <w:rFonts w:ascii="Times New Roman"/>
                <w:spacing w:val="-6"/>
                <w:sz w:val="18"/>
              </w:rPr>
              <w:t>-150,178.66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1"/>
              <w:jc w:val="right"/>
              <w:rPr>
                <w:rFonts w:ascii="Times New Roman" w:hAnsi="Times New Roman" w:cs="Times New Roman" w:eastAsia="Times New Roman" w:hint="default"/>
                <w:sz w:val="18"/>
                <w:szCs w:val="18"/>
              </w:rPr>
            </w:pPr>
            <w:r>
              <w:rPr>
                <w:rFonts w:ascii="Times New Roman"/>
                <w:spacing w:val="-6"/>
                <w:sz w:val="18"/>
              </w:rPr>
              <w:t>121,743,366.30</w:t>
            </w: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52" w:right="75"/>
              <w:jc w:val="left"/>
              <w:rPr>
                <w:rFonts w:ascii="宋体" w:hAnsi="宋体" w:cs="宋体" w:eastAsia="宋体" w:hint="default"/>
                <w:sz w:val="18"/>
                <w:szCs w:val="18"/>
              </w:rPr>
            </w:pPr>
            <w:r>
              <w:rPr>
                <w:rFonts w:ascii="宋体" w:hAnsi="宋体" w:cs="宋体" w:eastAsia="宋体" w:hint="default"/>
                <w:spacing w:val="-12"/>
                <w:sz w:val="18"/>
                <w:szCs w:val="18"/>
              </w:rPr>
              <w:t>（二）所有者投入和减少 资本</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3,059,681.00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pacing w:val="-6"/>
                <w:sz w:val="18"/>
              </w:rPr>
              <w:t>384,344.40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322,794,406.32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266,514,159.92</w:t>
            </w: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4,050,563.26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63,774,835.06</w:t>
            </w: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．股东投入的普通股</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right"/>
              <w:rPr>
                <w:rFonts w:ascii="Times New Roman" w:hAnsi="Times New Roman" w:cs="Times New Roman" w:eastAsia="Times New Roman" w:hint="default"/>
                <w:sz w:val="18"/>
                <w:szCs w:val="18"/>
              </w:rPr>
            </w:pPr>
            <w:r>
              <w:rPr>
                <w:rFonts w:ascii="Times New Roman"/>
                <w:spacing w:val="-6"/>
                <w:sz w:val="18"/>
              </w:rPr>
              <w:t>4,279,200.00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1"/>
              <w:jc w:val="right"/>
              <w:rPr>
                <w:rFonts w:ascii="Times New Roman" w:hAnsi="Times New Roman" w:cs="Times New Roman" w:eastAsia="Times New Roman" w:hint="default"/>
                <w:sz w:val="18"/>
                <w:szCs w:val="18"/>
              </w:rPr>
            </w:pPr>
            <w:r>
              <w:rPr>
                <w:rFonts w:ascii="Times New Roman"/>
                <w:spacing w:val="-6"/>
                <w:sz w:val="18"/>
              </w:rPr>
              <w:t>4,279,200.00</w:t>
            </w:r>
          </w:p>
        </w:tc>
      </w:tr>
      <w:tr>
        <w:trPr>
          <w:trHeight w:val="6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52" w:right="38"/>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．其他权益工具持有者投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入资本</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pacing w:val="-6"/>
                <w:sz w:val="18"/>
              </w:rPr>
              <w:t>384,344.40</w:t>
            </w: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384,344.40</w:t>
            </w: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52" w:right="38"/>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．股份支付计入所有者权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2"/>
                <w:sz w:val="18"/>
                <w:szCs w:val="18"/>
              </w:rPr>
              <w:t>益的金额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3,137,854.00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318,658,987.56</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266,514,159.92</w:t>
            </w: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382,558.74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55,665,240.38</w:t>
            </w: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．其他</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2"/>
              <w:jc w:val="right"/>
              <w:rPr>
                <w:rFonts w:ascii="Times New Roman" w:hAnsi="Times New Roman" w:cs="Times New Roman" w:eastAsia="Times New Roman" w:hint="default"/>
                <w:sz w:val="18"/>
                <w:szCs w:val="18"/>
              </w:rPr>
            </w:pPr>
            <w:r>
              <w:rPr>
                <w:rFonts w:ascii="Times New Roman"/>
                <w:spacing w:val="-6"/>
                <w:sz w:val="18"/>
              </w:rPr>
              <w:t>-78,173.00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right"/>
              <w:rPr>
                <w:rFonts w:ascii="Times New Roman" w:hAnsi="Times New Roman" w:cs="Times New Roman" w:eastAsia="Times New Roman" w:hint="default"/>
                <w:sz w:val="18"/>
                <w:szCs w:val="18"/>
              </w:rPr>
            </w:pPr>
            <w:r>
              <w:rPr>
                <w:rFonts w:ascii="Times New Roman"/>
                <w:spacing w:val="-6"/>
                <w:sz w:val="18"/>
              </w:rPr>
              <w:t>4,135,418.76</w:t>
            </w: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7"/>
                <w:sz w:val="18"/>
              </w:rPr>
              <w:t>-611,195.48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right"/>
              <w:rPr>
                <w:rFonts w:ascii="Times New Roman" w:hAnsi="Times New Roman" w:cs="Times New Roman" w:eastAsia="Times New Roman" w:hint="default"/>
                <w:sz w:val="18"/>
                <w:szCs w:val="18"/>
              </w:rPr>
            </w:pPr>
            <w:r>
              <w:rPr>
                <w:rFonts w:ascii="Times New Roman"/>
                <w:spacing w:val="-6"/>
                <w:sz w:val="18"/>
              </w:rPr>
              <w:t>3,446,050.28</w:t>
            </w: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2"/>
              <w:jc w:val="right"/>
              <w:rPr>
                <w:rFonts w:ascii="Times New Roman" w:hAnsi="Times New Roman" w:cs="Times New Roman" w:eastAsia="Times New Roman" w:hint="default"/>
                <w:sz w:val="18"/>
                <w:szCs w:val="18"/>
              </w:rPr>
            </w:pPr>
            <w:r>
              <w:rPr>
                <w:rFonts w:ascii="Times New Roman"/>
                <w:spacing w:val="-6"/>
                <w:sz w:val="18"/>
              </w:rPr>
              <w:t>-1,496,469.93</w:t>
            </w: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3"/>
              <w:jc w:val="right"/>
              <w:rPr>
                <w:rFonts w:ascii="Times New Roman" w:hAnsi="Times New Roman" w:cs="Times New Roman" w:eastAsia="Times New Roman" w:hint="default"/>
                <w:sz w:val="18"/>
                <w:szCs w:val="18"/>
              </w:rPr>
            </w:pPr>
            <w:r>
              <w:rPr>
                <w:rFonts w:ascii="Times New Roman"/>
                <w:spacing w:val="-7"/>
                <w:sz w:val="18"/>
              </w:rPr>
              <w:t>14,711,882.99</w:t>
            </w: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pacing w:val="-6"/>
                <w:sz w:val="18"/>
              </w:rPr>
              <w:t>-64,687,158.81</w:t>
            </w: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41"/>
              <w:jc w:val="right"/>
              <w:rPr>
                <w:rFonts w:ascii="Times New Roman" w:hAnsi="Times New Roman" w:cs="Times New Roman" w:eastAsia="Times New Roman" w:hint="default"/>
                <w:sz w:val="18"/>
                <w:szCs w:val="18"/>
              </w:rPr>
            </w:pPr>
            <w:r>
              <w:rPr>
                <w:rFonts w:ascii="Times New Roman"/>
                <w:spacing w:val="-6"/>
                <w:sz w:val="18"/>
              </w:rPr>
              <w:t>-48,478,805.89</w:t>
            </w: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．提取盈余公积</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3"/>
              <w:jc w:val="right"/>
              <w:rPr>
                <w:rFonts w:ascii="Times New Roman" w:hAnsi="Times New Roman" w:cs="Times New Roman" w:eastAsia="Times New Roman" w:hint="default"/>
                <w:sz w:val="18"/>
                <w:szCs w:val="18"/>
              </w:rPr>
            </w:pPr>
            <w:r>
              <w:rPr>
                <w:rFonts w:ascii="Times New Roman"/>
                <w:spacing w:val="-7"/>
                <w:sz w:val="18"/>
              </w:rPr>
              <w:t>14,711,882.99</w:t>
            </w: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6" w:right="0"/>
              <w:jc w:val="center"/>
              <w:rPr>
                <w:rFonts w:ascii="Times New Roman" w:hAnsi="Times New Roman" w:cs="Times New Roman" w:eastAsia="Times New Roman" w:hint="default"/>
                <w:sz w:val="18"/>
                <w:szCs w:val="18"/>
              </w:rPr>
            </w:pPr>
            <w:r>
              <w:rPr>
                <w:rFonts w:ascii="Times New Roman"/>
                <w:spacing w:val="-7"/>
                <w:sz w:val="18"/>
              </w:rPr>
              <w:t>-14,711,882.99</w:t>
            </w: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．提取一般风险准备</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52" w:right="37"/>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．对所有者（或股东）的</w:t>
            </w:r>
            <w:r>
              <w:rPr>
                <w:rFonts w:ascii="宋体" w:hAnsi="宋体" w:cs="宋体" w:eastAsia="宋体" w:hint="default"/>
                <w:sz w:val="18"/>
                <w:szCs w:val="18"/>
              </w:rPr>
              <w:t> </w:t>
            </w:r>
            <w:r>
              <w:rPr>
                <w:rFonts w:ascii="宋体" w:hAnsi="宋体" w:cs="宋体" w:eastAsia="宋体" w:hint="default"/>
                <w:spacing w:val="-12"/>
                <w:sz w:val="18"/>
                <w:szCs w:val="18"/>
              </w:rPr>
              <w:t>分配</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-1,496,469.93</w:t>
            </w: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pacing w:val="-6"/>
                <w:sz w:val="18"/>
              </w:rPr>
              <w:t>-49,975,275.82</w:t>
            </w: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-48,478,805.89</w:t>
            </w: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．其他</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52" w:right="75"/>
              <w:jc w:val="left"/>
              <w:rPr>
                <w:rFonts w:ascii="宋体" w:hAnsi="宋体" w:cs="宋体" w:eastAsia="宋体" w:hint="default"/>
                <w:sz w:val="18"/>
                <w:szCs w:val="18"/>
              </w:rPr>
            </w:pPr>
            <w:r>
              <w:rPr>
                <w:rFonts w:ascii="宋体" w:hAnsi="宋体" w:cs="宋体" w:eastAsia="宋体" w:hint="default"/>
                <w:spacing w:val="-12"/>
                <w:sz w:val="18"/>
                <w:szCs w:val="18"/>
              </w:rPr>
              <w:t>（四）所有者权益内部结 </w:t>
            </w:r>
            <w:r>
              <w:rPr>
                <w:rFonts w:ascii="宋体" w:hAnsi="宋体" w:cs="宋体" w:eastAsia="宋体" w:hint="default"/>
                <w:sz w:val="18"/>
                <w:szCs w:val="18"/>
              </w:rPr>
              <w:t>转</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299,999,963.00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-299,999,963.00</w:t>
            </w: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52" w:right="38"/>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1</w:t>
            </w:r>
            <w:r>
              <w:rPr>
                <w:rFonts w:ascii="宋体" w:hAnsi="宋体" w:cs="宋体" w:eastAsia="宋体" w:hint="default"/>
                <w:spacing w:val="-17"/>
                <w:sz w:val="18"/>
                <w:szCs w:val="18"/>
              </w:rPr>
              <w:t>．资本公积转增资本（或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股本）</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299,999,963.00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-299,999,963.00</w:t>
            </w: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52" w:right="38"/>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．盈余公积转增资本（或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sz w:val="18"/>
                <w:szCs w:val="18"/>
              </w:rPr>
              <w:t>股本）</w:t>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79" w:top="1100" w:bottom="1160" w:left="96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1988"/>
        <w:gridCol w:w="1156"/>
        <w:gridCol w:w="596"/>
        <w:gridCol w:w="598"/>
        <w:gridCol w:w="864"/>
        <w:gridCol w:w="1208"/>
        <w:gridCol w:w="1156"/>
        <w:gridCol w:w="1040"/>
        <w:gridCol w:w="800"/>
        <w:gridCol w:w="1072"/>
        <w:gridCol w:w="800"/>
        <w:gridCol w:w="1156"/>
        <w:gridCol w:w="987"/>
        <w:gridCol w:w="1265"/>
      </w:tblGrid>
      <w:tr>
        <w:trPr>
          <w:trHeight w:val="398" w:hRule="exact"/>
        </w:trPr>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pacing w:val="-12"/>
                <w:sz w:val="18"/>
                <w:szCs w:val="18"/>
              </w:rPr>
              <w:t>项目</w:t>
            </w:r>
            <w:r>
              <w:rPr>
                <w:rFonts w:ascii="宋体" w:hAnsi="宋体" w:cs="宋体" w:eastAsia="宋体" w:hint="default"/>
                <w:sz w:val="18"/>
                <w:szCs w:val="18"/>
              </w:rPr>
            </w:r>
          </w:p>
        </w:tc>
        <w:tc>
          <w:tcPr>
            <w:tcW w:w="1269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pacing w:val="-12"/>
                <w:sz w:val="18"/>
                <w:szCs w:val="18"/>
              </w:rPr>
              <w:t>上期</w:t>
            </w:r>
            <w:r>
              <w:rPr>
                <w:rFonts w:ascii="宋体" w:hAnsi="宋体" w:cs="宋体" w:eastAsia="宋体" w:hint="default"/>
                <w:sz w:val="18"/>
                <w:szCs w:val="18"/>
              </w:rPr>
            </w:r>
          </w:p>
        </w:tc>
      </w:tr>
      <w:tr>
        <w:trPr>
          <w:trHeight w:val="397" w:hRule="exact"/>
        </w:trPr>
        <w:tc>
          <w:tcPr>
            <w:tcW w:w="1988" w:type="dxa"/>
            <w:vMerge/>
            <w:tcBorders>
              <w:left w:val="single" w:sz="4" w:space="0" w:color="000000"/>
              <w:right w:val="single" w:sz="4" w:space="0" w:color="000000"/>
            </w:tcBorders>
            <w:shd w:val="clear" w:color="auto" w:fill="D2D2D2"/>
          </w:tcPr>
          <w:p>
            <w:pPr/>
          </w:p>
        </w:tc>
        <w:tc>
          <w:tcPr>
            <w:tcW w:w="1044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pacing w:val="-12"/>
                <w:sz w:val="18"/>
                <w:szCs w:val="18"/>
              </w:rPr>
              <w:t>归属于母公司所有者权益</w:t>
            </w:r>
            <w:r>
              <w:rPr>
                <w:rFonts w:ascii="宋体" w:hAnsi="宋体" w:cs="宋体" w:eastAsia="宋体" w:hint="default"/>
                <w:sz w:val="18"/>
                <w:szCs w:val="18"/>
              </w:rPr>
            </w:r>
          </w:p>
        </w:tc>
        <w:tc>
          <w:tcPr>
            <w:tcW w:w="9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403" w:right="69" w:hanging="336"/>
              <w:jc w:val="left"/>
              <w:rPr>
                <w:rFonts w:ascii="宋体" w:hAnsi="宋体" w:cs="宋体" w:eastAsia="宋体" w:hint="default"/>
                <w:sz w:val="18"/>
                <w:szCs w:val="18"/>
              </w:rPr>
            </w:pPr>
            <w:r>
              <w:rPr>
                <w:rFonts w:ascii="宋体" w:hAnsi="宋体" w:cs="宋体" w:eastAsia="宋体" w:hint="default"/>
                <w:spacing w:val="-12"/>
                <w:sz w:val="18"/>
                <w:szCs w:val="18"/>
              </w:rPr>
              <w:t>少数股东权 </w:t>
            </w:r>
            <w:r>
              <w:rPr>
                <w:rFonts w:ascii="宋体" w:hAnsi="宋体" w:cs="宋体" w:eastAsia="宋体" w:hint="default"/>
                <w:sz w:val="18"/>
                <w:szCs w:val="18"/>
              </w:rPr>
              <w:t>益</w:t>
            </w:r>
          </w:p>
        </w:tc>
        <w:tc>
          <w:tcPr>
            <w:tcW w:w="1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543" w:right="121" w:hanging="420"/>
              <w:jc w:val="left"/>
              <w:rPr>
                <w:rFonts w:ascii="宋体" w:hAnsi="宋体" w:cs="宋体" w:eastAsia="宋体" w:hint="default"/>
                <w:sz w:val="18"/>
                <w:szCs w:val="18"/>
              </w:rPr>
            </w:pPr>
            <w:r>
              <w:rPr>
                <w:rFonts w:ascii="宋体" w:hAnsi="宋体" w:cs="宋体" w:eastAsia="宋体" w:hint="default"/>
                <w:spacing w:val="-12"/>
                <w:sz w:val="18"/>
                <w:szCs w:val="18"/>
              </w:rPr>
              <w:t>所有者权益合 </w:t>
            </w:r>
            <w:r>
              <w:rPr>
                <w:rFonts w:ascii="宋体" w:hAnsi="宋体" w:cs="宋体" w:eastAsia="宋体" w:hint="default"/>
                <w:sz w:val="18"/>
                <w:szCs w:val="18"/>
              </w:rPr>
              <w:t>计</w:t>
            </w:r>
          </w:p>
        </w:tc>
      </w:tr>
      <w:tr>
        <w:trPr>
          <w:trHeight w:val="407" w:hRule="exact"/>
        </w:trPr>
        <w:tc>
          <w:tcPr>
            <w:tcW w:w="1988" w:type="dxa"/>
            <w:vMerge/>
            <w:tcBorders>
              <w:left w:val="single" w:sz="4" w:space="0" w:color="000000"/>
              <w:right w:val="single" w:sz="4" w:space="0" w:color="000000"/>
            </w:tcBorders>
            <w:shd w:val="clear" w:color="auto" w:fill="D2D2D2"/>
          </w:tcPr>
          <w:p>
            <w:pP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pacing w:val="-12"/>
                <w:sz w:val="18"/>
                <w:szCs w:val="18"/>
              </w:rPr>
              <w:t>股本</w:t>
            </w:r>
            <w:r>
              <w:rPr>
                <w:rFonts w:ascii="宋体" w:hAnsi="宋体" w:cs="宋体" w:eastAsia="宋体" w:hint="default"/>
                <w:sz w:val="18"/>
                <w:szCs w:val="18"/>
              </w:rPr>
            </w:r>
          </w:p>
        </w:tc>
        <w:tc>
          <w:tcPr>
            <w:tcW w:w="205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19" w:right="0"/>
              <w:jc w:val="left"/>
              <w:rPr>
                <w:rFonts w:ascii="宋体" w:hAnsi="宋体" w:cs="宋体" w:eastAsia="宋体" w:hint="default"/>
                <w:sz w:val="18"/>
                <w:szCs w:val="18"/>
              </w:rPr>
            </w:pPr>
            <w:r>
              <w:rPr>
                <w:rFonts w:ascii="宋体" w:hAnsi="宋体" w:cs="宋体" w:eastAsia="宋体" w:hint="default"/>
                <w:spacing w:val="-12"/>
                <w:sz w:val="18"/>
                <w:szCs w:val="18"/>
              </w:rPr>
              <w:t>其他权益工具</w:t>
            </w:r>
            <w:r>
              <w:rPr>
                <w:rFonts w:ascii="宋体" w:hAnsi="宋体" w:cs="宋体" w:eastAsia="宋体" w:hint="default"/>
                <w:sz w:val="18"/>
                <w:szCs w:val="18"/>
              </w:rPr>
            </w: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2" w:right="0"/>
              <w:jc w:val="left"/>
              <w:rPr>
                <w:rFonts w:ascii="宋体" w:hAnsi="宋体" w:cs="宋体" w:eastAsia="宋体" w:hint="default"/>
                <w:sz w:val="18"/>
                <w:szCs w:val="18"/>
              </w:rPr>
            </w:pPr>
            <w:r>
              <w:rPr>
                <w:rFonts w:ascii="宋体" w:hAnsi="宋体" w:cs="宋体" w:eastAsia="宋体" w:hint="default"/>
                <w:spacing w:val="-12"/>
                <w:sz w:val="18"/>
                <w:szCs w:val="18"/>
              </w:rPr>
              <w:t>资本公积</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r>
              <w:rPr>
                <w:rFonts w:ascii="宋体" w:hAnsi="宋体" w:cs="宋体" w:eastAsia="宋体" w:hint="default"/>
                <w:sz w:val="18"/>
                <w:szCs w:val="18"/>
              </w:rPr>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2" w:lineRule="exact"/>
              <w:ind w:left="430" w:right="95" w:hanging="336"/>
              <w:jc w:val="left"/>
              <w:rPr>
                <w:rFonts w:ascii="宋体" w:hAnsi="宋体" w:cs="宋体" w:eastAsia="宋体" w:hint="default"/>
                <w:sz w:val="18"/>
                <w:szCs w:val="18"/>
              </w:rPr>
            </w:pPr>
            <w:r>
              <w:rPr>
                <w:rFonts w:ascii="宋体" w:hAnsi="宋体" w:cs="宋体" w:eastAsia="宋体" w:hint="default"/>
                <w:spacing w:val="-12"/>
                <w:sz w:val="18"/>
                <w:szCs w:val="18"/>
              </w:rPr>
              <w:t>其他综合收 </w:t>
            </w:r>
            <w:r>
              <w:rPr>
                <w:rFonts w:ascii="宋体" w:hAnsi="宋体" w:cs="宋体" w:eastAsia="宋体" w:hint="default"/>
                <w:sz w:val="18"/>
                <w:szCs w:val="18"/>
              </w:rPr>
              <w:t>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pacing w:val="-12"/>
                <w:sz w:val="18"/>
                <w:szCs w:val="18"/>
              </w:rPr>
              <w:t>专项储备</w:t>
            </w:r>
            <w:r>
              <w:rPr>
                <w:rFonts w:ascii="宋体" w:hAnsi="宋体" w:cs="宋体" w:eastAsia="宋体" w:hint="default"/>
                <w:sz w:val="18"/>
                <w:szCs w:val="18"/>
              </w:rPr>
            </w:r>
          </w:p>
        </w:tc>
        <w:tc>
          <w:tcPr>
            <w:tcW w:w="10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4" w:right="0"/>
              <w:jc w:val="left"/>
              <w:rPr>
                <w:rFonts w:ascii="宋体" w:hAnsi="宋体" w:cs="宋体" w:eastAsia="宋体" w:hint="default"/>
                <w:sz w:val="18"/>
                <w:szCs w:val="18"/>
              </w:rPr>
            </w:pPr>
            <w:r>
              <w:rPr>
                <w:rFonts w:ascii="宋体" w:hAnsi="宋体" w:cs="宋体" w:eastAsia="宋体" w:hint="default"/>
                <w:spacing w:val="-12"/>
                <w:sz w:val="18"/>
                <w:szCs w:val="18"/>
              </w:rPr>
              <w:t>盈余公积</w:t>
            </w:r>
            <w:r>
              <w:rPr>
                <w:rFonts w:ascii="宋体" w:hAnsi="宋体" w:cs="宋体" w:eastAsia="宋体" w:hint="default"/>
                <w:sz w:val="18"/>
                <w:szCs w:val="18"/>
              </w:rPr>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2" w:lineRule="exact"/>
              <w:ind w:left="226" w:right="59" w:hanging="168"/>
              <w:jc w:val="left"/>
              <w:rPr>
                <w:rFonts w:ascii="宋体" w:hAnsi="宋体" w:cs="宋体" w:eastAsia="宋体" w:hint="default"/>
                <w:sz w:val="18"/>
                <w:szCs w:val="18"/>
              </w:rPr>
            </w:pPr>
            <w:r>
              <w:rPr>
                <w:rFonts w:ascii="宋体" w:hAnsi="宋体" w:cs="宋体" w:eastAsia="宋体" w:hint="default"/>
                <w:spacing w:val="-12"/>
                <w:sz w:val="18"/>
                <w:szCs w:val="18"/>
              </w:rPr>
              <w:t>一般风险 准备</w:t>
            </w:r>
            <w:r>
              <w:rPr>
                <w:rFonts w:ascii="宋体" w:hAnsi="宋体" w:cs="宋体" w:eastAsia="宋体" w:hint="default"/>
                <w:sz w:val="18"/>
                <w:szCs w:val="18"/>
              </w:rPr>
            </w:r>
          </w:p>
        </w:tc>
        <w:tc>
          <w:tcPr>
            <w:tcW w:w="11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53" w:right="0"/>
              <w:jc w:val="left"/>
              <w:rPr>
                <w:rFonts w:ascii="宋体" w:hAnsi="宋体" w:cs="宋体" w:eastAsia="宋体" w:hint="default"/>
                <w:sz w:val="18"/>
                <w:szCs w:val="18"/>
              </w:rPr>
            </w:pPr>
            <w:r>
              <w:rPr>
                <w:rFonts w:ascii="宋体" w:hAnsi="宋体" w:cs="宋体" w:eastAsia="宋体" w:hint="default"/>
                <w:spacing w:val="-12"/>
                <w:sz w:val="18"/>
                <w:szCs w:val="18"/>
              </w:rPr>
              <w:t>未分配利润</w:t>
            </w:r>
            <w:r>
              <w:rPr>
                <w:rFonts w:ascii="宋体" w:hAnsi="宋体" w:cs="宋体" w:eastAsia="宋体" w:hint="default"/>
                <w:sz w:val="18"/>
                <w:szCs w:val="18"/>
              </w:rPr>
            </w:r>
          </w:p>
        </w:tc>
        <w:tc>
          <w:tcPr>
            <w:tcW w:w="987" w:type="dxa"/>
            <w:vMerge/>
            <w:tcBorders>
              <w:left w:val="single" w:sz="4" w:space="0" w:color="000000"/>
              <w:right w:val="single" w:sz="4" w:space="0" w:color="000000"/>
            </w:tcBorders>
            <w:shd w:val="clear" w:color="auto" w:fill="D2D2D2"/>
          </w:tcPr>
          <w:p>
            <w:pPr/>
          </w:p>
        </w:tc>
        <w:tc>
          <w:tcPr>
            <w:tcW w:w="1265" w:type="dxa"/>
            <w:vMerge/>
            <w:tcBorders>
              <w:left w:val="single" w:sz="4" w:space="0" w:color="000000"/>
              <w:right w:val="single" w:sz="4" w:space="0" w:color="000000"/>
            </w:tcBorders>
            <w:shd w:val="clear" w:color="auto" w:fill="D2D2D2"/>
          </w:tcPr>
          <w:p>
            <w:pPr/>
          </w:p>
        </w:tc>
      </w:tr>
      <w:tr>
        <w:trPr>
          <w:trHeight w:val="610"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08" w:right="125" w:hanging="84"/>
              <w:jc w:val="left"/>
              <w:rPr>
                <w:rFonts w:ascii="宋体" w:hAnsi="宋体" w:cs="宋体" w:eastAsia="宋体" w:hint="default"/>
                <w:sz w:val="18"/>
                <w:szCs w:val="18"/>
              </w:rPr>
            </w:pPr>
            <w:r>
              <w:rPr>
                <w:rFonts w:ascii="宋体" w:hAnsi="宋体" w:cs="宋体" w:eastAsia="宋体" w:hint="default"/>
                <w:spacing w:val="-12"/>
                <w:sz w:val="18"/>
                <w:szCs w:val="18"/>
              </w:rPr>
              <w:t>优先 </w:t>
            </w:r>
            <w:r>
              <w:rPr>
                <w:rFonts w:ascii="宋体" w:hAnsi="宋体" w:cs="宋体" w:eastAsia="宋体" w:hint="default"/>
                <w:sz w:val="18"/>
                <w:szCs w:val="18"/>
              </w:rPr>
              <w:t>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67"/>
              <w:ind w:left="209" w:right="125" w:hanging="84"/>
              <w:jc w:val="left"/>
              <w:rPr>
                <w:rFonts w:ascii="宋体" w:hAnsi="宋体" w:cs="宋体" w:eastAsia="宋体" w:hint="default"/>
                <w:sz w:val="18"/>
                <w:szCs w:val="18"/>
              </w:rPr>
            </w:pPr>
            <w:r>
              <w:rPr>
                <w:rFonts w:ascii="宋体" w:hAnsi="宋体" w:cs="宋体" w:eastAsia="宋体" w:hint="default"/>
                <w:spacing w:val="-12"/>
                <w:sz w:val="18"/>
                <w:szCs w:val="18"/>
              </w:rPr>
              <w:t>永续 </w:t>
            </w:r>
            <w:r>
              <w:rPr>
                <w:rFonts w:ascii="宋体" w:hAnsi="宋体" w:cs="宋体" w:eastAsia="宋体" w:hint="default"/>
                <w:sz w:val="18"/>
                <w:szCs w:val="18"/>
              </w:rPr>
              <w:t>债</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1072"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1156" w:type="dxa"/>
            <w:vMerge/>
            <w:tcBorders>
              <w:left w:val="single" w:sz="4" w:space="0" w:color="000000"/>
              <w:bottom w:val="single" w:sz="4" w:space="0" w:color="000000"/>
              <w:right w:val="single" w:sz="4" w:space="0" w:color="000000"/>
            </w:tcBorders>
            <w:shd w:val="clear" w:color="auto" w:fill="D2D2D2"/>
          </w:tcPr>
          <w:p>
            <w:pPr/>
          </w:p>
        </w:tc>
        <w:tc>
          <w:tcPr>
            <w:tcW w:w="987" w:type="dxa"/>
            <w:vMerge/>
            <w:tcBorders>
              <w:left w:val="single" w:sz="4" w:space="0" w:color="000000"/>
              <w:bottom w:val="single" w:sz="4" w:space="0" w:color="000000"/>
              <w:right w:val="single" w:sz="4" w:space="0" w:color="000000"/>
            </w:tcBorders>
            <w:shd w:val="clear" w:color="auto" w:fill="D2D2D2"/>
          </w:tcPr>
          <w:p>
            <w:pPr/>
          </w:p>
        </w:tc>
        <w:tc>
          <w:tcPr>
            <w:tcW w:w="1265"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3</w:t>
            </w:r>
            <w:r>
              <w:rPr>
                <w:rFonts w:ascii="宋体" w:hAnsi="宋体" w:cs="宋体" w:eastAsia="宋体" w:hint="default"/>
                <w:spacing w:val="-12"/>
                <w:sz w:val="18"/>
                <w:szCs w:val="18"/>
              </w:rPr>
              <w:t>．盈余公积弥补亏损</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．其他</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．本期提取</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．本期使用</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（六）其他</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四、本期期末余额</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 w:right="0"/>
              <w:jc w:val="left"/>
              <w:rPr>
                <w:rFonts w:ascii="Times New Roman" w:hAnsi="Times New Roman" w:cs="Times New Roman" w:eastAsia="Times New Roman" w:hint="default"/>
                <w:sz w:val="18"/>
                <w:szCs w:val="18"/>
              </w:rPr>
            </w:pPr>
            <w:r>
              <w:rPr>
                <w:rFonts w:ascii="Times New Roman"/>
                <w:spacing w:val="-6"/>
                <w:sz w:val="18"/>
              </w:rPr>
              <w:t>403,059,644.00</w:t>
            </w:r>
          </w:p>
        </w:tc>
        <w:tc>
          <w:tcPr>
            <w:tcW w:w="59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 w:right="0"/>
              <w:jc w:val="center"/>
              <w:rPr>
                <w:rFonts w:ascii="Times New Roman" w:hAnsi="Times New Roman" w:cs="Times New Roman" w:eastAsia="Times New Roman" w:hint="default"/>
                <w:sz w:val="18"/>
                <w:szCs w:val="18"/>
              </w:rPr>
            </w:pPr>
            <w:r>
              <w:rPr>
                <w:rFonts w:ascii="Times New Roman"/>
                <w:spacing w:val="-6"/>
                <w:sz w:val="18"/>
              </w:rPr>
              <w:t>384,344.40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6" w:right="0"/>
              <w:jc w:val="left"/>
              <w:rPr>
                <w:rFonts w:ascii="Times New Roman" w:hAnsi="Times New Roman" w:cs="Times New Roman" w:eastAsia="Times New Roman" w:hint="default"/>
                <w:sz w:val="18"/>
                <w:szCs w:val="18"/>
              </w:rPr>
            </w:pPr>
            <w:r>
              <w:rPr>
                <w:rFonts w:ascii="Times New Roman"/>
                <w:spacing w:val="-6"/>
                <w:sz w:val="18"/>
              </w:rPr>
              <w:t>618,814,990.37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 w:right="0"/>
              <w:jc w:val="left"/>
              <w:rPr>
                <w:rFonts w:ascii="Times New Roman" w:hAnsi="Times New Roman" w:cs="Times New Roman" w:eastAsia="Times New Roman" w:hint="default"/>
                <w:sz w:val="18"/>
                <w:szCs w:val="18"/>
              </w:rPr>
            </w:pPr>
            <w:r>
              <w:rPr>
                <w:rFonts w:ascii="Times New Roman"/>
                <w:spacing w:val="-6"/>
                <w:sz w:val="18"/>
              </w:rPr>
              <w:t>265,017,689.99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75" w:right="0"/>
              <w:jc w:val="left"/>
              <w:rPr>
                <w:rFonts w:ascii="Times New Roman" w:hAnsi="Times New Roman" w:cs="Times New Roman" w:eastAsia="Times New Roman" w:hint="default"/>
                <w:sz w:val="18"/>
                <w:szCs w:val="18"/>
              </w:rPr>
            </w:pPr>
            <w:r>
              <w:rPr>
                <w:rFonts w:ascii="Times New Roman"/>
                <w:spacing w:val="-6"/>
                <w:sz w:val="18"/>
              </w:rPr>
              <w:t>-871,839.05</w:t>
            </w:r>
          </w:p>
        </w:tc>
        <w:tc>
          <w:tcPr>
            <w:tcW w:w="80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pacing w:val="-6"/>
                <w:sz w:val="18"/>
              </w:rPr>
              <w:t>48,530,257.74</w:t>
            </w:r>
          </w:p>
        </w:tc>
        <w:tc>
          <w:tcPr>
            <w:tcW w:w="800"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3" w:right="0"/>
              <w:jc w:val="left"/>
              <w:rPr>
                <w:rFonts w:ascii="Times New Roman" w:hAnsi="Times New Roman" w:cs="Times New Roman" w:eastAsia="Times New Roman" w:hint="default"/>
                <w:sz w:val="18"/>
                <w:szCs w:val="18"/>
              </w:rPr>
            </w:pPr>
            <w:r>
              <w:rPr>
                <w:rFonts w:ascii="Times New Roman"/>
                <w:spacing w:val="-6"/>
                <w:sz w:val="18"/>
              </w:rPr>
              <w:t>298,062,242.14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left"/>
              <w:rPr>
                <w:rFonts w:ascii="Times New Roman" w:hAnsi="Times New Roman" w:cs="Times New Roman" w:eastAsia="Times New Roman" w:hint="default"/>
                <w:sz w:val="18"/>
                <w:szCs w:val="18"/>
              </w:rPr>
            </w:pPr>
            <w:r>
              <w:rPr>
                <w:rFonts w:ascii="Times New Roman"/>
                <w:spacing w:val="-6"/>
                <w:sz w:val="18"/>
              </w:rPr>
              <w:t>8,345,400.27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2" w:right="0"/>
              <w:jc w:val="left"/>
              <w:rPr>
                <w:rFonts w:ascii="Times New Roman" w:hAnsi="Times New Roman" w:cs="Times New Roman" w:eastAsia="Times New Roman" w:hint="default"/>
                <w:sz w:val="18"/>
                <w:szCs w:val="18"/>
              </w:rPr>
            </w:pPr>
            <w:r>
              <w:rPr>
                <w:rFonts w:ascii="Times New Roman"/>
                <w:spacing w:val="-7"/>
                <w:sz w:val="18"/>
              </w:rPr>
              <w:t>1,111,307,349.88</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77" w:footer="979" w:top="1100" w:bottom="116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7"/>
          <w:szCs w:val="17"/>
        </w:rPr>
      </w:pPr>
    </w:p>
    <w:p>
      <w:pPr>
        <w:pStyle w:val="BodyText"/>
        <w:spacing w:line="324" w:lineRule="exact"/>
        <w:ind w:left="774" w:right="0"/>
        <w:jc w:val="left"/>
        <w:rPr>
          <w:rFonts w:ascii="微软雅黑" w:hAnsi="微软雅黑" w:cs="微软雅黑" w:eastAsia="微软雅黑" w:hint="default"/>
        </w:rPr>
      </w:pPr>
      <w:bookmarkStart w:name="8、母公司所有者权益变动表" w:id="166"/>
      <w:bookmarkEnd w:id="166"/>
      <w:r>
        <w:rPr/>
      </w:r>
      <w:r>
        <w:rPr>
          <w:rFonts w:ascii="Times New Roman" w:hAnsi="Times New Roman" w:cs="Times New Roman" w:eastAsia="Times New Roman" w:hint="default"/>
        </w:rPr>
        <w:t>8</w:t>
      </w:r>
      <w:r>
        <w:rPr>
          <w:rFonts w:ascii="微软雅黑" w:hAnsi="微软雅黑" w:cs="微软雅黑" w:eastAsia="微软雅黑" w:hint="default"/>
        </w:rPr>
        <w:t>、母公司所有者权益变动表</w:t>
      </w:r>
    </w:p>
    <w:p>
      <w:pPr>
        <w:spacing w:line="240" w:lineRule="auto" w:before="7"/>
        <w:rPr>
          <w:rFonts w:ascii="微软雅黑" w:hAnsi="微软雅黑" w:cs="微软雅黑" w:eastAsia="微软雅黑" w:hint="default"/>
          <w:sz w:val="23"/>
          <w:szCs w:val="23"/>
        </w:rPr>
      </w:pPr>
    </w:p>
    <w:p>
      <w:pPr>
        <w:pStyle w:val="BodyText"/>
        <w:spacing w:line="240" w:lineRule="auto"/>
        <w:ind w:left="774" w:right="0"/>
        <w:jc w:val="left"/>
      </w:pPr>
      <w:r>
        <w:rPr/>
        <w:t>本期金额</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237"/>
        <w:gridCol w:w="1397"/>
        <w:gridCol w:w="788"/>
        <w:gridCol w:w="787"/>
        <w:gridCol w:w="794"/>
        <w:gridCol w:w="1398"/>
        <w:gridCol w:w="1398"/>
        <w:gridCol w:w="992"/>
        <w:gridCol w:w="995"/>
        <w:gridCol w:w="1304"/>
        <w:gridCol w:w="1398"/>
        <w:gridCol w:w="1542"/>
      </w:tblGrid>
      <w:tr>
        <w:trPr>
          <w:trHeight w:val="388" w:hRule="exact"/>
        </w:trPr>
        <w:tc>
          <w:tcPr>
            <w:tcW w:w="22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16" w:hRule="exact"/>
        </w:trPr>
        <w:tc>
          <w:tcPr>
            <w:tcW w:w="2237" w:type="dxa"/>
            <w:vMerge/>
            <w:tcBorders>
              <w:left w:val="single" w:sz="4" w:space="0" w:color="000000"/>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6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310"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17" w:hRule="exact"/>
        </w:trPr>
        <w:tc>
          <w:tcPr>
            <w:tcW w:w="2237"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8"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54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403,059,644.00</w:t>
            </w:r>
          </w:p>
        </w:tc>
        <w:tc>
          <w:tcPr>
            <w:tcW w:w="788" w:type="dxa"/>
            <w:tcBorders>
              <w:top w:val="single" w:sz="12" w:space="0" w:color="D2D2D2"/>
              <w:left w:val="single" w:sz="4" w:space="0" w:color="000000"/>
              <w:bottom w:val="single" w:sz="4" w:space="0" w:color="000000"/>
              <w:right w:val="single" w:sz="4" w:space="0" w:color="000000"/>
            </w:tcBorders>
          </w:tcPr>
          <w:p>
            <w:pPr/>
          </w:p>
        </w:tc>
        <w:tc>
          <w:tcPr>
            <w:tcW w:w="787" w:type="dxa"/>
            <w:tcBorders>
              <w:top w:val="single" w:sz="12" w:space="0" w:color="D2D2D2"/>
              <w:left w:val="single" w:sz="4" w:space="0" w:color="000000"/>
              <w:bottom w:val="single" w:sz="4" w:space="0" w:color="000000"/>
              <w:right w:val="single" w:sz="4" w:space="0" w:color="000000"/>
            </w:tcBorders>
          </w:tcPr>
          <w:p>
            <w:pPr/>
          </w:p>
        </w:tc>
        <w:tc>
          <w:tcPr>
            <w:tcW w:w="794" w:type="dxa"/>
            <w:tcBorders>
              <w:top w:val="single" w:sz="12" w:space="0" w:color="D2D2D2"/>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594,787,384.84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265,017,689.99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48,530,257.74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308,047,043.76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Times New Roman" w:hAnsi="Times New Roman" w:cs="Times New Roman" w:eastAsia="Times New Roman" w:hint="default"/>
                <w:sz w:val="18"/>
                <w:szCs w:val="18"/>
              </w:rPr>
            </w:pPr>
            <w:r>
              <w:rPr>
                <w:rFonts w:ascii="Times New Roman"/>
                <w:spacing w:val="-1"/>
                <w:sz w:val="18"/>
              </w:rPr>
              <w:t>1,089,406,640.35</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9"/>
              <w:jc w:val="center"/>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403,059,644.00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594,787,384.84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265,017,689.99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48,530,257.74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308,047,043.76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1,089,406,640.35</w:t>
            </w:r>
          </w:p>
        </w:tc>
      </w:tr>
      <w:tr>
        <w:trPr>
          <w:trHeight w:val="600"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2" w:right="101"/>
              <w:jc w:val="left"/>
              <w:rPr>
                <w:rFonts w:ascii="宋体" w:hAnsi="宋体" w:cs="宋体" w:eastAsia="宋体" w:hint="default"/>
                <w:sz w:val="18"/>
                <w:szCs w:val="18"/>
              </w:rPr>
            </w:pPr>
            <w:r>
              <w:rPr>
                <w:rFonts w:ascii="宋体" w:hAnsi="宋体" w:cs="宋体" w:eastAsia="宋体" w:hint="default"/>
                <w:spacing w:val="-12"/>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少以“－”号填列）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818,978.00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32,002,892.42</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-82,629,672.32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5,902,323.41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25,244,736.36</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146,598,602.51</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59,023,234.09</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59,023,234.09</w:t>
            </w:r>
          </w:p>
        </w:tc>
      </w:tr>
      <w:tr>
        <w:trPr>
          <w:trHeight w:val="601"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2" w:right="142"/>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818,978.00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32,002,892.42</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-81,788,274.22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114,610,144.64</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1"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2" w:right="10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．其他权益工具持有者投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入资本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2" w:right="10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．股份支付计入所有者权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益的金额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2,685,000.00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19,405,404.21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-81,788,274.22</w:t>
            </w: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103,878,678.43</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-1,866,022.00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12,597,488.21</w:t>
            </w: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10,731,466.21</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-841,398.10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5,902,323.41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-33,778,497.73</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-27,034,776.22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79" w:top="1100" w:bottom="1160" w:left="78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2237"/>
        <w:gridCol w:w="1397"/>
        <w:gridCol w:w="788"/>
        <w:gridCol w:w="787"/>
        <w:gridCol w:w="794"/>
        <w:gridCol w:w="1398"/>
        <w:gridCol w:w="1398"/>
        <w:gridCol w:w="992"/>
        <w:gridCol w:w="995"/>
        <w:gridCol w:w="1304"/>
        <w:gridCol w:w="1398"/>
        <w:gridCol w:w="1542"/>
      </w:tblGrid>
      <w:tr>
        <w:trPr>
          <w:trHeight w:val="388" w:hRule="exact"/>
        </w:trPr>
        <w:tc>
          <w:tcPr>
            <w:tcW w:w="22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9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16" w:hRule="exact"/>
        </w:trPr>
        <w:tc>
          <w:tcPr>
            <w:tcW w:w="2237" w:type="dxa"/>
            <w:vMerge/>
            <w:tcBorders>
              <w:left w:val="single" w:sz="4" w:space="0" w:color="000000"/>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6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310"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17" w:hRule="exact"/>
        </w:trPr>
        <w:tc>
          <w:tcPr>
            <w:tcW w:w="2237"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98"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54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12" w:space="0" w:color="D2D2D2"/>
              <w:left w:val="single" w:sz="4" w:space="0" w:color="000000"/>
              <w:bottom w:val="single" w:sz="4" w:space="0" w:color="000000"/>
              <w:right w:val="single" w:sz="4" w:space="0" w:color="000000"/>
            </w:tcBorders>
          </w:tcPr>
          <w:p>
            <w:pPr/>
          </w:p>
        </w:tc>
        <w:tc>
          <w:tcPr>
            <w:tcW w:w="787" w:type="dxa"/>
            <w:tcBorders>
              <w:top w:val="single" w:sz="12" w:space="0" w:color="D2D2D2"/>
              <w:left w:val="single" w:sz="4" w:space="0" w:color="000000"/>
              <w:bottom w:val="single" w:sz="4" w:space="0" w:color="000000"/>
              <w:right w:val="single" w:sz="4" w:space="0" w:color="000000"/>
            </w:tcBorders>
          </w:tcPr>
          <w:p>
            <w:pPr/>
          </w:p>
        </w:tc>
        <w:tc>
          <w:tcPr>
            <w:tcW w:w="794" w:type="dxa"/>
            <w:tcBorders>
              <w:top w:val="single" w:sz="12" w:space="0" w:color="D2D2D2"/>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pacing w:val="-1"/>
                <w:sz w:val="18"/>
              </w:rPr>
              <w:t>5,902,323.41</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Times New Roman" w:hAnsi="Times New Roman" w:cs="Times New Roman" w:eastAsia="Times New Roman" w:hint="default"/>
                <w:sz w:val="18"/>
                <w:szCs w:val="18"/>
              </w:rPr>
            </w:pPr>
            <w:r>
              <w:rPr>
                <w:rFonts w:ascii="Times New Roman"/>
                <w:spacing w:val="-1"/>
                <w:sz w:val="18"/>
              </w:rPr>
              <w:t>-5,902,323.41</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0"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．对所有者（或股东）的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-841,398.10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-27,876,174.32</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-27,034,776.22</w:t>
            </w:r>
          </w:p>
        </w:tc>
      </w:tr>
      <w:tr>
        <w:trPr>
          <w:trHeight w:val="408"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0"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42"/>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2"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1"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403,878,622.00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626,790,277.26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182,388,017.67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54,432,581.15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333,291,780.12</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1,236,005,242.86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79" w:top="1100" w:bottom="116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pStyle w:val="BodyText"/>
        <w:spacing w:line="240" w:lineRule="auto" w:before="35"/>
        <w:ind w:left="774" w:right="0"/>
        <w:jc w:val="left"/>
      </w:pPr>
      <w:r>
        <w:rPr/>
        <w:t>上期金额</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225"/>
        <w:gridCol w:w="1397"/>
        <w:gridCol w:w="779"/>
        <w:gridCol w:w="779"/>
        <w:gridCol w:w="782"/>
        <w:gridCol w:w="1462"/>
        <w:gridCol w:w="1398"/>
        <w:gridCol w:w="983"/>
        <w:gridCol w:w="985"/>
        <w:gridCol w:w="1306"/>
        <w:gridCol w:w="1398"/>
        <w:gridCol w:w="1538"/>
      </w:tblGrid>
      <w:tr>
        <w:trPr>
          <w:trHeight w:val="388" w:hRule="exact"/>
        </w:trPr>
        <w:tc>
          <w:tcPr>
            <w:tcW w:w="22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6" w:hRule="exact"/>
        </w:trPr>
        <w:tc>
          <w:tcPr>
            <w:tcW w:w="2225" w:type="dxa"/>
            <w:vMerge/>
            <w:tcBorders>
              <w:left w:val="single" w:sz="4" w:space="0" w:color="000000"/>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6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04" w:right="12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18" w:hRule="exact"/>
        </w:trPr>
        <w:tc>
          <w:tcPr>
            <w:tcW w:w="2225"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983" w:type="dxa"/>
            <w:vMerge/>
            <w:tcBorders>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538"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779" w:type="dxa"/>
            <w:tcBorders>
              <w:top w:val="single" w:sz="8" w:space="0" w:color="D2D2D2"/>
              <w:left w:val="single" w:sz="4" w:space="0" w:color="000000"/>
              <w:bottom w:val="single" w:sz="4" w:space="0" w:color="000000"/>
              <w:right w:val="single" w:sz="4" w:space="0" w:color="000000"/>
            </w:tcBorders>
          </w:tcPr>
          <w:p>
            <w:pPr/>
          </w:p>
        </w:tc>
        <w:tc>
          <w:tcPr>
            <w:tcW w:w="779" w:type="dxa"/>
            <w:tcBorders>
              <w:top w:val="single" w:sz="8" w:space="0" w:color="D2D2D2"/>
              <w:left w:val="single" w:sz="4" w:space="0" w:color="000000"/>
              <w:bottom w:val="single" w:sz="4" w:space="0" w:color="000000"/>
              <w:right w:val="single" w:sz="4" w:space="0" w:color="000000"/>
            </w:tcBorders>
          </w:tcPr>
          <w:p>
            <w:pPr/>
          </w:p>
        </w:tc>
        <w:tc>
          <w:tcPr>
            <w:tcW w:w="782" w:type="dxa"/>
            <w:tcBorders>
              <w:top w:val="single" w:sz="8" w:space="0" w:color="D2D2D2"/>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577,540,663.34</w:t>
            </w: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33,862,369.77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18"/>
                <w:szCs w:val="18"/>
              </w:rPr>
            </w:pPr>
            <w:r>
              <w:rPr>
                <w:rFonts w:ascii="Times New Roman"/>
                <w:spacing w:val="-1"/>
                <w:sz w:val="18"/>
              </w:rPr>
              <w:t>226,011,327.87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18"/>
                <w:szCs w:val="18"/>
              </w:rPr>
            </w:pPr>
            <w:r>
              <w:rPr>
                <w:rFonts w:ascii="Times New Roman"/>
                <w:spacing w:val="-1"/>
                <w:sz w:val="18"/>
              </w:rPr>
              <w:t>937,414,360.98</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w w:val="95"/>
                <w:sz w:val="18"/>
              </w:rPr>
              <w:t>-43,995.02</w:t>
            </w:r>
            <w:r>
              <w:rPr>
                <w:rFonts w:ascii="Times New Roman"/>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-395,955.16</w:t>
            </w:r>
            <w:r>
              <w:rPr>
                <w:rFonts w:ascii="Times New Roman"/>
                <w:sz w:val="18"/>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-439,950.18</w:t>
            </w:r>
            <w:r>
              <w:rPr>
                <w:rFonts w:ascii="Times New Roman"/>
                <w:sz w:val="18"/>
              </w:rPr>
            </w:r>
          </w:p>
        </w:tc>
      </w:tr>
      <w:tr>
        <w:trPr>
          <w:trHeight w:val="408"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100,000,000.00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577,540,663.34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33,818,374.75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225,615,372.71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936,974,410.80</w:t>
            </w:r>
          </w:p>
        </w:tc>
      </w:tr>
      <w:tr>
        <w:trPr>
          <w:trHeight w:val="600"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01"/>
              <w:jc w:val="left"/>
              <w:rPr>
                <w:rFonts w:ascii="宋体" w:hAnsi="宋体" w:cs="宋体" w:eastAsia="宋体" w:hint="default"/>
                <w:sz w:val="18"/>
                <w:szCs w:val="18"/>
              </w:rPr>
            </w:pPr>
            <w:r>
              <w:rPr>
                <w:rFonts w:ascii="宋体" w:hAnsi="宋体" w:cs="宋体" w:eastAsia="宋体" w:hint="default"/>
                <w:spacing w:val="-13"/>
                <w:sz w:val="18"/>
                <w:szCs w:val="18"/>
              </w:rPr>
              <w:t>三、本期增减变动金额（减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少以“－”号填列）</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303,059,644.00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17,246,721.50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265,017,689.99</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14,711,882.99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82,431,671.05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152,432,229.55</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147,118,829.86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147,118,829.86</w:t>
            </w:r>
          </w:p>
        </w:tc>
      </w:tr>
      <w:tr>
        <w:trPr>
          <w:trHeight w:val="6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30"/>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3,059,681.00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317,246,684.50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265,017,689.99</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55,288,675.51</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2"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6"/>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．其他权益工具持有者投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入资本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．股份支付计入所有者权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益的金额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3,137,854.00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314,603,715.13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265,017,689.99</w:t>
            </w: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52,723,879.14</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-78,173.00</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2,642,969.37</w:t>
            </w: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2,564,796.37</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14,711,882.99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-64,687,158.81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-49,975,275.82</w:t>
            </w:r>
          </w:p>
        </w:tc>
      </w:tr>
      <w:tr>
        <w:trPr>
          <w:trHeight w:val="408"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14,711,882.99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-14,711,882.99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77" w:footer="979" w:top="1100" w:bottom="1160" w:left="780" w:right="0"/>
        </w:sectPr>
      </w:pPr>
    </w:p>
    <w:p>
      <w:pPr>
        <w:spacing w:line="240" w:lineRule="auto" w:before="9"/>
        <w:rPr>
          <w:rFonts w:ascii="Times New Roman" w:hAnsi="Times New Roman" w:cs="Times New Roman" w:eastAsia="Times New Roman"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2225"/>
        <w:gridCol w:w="1397"/>
        <w:gridCol w:w="779"/>
        <w:gridCol w:w="779"/>
        <w:gridCol w:w="782"/>
        <w:gridCol w:w="1462"/>
        <w:gridCol w:w="1398"/>
        <w:gridCol w:w="983"/>
        <w:gridCol w:w="985"/>
        <w:gridCol w:w="1306"/>
        <w:gridCol w:w="1398"/>
        <w:gridCol w:w="1538"/>
      </w:tblGrid>
      <w:tr>
        <w:trPr>
          <w:trHeight w:val="388" w:hRule="exact"/>
        </w:trPr>
        <w:tc>
          <w:tcPr>
            <w:tcW w:w="22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0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16" w:hRule="exact"/>
        </w:trPr>
        <w:tc>
          <w:tcPr>
            <w:tcW w:w="2225" w:type="dxa"/>
            <w:vMerge/>
            <w:tcBorders>
              <w:left w:val="single" w:sz="4" w:space="0" w:color="000000"/>
              <w:right w:val="single" w:sz="4" w:space="0" w:color="000000"/>
            </w:tcBorders>
            <w:shd w:val="clear" w:color="auto" w:fill="D2D2D2"/>
          </w:tcPr>
          <w:p>
            <w:pP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3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62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304" w:right="12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7" w:hRule="exact"/>
        </w:trPr>
        <w:tc>
          <w:tcPr>
            <w:tcW w:w="2225"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983" w:type="dxa"/>
            <w:vMerge/>
            <w:tcBorders>
              <w:left w:val="single" w:sz="4" w:space="0" w:color="000000"/>
              <w:bottom w:val="single" w:sz="4" w:space="0" w:color="000000"/>
              <w:right w:val="single" w:sz="4" w:space="0" w:color="000000"/>
            </w:tcBorders>
            <w:shd w:val="clear" w:color="auto" w:fill="D2D2D2"/>
          </w:tcPr>
          <w:p>
            <w:pPr/>
          </w:p>
        </w:tc>
        <w:tc>
          <w:tcPr>
            <w:tcW w:w="985" w:type="dxa"/>
            <w:vMerge/>
            <w:tcBorders>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398" w:type="dxa"/>
            <w:vMerge/>
            <w:tcBorders>
              <w:left w:val="single" w:sz="4" w:space="0" w:color="000000"/>
              <w:bottom w:val="single" w:sz="4" w:space="0" w:color="000000"/>
              <w:right w:val="single" w:sz="4" w:space="0" w:color="000000"/>
            </w:tcBorders>
            <w:shd w:val="clear" w:color="auto" w:fill="D2D2D2"/>
          </w:tcPr>
          <w:p>
            <w:pPr/>
          </w:p>
        </w:tc>
        <w:tc>
          <w:tcPr>
            <w:tcW w:w="1538" w:type="dxa"/>
            <w:vMerge/>
            <w:tcBorders>
              <w:left w:val="single" w:sz="4" w:space="0" w:color="000000"/>
              <w:bottom w:val="single" w:sz="4" w:space="0" w:color="000000"/>
              <w:right w:val="single" w:sz="4" w:space="0" w:color="000000"/>
            </w:tcBorders>
            <w:shd w:val="clear" w:color="auto" w:fill="D2D2D2"/>
          </w:tcPr>
          <w:p>
            <w:pPr/>
          </w:p>
        </w:tc>
      </w:tr>
      <w:tr>
        <w:trPr>
          <w:trHeight w:val="600"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12" w:space="0" w:color="D2D2D2"/>
              <w:left w:val="single" w:sz="4" w:space="0" w:color="000000"/>
              <w:bottom w:val="single" w:sz="4" w:space="0" w:color="000000"/>
              <w:right w:val="single" w:sz="4" w:space="0" w:color="000000"/>
            </w:tcBorders>
          </w:tcPr>
          <w:p>
            <w:pPr/>
          </w:p>
        </w:tc>
        <w:tc>
          <w:tcPr>
            <w:tcW w:w="779" w:type="dxa"/>
            <w:tcBorders>
              <w:top w:val="single" w:sz="12" w:space="0" w:color="D2D2D2"/>
              <w:left w:val="single" w:sz="4" w:space="0" w:color="000000"/>
              <w:bottom w:val="single" w:sz="4" w:space="0" w:color="000000"/>
              <w:right w:val="single" w:sz="4" w:space="0" w:color="000000"/>
            </w:tcBorders>
          </w:tcPr>
          <w:p>
            <w:pPr/>
          </w:p>
        </w:tc>
        <w:tc>
          <w:tcPr>
            <w:tcW w:w="782" w:type="dxa"/>
            <w:tcBorders>
              <w:top w:val="single" w:sz="12" w:space="0" w:color="D2D2D2"/>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-49,975,275.82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-49,975,275.82</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30"/>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299,999,963.00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-299,999,963.00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2"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299,999,963.00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-299,999,963.00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601"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股本）</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97"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403,059,644.00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594,787,384.84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265,017,689.99</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0.00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48,530,257.74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308,047,043.76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1,089,406,640.35</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6840" w:h="11910" w:orient="landscape"/>
          <w:pgMar w:footer="979" w:header="877" w:top="1100" w:bottom="1160" w:left="780" w:right="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45"/>
        <w:ind w:right="0"/>
        <w:jc w:val="both"/>
      </w:pPr>
      <w:bookmarkStart w:name="三、公司基本情况" w:id="167"/>
      <w:bookmarkEnd w:id="167"/>
      <w:r>
        <w:rPr/>
      </w:r>
      <w:r>
        <w:rPr/>
        <w:t>三、公司基本情况</w:t>
      </w:r>
    </w:p>
    <w:p>
      <w:pPr>
        <w:spacing w:line="240" w:lineRule="auto" w:before="11"/>
        <w:rPr>
          <w:rFonts w:ascii="微软雅黑" w:hAnsi="微软雅黑" w:cs="微软雅黑" w:eastAsia="微软雅黑" w:hint="default"/>
          <w:sz w:val="27"/>
          <w:szCs w:val="27"/>
        </w:rPr>
      </w:pPr>
    </w:p>
    <w:p>
      <w:pPr>
        <w:pStyle w:val="BodyText"/>
        <w:spacing w:line="288" w:lineRule="auto"/>
        <w:ind w:left="1133" w:right="1132" w:firstLine="420"/>
        <w:jc w:val="both"/>
      </w:pPr>
      <w:r>
        <w:rPr>
          <w:spacing w:val="-1"/>
        </w:rPr>
        <w:t>中科创达软件股份有限公司（以下简称本公司）前身为中科创达软件科技（北京）有限公司（以下简</w:t>
      </w:r>
      <w:r>
        <w:rPr/>
        <w:t> </w:t>
      </w:r>
      <w:r>
        <w:rPr>
          <w:spacing w:val="-2"/>
        </w:rPr>
        <w:t>称中科创达有限），系经中关村科技园区海淀园管理委员会以海园发</w:t>
      </w:r>
      <w:r>
        <w:rPr>
          <w:rFonts w:ascii="Times New Roman" w:hAnsi="Times New Roman" w:cs="Times New Roman" w:eastAsia="Times New Roman" w:hint="default"/>
          <w:spacing w:val="-2"/>
        </w:rPr>
        <w:t>[2008]224</w:t>
      </w:r>
      <w:r>
        <w:rPr>
          <w:rFonts w:ascii="Times New Roman" w:hAnsi="Times New Roman" w:cs="Times New Roman" w:eastAsia="Times New Roman" w:hint="default"/>
        </w:rPr>
        <w:t> </w:t>
      </w:r>
      <w:r>
        <w:rPr>
          <w:spacing w:val="-4"/>
        </w:rPr>
        <w:t>号文件批准设立，取得北京</w:t>
      </w:r>
      <w:r>
        <w:rPr>
          <w:spacing w:val="-94"/>
        </w:rPr>
        <w:t> </w:t>
      </w:r>
      <w:r>
        <w:rPr>
          <w:spacing w:val="-94"/>
        </w:rPr>
      </w:r>
      <w:r>
        <w:rPr/>
        <w:t>市人民政府于</w:t>
      </w:r>
      <w:r>
        <w:rPr>
          <w:spacing w:val="-4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日颁发商外资京字</w:t>
      </w:r>
      <w:r>
        <w:rPr>
          <w:rFonts w:ascii="Times New Roman" w:hAnsi="Times New Roman" w:cs="Times New Roman" w:eastAsia="Times New Roman" w:hint="default"/>
        </w:rPr>
        <w:t>[2008]17044</w:t>
      </w:r>
      <w:r>
        <w:rPr>
          <w:rFonts w:ascii="Times New Roman" w:hAnsi="Times New Roman" w:cs="Times New Roman" w:eastAsia="Times New Roman" w:hint="default"/>
          <w:spacing w:val="-10"/>
        </w:rPr>
        <w:t> </w:t>
      </w:r>
      <w:r>
        <w:rPr/>
        <w:t>号中华人民共和国外商投资企业批准证书，北</w:t>
      </w:r>
    </w:p>
    <w:p>
      <w:pPr>
        <w:pStyle w:val="BodyText"/>
        <w:spacing w:line="240" w:lineRule="auto" w:before="3"/>
        <w:ind w:left="1133" w:right="0"/>
        <w:jc w:val="both"/>
      </w:pPr>
      <w:r>
        <w:rPr/>
        <w:t>京市工商管理局于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日核发的</w:t>
      </w:r>
      <w:r>
        <w:rPr>
          <w:spacing w:val="-51"/>
        </w:rPr>
        <w:t> </w:t>
      </w:r>
      <w:r>
        <w:rPr>
          <w:rFonts w:ascii="Times New Roman" w:hAnsi="Times New Roman" w:cs="Times New Roman" w:eastAsia="Times New Roman" w:hint="default"/>
        </w:rPr>
        <w:t>110000450044822</w:t>
      </w:r>
      <w:r>
        <w:rPr>
          <w:rFonts w:ascii="Times New Roman" w:hAnsi="Times New Roman" w:cs="Times New Roman" w:eastAsia="Times New Roman" w:hint="default"/>
          <w:spacing w:val="-11"/>
        </w:rPr>
        <w:t> </w:t>
      </w:r>
      <w:r>
        <w:rPr>
          <w:spacing w:val="-5"/>
        </w:rPr>
        <w:t>号《中华人民共和国企业法人营业执照》，初</w:t>
      </w:r>
    </w:p>
    <w:p>
      <w:pPr>
        <w:pStyle w:val="BodyText"/>
        <w:spacing w:line="240" w:lineRule="auto" w:before="50"/>
        <w:ind w:left="1133" w:right="0"/>
        <w:jc w:val="both"/>
      </w:pPr>
      <w:r>
        <w:rPr/>
        <w:t>始注册资本</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日中科创达有限以</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日的净资产以发起设立的方式整体变更为股份有限</w:t>
      </w:r>
    </w:p>
    <w:p>
      <w:pPr>
        <w:pStyle w:val="BodyText"/>
        <w:spacing w:line="240" w:lineRule="auto" w:before="50"/>
        <w:ind w:left="1133" w:right="0"/>
        <w:jc w:val="both"/>
      </w:pPr>
      <w:r>
        <w:rPr/>
        <w:t>公司，股份公司总股本为</w:t>
      </w:r>
      <w:r>
        <w:rPr>
          <w:spacing w:val="-5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1"/>
        </w:rPr>
        <w:t> </w:t>
      </w:r>
      <w:r>
        <w:rPr/>
        <w:t>万股。</w:t>
      </w:r>
    </w:p>
    <w:p>
      <w:pPr>
        <w:spacing w:line="240" w:lineRule="auto" w:before="6"/>
        <w:rPr>
          <w:rFonts w:ascii="宋体" w:hAnsi="宋体" w:cs="宋体" w:eastAsia="宋体" w:hint="default"/>
          <w:sz w:val="20"/>
          <w:szCs w:val="20"/>
        </w:rPr>
      </w:pPr>
    </w:p>
    <w:p>
      <w:pPr>
        <w:pStyle w:val="BodyText"/>
        <w:spacing w:line="280" w:lineRule="auto"/>
        <w:ind w:left="1133" w:right="1132" w:firstLine="420"/>
        <w:jc w:val="both"/>
      </w:pPr>
      <w:r>
        <w:rPr>
          <w:rFonts w:ascii="Times New Roman" w:hAnsi="Times New Roman" w:cs="Times New Roman" w:eastAsia="Times New Roman" w:hint="default"/>
        </w:rPr>
        <w:t>2015 </w:t>
      </w:r>
      <w:r>
        <w:rPr/>
        <w:t>年经中国证券监督管理委员会证监许可（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1372</w:t>
      </w:r>
      <w:r>
        <w:rPr>
          <w:rFonts w:ascii="Times New Roman" w:hAnsi="Times New Roman" w:cs="Times New Roman" w:eastAsia="Times New Roman" w:hint="default"/>
          <w:spacing w:val="26"/>
        </w:rPr>
        <w:t> </w:t>
      </w:r>
      <w:r>
        <w:rPr/>
        <w:t>号文核准，本公司向社会公众发行人民币 普通股（</w:t>
      </w: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25,000,000</w:t>
      </w:r>
      <w:r>
        <w:rPr>
          <w:rFonts w:ascii="Times New Roman" w:hAnsi="Times New Roman" w:cs="Times New Roman" w:eastAsia="Times New Roman" w:hint="default"/>
          <w:spacing w:val="-12"/>
        </w:rPr>
        <w:t> </w:t>
      </w:r>
      <w:r>
        <w:rPr/>
        <w:t>股，变更后的注册资本为人民币</w:t>
      </w:r>
      <w:r>
        <w:rPr>
          <w:spacing w:val="-55"/>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2"/>
        </w:rPr>
        <w:t> </w:t>
      </w:r>
      <w:r>
        <w:rPr/>
        <w:t>元。</w:t>
      </w:r>
    </w:p>
    <w:p>
      <w:pPr>
        <w:spacing w:line="240" w:lineRule="auto" w:before="5"/>
        <w:rPr>
          <w:rFonts w:ascii="宋体" w:hAnsi="宋体" w:cs="宋体" w:eastAsia="宋体" w:hint="default"/>
          <w:sz w:val="17"/>
          <w:szCs w:val="17"/>
        </w:rPr>
      </w:pPr>
    </w:p>
    <w:p>
      <w:pPr>
        <w:pStyle w:val="BodyText"/>
        <w:spacing w:line="280" w:lineRule="auto"/>
        <w:ind w:left="1133" w:right="1020"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t>年</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月，根据《关于确认限制性股票授予人数和股份数的议案》有关条款和股东大会授权，向符 合条件的</w:t>
      </w:r>
      <w:r>
        <w:rPr>
          <w:spacing w:val="-75"/>
        </w:rPr>
        <w:t> </w:t>
      </w:r>
      <w:r>
        <w:rPr>
          <w:rFonts w:ascii="Times New Roman" w:hAnsi="Times New Roman" w:cs="Times New Roman" w:eastAsia="Times New Roman" w:hint="default"/>
        </w:rPr>
        <w:t>484</w:t>
      </w:r>
      <w:r>
        <w:rPr>
          <w:rFonts w:ascii="Times New Roman" w:hAnsi="Times New Roman" w:cs="Times New Roman" w:eastAsia="Times New Roman" w:hint="default"/>
          <w:spacing w:val="-30"/>
        </w:rPr>
        <w:t> </w:t>
      </w:r>
      <w:r>
        <w:rPr/>
        <w:t>名激励对象授予</w:t>
      </w:r>
      <w:r>
        <w:rPr>
          <w:spacing w:val="-76"/>
        </w:rPr>
        <w:t> </w:t>
      </w:r>
      <w:r>
        <w:rPr>
          <w:rFonts w:ascii="Times New Roman" w:hAnsi="Times New Roman" w:cs="Times New Roman" w:eastAsia="Times New Roman" w:hint="default"/>
        </w:rPr>
        <w:t>3,137,854</w:t>
      </w:r>
      <w:r>
        <w:rPr>
          <w:rFonts w:ascii="Times New Roman" w:hAnsi="Times New Roman" w:cs="Times New Roman" w:eastAsia="Times New Roman" w:hint="default"/>
          <w:spacing w:val="-28"/>
        </w:rPr>
        <w:t> </w:t>
      </w:r>
      <w:r>
        <w:rPr>
          <w:spacing w:val="-9"/>
        </w:rPr>
        <w:t>股限制性股票，认购价格每股</w:t>
      </w:r>
      <w:r>
        <w:rPr>
          <w:spacing w:val="-75"/>
        </w:rPr>
        <w:t> </w:t>
      </w:r>
      <w:r>
        <w:rPr>
          <w:rFonts w:ascii="Times New Roman" w:hAnsi="Times New Roman" w:cs="Times New Roman" w:eastAsia="Times New Roman" w:hint="default"/>
        </w:rPr>
        <w:t>85.48</w:t>
      </w:r>
      <w:r>
        <w:rPr>
          <w:rFonts w:ascii="Times New Roman" w:hAnsi="Times New Roman" w:cs="Times New Roman" w:eastAsia="Times New Roman" w:hint="default"/>
          <w:spacing w:val="-28"/>
        </w:rPr>
        <w:t> </w:t>
      </w:r>
      <w:r>
        <w:rPr>
          <w:spacing w:val="-14"/>
        </w:rPr>
        <w:t>元，认购金额合计</w:t>
      </w:r>
      <w:r>
        <w:rPr>
          <w:spacing w:val="-75"/>
        </w:rPr>
        <w:t> </w:t>
      </w:r>
      <w:r>
        <w:rPr>
          <w:rFonts w:ascii="Times New Roman" w:hAnsi="Times New Roman" w:cs="Times New Roman" w:eastAsia="Times New Roman" w:hint="default"/>
        </w:rPr>
        <w:t>268,223,759.92</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spacing w:val="-6"/>
        </w:rPr>
        <w:t>元，业经致同会计师事务所（特殊普通合伙）出具的致同验字（</w:t>
      </w:r>
      <w:r>
        <w:rPr>
          <w:rFonts w:ascii="Times New Roman" w:hAnsi="Times New Roman" w:cs="Times New Roman" w:eastAsia="Times New Roman" w:hint="default"/>
          <w:spacing w:val="-6"/>
        </w:rPr>
        <w:t>2016</w:t>
      </w:r>
      <w:r>
        <w:rPr>
          <w:spacing w:val="-6"/>
        </w:rPr>
        <w:t>）第</w:t>
      </w:r>
      <w:r>
        <w:rPr>
          <w:spacing w:val="-49"/>
        </w:rPr>
        <w:t> </w:t>
      </w:r>
      <w:r>
        <w:rPr>
          <w:rFonts w:ascii="Times New Roman" w:hAnsi="Times New Roman" w:cs="Times New Roman" w:eastAsia="Times New Roman" w:hint="default"/>
        </w:rPr>
        <w:t>110ZA0220</w:t>
      </w:r>
      <w:r>
        <w:rPr>
          <w:rFonts w:ascii="Times New Roman" w:hAnsi="Times New Roman" w:cs="Times New Roman" w:eastAsia="Times New Roman" w:hint="default"/>
          <w:spacing w:val="-7"/>
        </w:rPr>
        <w:t> </w:t>
      </w:r>
      <w:r>
        <w:rPr/>
        <w:t>号验资报告予以验证， 并于</w:t>
      </w:r>
      <w:r>
        <w:rPr>
          <w:spacing w:val="-3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日在中国证券登记结算有限责任公司深圳分公司完成登记，变更后股本为</w:t>
      </w:r>
      <w:r>
        <w:rPr>
          <w:spacing w:val="-39"/>
        </w:rPr>
        <w:t> </w:t>
      </w:r>
      <w:r>
        <w:rPr>
          <w:rFonts w:ascii="Times New Roman" w:hAnsi="Times New Roman" w:cs="Times New Roman" w:eastAsia="Times New Roman" w:hint="default"/>
        </w:rPr>
        <w:t>103,137,854 </w:t>
      </w:r>
      <w:r>
        <w:rPr/>
        <w:t>股。</w:t>
      </w:r>
    </w:p>
    <w:p>
      <w:pPr>
        <w:spacing w:line="240" w:lineRule="auto" w:before="12"/>
        <w:rPr>
          <w:rFonts w:ascii="宋体" w:hAnsi="宋体" w:cs="宋体" w:eastAsia="宋体" w:hint="default"/>
          <w:sz w:val="18"/>
          <w:szCs w:val="18"/>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日召开的</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年度股东大会审议通过，以截止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日总股本</w:t>
      </w:r>
      <w:r>
        <w:rPr>
          <w:spacing w:val="-47"/>
        </w:rPr>
        <w:t> </w:t>
      </w:r>
      <w:r>
        <w:rPr>
          <w:rFonts w:ascii="Times New Roman" w:hAnsi="Times New Roman" w:cs="Times New Roman" w:eastAsia="Times New Roman" w:hint="default"/>
        </w:rPr>
        <w:t>100,000,000</w:t>
      </w:r>
    </w:p>
    <w:p>
      <w:pPr>
        <w:pStyle w:val="BodyText"/>
        <w:spacing w:line="240" w:lineRule="auto" w:before="50"/>
        <w:ind w:left="1134" w:right="0"/>
        <w:jc w:val="both"/>
      </w:pPr>
      <w:r>
        <w:rPr/>
        <w:t>股为基准，以资本公积金向全体股东每</w:t>
      </w:r>
      <w:r>
        <w:rPr>
          <w:spacing w:val="-3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31"/>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股，合计转增</w:t>
      </w:r>
      <w:r>
        <w:rPr>
          <w:spacing w:val="-31"/>
        </w:rPr>
        <w:t> </w:t>
      </w:r>
      <w:r>
        <w:rPr>
          <w:rFonts w:ascii="Times New Roman" w:hAnsi="Times New Roman" w:cs="Times New Roman" w:eastAsia="Times New Roman" w:hint="default"/>
        </w:rPr>
        <w:t>300,000,000</w:t>
      </w:r>
      <w:r>
        <w:rPr>
          <w:rFonts w:ascii="Times New Roman" w:hAnsi="Times New Roman" w:cs="Times New Roman" w:eastAsia="Times New Roman" w:hint="default"/>
          <w:spacing w:val="3"/>
        </w:rPr>
        <w:t> </w:t>
      </w:r>
      <w:r>
        <w:rPr/>
        <w:t>股，由于限制性股票已于</w:t>
      </w:r>
    </w:p>
    <w:p>
      <w:pPr>
        <w:pStyle w:val="BodyText"/>
        <w:spacing w:line="240" w:lineRule="auto" w:before="50"/>
        <w:ind w:left="1134"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日完成授予登记，总股本变更为</w:t>
      </w:r>
      <w:r>
        <w:rPr>
          <w:spacing w:val="-38"/>
        </w:rPr>
        <w:t> </w:t>
      </w:r>
      <w:r>
        <w:rPr>
          <w:rFonts w:ascii="Times New Roman" w:hAnsi="Times New Roman" w:cs="Times New Roman" w:eastAsia="Times New Roman" w:hint="default"/>
        </w:rPr>
        <w:t>103,137,854</w:t>
      </w:r>
      <w:r>
        <w:rPr>
          <w:rFonts w:ascii="Times New Roman" w:hAnsi="Times New Roman" w:cs="Times New Roman" w:eastAsia="Times New Roman" w:hint="default"/>
          <w:spacing w:val="-6"/>
        </w:rPr>
        <w:t> </w:t>
      </w:r>
      <w:r>
        <w:rPr/>
        <w:t>股，按照“分配总额不变”的原则，重新计算</w:t>
      </w:r>
    </w:p>
    <w:p>
      <w:pPr>
        <w:pStyle w:val="BodyText"/>
        <w:spacing w:line="240" w:lineRule="auto" w:before="49"/>
        <w:ind w:left="1133" w:right="0"/>
        <w:jc w:val="both"/>
      </w:pPr>
      <w:r>
        <w:rPr/>
        <w:t>以资本公积金向全体股东每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55"/>
        </w:rPr>
        <w:t> </w:t>
      </w:r>
      <w:r>
        <w:rPr>
          <w:rFonts w:ascii="Times New Roman" w:hAnsi="Times New Roman" w:cs="Times New Roman" w:eastAsia="Times New Roman" w:hint="default"/>
        </w:rPr>
        <w:t>29.087280</w:t>
      </w:r>
      <w:r>
        <w:rPr>
          <w:rFonts w:ascii="Times New Roman" w:hAnsi="Times New Roman" w:cs="Times New Roman" w:eastAsia="Times New Roman" w:hint="default"/>
          <w:spacing w:val="-12"/>
        </w:rPr>
        <w:t> </w:t>
      </w:r>
      <w:r>
        <w:rPr/>
        <w:t>股，此次转增完成后总股本增加至</w:t>
      </w:r>
      <w:r>
        <w:rPr>
          <w:spacing w:val="-54"/>
        </w:rPr>
        <w:t> </w:t>
      </w:r>
      <w:r>
        <w:rPr>
          <w:rFonts w:ascii="Times New Roman" w:hAnsi="Times New Roman" w:cs="Times New Roman" w:eastAsia="Times New Roman" w:hint="default"/>
        </w:rPr>
        <w:t>403,137,817</w:t>
      </w:r>
      <w:r>
        <w:rPr>
          <w:rFonts w:ascii="Times New Roman" w:hAnsi="Times New Roman" w:cs="Times New Roman" w:eastAsia="Times New Roman" w:hint="default"/>
          <w:spacing w:val="-11"/>
        </w:rPr>
        <w:t> </w:t>
      </w:r>
      <w:r>
        <w:rPr/>
        <w:t>股。</w:t>
      </w:r>
    </w:p>
    <w:p>
      <w:pPr>
        <w:spacing w:line="240" w:lineRule="auto" w:before="7"/>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日，因股权激励计划中被激励对象离职，经第二届董事会第九次会议决议和修改后的</w:t>
      </w:r>
    </w:p>
    <w:p>
      <w:pPr>
        <w:pStyle w:val="BodyText"/>
        <w:spacing w:line="280" w:lineRule="auto" w:before="49"/>
        <w:ind w:left="1134" w:right="1130"/>
        <w:jc w:val="both"/>
      </w:pPr>
      <w:r>
        <w:rPr/>
        <w:t>公司章程规定，回购并注销股权激励股票</w:t>
      </w:r>
      <w:r>
        <w:rPr>
          <w:spacing w:val="-37"/>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7"/>
        </w:rPr>
        <w:t> </w:t>
      </w:r>
      <w:r>
        <w:rPr/>
        <w:t>股，回购价格每股</w:t>
      </w:r>
      <w:r>
        <w:rPr>
          <w:spacing w:val="-38"/>
        </w:rPr>
        <w:t> </w:t>
      </w:r>
      <w:r>
        <w:rPr>
          <w:rFonts w:ascii="Times New Roman" w:hAnsi="Times New Roman" w:cs="Times New Roman" w:eastAsia="Times New Roman" w:hint="default"/>
        </w:rPr>
        <w:t>85.48</w:t>
      </w:r>
      <w:r>
        <w:rPr>
          <w:rFonts w:ascii="Times New Roman" w:hAnsi="Times New Roman" w:cs="Times New Roman" w:eastAsia="Times New Roman" w:hint="default"/>
          <w:spacing w:val="-8"/>
        </w:rPr>
        <w:t> </w:t>
      </w:r>
      <w:r>
        <w:rPr/>
        <w:t>元，回购金额</w:t>
      </w:r>
      <w:r>
        <w:rPr>
          <w:spacing w:val="-38"/>
        </w:rPr>
        <w:t> </w:t>
      </w:r>
      <w:r>
        <w:rPr>
          <w:rFonts w:ascii="Times New Roman" w:hAnsi="Times New Roman" w:cs="Times New Roman" w:eastAsia="Times New Roman" w:hint="default"/>
        </w:rPr>
        <w:t>1,709,600.00</w:t>
      </w:r>
      <w:r>
        <w:rPr>
          <w:rFonts w:ascii="Times New Roman" w:hAnsi="Times New Roman" w:cs="Times New Roman" w:eastAsia="Times New Roman" w:hint="default"/>
          <w:spacing w:val="-6"/>
        </w:rPr>
        <w:t> </w:t>
      </w:r>
      <w:r>
        <w:rPr/>
        <w:t>元， </w:t>
      </w:r>
      <w:r>
        <w:rPr>
          <w:spacing w:val="-3"/>
        </w:rPr>
        <w:t>业经致同会计师事务所（特殊普通合伙）出具的致同验字（</w:t>
      </w:r>
      <w:r>
        <w:rPr>
          <w:rFonts w:ascii="Times New Roman" w:hAnsi="Times New Roman" w:cs="Times New Roman" w:eastAsia="Times New Roman" w:hint="default"/>
          <w:spacing w:val="-3"/>
        </w:rPr>
        <w:t>2016</w:t>
      </w:r>
      <w:r>
        <w:rPr>
          <w:spacing w:val="-3"/>
        </w:rPr>
        <w:t>）第</w:t>
      </w:r>
      <w:r>
        <w:rPr>
          <w:spacing w:val="-50"/>
        </w:rPr>
        <w:t> </w:t>
      </w:r>
      <w:r>
        <w:rPr>
          <w:rFonts w:ascii="Times New Roman" w:hAnsi="Times New Roman" w:cs="Times New Roman" w:eastAsia="Times New Roman" w:hint="default"/>
        </w:rPr>
        <w:t>110ZA0455</w:t>
      </w:r>
      <w:r>
        <w:rPr>
          <w:rFonts w:ascii="Times New Roman" w:hAnsi="Times New Roman" w:cs="Times New Roman" w:eastAsia="Times New Roman" w:hint="default"/>
          <w:spacing w:val="-8"/>
        </w:rPr>
        <w:t> </w:t>
      </w:r>
      <w:r>
        <w:rPr/>
        <w:t>号验资报告予以验证；此 次回购注销于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日完成，晚于上述资本公积转增股本实施日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t>日，故此次回购</w:t>
      </w:r>
    </w:p>
    <w:p>
      <w:pPr>
        <w:pStyle w:val="BodyText"/>
        <w:spacing w:line="240" w:lineRule="auto" w:before="10"/>
        <w:ind w:left="1134" w:right="0"/>
        <w:jc w:val="both"/>
      </w:pPr>
      <w:r>
        <w:rPr/>
        <w:t>注销股份数量由</w:t>
      </w:r>
      <w:r>
        <w:rPr>
          <w:spacing w:val="-5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2"/>
        </w:rPr>
        <w:t> </w:t>
      </w:r>
      <w:r>
        <w:rPr/>
        <w:t>股转增至</w:t>
      </w:r>
      <w:r>
        <w:rPr>
          <w:spacing w:val="-54"/>
        </w:rPr>
        <w:t> </w:t>
      </w:r>
      <w:r>
        <w:rPr>
          <w:rFonts w:ascii="Times New Roman" w:hAnsi="Times New Roman" w:cs="Times New Roman" w:eastAsia="Times New Roman" w:hint="default"/>
        </w:rPr>
        <w:t>78,173</w:t>
      </w:r>
      <w:r>
        <w:rPr>
          <w:rFonts w:ascii="Times New Roman" w:hAnsi="Times New Roman" w:cs="Times New Roman" w:eastAsia="Times New Roman" w:hint="default"/>
          <w:spacing w:val="-11"/>
        </w:rPr>
        <w:t> </w:t>
      </w:r>
      <w:r>
        <w:rPr/>
        <w:t>股，变更后股本为</w:t>
      </w:r>
      <w:r>
        <w:rPr>
          <w:spacing w:val="-53"/>
        </w:rPr>
        <w:t> </w:t>
      </w:r>
      <w:r>
        <w:rPr>
          <w:rFonts w:ascii="Times New Roman" w:hAnsi="Times New Roman" w:cs="Times New Roman" w:eastAsia="Times New Roman" w:hint="default"/>
        </w:rPr>
        <w:t>403,059,644</w:t>
      </w:r>
      <w:r>
        <w:rPr>
          <w:rFonts w:ascii="Times New Roman" w:hAnsi="Times New Roman" w:cs="Times New Roman" w:eastAsia="Times New Roman" w:hint="default"/>
          <w:spacing w:val="-11"/>
        </w:rPr>
        <w:t> </w:t>
      </w:r>
      <w:r>
        <w:rPr/>
        <w:t>股。</w:t>
      </w:r>
    </w:p>
    <w:p>
      <w:pPr>
        <w:spacing w:line="240" w:lineRule="auto" w:before="6"/>
        <w:rPr>
          <w:rFonts w:ascii="宋体" w:hAnsi="宋体" w:cs="宋体" w:eastAsia="宋体" w:hint="default"/>
          <w:sz w:val="20"/>
          <w:szCs w:val="20"/>
        </w:rPr>
      </w:pPr>
    </w:p>
    <w:p>
      <w:pPr>
        <w:pStyle w:val="BodyText"/>
        <w:spacing w:line="288" w:lineRule="auto"/>
        <w:ind w:left="1134" w:right="1131"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日，因股权激励计划中被激励对象</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人离职，经本公司第二届董事会第十三次会议决 </w:t>
      </w:r>
      <w:r>
        <w:rPr>
          <w:spacing w:val="-1"/>
        </w:rPr>
        <w:t>议和修改后的公司章程规定，回购并注销其已获授权但尚未解锁的全部限制性股票。由于股权激励授予后</w:t>
      </w:r>
      <w:r>
        <w:rPr>
          <w:spacing w:val="-81"/>
        </w:rPr>
        <w:t> </w:t>
      </w:r>
      <w:r>
        <w:rPr>
          <w:spacing w:val="-81"/>
        </w:rPr>
      </w:r>
      <w:r>
        <w:rPr/>
        <w:t>公司实施权益分派，资本公积转增股本，</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名离职员工持股合计由</w:t>
      </w:r>
      <w:r>
        <w:rPr>
          <w:spacing w:val="-36"/>
        </w:rPr>
        <w:t> </w:t>
      </w:r>
      <w:r>
        <w:rPr>
          <w:rFonts w:ascii="Times New Roman" w:hAnsi="Times New Roman" w:cs="Times New Roman" w:eastAsia="Times New Roman" w:hint="default"/>
        </w:rPr>
        <w:t>31,000</w:t>
      </w:r>
      <w:r>
        <w:rPr>
          <w:rFonts w:ascii="Times New Roman" w:hAnsi="Times New Roman" w:cs="Times New Roman" w:eastAsia="Times New Roman" w:hint="default"/>
          <w:spacing w:val="-3"/>
        </w:rPr>
        <w:t> </w:t>
      </w:r>
      <w:r>
        <w:rPr/>
        <w:t>股增加至</w:t>
      </w:r>
      <w:r>
        <w:rPr>
          <w:spacing w:val="-35"/>
        </w:rPr>
        <w:t> </w:t>
      </w:r>
      <w:r>
        <w:rPr>
          <w:rFonts w:ascii="Times New Roman" w:hAnsi="Times New Roman" w:cs="Times New Roman" w:eastAsia="Times New Roman" w:hint="default"/>
        </w:rPr>
        <w:t>121,171</w:t>
      </w:r>
      <w:r>
        <w:rPr>
          <w:rFonts w:ascii="Times New Roman" w:hAnsi="Times New Roman" w:cs="Times New Roman" w:eastAsia="Times New Roman" w:hint="default"/>
          <w:spacing w:val="-3"/>
        </w:rPr>
        <w:t> </w:t>
      </w:r>
      <w:r>
        <w:rPr/>
        <w:t>股，每股回购</w:t>
      </w:r>
    </w:p>
    <w:p>
      <w:pPr>
        <w:pStyle w:val="BodyText"/>
        <w:spacing w:line="280" w:lineRule="auto" w:before="3"/>
        <w:ind w:left="1133" w:right="1130"/>
        <w:jc w:val="both"/>
      </w:pPr>
      <w:r>
        <w:rPr/>
        <w:t>价格按照激励计划进行调整，回购款总额与合计授予价格一致，回购金额合计 </w:t>
      </w:r>
      <w:r>
        <w:rPr>
          <w:rFonts w:ascii="Times New Roman" w:hAnsi="Times New Roman" w:cs="Times New Roman" w:eastAsia="Times New Roman" w:hint="default"/>
        </w:rPr>
        <w:t>2,649,880.00</w:t>
      </w:r>
      <w:r>
        <w:rPr>
          <w:rFonts w:ascii="Times New Roman" w:hAnsi="Times New Roman" w:cs="Times New Roman" w:eastAsia="Times New Roman" w:hint="default"/>
          <w:spacing w:val="-23"/>
        </w:rPr>
        <w:t> </w:t>
      </w:r>
      <w:r>
        <w:rPr/>
        <w:t>元，，业经致 </w:t>
      </w:r>
      <w:r>
        <w:rPr>
          <w:spacing w:val="-3"/>
        </w:rPr>
        <w:t>同会计师事务所（特殊普通合伙）出具的致同验字（</w:t>
      </w:r>
      <w:r>
        <w:rPr>
          <w:rFonts w:ascii="Times New Roman" w:hAnsi="Times New Roman" w:cs="Times New Roman" w:eastAsia="Times New Roman" w:hint="default"/>
          <w:spacing w:val="-3"/>
        </w:rPr>
        <w:t>2017</w:t>
      </w:r>
      <w:r>
        <w:rPr>
          <w:spacing w:val="-3"/>
        </w:rPr>
        <w:t>）第</w:t>
      </w:r>
      <w:r>
        <w:rPr>
          <w:spacing w:val="-49"/>
        </w:rPr>
        <w:t> </w:t>
      </w:r>
      <w:r>
        <w:rPr>
          <w:rFonts w:ascii="Times New Roman" w:hAnsi="Times New Roman" w:cs="Times New Roman" w:eastAsia="Times New Roman" w:hint="default"/>
        </w:rPr>
        <w:t>110ZC0050</w:t>
      </w:r>
      <w:r>
        <w:rPr>
          <w:rFonts w:ascii="Times New Roman" w:hAnsi="Times New Roman" w:cs="Times New Roman" w:eastAsia="Times New Roman" w:hint="default"/>
          <w:spacing w:val="-7"/>
        </w:rPr>
        <w:t> </w:t>
      </w:r>
      <w:r>
        <w:rPr/>
        <w:t>号验资报告予以验证；此次回购 注销于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日完成，变更后股本为</w:t>
      </w:r>
      <w:r>
        <w:rPr>
          <w:spacing w:val="-53"/>
        </w:rPr>
        <w:t> </w:t>
      </w:r>
      <w:r>
        <w:rPr>
          <w:rFonts w:ascii="Times New Roman" w:hAnsi="Times New Roman" w:cs="Times New Roman" w:eastAsia="Times New Roman" w:hint="default"/>
        </w:rPr>
        <w:t>402,938,473</w:t>
      </w:r>
      <w:r>
        <w:rPr>
          <w:rFonts w:ascii="Times New Roman" w:hAnsi="Times New Roman" w:cs="Times New Roman" w:eastAsia="Times New Roman" w:hint="default"/>
          <w:spacing w:val="-11"/>
        </w:rPr>
        <w:t> </w:t>
      </w:r>
      <w:r>
        <w:rPr/>
        <w:t>股。</w:t>
      </w:r>
    </w:p>
    <w:p>
      <w:pPr>
        <w:spacing w:line="240" w:lineRule="auto" w:before="7"/>
        <w:rPr>
          <w:rFonts w:ascii="宋体" w:hAnsi="宋体" w:cs="宋体" w:eastAsia="宋体" w:hint="default"/>
          <w:sz w:val="17"/>
          <w:szCs w:val="17"/>
        </w:rPr>
      </w:pPr>
    </w:p>
    <w:p>
      <w:pPr>
        <w:pStyle w:val="BodyText"/>
        <w:spacing w:line="288" w:lineRule="auto"/>
        <w:ind w:left="1134" w:right="1131"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日，因股权激励计划中被激励对象</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人离职，经本公司第二届董事会第十八次会议决 </w:t>
      </w:r>
      <w:r>
        <w:rPr>
          <w:spacing w:val="-1"/>
        </w:rPr>
        <w:t>议和修改后的公司章程规定，回购并注销其已获授权但尚未解锁的全部限制性股票。由于股权激励授予后</w:t>
      </w:r>
      <w:r>
        <w:rPr>
          <w:spacing w:val="-81"/>
        </w:rPr>
        <w:t> </w:t>
      </w:r>
      <w:r>
        <w:rPr>
          <w:spacing w:val="-81"/>
        </w:rPr>
      </w:r>
      <w:r>
        <w:rPr/>
        <w:t>公司实施权益分派，资本公积转增股本，</w:t>
      </w:r>
      <w:r>
        <w:rPr>
          <w:spacing w:val="-2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名离职员工持股合计由</w:t>
      </w:r>
      <w:r>
        <w:rPr>
          <w:spacing w:val="-31"/>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
        </w:rPr>
        <w:t> </w:t>
      </w:r>
      <w:r>
        <w:rPr/>
        <w:t>股增加至</w:t>
      </w:r>
      <w:r>
        <w:rPr>
          <w:spacing w:val="-30"/>
        </w:rPr>
        <w:t> </w:t>
      </w:r>
      <w:r>
        <w:rPr>
          <w:rFonts w:ascii="Times New Roman" w:hAnsi="Times New Roman" w:cs="Times New Roman" w:eastAsia="Times New Roman" w:hint="default"/>
        </w:rPr>
        <w:t>50,815</w:t>
      </w:r>
      <w:r>
        <w:rPr>
          <w:rFonts w:ascii="Times New Roman" w:hAnsi="Times New Roman" w:cs="Times New Roman" w:eastAsia="Times New Roman" w:hint="default"/>
          <w:spacing w:val="1"/>
        </w:rPr>
        <w:t> </w:t>
      </w:r>
      <w:r>
        <w:rPr/>
        <w:t>股，每股回购</w:t>
      </w:r>
    </w:p>
    <w:p>
      <w:pPr>
        <w:pStyle w:val="BodyText"/>
        <w:spacing w:line="240" w:lineRule="auto" w:before="3"/>
        <w:ind w:left="1134" w:right="0"/>
        <w:jc w:val="both"/>
      </w:pPr>
      <w:r>
        <w:rPr/>
        <w:t>价格按照激励计划进行调整，回购款总额与合计授予价格一致，回购金额合计 </w:t>
      </w:r>
      <w:r>
        <w:rPr>
          <w:rFonts w:ascii="Times New Roman" w:hAnsi="Times New Roman" w:cs="Times New Roman" w:eastAsia="Times New Roman" w:hint="default"/>
        </w:rPr>
        <w:t>1,111,240.00</w:t>
      </w:r>
      <w:r>
        <w:rPr>
          <w:rFonts w:ascii="Times New Roman" w:hAnsi="Times New Roman" w:cs="Times New Roman" w:eastAsia="Times New Roman" w:hint="default"/>
          <w:spacing w:val="-23"/>
        </w:rPr>
        <w:t> </w:t>
      </w:r>
      <w:r>
        <w:rPr/>
        <w:t>元，业经致同</w:t>
      </w:r>
    </w:p>
    <w:p>
      <w:pPr>
        <w:spacing w:after="0" w:line="240" w:lineRule="auto"/>
        <w:jc w:val="both"/>
        <w:sectPr>
          <w:headerReference w:type="default" r:id="rId21"/>
          <w:footerReference w:type="default" r:id="rId22"/>
          <w:pgSz w:w="11910" w:h="16840"/>
          <w:pgMar w:header="877" w:footer="979" w:top="1100" w:bottom="1160" w:left="0" w:right="0"/>
          <w:pgNumType w:start="101"/>
        </w:sectPr>
      </w:pPr>
    </w:p>
    <w:p>
      <w:pPr>
        <w:spacing w:line="240" w:lineRule="auto" w:before="1"/>
        <w:rPr>
          <w:rFonts w:ascii="宋体" w:hAnsi="宋体" w:cs="宋体" w:eastAsia="宋体" w:hint="default"/>
          <w:sz w:val="19"/>
          <w:szCs w:val="19"/>
        </w:rPr>
      </w:pPr>
    </w:p>
    <w:p>
      <w:pPr>
        <w:pStyle w:val="BodyText"/>
        <w:spacing w:line="280" w:lineRule="auto" w:before="35"/>
        <w:ind w:left="1133" w:right="1123"/>
        <w:jc w:val="left"/>
      </w:pPr>
      <w:r>
        <w:rPr>
          <w:spacing w:val="-3"/>
        </w:rPr>
        <w:t>会计师事务所（特殊普通合伙）出具的致同验字（</w:t>
      </w:r>
      <w:r>
        <w:rPr>
          <w:rFonts w:ascii="Times New Roman" w:hAnsi="Times New Roman" w:cs="Times New Roman" w:eastAsia="Times New Roman" w:hint="default"/>
          <w:spacing w:val="-3"/>
        </w:rPr>
        <w:t>2017</w:t>
      </w:r>
      <w:r>
        <w:rPr>
          <w:spacing w:val="-3"/>
        </w:rPr>
        <w:t>）第</w:t>
      </w:r>
      <w:r>
        <w:rPr>
          <w:spacing w:val="-49"/>
        </w:rPr>
        <w:t> </w:t>
      </w:r>
      <w:r>
        <w:rPr>
          <w:rFonts w:ascii="Times New Roman" w:hAnsi="Times New Roman" w:cs="Times New Roman" w:eastAsia="Times New Roman" w:hint="default"/>
        </w:rPr>
        <w:t>110ZC0143</w:t>
      </w:r>
      <w:r>
        <w:rPr>
          <w:rFonts w:ascii="Times New Roman" w:hAnsi="Times New Roman" w:cs="Times New Roman" w:eastAsia="Times New Roman" w:hint="default"/>
          <w:spacing w:val="-8"/>
        </w:rPr>
        <w:t> </w:t>
      </w:r>
      <w:r>
        <w:rPr/>
        <w:t>号验资报告予以验证；此次回购注 销于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日完成，变更后股本为</w:t>
      </w:r>
      <w:r>
        <w:rPr>
          <w:spacing w:val="-53"/>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1"/>
        </w:rPr>
        <w:t> </w:t>
      </w:r>
      <w:r>
        <w:rPr/>
        <w:t>股。</w:t>
      </w:r>
    </w:p>
    <w:p>
      <w:pPr>
        <w:spacing w:line="240" w:lineRule="auto" w:before="5"/>
        <w:rPr>
          <w:rFonts w:ascii="宋体" w:hAnsi="宋体" w:cs="宋体" w:eastAsia="宋体" w:hint="default"/>
          <w:sz w:val="17"/>
          <w:szCs w:val="17"/>
        </w:rPr>
      </w:pPr>
    </w:p>
    <w:p>
      <w:pPr>
        <w:pStyle w:val="BodyText"/>
        <w:spacing w:line="285" w:lineRule="auto"/>
        <w:ind w:left="1133" w:right="1068"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日，本公司第二届董事会第十九次会议决议通过了《关于公司限制性股票激励计划第 一个解锁期解锁条件成就的议案》、《关于回购注销限制性股票激励计划部分限制性股票的议案》，取消 离职人员共计</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人的激励对象资格并回购注销其已获授权但尚未解锁的全部限制性股票；根据《限制性股 票激励计划》之规定，“考核结果为</w:t>
      </w:r>
      <w:r>
        <w:rPr>
          <w:spacing w:val="-60"/>
        </w:rPr>
        <w:t> </w:t>
      </w:r>
      <w:r>
        <w:rPr>
          <w:rFonts w:ascii="Times New Roman" w:hAnsi="Times New Roman" w:cs="Times New Roman" w:eastAsia="Times New Roman" w:hint="default"/>
        </w:rPr>
        <w:t>C</w:t>
      </w:r>
      <w:r>
        <w:rPr>
          <w:rFonts w:ascii="Times New Roman" w:hAnsi="Times New Roman" w:cs="Times New Roman" w:eastAsia="Times New Roman" w:hint="default"/>
          <w:spacing w:val="-17"/>
        </w:rPr>
        <w:t> </w:t>
      </w:r>
      <w:r>
        <w:rPr/>
        <w:t>级的股权激励对象，解锁系数为</w:t>
      </w:r>
      <w:r>
        <w:rPr>
          <w:spacing w:val="-59"/>
        </w:rPr>
        <w:t> </w:t>
      </w:r>
      <w:r>
        <w:rPr>
          <w:rFonts w:ascii="Times New Roman" w:hAnsi="Times New Roman" w:cs="Times New Roman" w:eastAsia="Times New Roman" w:hint="default"/>
        </w:rPr>
        <w:t>0.8</w:t>
      </w:r>
      <w:r>
        <w:rPr/>
        <w:t>”，回购注销</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年度考核结 果为</w:t>
      </w:r>
      <w:r>
        <w:rPr>
          <w:spacing w:val="-61"/>
        </w:rPr>
        <w:t> </w:t>
      </w:r>
      <w:r>
        <w:rPr>
          <w:rFonts w:ascii="Times New Roman" w:hAnsi="Times New Roman" w:cs="Times New Roman" w:eastAsia="Times New Roman" w:hint="default"/>
        </w:rPr>
        <w:t>C</w:t>
      </w:r>
      <w:r>
        <w:rPr>
          <w:rFonts w:ascii="Times New Roman" w:hAnsi="Times New Roman" w:cs="Times New Roman" w:eastAsia="Times New Roman" w:hint="default"/>
          <w:spacing w:val="-17"/>
        </w:rPr>
        <w:t> </w:t>
      </w:r>
      <w:r>
        <w:rPr/>
        <w:t>级的</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名股权激励对象本期未能解锁的限制性股票。由于股权激励授予后公司实施权益分派，资本 公积转增股本，因而回购每股单价按照激励计划进行调整，本次回购注销上述限制性股票合计</w:t>
      </w:r>
      <w:r>
        <w:rPr>
          <w:spacing w:val="-54"/>
        </w:rPr>
        <w:t> </w:t>
      </w:r>
      <w:r>
        <w:rPr>
          <w:rFonts w:ascii="Times New Roman" w:hAnsi="Times New Roman" w:cs="Times New Roman" w:eastAsia="Times New Roman" w:hint="default"/>
        </w:rPr>
        <w:t>42,254</w:t>
      </w:r>
      <w:r>
        <w:rPr>
          <w:rFonts w:ascii="Times New Roman" w:hAnsi="Times New Roman" w:cs="Times New Roman" w:eastAsia="Times New Roman" w:hint="default"/>
          <w:spacing w:val="-12"/>
        </w:rPr>
        <w:t> </w:t>
      </w:r>
      <w:r>
        <w:rPr/>
        <w:t>股，</w:t>
      </w:r>
    </w:p>
    <w:p>
      <w:pPr>
        <w:pStyle w:val="BodyText"/>
        <w:spacing w:line="240" w:lineRule="auto" w:before="4"/>
        <w:ind w:left="1133" w:right="0"/>
        <w:jc w:val="left"/>
      </w:pPr>
      <w:r>
        <w:rPr/>
        <w:t>回购款合计</w:t>
      </w:r>
      <w:r>
        <w:rPr>
          <w:spacing w:val="-55"/>
        </w:rPr>
        <w:t> </w:t>
      </w:r>
      <w:r>
        <w:rPr>
          <w:rFonts w:ascii="Times New Roman" w:hAnsi="Times New Roman" w:cs="Times New Roman" w:eastAsia="Times New Roman" w:hint="default"/>
        </w:rPr>
        <w:t>924,038.80</w:t>
      </w:r>
      <w:r>
        <w:rPr>
          <w:rFonts w:ascii="Times New Roman" w:hAnsi="Times New Roman" w:cs="Times New Roman" w:eastAsia="Times New Roman" w:hint="default"/>
          <w:spacing w:val="-12"/>
        </w:rPr>
        <w:t> </w:t>
      </w:r>
      <w:r>
        <w:rPr/>
        <w:t>元。</w:t>
      </w:r>
    </w:p>
    <w:p>
      <w:pPr>
        <w:spacing w:line="240" w:lineRule="auto" w:before="7"/>
        <w:rPr>
          <w:rFonts w:ascii="宋体" w:hAnsi="宋体" w:cs="宋体" w:eastAsia="宋体" w:hint="default"/>
          <w:sz w:val="20"/>
          <w:szCs w:val="20"/>
        </w:rPr>
      </w:pPr>
    </w:p>
    <w:p>
      <w:pPr>
        <w:pStyle w:val="BodyText"/>
        <w:spacing w:line="288" w:lineRule="auto"/>
        <w:ind w:left="1133" w:right="1131"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t>日，经本公司第二届董事会第二十次会议决议规定，取消离职人员共计</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人的激励对 </w:t>
      </w:r>
      <w:r>
        <w:rPr>
          <w:spacing w:val="-1"/>
        </w:rPr>
        <w:t>象资格并回购注销其已获授权但尚未解锁的全部限制性股票。由于股权激励授予后公司实施权益分派，资</w:t>
      </w:r>
      <w:r>
        <w:rPr>
          <w:spacing w:val="-81"/>
        </w:rPr>
        <w:t> </w:t>
      </w:r>
      <w:r>
        <w:rPr>
          <w:spacing w:val="-81"/>
        </w:rPr>
      </w:r>
      <w:r>
        <w:rPr/>
        <w:t>本公积转增股本，因而回购每股单价按照激励计划进行调整，本次回购注销限制性股票合计 </w:t>
      </w:r>
      <w:r>
        <w:rPr>
          <w:rFonts w:ascii="Times New Roman" w:hAnsi="Times New Roman" w:cs="Times New Roman" w:eastAsia="Times New Roman" w:hint="default"/>
        </w:rPr>
        <w:t>506,176</w:t>
      </w:r>
      <w:r>
        <w:rPr>
          <w:rFonts w:ascii="Times New Roman" w:hAnsi="Times New Roman" w:cs="Times New Roman" w:eastAsia="Times New Roman" w:hint="default"/>
          <w:spacing w:val="-25"/>
        </w:rPr>
        <w:t> </w:t>
      </w:r>
      <w:r>
        <w:rPr/>
        <w:t>股，</w:t>
      </w:r>
    </w:p>
    <w:p>
      <w:pPr>
        <w:pStyle w:val="BodyText"/>
        <w:spacing w:line="240" w:lineRule="auto" w:before="3"/>
        <w:ind w:left="1133" w:right="0"/>
        <w:jc w:val="left"/>
      </w:pPr>
      <w:r>
        <w:rPr/>
        <w:t>回购款合计</w:t>
      </w:r>
      <w:r>
        <w:rPr>
          <w:spacing w:val="-52"/>
        </w:rPr>
        <w:t> </w:t>
      </w:r>
      <w:r>
        <w:rPr>
          <w:rFonts w:ascii="Times New Roman" w:hAnsi="Times New Roman" w:cs="Times New Roman" w:eastAsia="Times New Roman" w:hint="default"/>
        </w:rPr>
        <w:t>11,069,660.00</w:t>
      </w:r>
      <w:r>
        <w:rPr>
          <w:rFonts w:ascii="Times New Roman" w:hAnsi="Times New Roman" w:cs="Times New Roman" w:eastAsia="Times New Roman" w:hint="default"/>
          <w:spacing w:val="-11"/>
        </w:rPr>
        <w:t> </w:t>
      </w:r>
      <w:r>
        <w:rPr/>
        <w:t>元。</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上述两次回购注销限制性股票合计</w:t>
      </w:r>
      <w:r>
        <w:rPr>
          <w:spacing w:val="-54"/>
        </w:rPr>
        <w:t> </w:t>
      </w:r>
      <w:r>
        <w:rPr>
          <w:rFonts w:ascii="Times New Roman" w:hAnsi="Times New Roman" w:cs="Times New Roman" w:eastAsia="Times New Roman" w:hint="default"/>
        </w:rPr>
        <w:t>548,430</w:t>
      </w:r>
      <w:r>
        <w:rPr>
          <w:rFonts w:ascii="Times New Roman" w:hAnsi="Times New Roman" w:cs="Times New Roman" w:eastAsia="Times New Roman" w:hint="default"/>
          <w:spacing w:val="-11"/>
        </w:rPr>
        <w:t> </w:t>
      </w:r>
      <w:r>
        <w:rPr/>
        <w:t>股，回购款合计</w:t>
      </w:r>
      <w:r>
        <w:rPr>
          <w:spacing w:val="-55"/>
        </w:rPr>
        <w:t> </w:t>
      </w:r>
      <w:r>
        <w:rPr>
          <w:rFonts w:ascii="Times New Roman" w:hAnsi="Times New Roman" w:cs="Times New Roman" w:eastAsia="Times New Roman" w:hint="default"/>
        </w:rPr>
        <w:t>11,993,698.80</w:t>
      </w:r>
      <w:r>
        <w:rPr>
          <w:rFonts w:ascii="Times New Roman" w:hAnsi="Times New Roman" w:cs="Times New Roman" w:eastAsia="Times New Roman" w:hint="default"/>
          <w:spacing w:val="-12"/>
        </w:rPr>
        <w:t> </w:t>
      </w:r>
      <w:r>
        <w:rPr/>
        <w:t>元，业经致同会计师事务所</w:t>
      </w:r>
    </w:p>
    <w:p>
      <w:pPr>
        <w:pStyle w:val="BodyText"/>
        <w:spacing w:line="240" w:lineRule="auto" w:before="50"/>
        <w:ind w:left="1133" w:right="0"/>
        <w:jc w:val="left"/>
      </w:pPr>
      <w:r>
        <w:rPr/>
        <w:t>（特殊普通合伙）出具的致同验字（</w:t>
      </w:r>
      <w:r>
        <w:rPr>
          <w:rFonts w:ascii="Times New Roman" w:hAnsi="Times New Roman" w:cs="Times New Roman" w:eastAsia="Times New Roman" w:hint="default"/>
        </w:rPr>
        <w:t>2017</w:t>
      </w:r>
      <w:r>
        <w:rPr/>
        <w:t>）第</w:t>
      </w:r>
      <w:r>
        <w:rPr>
          <w:spacing w:val="-38"/>
        </w:rPr>
        <w:t> </w:t>
      </w:r>
      <w:r>
        <w:rPr>
          <w:rFonts w:ascii="Times New Roman" w:hAnsi="Times New Roman" w:cs="Times New Roman" w:eastAsia="Times New Roman" w:hint="default"/>
        </w:rPr>
        <w:t>110ZC0206</w:t>
      </w:r>
      <w:r>
        <w:rPr>
          <w:rFonts w:ascii="Times New Roman" w:hAnsi="Times New Roman" w:cs="Times New Roman" w:eastAsia="Times New Roman" w:hint="default"/>
          <w:spacing w:val="-5"/>
        </w:rPr>
        <w:t> </w:t>
      </w:r>
      <w:r>
        <w:rPr/>
        <w:t>号验资报告予以验证；此次回购注销于</w:t>
      </w:r>
      <w:r>
        <w:rPr>
          <w:spacing w:val="-3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p>
    <w:p>
      <w:pPr>
        <w:pStyle w:val="BodyText"/>
        <w:spacing w:line="240" w:lineRule="auto" w:before="49"/>
        <w:ind w:left="1133"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日登记完成，变更后股本为</w:t>
      </w:r>
      <w:r>
        <w:rPr>
          <w:spacing w:val="-55"/>
        </w:rPr>
        <w:t> </w:t>
      </w:r>
      <w:r>
        <w:rPr>
          <w:rFonts w:ascii="Times New Roman" w:hAnsi="Times New Roman" w:cs="Times New Roman" w:eastAsia="Times New Roman" w:hint="default"/>
        </w:rPr>
        <w:t>402,339,228</w:t>
      </w:r>
      <w:r>
        <w:rPr>
          <w:rFonts w:ascii="Times New Roman" w:hAnsi="Times New Roman" w:cs="Times New Roman" w:eastAsia="Times New Roman" w:hint="default"/>
          <w:spacing w:val="-11"/>
        </w:rPr>
        <w:t> </w:t>
      </w:r>
      <w:r>
        <w:rPr/>
        <w:t>股。</w:t>
      </w:r>
    </w:p>
    <w:p>
      <w:pPr>
        <w:spacing w:line="240" w:lineRule="auto" w:before="7"/>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月</w:t>
      </w:r>
      <w:r>
        <w:rPr>
          <w:spacing w:val="-65"/>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日，本公司根据《中科创达软件股份有限公司关于向激励对象授予限制性股票的议案》</w:t>
      </w:r>
    </w:p>
    <w:p>
      <w:pPr>
        <w:pStyle w:val="BodyText"/>
        <w:spacing w:line="240" w:lineRule="auto" w:before="49"/>
        <w:ind w:left="1134" w:right="0"/>
        <w:jc w:val="left"/>
        <w:rPr>
          <w:rFonts w:ascii="Times New Roman" w:hAnsi="Times New Roman" w:cs="Times New Roman" w:eastAsia="Times New Roman" w:hint="default"/>
        </w:rPr>
      </w:pPr>
      <w:r>
        <w:rPr/>
        <w:t>有关条款和股东大会授权</w:t>
      </w:r>
      <w:r>
        <w:rPr>
          <w:spacing w:val="-105"/>
        </w:rPr>
        <w:t>，</w:t>
      </w:r>
      <w:r>
        <w:rPr/>
        <w:t>向符合</w:t>
      </w:r>
      <w:r>
        <w:rPr>
          <w:spacing w:val="-2"/>
        </w:rPr>
        <w:t>条</w:t>
      </w:r>
      <w:r>
        <w:rPr/>
        <w:t>件的</w:t>
      </w:r>
      <w:r>
        <w:rPr>
          <w:spacing w:val="-55"/>
        </w:rPr>
        <w:t> </w:t>
      </w:r>
      <w:r>
        <w:rPr>
          <w:rFonts w:ascii="Times New Roman" w:hAnsi="Times New Roman" w:cs="Times New Roman" w:eastAsia="Times New Roman" w:hint="default"/>
        </w:rPr>
        <w:t>199</w:t>
      </w:r>
      <w:r>
        <w:rPr>
          <w:rFonts w:ascii="Times New Roman" w:hAnsi="Times New Roman" w:cs="Times New Roman" w:eastAsia="Times New Roman" w:hint="default"/>
          <w:spacing w:val="-10"/>
        </w:rPr>
        <w:t> </w:t>
      </w:r>
      <w:r>
        <w:rPr>
          <w:spacing w:val="-2"/>
        </w:rPr>
        <w:t>名</w:t>
      </w:r>
      <w:r>
        <w:rPr/>
        <w:t>激励对象授予</w:t>
      </w:r>
      <w:r>
        <w:rPr>
          <w:spacing w:val="-55"/>
        </w:rPr>
        <w:t> </w:t>
      </w:r>
      <w:r>
        <w:rPr>
          <w:rFonts w:ascii="Times New Roman" w:hAnsi="Times New Roman" w:cs="Times New Roman" w:eastAsia="Times New Roman" w:hint="default"/>
        </w:rPr>
        <w:t>2,685,</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1"/>
        </w:rPr>
        <w:t> </w:t>
      </w:r>
      <w:r>
        <w:rPr/>
        <w:t>股限制性股票</w:t>
      </w:r>
      <w:r>
        <w:rPr>
          <w:spacing w:val="-105"/>
        </w:rPr>
        <w:t>，</w:t>
      </w:r>
      <w:r>
        <w:rPr/>
        <w:t>认购价</w:t>
      </w:r>
      <w:r>
        <w:rPr>
          <w:spacing w:val="-2"/>
        </w:rPr>
        <w:t>格</w:t>
      </w:r>
      <w:r>
        <w:rPr/>
        <w:t>每股</w:t>
      </w:r>
      <w:r>
        <w:rPr>
          <w:spacing w:val="-53"/>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p>
    <w:p>
      <w:pPr>
        <w:pStyle w:val="BodyText"/>
        <w:spacing w:line="240" w:lineRule="auto" w:before="50"/>
        <w:ind w:left="1133" w:right="0"/>
        <w:jc w:val="left"/>
      </w:pPr>
      <w:r>
        <w:rPr>
          <w:spacing w:val="-2"/>
        </w:rPr>
        <w:t>元，认购金额合计</w:t>
      </w:r>
      <w:r>
        <w:rPr/>
        <w:t> </w:t>
      </w:r>
      <w:r>
        <w:rPr>
          <w:rFonts w:ascii="Times New Roman" w:hAnsi="Times New Roman" w:cs="Times New Roman" w:eastAsia="Times New Roman" w:hint="default"/>
          <w:spacing w:val="-1"/>
        </w:rPr>
        <w:t>36,489,150.00</w:t>
      </w:r>
      <w:r>
        <w:rPr>
          <w:rFonts w:ascii="Times New Roman" w:hAnsi="Times New Roman" w:cs="Times New Roman" w:eastAsia="Times New Roman" w:hint="default"/>
          <w:spacing w:val="-33"/>
        </w:rPr>
        <w:t> </w:t>
      </w:r>
      <w:r>
        <w:rPr>
          <w:spacing w:val="-2"/>
        </w:rPr>
        <w:t>元，业经致同会计师事务所（特殊普通合伙）出具的致同验字（</w:t>
      </w:r>
      <w:r>
        <w:rPr>
          <w:rFonts w:ascii="Times New Roman" w:hAnsi="Times New Roman" w:cs="Times New Roman" w:eastAsia="Times New Roman" w:hint="default"/>
          <w:spacing w:val="-2"/>
        </w:rPr>
        <w:t>2017</w:t>
      </w:r>
      <w:r>
        <w:rPr>
          <w:spacing w:val="-2"/>
        </w:rPr>
        <w:t>）第</w:t>
      </w:r>
    </w:p>
    <w:p>
      <w:pPr>
        <w:pStyle w:val="BodyText"/>
        <w:spacing w:line="240" w:lineRule="auto" w:before="50"/>
        <w:ind w:left="1134" w:right="0"/>
        <w:jc w:val="left"/>
      </w:pPr>
      <w:r>
        <w:rPr>
          <w:rFonts w:ascii="Times New Roman" w:hAnsi="Times New Roman" w:cs="Times New Roman" w:eastAsia="Times New Roman" w:hint="default"/>
        </w:rPr>
        <w:t>110ZC0346</w:t>
      </w:r>
      <w:r>
        <w:rPr>
          <w:rFonts w:ascii="Times New Roman" w:hAnsi="Times New Roman" w:cs="Times New Roman" w:eastAsia="Times New Roman" w:hint="default"/>
          <w:spacing w:val="-13"/>
        </w:rPr>
        <w:t> </w:t>
      </w:r>
      <w:r>
        <w:rPr/>
        <w:t>号验资报告予以验证，并于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日在中国证券登记结算有限责任公司深圳分公司完</w:t>
      </w:r>
    </w:p>
    <w:p>
      <w:pPr>
        <w:pStyle w:val="BodyText"/>
        <w:spacing w:line="240" w:lineRule="auto" w:before="49"/>
        <w:ind w:left="1134" w:right="0"/>
        <w:jc w:val="left"/>
      </w:pPr>
      <w:r>
        <w:rPr/>
        <w:t>成登记，此次变更后股本为</w:t>
      </w:r>
      <w:r>
        <w:rPr>
          <w:spacing w:val="-52"/>
        </w:rPr>
        <w:t> </w:t>
      </w:r>
      <w:r>
        <w:rPr>
          <w:rFonts w:ascii="Times New Roman" w:hAnsi="Times New Roman" w:cs="Times New Roman" w:eastAsia="Times New Roman" w:hint="default"/>
        </w:rPr>
        <w:t>405,024,228</w:t>
      </w:r>
      <w:r>
        <w:rPr>
          <w:rFonts w:ascii="Times New Roman" w:hAnsi="Times New Roman" w:cs="Times New Roman" w:eastAsia="Times New Roman" w:hint="default"/>
          <w:spacing w:val="-10"/>
        </w:rPr>
        <w:t> </w:t>
      </w:r>
      <w:r>
        <w:rPr/>
        <w:t>股。</w:t>
      </w:r>
    </w:p>
    <w:p>
      <w:pPr>
        <w:spacing w:line="240" w:lineRule="auto" w:before="7"/>
        <w:rPr>
          <w:rFonts w:ascii="宋体" w:hAnsi="宋体" w:cs="宋体" w:eastAsia="宋体" w:hint="default"/>
          <w:sz w:val="20"/>
          <w:szCs w:val="20"/>
        </w:rPr>
      </w:pPr>
    </w:p>
    <w:p>
      <w:pPr>
        <w:pStyle w:val="BodyText"/>
        <w:spacing w:line="292" w:lineRule="auto"/>
        <w:ind w:left="1134" w:right="1110" w:firstLine="420"/>
        <w:jc w:val="both"/>
      </w:pPr>
      <w:r>
        <w:rPr/>
        <w:t>根据本公司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日第二届董事会第二十六次会议决议，取消武楠等</w:t>
      </w:r>
      <w:r>
        <w:rPr>
          <w:spacing w:val="-48"/>
        </w:rPr>
        <w:t> </w:t>
      </w:r>
      <w:r>
        <w:rPr>
          <w:rFonts w:ascii="Times New Roman" w:hAnsi="Times New Roman" w:cs="Times New Roman" w:eastAsia="Times New Roman" w:hint="default"/>
        </w:rPr>
        <w:t>67</w:t>
      </w:r>
      <w:r>
        <w:rPr>
          <w:rFonts w:ascii="Times New Roman" w:hAnsi="Times New Roman" w:cs="Times New Roman" w:eastAsia="Times New Roman" w:hint="default"/>
          <w:spacing w:val="-14"/>
        </w:rPr>
        <w:t> </w:t>
      </w:r>
      <w:r>
        <w:rPr/>
        <w:t>名已离职人员的激</w:t>
      </w:r>
      <w:r>
        <w:rPr>
          <w:spacing w:val="-2"/>
        </w:rPr>
        <w:t> </w:t>
      </w:r>
      <w:r>
        <w:rPr>
          <w:spacing w:val="3"/>
        </w:rPr>
        <w:t>励对象资格并回购注销其已获授权但尚未解锁的全部限制性股票。由于股权激励授予后公司实施权益分</w:t>
      </w:r>
      <w:r>
        <w:rPr>
          <w:spacing w:val="-82"/>
        </w:rPr>
        <w:t> </w:t>
      </w:r>
      <w:r>
        <w:rPr>
          <w:spacing w:val="-82"/>
        </w:rPr>
      </w:r>
      <w:r>
        <w:rPr/>
        <w:t>派，资本公积转增股本，因而回购每股单价按照激励计划进行调整，但回购款总额与合计授予价格一致， 本次回购注销限制性股票合计</w:t>
      </w:r>
      <w:r>
        <w:rPr>
          <w:spacing w:val="-36"/>
        </w:rPr>
        <w:t> </w:t>
      </w:r>
      <w:r>
        <w:rPr>
          <w:rFonts w:ascii="Times New Roman" w:hAnsi="Times New Roman" w:cs="Times New Roman" w:eastAsia="Times New Roman" w:hint="default"/>
        </w:rPr>
        <w:t>1,145,606</w:t>
      </w:r>
      <w:r>
        <w:rPr>
          <w:rFonts w:ascii="Times New Roman" w:hAnsi="Times New Roman" w:cs="Times New Roman" w:eastAsia="Times New Roman" w:hint="default"/>
          <w:spacing w:val="-4"/>
        </w:rPr>
        <w:t> </w:t>
      </w:r>
      <w:r>
        <w:rPr/>
        <w:t>股，回购款合计</w:t>
      </w:r>
      <w:r>
        <w:rPr>
          <w:spacing w:val="-37"/>
        </w:rPr>
        <w:t> </w:t>
      </w:r>
      <w:r>
        <w:rPr>
          <w:rFonts w:ascii="Times New Roman" w:hAnsi="Times New Roman" w:cs="Times New Roman" w:eastAsia="Times New Roman" w:hint="default"/>
        </w:rPr>
        <w:t>25,053,333.20</w:t>
      </w:r>
      <w:r>
        <w:rPr>
          <w:rFonts w:ascii="Times New Roman" w:hAnsi="Times New Roman" w:cs="Times New Roman" w:eastAsia="Times New Roman" w:hint="default"/>
          <w:spacing w:val="-4"/>
        </w:rPr>
        <w:t> </w:t>
      </w:r>
      <w:r>
        <w:rPr/>
        <w:t>元。业经致同会计师事务所（特殊</w:t>
      </w:r>
    </w:p>
    <w:p>
      <w:pPr>
        <w:pStyle w:val="BodyText"/>
        <w:spacing w:line="290" w:lineRule="exact"/>
        <w:ind w:left="1133" w:right="0"/>
        <w:jc w:val="left"/>
        <w:rPr>
          <w:rFonts w:ascii="Times New Roman" w:hAnsi="Times New Roman" w:cs="Times New Roman" w:eastAsia="Times New Roman" w:hint="default"/>
        </w:rPr>
      </w:pPr>
      <w:r>
        <w:rPr>
          <w:spacing w:val="-5"/>
        </w:rPr>
        <w:t>普通合伙）出具的致同验字（</w:t>
      </w:r>
      <w:r>
        <w:rPr>
          <w:rFonts w:ascii="Times New Roman" w:hAnsi="Times New Roman" w:cs="Times New Roman" w:eastAsia="Times New Roman" w:hint="default"/>
          <w:spacing w:val="-5"/>
        </w:rPr>
        <w:t>2017</w:t>
      </w:r>
      <w:r>
        <w:rPr>
          <w:spacing w:val="-5"/>
        </w:rPr>
        <w:t>）第</w:t>
      </w:r>
      <w:r>
        <w:rPr>
          <w:spacing w:val="-55"/>
        </w:rPr>
        <w:t> </w:t>
      </w:r>
      <w:r>
        <w:rPr>
          <w:rFonts w:ascii="Times New Roman" w:hAnsi="Times New Roman" w:cs="Times New Roman" w:eastAsia="Times New Roman" w:hint="default"/>
        </w:rPr>
        <w:t>110ZC0455</w:t>
      </w:r>
      <w:r>
        <w:rPr>
          <w:rFonts w:ascii="Times New Roman" w:hAnsi="Times New Roman" w:cs="Times New Roman" w:eastAsia="Times New Roman" w:hint="default"/>
          <w:spacing w:val="-12"/>
        </w:rPr>
        <w:t> </w:t>
      </w:r>
      <w:r>
        <w:rPr/>
        <w:t>号验资报告予以验证；此次回购注销于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16</w:t>
      </w:r>
    </w:p>
    <w:p>
      <w:pPr>
        <w:pStyle w:val="BodyText"/>
        <w:spacing w:line="240" w:lineRule="auto" w:before="49"/>
        <w:ind w:left="1133" w:right="0"/>
        <w:jc w:val="left"/>
      </w:pPr>
      <w:r>
        <w:rPr/>
        <w:t>日登记完成，变更后股本为</w:t>
      </w:r>
      <w:r>
        <w:rPr>
          <w:spacing w:val="-52"/>
        </w:rPr>
        <w:t> </w:t>
      </w:r>
      <w:r>
        <w:rPr>
          <w:rFonts w:ascii="Times New Roman" w:hAnsi="Times New Roman" w:cs="Times New Roman" w:eastAsia="Times New Roman" w:hint="default"/>
        </w:rPr>
        <w:t>403,878,622</w:t>
      </w:r>
      <w:r>
        <w:rPr>
          <w:rFonts w:ascii="Times New Roman" w:hAnsi="Times New Roman" w:cs="Times New Roman" w:eastAsia="Times New Roman" w:hint="default"/>
          <w:spacing w:val="-10"/>
        </w:rPr>
        <w:t> </w:t>
      </w:r>
      <w:r>
        <w:rPr/>
        <w:t>股。</w:t>
      </w:r>
    </w:p>
    <w:p>
      <w:pPr>
        <w:spacing w:line="240" w:lineRule="auto" w:before="7"/>
        <w:rPr>
          <w:rFonts w:ascii="宋体" w:hAnsi="宋体" w:cs="宋体" w:eastAsia="宋体" w:hint="default"/>
          <w:sz w:val="20"/>
          <w:szCs w:val="20"/>
        </w:rPr>
      </w:pPr>
    </w:p>
    <w:p>
      <w:pPr>
        <w:pStyle w:val="BodyText"/>
        <w:spacing w:line="280" w:lineRule="auto"/>
        <w:ind w:left="1133" w:right="1132" w:firstLine="42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23</w:t>
      </w:r>
      <w:r>
        <w:rPr>
          <w:rFonts w:ascii="Times New Roman" w:hAnsi="Times New Roman" w:cs="Times New Roman" w:eastAsia="Times New Roman" w:hint="default"/>
          <w:spacing w:val="-15"/>
        </w:rPr>
        <w:t> </w:t>
      </w:r>
      <w:r>
        <w:rPr/>
        <w:t>日本公司取得换发的营业执照，注册资本为人民币</w:t>
      </w:r>
      <w:r>
        <w:rPr>
          <w:spacing w:val="-58"/>
        </w:rPr>
        <w:t> </w:t>
      </w:r>
      <w:r>
        <w:rPr>
          <w:rFonts w:ascii="Times New Roman" w:hAnsi="Times New Roman" w:cs="Times New Roman" w:eastAsia="Times New Roman" w:hint="default"/>
        </w:rPr>
        <w:t>403,878,622</w:t>
      </w:r>
      <w:r>
        <w:rPr>
          <w:rFonts w:ascii="Times New Roman" w:hAnsi="Times New Roman" w:cs="Times New Roman" w:eastAsia="Times New Roman" w:hint="default"/>
          <w:spacing w:val="-15"/>
        </w:rPr>
        <w:t> </w:t>
      </w:r>
      <w:r>
        <w:rPr/>
        <w:t>元，统一社会信用代码 为：</w:t>
      </w:r>
      <w:r>
        <w:rPr>
          <w:rFonts w:ascii="Times New Roman" w:hAnsi="Times New Roman" w:cs="Times New Roman" w:eastAsia="Times New Roman" w:hint="default"/>
        </w:rPr>
        <w:t>91110000672354637K</w:t>
      </w:r>
    </w:p>
    <w:p>
      <w:pPr>
        <w:spacing w:line="240" w:lineRule="auto" w:before="10"/>
        <w:rPr>
          <w:rFonts w:ascii="Times New Roman" w:hAnsi="Times New Roman" w:cs="Times New Roman" w:eastAsia="Times New Roman" w:hint="default"/>
          <w:sz w:val="19"/>
          <w:szCs w:val="19"/>
        </w:rPr>
      </w:pPr>
    </w:p>
    <w:p>
      <w:pPr>
        <w:pStyle w:val="BodyText"/>
        <w:spacing w:line="460" w:lineRule="auto"/>
        <w:ind w:left="1553" w:right="4146"/>
        <w:jc w:val="left"/>
      </w:pPr>
      <w:r>
        <w:rPr/>
        <w:t>本公司住所：北京市海淀区龙翔路甲</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号泰翔商务楼</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层</w:t>
      </w:r>
      <w:r>
        <w:rPr>
          <w:spacing w:val="-54"/>
        </w:rPr>
        <w:t> </w:t>
      </w:r>
      <w:r>
        <w:rPr>
          <w:rFonts w:ascii="Times New Roman" w:hAnsi="Times New Roman" w:cs="Times New Roman" w:eastAsia="Times New Roman" w:hint="default"/>
        </w:rPr>
        <w:t>401-409</w:t>
      </w:r>
      <w:r>
        <w:rPr/>
        <w:t>。 本公司法定代表人：赵鸿飞。</w:t>
      </w:r>
    </w:p>
    <w:p>
      <w:pPr>
        <w:pStyle w:val="BodyText"/>
        <w:spacing w:line="297" w:lineRule="auto" w:before="90"/>
        <w:ind w:left="1133" w:right="1018" w:firstLine="420"/>
        <w:jc w:val="left"/>
      </w:pPr>
      <w:r>
        <w:rPr>
          <w:spacing w:val="-3"/>
        </w:rPr>
        <w:t>本公司建立了股东大会、董事会、监事会的法人治理结构。目前设智能系统事业群、智能汽车事业群、</w:t>
      </w:r>
      <w:r>
        <w:rPr/>
        <w:t> 智能视觉事业群、物联网事业群、新业务中心、战略拓展部、销售中心、经营管理部、财务部、人力资源 部、信息技术部、综合部等部门。</w:t>
      </w:r>
    </w:p>
    <w:p>
      <w:pPr>
        <w:spacing w:after="0" w:line="297"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3" w:right="1109" w:firstLine="420"/>
        <w:jc w:val="both"/>
      </w:pPr>
      <w:r>
        <w:rPr/>
        <w:t>本公司及其子公司（以下简称“本集团”）主要经营范围：开发计算机软件；销售自行开发的产品； </w:t>
      </w:r>
      <w:r>
        <w:rPr>
          <w:spacing w:val="-1"/>
        </w:rPr>
        <w:t>技术咨询、技术服务；计算机软件技术培训；商务咨询；从事通讯设备、电子产品的批发及进出口（不涉</w:t>
      </w:r>
      <w:r>
        <w:rPr>
          <w:spacing w:val="-85"/>
        </w:rPr>
        <w:t> </w:t>
      </w:r>
      <w:r>
        <w:rPr>
          <w:spacing w:val="-85"/>
        </w:rPr>
      </w:r>
      <w:r>
        <w:rPr>
          <w:spacing w:val="-1"/>
        </w:rPr>
        <w:t>及国营贸易管理商品；涉及配额、许可证管理商品的按国家有关规定办理申请手续）。（依法须经批准的</w:t>
      </w:r>
      <w:r>
        <w:rPr>
          <w:spacing w:val="-83"/>
        </w:rPr>
        <w:t> </w:t>
      </w:r>
      <w:r>
        <w:rPr>
          <w:spacing w:val="-83"/>
        </w:rPr>
      </w:r>
      <w:r>
        <w:rPr/>
        <w:t>项目，经相关部门批准后依批准的内容开展经营活动）</w:t>
      </w:r>
    </w:p>
    <w:p>
      <w:pPr>
        <w:pStyle w:val="BodyText"/>
        <w:spacing w:line="560" w:lineRule="exact" w:before="30"/>
        <w:ind w:left="1553" w:right="0"/>
        <w:jc w:val="left"/>
      </w:pPr>
      <w:r>
        <w:rPr/>
        <w:t>本财务报表及财务报表附注业经本公司第二届董事会第三十次会议于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日批准。 </w:t>
      </w:r>
      <w:r>
        <w:rPr>
          <w:spacing w:val="-1"/>
        </w:rPr>
        <w:t>本报告期合并财务报表的合并范围包括本公司及全部子公司，本年新增六家子公司包括中科创达（重</w:t>
      </w:r>
    </w:p>
    <w:p>
      <w:pPr>
        <w:pStyle w:val="BodyText"/>
        <w:spacing w:line="273" w:lineRule="exact"/>
        <w:ind w:left="1133" w:right="0"/>
        <w:jc w:val="left"/>
      </w:pPr>
      <w:r>
        <w:rPr>
          <w:spacing w:val="-2"/>
        </w:rPr>
        <w:t>庆）汽车科技有限公司、南京中创盎赛软件科技有限公司、</w:t>
      </w:r>
      <w:r>
        <w:rPr>
          <w:rFonts w:ascii="Times New Roman" w:hAnsi="Times New Roman" w:cs="Times New Roman" w:eastAsia="Times New Roman" w:hint="default"/>
          <w:spacing w:val="-2"/>
        </w:rPr>
        <w:t>Rightware</w:t>
      </w:r>
      <w:r>
        <w:rPr>
          <w:rFonts w:ascii="Times New Roman" w:hAnsi="Times New Roman" w:cs="Times New Roman" w:eastAsia="Times New Roman" w:hint="default"/>
        </w:rPr>
        <w:t> </w:t>
      </w:r>
      <w:r>
        <w:rPr>
          <w:rFonts w:ascii="Times New Roman" w:hAnsi="Times New Roman" w:cs="Times New Roman" w:eastAsia="Times New Roman" w:hint="default"/>
          <w:spacing w:val="-2"/>
        </w:rPr>
        <w:t>Oy</w:t>
      </w:r>
      <w:r>
        <w:rPr>
          <w:spacing w:val="-2"/>
        </w:rPr>
        <w:t>、</w:t>
      </w:r>
      <w:r>
        <w:rPr>
          <w:rFonts w:ascii="Times New Roman" w:hAnsi="Times New Roman" w:cs="Times New Roman" w:eastAsia="Times New Roman" w:hint="default"/>
          <w:spacing w:val="-2"/>
        </w:rPr>
        <w:t>Quantum</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2"/>
        </w:rPr>
        <w:t>X</w:t>
      </w:r>
      <w:r>
        <w:rPr>
          <w:spacing w:val="-2"/>
        </w:rPr>
        <w:t>、南京慧行汽车科技</w:t>
      </w:r>
    </w:p>
    <w:p>
      <w:pPr>
        <w:pStyle w:val="BodyText"/>
        <w:spacing w:line="240" w:lineRule="auto" w:before="50"/>
        <w:ind w:left="1133" w:right="0"/>
        <w:jc w:val="left"/>
      </w:pPr>
      <w:r>
        <w:rPr/>
        <w:t>有限公司、重庆协同创新智能汽车研究院有限公司。</w:t>
      </w:r>
    </w:p>
    <w:p>
      <w:pPr>
        <w:spacing w:line="240" w:lineRule="auto" w:before="10"/>
        <w:rPr>
          <w:rFonts w:ascii="宋体" w:hAnsi="宋体" w:cs="宋体" w:eastAsia="宋体" w:hint="default"/>
          <w:sz w:val="21"/>
          <w:szCs w:val="21"/>
        </w:rPr>
      </w:pPr>
    </w:p>
    <w:p>
      <w:pPr>
        <w:pStyle w:val="BodyText"/>
        <w:spacing w:line="297" w:lineRule="auto"/>
        <w:ind w:left="1133" w:right="1129" w:firstLine="420"/>
        <w:jc w:val="both"/>
      </w:pPr>
      <w:r>
        <w:rPr/>
        <w:t>本报告期合并范围的变动情况详见本报告“第十一节财务报告</w:t>
      </w:r>
      <w:r>
        <w:rPr>
          <w:spacing w:val="48"/>
        </w:rPr>
        <w:t> </w:t>
      </w:r>
      <w:r>
        <w:rPr/>
        <w:t>八、合并范围的变更”。本公司在其</w:t>
      </w:r>
      <w:r>
        <w:rPr>
          <w:spacing w:val="2"/>
        </w:rPr>
        <w:t> </w:t>
      </w:r>
      <w:r>
        <w:rPr/>
        <w:t>他主体中的权益情况详见本报告“第十一节财务报告</w:t>
      </w:r>
      <w:r>
        <w:rPr>
          <w:spacing w:val="-23"/>
        </w:rPr>
        <w:t> </w:t>
      </w:r>
      <w:r>
        <w:rPr/>
        <w:t>九、在其他主体中的权益”。</w:t>
      </w:r>
    </w:p>
    <w:p>
      <w:pPr>
        <w:spacing w:line="240" w:lineRule="auto" w:before="4"/>
        <w:rPr>
          <w:rFonts w:ascii="宋体" w:hAnsi="宋体" w:cs="宋体" w:eastAsia="宋体" w:hint="default"/>
          <w:sz w:val="23"/>
          <w:szCs w:val="23"/>
        </w:rPr>
      </w:pPr>
    </w:p>
    <w:p>
      <w:pPr>
        <w:pStyle w:val="Heading2"/>
        <w:spacing w:line="240" w:lineRule="auto"/>
        <w:ind w:left="1133" w:right="0"/>
        <w:jc w:val="left"/>
      </w:pPr>
      <w:bookmarkStart w:name="四、财务报表的编制基础" w:id="168"/>
      <w:bookmarkEnd w:id="168"/>
      <w:r>
        <w:rPr/>
      </w:r>
      <w:r>
        <w:rPr/>
        <w:t>四、财务报表的编制基础</w:t>
      </w:r>
    </w:p>
    <w:p>
      <w:pPr>
        <w:spacing w:line="240" w:lineRule="auto" w:before="10"/>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编制基础" w:id="169"/>
      <w:bookmarkEnd w:id="169"/>
      <w:r>
        <w:rPr/>
      </w:r>
      <w:r>
        <w:rPr>
          <w:rFonts w:ascii="Times New Roman" w:hAnsi="Times New Roman" w:cs="Times New Roman" w:eastAsia="Times New Roman" w:hint="default"/>
        </w:rPr>
        <w:t>1</w:t>
      </w:r>
      <w:r>
        <w:rPr>
          <w:rFonts w:ascii="微软雅黑" w:hAnsi="微软雅黑" w:cs="微软雅黑" w:eastAsia="微软雅黑" w:hint="default"/>
        </w:rPr>
        <w:t>、编制基础</w:t>
      </w:r>
    </w:p>
    <w:p>
      <w:pPr>
        <w:spacing w:line="240" w:lineRule="auto" w:before="7"/>
        <w:rPr>
          <w:rFonts w:ascii="微软雅黑" w:hAnsi="微软雅黑" w:cs="微软雅黑" w:eastAsia="微软雅黑" w:hint="default"/>
          <w:sz w:val="23"/>
          <w:szCs w:val="23"/>
        </w:rPr>
      </w:pPr>
    </w:p>
    <w:p>
      <w:pPr>
        <w:pStyle w:val="BodyText"/>
        <w:spacing w:line="288" w:lineRule="auto"/>
        <w:ind w:left="1133" w:right="1130" w:firstLine="420"/>
        <w:jc w:val="both"/>
      </w:pPr>
      <w:r>
        <w:rPr>
          <w:spacing w:val="-1"/>
        </w:rPr>
        <w:t>本财务报表按照财政部颁布的企业会计准则及其应用指南、解释及其他有关规定（统称“企业会计准</w:t>
      </w:r>
      <w:r>
        <w:rPr/>
        <w:t> 则”）编制。此外，本集团还按照中国证监会《公开发行证券的公司信息披露编报规则第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28"/>
        </w:rPr>
        <w:t> </w:t>
      </w:r>
      <w:r>
        <w:rPr/>
        <w:t>号</w:t>
      </w:r>
      <w:r>
        <w:rPr>
          <w:rFonts w:ascii="Times New Roman" w:hAnsi="Times New Roman" w:cs="Times New Roman" w:eastAsia="Times New Roman" w:hint="default"/>
        </w:rPr>
        <w:t>—</w:t>
      </w:r>
      <w:r>
        <w:rPr/>
        <w:t>财务报 告的一般规定》（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年修订）披露有关财务信息。</w:t>
      </w:r>
    </w:p>
    <w:p>
      <w:pPr>
        <w:pStyle w:val="BodyText"/>
        <w:spacing w:line="558" w:lineRule="exact" w:before="20"/>
        <w:ind w:left="1553" w:right="0"/>
        <w:jc w:val="left"/>
      </w:pPr>
      <w:r>
        <w:rPr/>
        <w:t>本财务报表以持续经营为基础列报。 </w:t>
      </w:r>
      <w:r>
        <w:rPr>
          <w:spacing w:val="-1"/>
        </w:rPr>
        <w:t>本集团会计核算以权责发生制为基础。除某些金融工具外，本财务报表均以历史成本为计量基础。资</w:t>
      </w:r>
    </w:p>
    <w:p>
      <w:pPr>
        <w:pStyle w:val="BodyText"/>
        <w:spacing w:line="259" w:lineRule="exact"/>
        <w:ind w:left="1133" w:right="0"/>
        <w:jc w:val="left"/>
      </w:pPr>
      <w:r>
        <w:rPr/>
        <w:t>产如果发生减值，则按照相关规定计提相应的减值准备。</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2、持续经营" w:id="170"/>
      <w:bookmarkEnd w:id="170"/>
      <w:r>
        <w:rPr/>
      </w:r>
      <w:r>
        <w:rPr>
          <w:rFonts w:ascii="Times New Roman" w:hAnsi="Times New Roman" w:cs="Times New Roman" w:eastAsia="Times New Roman" w:hint="default"/>
        </w:rPr>
        <w:t>2</w:t>
      </w:r>
      <w:r>
        <w:rPr>
          <w:rFonts w:ascii="微软雅黑" w:hAnsi="微软雅黑" w:cs="微软雅黑" w:eastAsia="微软雅黑" w:hint="default"/>
        </w:rPr>
        <w:t>、持续经营</w:t>
      </w:r>
    </w:p>
    <w:p>
      <w:pPr>
        <w:spacing w:line="240" w:lineRule="auto" w:before="7"/>
        <w:rPr>
          <w:rFonts w:ascii="微软雅黑" w:hAnsi="微软雅黑" w:cs="微软雅黑" w:eastAsia="微软雅黑" w:hint="default"/>
          <w:sz w:val="23"/>
          <w:szCs w:val="23"/>
        </w:rPr>
      </w:pPr>
    </w:p>
    <w:p>
      <w:pPr>
        <w:pStyle w:val="BodyText"/>
        <w:spacing w:line="280" w:lineRule="auto"/>
        <w:ind w:left="1133" w:right="1132" w:firstLine="420"/>
        <w:jc w:val="both"/>
      </w:pPr>
      <w:r>
        <w:rPr/>
        <w:t>本公司对报告期末起 </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个月的持续经营能力进行了评价，未发现对持续经营能力产生重大怀疑的事 项或情况。因此，本财务报表系在持续经营假设的基础上编制。</w:t>
      </w:r>
    </w:p>
    <w:p>
      <w:pPr>
        <w:spacing w:line="240" w:lineRule="auto" w:before="5"/>
        <w:rPr>
          <w:rFonts w:ascii="宋体" w:hAnsi="宋体" w:cs="宋体" w:eastAsia="宋体" w:hint="default"/>
          <w:sz w:val="24"/>
          <w:szCs w:val="24"/>
        </w:rPr>
      </w:pPr>
    </w:p>
    <w:p>
      <w:pPr>
        <w:pStyle w:val="Heading2"/>
        <w:spacing w:line="240" w:lineRule="auto"/>
        <w:ind w:left="1133" w:right="0"/>
        <w:jc w:val="left"/>
      </w:pPr>
      <w:bookmarkStart w:name="五、重要会计政策及会计估计" w:id="171"/>
      <w:bookmarkEnd w:id="171"/>
      <w:r>
        <w:rPr/>
      </w:r>
      <w:r>
        <w:rPr/>
        <w:t>五、重要会计政策及会计估计</w:t>
      </w:r>
    </w:p>
    <w:p>
      <w:pPr>
        <w:spacing w:line="240" w:lineRule="auto" w:before="12"/>
        <w:rPr>
          <w:rFonts w:ascii="微软雅黑" w:hAnsi="微软雅黑" w:cs="微软雅黑" w:eastAsia="微软雅黑" w:hint="default"/>
          <w:sz w:val="27"/>
          <w:szCs w:val="27"/>
        </w:rPr>
      </w:pPr>
    </w:p>
    <w:p>
      <w:pPr>
        <w:pStyle w:val="BodyText"/>
        <w:spacing w:line="487" w:lineRule="auto"/>
        <w:ind w:right="6762"/>
        <w:jc w:val="left"/>
      </w:pPr>
      <w:r>
        <w:rPr/>
        <w:t>公司是否需要遵守特殊行业的披露要求 否</w:t>
      </w:r>
    </w:p>
    <w:p>
      <w:pPr>
        <w:pStyle w:val="BodyText"/>
        <w:spacing w:line="240" w:lineRule="auto" w:before="67"/>
        <w:ind w:right="0"/>
        <w:jc w:val="left"/>
      </w:pPr>
      <w:r>
        <w:rPr/>
        <w:t>具体会计政策和会计估计提示：</w:t>
      </w:r>
    </w:p>
    <w:p>
      <w:pPr>
        <w:spacing w:line="240" w:lineRule="auto" w:before="10"/>
        <w:rPr>
          <w:rFonts w:ascii="宋体" w:hAnsi="宋体" w:cs="宋体" w:eastAsia="宋体" w:hint="default"/>
          <w:sz w:val="21"/>
          <w:szCs w:val="21"/>
        </w:rPr>
      </w:pPr>
    </w:p>
    <w:p>
      <w:pPr>
        <w:pStyle w:val="BodyText"/>
        <w:spacing w:line="297" w:lineRule="auto"/>
        <w:ind w:left="1133" w:right="1128" w:firstLine="420"/>
        <w:jc w:val="both"/>
      </w:pPr>
      <w:r>
        <w:rPr>
          <w:spacing w:val="-1"/>
        </w:rPr>
        <w:t>本集团根据自身生产经营特点，确定固定资产折旧、无形资产摊销、研发费用资本化条件以及收入确</w:t>
      </w:r>
      <w:r>
        <w:rPr/>
        <w:t> 认政策，具体会计政策参见本报告“第十一节财务报告</w:t>
      </w:r>
      <w:r>
        <w:rPr>
          <w:spacing w:val="68"/>
        </w:rPr>
        <w:t> </w:t>
      </w:r>
      <w:r>
        <w:rPr/>
        <w:t>五、</w:t>
      </w:r>
      <w:r>
        <w:rPr>
          <w:rFonts w:ascii="Times New Roman" w:hAnsi="Times New Roman" w:cs="Times New Roman" w:eastAsia="Times New Roman" w:hint="default"/>
        </w:rPr>
        <w:t>16</w:t>
      </w:r>
      <w:r>
        <w:rPr/>
        <w:t>”、“第十一节财务报告五、</w:t>
      </w:r>
      <w:r>
        <w:rPr>
          <w:rFonts w:ascii="Times New Roman" w:hAnsi="Times New Roman" w:cs="Times New Roman" w:eastAsia="Times New Roman" w:hint="default"/>
        </w:rPr>
        <w:t>21</w:t>
      </w:r>
      <w:r>
        <w:rPr/>
        <w:t>”、“第</w:t>
      </w:r>
    </w:p>
    <w:p>
      <w:pPr>
        <w:spacing w:after="0" w:line="297"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4" w:right="0"/>
        <w:jc w:val="left"/>
      </w:pPr>
      <w:r>
        <w:rPr/>
        <w:t>十一节财务报告五、</w:t>
      </w:r>
      <w:r>
        <w:rPr>
          <w:rFonts w:ascii="Times New Roman" w:hAnsi="Times New Roman" w:cs="Times New Roman" w:eastAsia="Times New Roman" w:hint="default"/>
        </w:rPr>
        <w:t>28</w:t>
      </w:r>
      <w:r>
        <w:rPr/>
        <w:t>”。</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1、遵循企业会计准则的声明" w:id="172"/>
      <w:bookmarkEnd w:id="172"/>
      <w:r>
        <w:rPr/>
      </w:r>
      <w:r>
        <w:rPr>
          <w:rFonts w:ascii="Times New Roman" w:hAnsi="Times New Roman" w:cs="Times New Roman" w:eastAsia="Times New Roman" w:hint="default"/>
        </w:rPr>
        <w:t>1</w:t>
      </w:r>
      <w:r>
        <w:rPr>
          <w:rFonts w:ascii="微软雅黑" w:hAnsi="微软雅黑" w:cs="微软雅黑" w:eastAsia="微软雅黑" w:hint="default"/>
        </w:rPr>
        <w:t>、遵循企业会计准则的声明</w:t>
      </w:r>
    </w:p>
    <w:p>
      <w:pPr>
        <w:spacing w:line="240" w:lineRule="auto" w:before="7"/>
        <w:rPr>
          <w:rFonts w:ascii="微软雅黑" w:hAnsi="微软雅黑" w:cs="微软雅黑" w:eastAsia="微软雅黑" w:hint="default"/>
          <w:sz w:val="23"/>
          <w:szCs w:val="23"/>
        </w:rPr>
      </w:pPr>
    </w:p>
    <w:p>
      <w:pPr>
        <w:pStyle w:val="BodyText"/>
        <w:spacing w:line="240" w:lineRule="auto"/>
        <w:ind w:right="0"/>
        <w:jc w:val="left"/>
      </w:pPr>
      <w:r>
        <w:rPr>
          <w:spacing w:val="-4"/>
        </w:rPr>
        <w:t>本财务报表符合企业会计准则的要求，真实、完整地反映了本公司</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日的合并及公司财</w:t>
      </w:r>
    </w:p>
    <w:p>
      <w:pPr>
        <w:pStyle w:val="BodyText"/>
        <w:spacing w:line="240" w:lineRule="auto" w:before="49"/>
        <w:ind w:left="1134" w:right="0"/>
        <w:jc w:val="left"/>
      </w:pPr>
      <w:r>
        <w:rPr/>
        <w:t>务状况以及</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年度的合并及公司经营成果和合并及公司现金流量等有关信息。</w:t>
      </w:r>
    </w:p>
    <w:p>
      <w:pPr>
        <w:spacing w:line="240" w:lineRule="auto" w:before="11"/>
        <w:rPr>
          <w:rFonts w:ascii="宋体" w:hAnsi="宋体" w:cs="宋体" w:eastAsia="宋体" w:hint="default"/>
          <w:sz w:val="19"/>
          <w:szCs w:val="19"/>
        </w:rPr>
      </w:pPr>
    </w:p>
    <w:p>
      <w:pPr>
        <w:pStyle w:val="BodyText"/>
        <w:spacing w:line="240" w:lineRule="auto"/>
        <w:ind w:left="1553" w:right="0"/>
        <w:jc w:val="left"/>
        <w:rPr>
          <w:rFonts w:ascii="微软雅黑" w:hAnsi="微软雅黑" w:cs="微软雅黑" w:eastAsia="微软雅黑" w:hint="default"/>
        </w:rPr>
      </w:pPr>
      <w:bookmarkStart w:name="2、会计期间" w:id="173"/>
      <w:bookmarkEnd w:id="173"/>
      <w:r>
        <w:rPr/>
      </w:r>
      <w:r>
        <w:rPr>
          <w:rFonts w:ascii="Times New Roman" w:hAnsi="Times New Roman" w:cs="Times New Roman" w:eastAsia="Times New Roman" w:hint="default"/>
        </w:rPr>
        <w:t>2</w:t>
      </w:r>
      <w:r>
        <w:rPr>
          <w:rFonts w:ascii="微软雅黑" w:hAnsi="微软雅黑" w:cs="微软雅黑" w:eastAsia="微软雅黑" w:hint="default"/>
        </w:rPr>
        <w:t>、会计期间</w:t>
      </w:r>
    </w:p>
    <w:p>
      <w:pPr>
        <w:spacing w:line="240" w:lineRule="auto" w:before="7"/>
        <w:rPr>
          <w:rFonts w:ascii="微软雅黑" w:hAnsi="微软雅黑" w:cs="微软雅黑" w:eastAsia="微软雅黑" w:hint="default"/>
          <w:sz w:val="23"/>
          <w:szCs w:val="23"/>
        </w:rPr>
      </w:pPr>
    </w:p>
    <w:p>
      <w:pPr>
        <w:pStyle w:val="BodyText"/>
        <w:spacing w:line="240" w:lineRule="auto"/>
        <w:ind w:left="1553" w:right="0"/>
        <w:jc w:val="left"/>
      </w:pPr>
      <w:r>
        <w:rPr/>
        <w:t>本集团会计期间采用公历年度，即每年自</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w:t>
      </w:r>
    </w:p>
    <w:p>
      <w:pPr>
        <w:spacing w:line="240" w:lineRule="auto" w:before="11"/>
        <w:rPr>
          <w:rFonts w:ascii="宋体" w:hAnsi="宋体" w:cs="宋体" w:eastAsia="宋体" w:hint="default"/>
          <w:sz w:val="19"/>
          <w:szCs w:val="19"/>
        </w:rPr>
      </w:pPr>
    </w:p>
    <w:p>
      <w:pPr>
        <w:pStyle w:val="BodyText"/>
        <w:spacing w:line="240" w:lineRule="auto"/>
        <w:ind w:left="1553" w:right="0"/>
        <w:jc w:val="left"/>
        <w:rPr>
          <w:rFonts w:ascii="微软雅黑" w:hAnsi="微软雅黑" w:cs="微软雅黑" w:eastAsia="微软雅黑" w:hint="default"/>
        </w:rPr>
      </w:pPr>
      <w:bookmarkStart w:name="3、营业周期" w:id="174"/>
      <w:bookmarkEnd w:id="174"/>
      <w:r>
        <w:rPr/>
      </w:r>
      <w:r>
        <w:rPr>
          <w:rFonts w:ascii="Times New Roman" w:hAnsi="Times New Roman" w:cs="Times New Roman" w:eastAsia="Times New Roman" w:hint="default"/>
        </w:rPr>
        <w:t>3</w:t>
      </w:r>
      <w:r>
        <w:rPr>
          <w:rFonts w:ascii="微软雅黑" w:hAnsi="微软雅黑" w:cs="微软雅黑" w:eastAsia="微软雅黑" w:hint="default"/>
        </w:rPr>
        <w:t>、营业周期</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t>本集团的营业周期为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4、记账本位币" w:id="175"/>
      <w:bookmarkEnd w:id="175"/>
      <w:r>
        <w:rPr/>
      </w:r>
      <w:r>
        <w:rPr>
          <w:rFonts w:ascii="Times New Roman" w:hAnsi="Times New Roman" w:cs="Times New Roman" w:eastAsia="Times New Roman" w:hint="default"/>
        </w:rPr>
        <w:t>4</w:t>
      </w:r>
      <w:r>
        <w:rPr>
          <w:rFonts w:ascii="微软雅黑" w:hAnsi="微软雅黑" w:cs="微软雅黑" w:eastAsia="微软雅黑" w:hint="default"/>
        </w:rPr>
        <w:t>、记账本位币</w:t>
      </w:r>
    </w:p>
    <w:p>
      <w:pPr>
        <w:spacing w:line="240" w:lineRule="auto" w:before="6"/>
        <w:rPr>
          <w:rFonts w:ascii="微软雅黑" w:hAnsi="微软雅黑" w:cs="微软雅黑" w:eastAsia="微软雅黑" w:hint="default"/>
          <w:sz w:val="23"/>
          <w:szCs w:val="23"/>
        </w:rPr>
      </w:pPr>
    </w:p>
    <w:p>
      <w:pPr>
        <w:pStyle w:val="BodyText"/>
        <w:spacing w:line="297" w:lineRule="auto"/>
        <w:ind w:left="1134" w:right="1023" w:firstLine="420"/>
        <w:jc w:val="left"/>
      </w:pPr>
      <w:r>
        <w:rPr/>
        <w:t>本公司及境内子公司以人民币为记账本位币，本公司之境外子公司根据其经营所处的主要经济环境中 </w:t>
      </w:r>
      <w:r>
        <w:rPr>
          <w:spacing w:val="-3"/>
        </w:rPr>
        <w:t>的货币确定其记账本位币，重要的境外经营子公司中科创达软件科技（日本）有限公司记账本位币为日元，</w:t>
      </w:r>
      <w:r>
        <w:rPr>
          <w:spacing w:val="-91"/>
        </w:rPr>
        <w:t> </w:t>
      </w:r>
      <w:r>
        <w:rPr>
          <w:spacing w:val="-91"/>
        </w:rPr>
      </w:r>
      <w:r>
        <w:rPr/>
        <w:t>中科创达香港有限公司记账本位币为人民币，本集团编制本财务报表时所采用的货币为人民币。</w:t>
      </w:r>
    </w:p>
    <w:p>
      <w:pPr>
        <w:spacing w:line="240" w:lineRule="auto" w:before="5"/>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5、同一控制下和非同一控制下企业合并的会计处理方法" w:id="176"/>
      <w:bookmarkEnd w:id="176"/>
      <w:r>
        <w:rPr/>
      </w:r>
      <w:r>
        <w:rPr>
          <w:rFonts w:ascii="Times New Roman" w:hAnsi="Times New Roman" w:cs="Times New Roman" w:eastAsia="Times New Roman" w:hint="default"/>
        </w:rPr>
        <w:t>5</w:t>
      </w:r>
      <w:r>
        <w:rPr>
          <w:rFonts w:ascii="微软雅黑" w:hAnsi="微软雅黑" w:cs="微软雅黑" w:eastAsia="微软雅黑" w:hint="default"/>
        </w:rPr>
        <w:t>、同一控制下和非同一控制下企业合并的会计处理方法</w:t>
      </w:r>
    </w:p>
    <w:p>
      <w:pPr>
        <w:pStyle w:val="BodyText"/>
        <w:spacing w:line="540" w:lineRule="atLeast" w:before="153"/>
        <w:ind w:right="0"/>
        <w:jc w:val="left"/>
      </w:pPr>
      <w:r>
        <w:rPr/>
        <w:t>（</w:t>
      </w:r>
      <w:r>
        <w:rPr>
          <w:rFonts w:ascii="Times New Roman" w:hAnsi="Times New Roman" w:cs="Times New Roman" w:eastAsia="Times New Roman" w:hint="default"/>
        </w:rPr>
        <w:t>1</w:t>
      </w:r>
      <w:r>
        <w:rPr/>
        <w:t>）同一控制下的企业合并 </w:t>
      </w:r>
      <w:r>
        <w:rPr>
          <w:spacing w:val="-1"/>
        </w:rPr>
        <w:t>对于同一控制下的企业合并，合并方在合并中取得的被合并方的资产、负债，除因会计政策不同而进</w:t>
      </w:r>
    </w:p>
    <w:p>
      <w:pPr>
        <w:pStyle w:val="BodyText"/>
        <w:spacing w:line="297" w:lineRule="auto" w:before="66"/>
        <w:ind w:left="1134" w:right="0"/>
        <w:jc w:val="left"/>
      </w:pPr>
      <w:r>
        <w:rPr>
          <w:spacing w:val="-1"/>
        </w:rPr>
        <w:t>行的调整以外，按合并日被合并方在最终控制方合并财务报表中的账面价值计量。合并对价的账面价值与</w:t>
      </w:r>
      <w:r>
        <w:rPr>
          <w:spacing w:val="-81"/>
        </w:rPr>
        <w:t> </w:t>
      </w:r>
      <w:r>
        <w:rPr>
          <w:spacing w:val="-81"/>
        </w:rPr>
      </w:r>
      <w:r>
        <w:rPr/>
        <w:t>合并中取得的净资产账面价值的差额调整资本公积，资本公积不足冲减的，调整留存收益。</w:t>
      </w:r>
    </w:p>
    <w:p>
      <w:pPr>
        <w:pStyle w:val="BodyText"/>
        <w:spacing w:line="558" w:lineRule="exact" w:before="33"/>
        <w:ind w:right="0"/>
        <w:jc w:val="left"/>
      </w:pPr>
      <w:r>
        <w:rPr/>
        <w:t>通过多次交易分步实现同一控制下的企业合并 </w:t>
      </w:r>
      <w:r>
        <w:rPr>
          <w:spacing w:val="-1"/>
        </w:rPr>
        <w:t>在个别财务报表中，以合并日持股比例计算的合并日应享有被合并方净资产在最终控制方合并财务报</w:t>
      </w:r>
    </w:p>
    <w:p>
      <w:pPr>
        <w:pStyle w:val="BodyText"/>
        <w:spacing w:line="259" w:lineRule="exact"/>
        <w:ind w:left="1134" w:right="0"/>
        <w:jc w:val="left"/>
      </w:pPr>
      <w:r>
        <w:rPr/>
        <w:t>表中的账面价值的份额作为该项投资的初始投资成本；初始投资成本与合并前持有投资的账面价值加上合</w:t>
      </w:r>
    </w:p>
    <w:p>
      <w:pPr>
        <w:pStyle w:val="BodyText"/>
        <w:spacing w:line="240" w:lineRule="auto" w:before="64"/>
        <w:ind w:left="1134" w:right="0"/>
        <w:jc w:val="left"/>
      </w:pPr>
      <w:r>
        <w:rPr/>
        <w:t>并日新支付对价的账面价值之和的差额，调整资本公积，资本公积不足冲减的，调整留存收益。</w:t>
      </w:r>
    </w:p>
    <w:p>
      <w:pPr>
        <w:spacing w:line="240" w:lineRule="auto" w:before="10"/>
        <w:rPr>
          <w:rFonts w:ascii="宋体" w:hAnsi="宋体" w:cs="宋体" w:eastAsia="宋体" w:hint="default"/>
          <w:sz w:val="21"/>
          <w:szCs w:val="21"/>
        </w:rPr>
      </w:pPr>
    </w:p>
    <w:p>
      <w:pPr>
        <w:pStyle w:val="BodyText"/>
        <w:spacing w:line="297" w:lineRule="auto"/>
        <w:ind w:left="1133" w:right="1024" w:firstLine="420"/>
        <w:jc w:val="left"/>
      </w:pPr>
      <w:r>
        <w:rPr/>
        <w:t>在合并财务报表中，合并方在合并中取得的被合并方的资产、负债，除因会计政策不同而进行的调整 以外，按合并日在最终控制方合并财务报表中的账面价值计量；合并前持有投资的账面价值加上合并日新 </w:t>
      </w:r>
      <w:r>
        <w:rPr>
          <w:spacing w:val="-3"/>
        </w:rPr>
        <w:t>支付对价的账面价值之和，与合并中取得的净资产账面价值的差额，调整资本公积，资本公积不足冲减的，</w:t>
      </w:r>
      <w:r>
        <w:rPr>
          <w:spacing w:val="-90"/>
        </w:rPr>
        <w:t> </w:t>
      </w:r>
      <w:r>
        <w:rPr>
          <w:spacing w:val="-90"/>
        </w:rPr>
      </w:r>
      <w:r>
        <w:rPr/>
        <w:t>调整留存收益。合并方在取得被合并方控制权之前持有的长期股权投资，在取得原股权之日与合并方与被</w:t>
      </w:r>
      <w:r>
        <w:rPr/>
        <w:t> 合并方同处于同一方最终控制之日孰晚日起至合并日之间已确认有关损益、其他综合收益和其他所有者权 益变动，应分别冲减比较报表期间的期初留存收益或当期损益。</w:t>
      </w:r>
    </w:p>
    <w:p>
      <w:pPr>
        <w:spacing w:line="240" w:lineRule="auto" w:before="12"/>
        <w:rPr>
          <w:rFonts w:ascii="宋体" w:hAnsi="宋体" w:cs="宋体" w:eastAsia="宋体" w:hint="default"/>
          <w:sz w:val="17"/>
          <w:szCs w:val="17"/>
        </w:rPr>
      </w:pPr>
    </w:p>
    <w:p>
      <w:pPr>
        <w:pStyle w:val="BodyText"/>
        <w:spacing w:line="240" w:lineRule="auto"/>
        <w:ind w:left="1553" w:right="0"/>
        <w:jc w:val="left"/>
      </w:pPr>
      <w:r>
        <w:rPr/>
        <w:t>（</w:t>
      </w:r>
      <w:r>
        <w:rPr>
          <w:rFonts w:ascii="Times New Roman" w:hAnsi="Times New Roman" w:cs="Times New Roman" w:eastAsia="Times New Roman" w:hint="default"/>
        </w:rPr>
        <w:t>2</w:t>
      </w:r>
      <w:r>
        <w:rPr/>
        <w:t>）非同一控制下的企业合并</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1131" w:firstLine="420"/>
        <w:jc w:val="both"/>
      </w:pPr>
      <w:r>
        <w:rPr>
          <w:spacing w:val="-1"/>
        </w:rPr>
        <w:t>对于非同一控制下的企业合并，合并成本为购买日为取得对被购买方的控制权而付出的资产、发生或</w:t>
      </w:r>
      <w:r>
        <w:rPr/>
        <w:t> </w:t>
      </w:r>
      <w:r>
        <w:rPr>
          <w:spacing w:val="-1"/>
        </w:rPr>
        <w:t>承担的负债以及发行的权益性证券的公允价值。在购买日，取得的被购买方的资产、负债及或有负债按公</w:t>
      </w:r>
      <w:r>
        <w:rPr>
          <w:spacing w:val="-83"/>
        </w:rPr>
        <w:t> </w:t>
      </w:r>
      <w:r>
        <w:rPr>
          <w:spacing w:val="-83"/>
        </w:rPr>
      </w:r>
      <w:r>
        <w:rPr/>
        <w:t>允价值确认。</w:t>
      </w:r>
    </w:p>
    <w:p>
      <w:pPr>
        <w:spacing w:line="240" w:lineRule="auto" w:before="12"/>
        <w:rPr>
          <w:rFonts w:ascii="宋体" w:hAnsi="宋体" w:cs="宋体" w:eastAsia="宋体" w:hint="default"/>
          <w:sz w:val="17"/>
          <w:szCs w:val="17"/>
        </w:rPr>
      </w:pPr>
    </w:p>
    <w:p>
      <w:pPr>
        <w:pStyle w:val="BodyText"/>
        <w:spacing w:line="297" w:lineRule="auto"/>
        <w:ind w:left="1133" w:right="1111" w:firstLine="420"/>
        <w:jc w:val="both"/>
      </w:pPr>
      <w:r>
        <w:rPr>
          <w:spacing w:val="-1"/>
        </w:rPr>
        <w:t>对合并成本大于合并中取得的被购买方可辨认净资产公允价值份额的差额，确认为商誉，按成本扣除</w:t>
      </w:r>
      <w:r>
        <w:rPr/>
        <w:t> 累计减值准备进行后续计量；对合并成本小于合并中取得的被购买方可辨认净资产公允价值份额的差额， 经复核后计入当期损益。</w:t>
      </w:r>
    </w:p>
    <w:p>
      <w:pPr>
        <w:pStyle w:val="BodyText"/>
        <w:spacing w:line="560" w:lineRule="exact" w:before="30"/>
        <w:ind w:right="1092"/>
        <w:jc w:val="left"/>
      </w:pPr>
      <w:r>
        <w:rPr/>
        <w:t>通过多次交易分步实现非同一控制下的企业合并 在个别财务报表中，以购买日之前所持被购买方的股权投资的账面价值与购买日新增投资成本之和，</w:t>
      </w:r>
    </w:p>
    <w:p>
      <w:pPr>
        <w:pStyle w:val="BodyText"/>
        <w:spacing w:line="258" w:lineRule="exact"/>
        <w:ind w:left="1134" w:right="0"/>
        <w:jc w:val="both"/>
      </w:pPr>
      <w:r>
        <w:rPr/>
        <w:t>作为该项投资的初始投资成本。购买日之前持有的股权投资因采用权益法核算而确认的其他综合收益，购</w:t>
      </w:r>
    </w:p>
    <w:p>
      <w:pPr>
        <w:pStyle w:val="BodyText"/>
        <w:spacing w:line="297" w:lineRule="auto" w:before="64"/>
        <w:ind w:left="1134" w:right="1131"/>
        <w:jc w:val="both"/>
      </w:pPr>
      <w:r>
        <w:rPr>
          <w:spacing w:val="-1"/>
        </w:rPr>
        <w:t>买日对这部分其他综合收益不作处理，在处置该项投资时采用与被投资单位直接处置相关资产或负债相同</w:t>
      </w:r>
      <w:r>
        <w:rPr>
          <w:spacing w:val="-81"/>
        </w:rPr>
        <w:t> </w:t>
      </w:r>
      <w:r>
        <w:rPr>
          <w:spacing w:val="-81"/>
        </w:rPr>
      </w:r>
      <w:r>
        <w:rPr>
          <w:spacing w:val="-1"/>
        </w:rPr>
        <w:t>的基础进行会计处理；因被投资方除净损益、其他综合收益和利润分配以外的其他所有者权益变动而确认</w:t>
      </w:r>
      <w:r>
        <w:rPr>
          <w:spacing w:val="-81"/>
        </w:rPr>
        <w:t> </w:t>
      </w:r>
      <w:r>
        <w:rPr>
          <w:spacing w:val="-81"/>
        </w:rPr>
      </w:r>
      <w:r>
        <w:rPr>
          <w:spacing w:val="-1"/>
        </w:rPr>
        <w:t>的所有者权益，在处置该项投资时转入处置期间的当期损益。购买日之前持有的股权投资采用公允价值计</w:t>
      </w:r>
      <w:r>
        <w:rPr>
          <w:spacing w:val="-81"/>
        </w:rPr>
        <w:t> </w:t>
      </w:r>
      <w:r>
        <w:rPr>
          <w:spacing w:val="-81"/>
        </w:rPr>
      </w:r>
      <w:r>
        <w:rPr/>
        <w:t>量的，原计入其他综合收益的累计公允价值变动在改按成本法核算时转入当期损益。</w:t>
      </w:r>
    </w:p>
    <w:p>
      <w:pPr>
        <w:spacing w:line="240" w:lineRule="auto" w:before="12"/>
        <w:rPr>
          <w:rFonts w:ascii="宋体" w:hAnsi="宋体" w:cs="宋体" w:eastAsia="宋体" w:hint="default"/>
          <w:sz w:val="17"/>
          <w:szCs w:val="17"/>
        </w:rPr>
      </w:pPr>
    </w:p>
    <w:p>
      <w:pPr>
        <w:pStyle w:val="BodyText"/>
        <w:spacing w:line="297" w:lineRule="auto"/>
        <w:ind w:left="1133" w:right="1131" w:firstLine="420"/>
        <w:jc w:val="both"/>
      </w:pPr>
      <w:r>
        <w:rPr>
          <w:spacing w:val="-1"/>
        </w:rPr>
        <w:t>在合并财务报表中，合并成本为购买日支付的对价与购买日之前已经持有的被购买方的股权在购买日</w:t>
      </w:r>
      <w:r>
        <w:rPr/>
        <w:t> </w:t>
      </w:r>
      <w:r>
        <w:rPr>
          <w:spacing w:val="-1"/>
        </w:rPr>
        <w:t>的公允价值之和。对于购买日之前已经持有的被购买方的股权，按照该股权在购买日的公允价值进行重新</w:t>
      </w:r>
      <w:r>
        <w:rPr>
          <w:spacing w:val="-81"/>
        </w:rPr>
        <w:t> </w:t>
      </w:r>
      <w:r>
        <w:rPr>
          <w:spacing w:val="-81"/>
        </w:rPr>
      </w:r>
      <w:r>
        <w:rPr>
          <w:spacing w:val="-1"/>
        </w:rPr>
        <w:t>计量，公允价值与其账面价值之间的差额计入当期收益；购买日之前已经持有的被购买方的股权涉及其他</w:t>
      </w:r>
      <w:r>
        <w:rPr>
          <w:spacing w:val="-81"/>
        </w:rPr>
        <w:t> </w:t>
      </w:r>
      <w:r>
        <w:rPr>
          <w:spacing w:val="-81"/>
        </w:rPr>
      </w:r>
      <w:r>
        <w:rPr>
          <w:spacing w:val="-1"/>
        </w:rPr>
        <w:t>综合收益、其他所有者权益变动转为购买日当期收益，由于被投资方重新计量设定收益计划净负债或净资</w:t>
      </w:r>
      <w:r>
        <w:rPr>
          <w:spacing w:val="-81"/>
        </w:rPr>
        <w:t> </w:t>
      </w:r>
      <w:r>
        <w:rPr>
          <w:spacing w:val="-81"/>
        </w:rPr>
      </w:r>
      <w:r>
        <w:rPr/>
        <w:t>产变动而产生的其他综合收益除外。</w:t>
      </w:r>
    </w:p>
    <w:p>
      <w:pPr>
        <w:pStyle w:val="BodyText"/>
        <w:spacing w:line="558" w:lineRule="exact" w:before="33"/>
        <w:ind w:right="0"/>
        <w:jc w:val="left"/>
      </w:pPr>
      <w:r>
        <w:rPr/>
        <w:t>（</w:t>
      </w:r>
      <w:r>
        <w:rPr>
          <w:rFonts w:ascii="Times New Roman" w:hAnsi="Times New Roman" w:cs="Times New Roman" w:eastAsia="Times New Roman" w:hint="default"/>
        </w:rPr>
        <w:t>3</w:t>
      </w:r>
      <w:r>
        <w:rPr/>
        <w:t>）企业合并中有关交易费用的处理 </w:t>
      </w:r>
      <w:r>
        <w:rPr>
          <w:spacing w:val="-1"/>
        </w:rPr>
        <w:t>为进行企业合并发生的审计、法律服务、评估咨询等中介费用以及其他相关管理费用，于发生时计入</w:t>
      </w:r>
    </w:p>
    <w:p>
      <w:pPr>
        <w:pStyle w:val="BodyText"/>
        <w:spacing w:line="259" w:lineRule="exact"/>
        <w:ind w:left="1134" w:right="0"/>
        <w:jc w:val="both"/>
      </w:pPr>
      <w:r>
        <w:rPr/>
        <w:t>当期损益。作为合并对价发行的权益性证券或债务性证券的交易费用，计入权益性证券或债务性证券的初</w:t>
      </w:r>
    </w:p>
    <w:p>
      <w:pPr>
        <w:pStyle w:val="BodyText"/>
        <w:spacing w:line="240" w:lineRule="auto" w:before="66"/>
        <w:ind w:left="1134" w:right="0"/>
        <w:jc w:val="both"/>
      </w:pPr>
      <w:r>
        <w:rPr/>
        <w:t>始确认金额。</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6、合并财务报表的编制方法" w:id="177"/>
      <w:bookmarkEnd w:id="177"/>
      <w:r>
        <w:rPr/>
      </w:r>
      <w:r>
        <w:rPr>
          <w:rFonts w:ascii="Times New Roman" w:hAnsi="Times New Roman" w:cs="Times New Roman" w:eastAsia="Times New Roman" w:hint="default"/>
        </w:rPr>
        <w:t>6</w:t>
      </w:r>
      <w:r>
        <w:rPr>
          <w:rFonts w:ascii="微软雅黑" w:hAnsi="微软雅黑" w:cs="微软雅黑" w:eastAsia="微软雅黑" w:hint="default"/>
        </w:rPr>
        <w:t>、合并财务报表的编制方法</w:t>
      </w:r>
    </w:p>
    <w:p>
      <w:pPr>
        <w:pStyle w:val="BodyText"/>
        <w:spacing w:line="540" w:lineRule="atLeast" w:before="153"/>
        <w:ind w:right="0"/>
        <w:jc w:val="left"/>
      </w:pPr>
      <w:r>
        <w:rPr/>
        <w:t>（</w:t>
      </w:r>
      <w:r>
        <w:rPr>
          <w:rFonts w:ascii="Times New Roman" w:hAnsi="Times New Roman" w:cs="Times New Roman" w:eastAsia="Times New Roman" w:hint="default"/>
        </w:rPr>
        <w:t>1</w:t>
      </w:r>
      <w:r>
        <w:rPr/>
        <w:t>）合并范围 </w:t>
      </w:r>
      <w:r>
        <w:rPr>
          <w:spacing w:val="-1"/>
        </w:rPr>
        <w:t>合并财务报表的合并范围以控制为基础予以确定。控制，是指本公司拥有对被投资单位的权力，通过</w:t>
      </w:r>
    </w:p>
    <w:p>
      <w:pPr>
        <w:pStyle w:val="BodyText"/>
        <w:spacing w:line="297" w:lineRule="auto" w:before="66"/>
        <w:ind w:left="1134" w:right="1131"/>
        <w:jc w:val="both"/>
      </w:pPr>
      <w:r>
        <w:rPr>
          <w:spacing w:val="-1"/>
        </w:rPr>
        <w:t>参与被投资单位的相关活动而享有可变回报，并且有能力运用对被投资单位的权力影响其回报金额。子公</w:t>
      </w:r>
      <w:r>
        <w:rPr>
          <w:spacing w:val="-81"/>
        </w:rPr>
        <w:t> </w:t>
      </w:r>
      <w:r>
        <w:rPr>
          <w:spacing w:val="-81"/>
        </w:rPr>
      </w:r>
      <w:r>
        <w:rPr/>
        <w:t>司，是指被本公司控制的主体（含企业、被投资单位中可分割的部分、结构化主体等）。</w:t>
      </w:r>
    </w:p>
    <w:p>
      <w:pPr>
        <w:pStyle w:val="BodyText"/>
        <w:spacing w:line="558" w:lineRule="exact" w:before="31"/>
        <w:ind w:left="1553" w:right="0"/>
        <w:jc w:val="left"/>
      </w:pPr>
      <w:r>
        <w:rPr/>
        <w:t>（</w:t>
      </w:r>
      <w:r>
        <w:rPr>
          <w:rFonts w:ascii="Times New Roman" w:hAnsi="Times New Roman" w:cs="Times New Roman" w:eastAsia="Times New Roman" w:hint="default"/>
        </w:rPr>
        <w:t>2</w:t>
      </w:r>
      <w:r>
        <w:rPr/>
        <w:t>）合并财务报表的编制方法 </w:t>
      </w:r>
      <w:r>
        <w:rPr>
          <w:spacing w:val="-1"/>
        </w:rPr>
        <w:t>合并财务报表以本公司和子公司的财务报表为基础，根据其他有关资料，由本公司编制。在编制合并</w:t>
      </w:r>
    </w:p>
    <w:p>
      <w:pPr>
        <w:pStyle w:val="BodyText"/>
        <w:spacing w:line="259" w:lineRule="exact"/>
        <w:ind w:left="1133" w:right="0"/>
        <w:jc w:val="both"/>
      </w:pPr>
      <w:r>
        <w:rPr/>
        <w:t>财务报表时，本公司和子公司的会计政策和会计期间要求保持一致，公司间的重大交易和往来余额予以抵</w:t>
      </w:r>
    </w:p>
    <w:p>
      <w:pPr>
        <w:pStyle w:val="BodyText"/>
        <w:spacing w:line="240" w:lineRule="auto" w:before="66"/>
        <w:ind w:left="1133" w:right="0"/>
        <w:jc w:val="both"/>
      </w:pPr>
      <w:r>
        <w:rPr/>
        <w:t>销。</w:t>
      </w:r>
    </w:p>
    <w:p>
      <w:pPr>
        <w:spacing w:line="240" w:lineRule="auto" w:before="8"/>
        <w:rPr>
          <w:rFonts w:ascii="宋体" w:hAnsi="宋体" w:cs="宋体" w:eastAsia="宋体" w:hint="default"/>
          <w:sz w:val="21"/>
          <w:szCs w:val="21"/>
        </w:rPr>
      </w:pPr>
    </w:p>
    <w:p>
      <w:pPr>
        <w:pStyle w:val="BodyText"/>
        <w:spacing w:line="240" w:lineRule="auto"/>
        <w:ind w:right="0"/>
        <w:jc w:val="left"/>
      </w:pPr>
      <w:r>
        <w:rPr/>
        <w:t>在报告期内因同一控制下企业合并增加的子公司以及业务，视同该子公司以及业务自同受最终控制方</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0"/>
        <w:jc w:val="left"/>
      </w:pPr>
      <w:r>
        <w:rPr>
          <w:spacing w:val="-1"/>
        </w:rPr>
        <w:t>控制之日起纳入本公司的合并范围，将其自同受最终控制方控制之日起的经营成果、现金流量分别纳入合</w:t>
      </w:r>
      <w:r>
        <w:rPr>
          <w:spacing w:val="-81"/>
        </w:rPr>
        <w:t> </w:t>
      </w:r>
      <w:r>
        <w:rPr>
          <w:spacing w:val="-81"/>
        </w:rPr>
      </w:r>
      <w:r>
        <w:rPr/>
        <w:t>并利润表、合并现金流量表中。</w:t>
      </w:r>
    </w:p>
    <w:p>
      <w:pPr>
        <w:spacing w:line="240" w:lineRule="auto" w:before="10"/>
        <w:rPr>
          <w:rFonts w:ascii="宋体" w:hAnsi="宋体" w:cs="宋体" w:eastAsia="宋体" w:hint="default"/>
          <w:sz w:val="17"/>
          <w:szCs w:val="17"/>
        </w:rPr>
      </w:pPr>
    </w:p>
    <w:p>
      <w:pPr>
        <w:pStyle w:val="BodyText"/>
        <w:spacing w:line="297" w:lineRule="auto"/>
        <w:ind w:left="1134" w:right="1132" w:firstLine="420"/>
        <w:jc w:val="both"/>
      </w:pPr>
      <w:r>
        <w:rPr>
          <w:spacing w:val="-1"/>
        </w:rPr>
        <w:t>在报告期内因非同一控制下企业合并增加的子公司以及业务，将该子公司以及业务自购买日至报告期</w:t>
      </w:r>
      <w:r>
        <w:rPr/>
        <w:t> 末的收入、费用、利润纳入合并利润表，将其现金流量纳入合并现金流量表。</w:t>
      </w:r>
    </w:p>
    <w:p>
      <w:pPr>
        <w:spacing w:line="240" w:lineRule="auto" w:before="10"/>
        <w:rPr>
          <w:rFonts w:ascii="宋体" w:hAnsi="宋体" w:cs="宋体" w:eastAsia="宋体" w:hint="default"/>
          <w:sz w:val="17"/>
          <w:szCs w:val="17"/>
        </w:rPr>
      </w:pPr>
    </w:p>
    <w:p>
      <w:pPr>
        <w:pStyle w:val="BodyText"/>
        <w:spacing w:line="297" w:lineRule="auto"/>
        <w:ind w:left="1133" w:right="1130" w:firstLine="420"/>
        <w:jc w:val="both"/>
      </w:pPr>
      <w:r>
        <w:rPr>
          <w:spacing w:val="-1"/>
        </w:rPr>
        <w:t>子公司的股东权益中不属于本公司所拥有的部分，作为少数股东权益在合并资产负债表中股东权益项</w:t>
      </w:r>
      <w:r>
        <w:rPr/>
        <w:t> </w:t>
      </w:r>
      <w:r>
        <w:rPr>
          <w:spacing w:val="-1"/>
        </w:rPr>
        <w:t>下单独列示；子公司当期净损益中属于少数股东权益的份额，在合并利润表中净利润项目下以“少数股东</w:t>
      </w:r>
      <w:r>
        <w:rPr>
          <w:spacing w:val="-83"/>
        </w:rPr>
        <w:t> </w:t>
      </w:r>
      <w:r>
        <w:rPr>
          <w:spacing w:val="-83"/>
        </w:rPr>
      </w:r>
      <w:r>
        <w:rPr>
          <w:spacing w:val="-1"/>
        </w:rPr>
        <w:t>损益”项目列示。少数股东分担的子公司的亏损超过了少数股东在该子公司期初所有者权益中所享有的份</w:t>
      </w:r>
      <w:r>
        <w:rPr>
          <w:spacing w:val="-81"/>
        </w:rPr>
        <w:t> </w:t>
      </w:r>
      <w:r>
        <w:rPr>
          <w:spacing w:val="-81"/>
        </w:rPr>
      </w:r>
      <w:r>
        <w:rPr/>
        <w:t>额，其余额仍冲减少数股东权益。</w:t>
      </w:r>
    </w:p>
    <w:p>
      <w:pPr>
        <w:pStyle w:val="BodyText"/>
        <w:spacing w:line="558" w:lineRule="exact" w:before="33"/>
        <w:ind w:right="0"/>
        <w:jc w:val="left"/>
      </w:pPr>
      <w:r>
        <w:rPr/>
        <w:t>（</w:t>
      </w:r>
      <w:r>
        <w:rPr>
          <w:rFonts w:ascii="Times New Roman" w:hAnsi="Times New Roman" w:cs="Times New Roman" w:eastAsia="Times New Roman" w:hint="default"/>
        </w:rPr>
        <w:t>3</w:t>
      </w:r>
      <w:r>
        <w:rPr/>
        <w:t>）购买子公司少数股东股权 </w:t>
      </w:r>
      <w:r>
        <w:rPr>
          <w:spacing w:val="3"/>
        </w:rPr>
        <w:t>因购买少数股权新取得的长期股权投资成本与按照新增持股比例计算应享有子公司自购买日或合并</w:t>
      </w:r>
    </w:p>
    <w:p>
      <w:pPr>
        <w:pStyle w:val="BodyText"/>
        <w:spacing w:line="259" w:lineRule="exact"/>
        <w:ind w:left="1134" w:right="0"/>
        <w:jc w:val="left"/>
      </w:pPr>
      <w:r>
        <w:rPr/>
        <w:t>日开始持续计算的净资产份额之间的差额，以及在不丧失控制权的情况下因部分处置对子公司的股权投资</w:t>
      </w:r>
    </w:p>
    <w:p>
      <w:pPr>
        <w:pStyle w:val="BodyText"/>
        <w:spacing w:line="297" w:lineRule="auto" w:before="64"/>
        <w:ind w:left="1134" w:right="0"/>
        <w:jc w:val="left"/>
      </w:pPr>
      <w:r>
        <w:rPr>
          <w:spacing w:val="3"/>
        </w:rPr>
        <w:t>而取得的处置价款与处置长期股权投资相对应享有子公司自购买日或合并日开始持续计算的净资产份额</w:t>
      </w:r>
      <w:r>
        <w:rPr>
          <w:spacing w:val="-82"/>
        </w:rPr>
        <w:t> </w:t>
      </w:r>
      <w:r>
        <w:rPr>
          <w:spacing w:val="-82"/>
        </w:rPr>
      </w:r>
      <w:r>
        <w:rPr/>
        <w:t>之间的差额，均调整合并资产负债表中的资本公积，资本公积不足冲减的，调整留存收益。</w:t>
      </w:r>
    </w:p>
    <w:p>
      <w:pPr>
        <w:pStyle w:val="BodyText"/>
        <w:spacing w:line="560" w:lineRule="exact" w:before="30"/>
        <w:ind w:right="0"/>
        <w:jc w:val="left"/>
      </w:pPr>
      <w:r>
        <w:rPr/>
        <w:t>（</w:t>
      </w:r>
      <w:r>
        <w:rPr>
          <w:rFonts w:ascii="Times New Roman" w:hAnsi="Times New Roman" w:cs="Times New Roman" w:eastAsia="Times New Roman" w:hint="default"/>
        </w:rPr>
        <w:t>4</w:t>
      </w:r>
      <w:r>
        <w:rPr/>
        <w:t>）丧失子公司控制权的处理 </w:t>
      </w:r>
      <w:r>
        <w:rPr>
          <w:spacing w:val="-1"/>
        </w:rPr>
        <w:t>因处置部分股权投资或其他原因丧失了对原有子公司控制权的，剩余股权按照其在丧失控制权日的公</w:t>
      </w:r>
    </w:p>
    <w:p>
      <w:pPr>
        <w:pStyle w:val="BodyText"/>
        <w:spacing w:line="257" w:lineRule="exact"/>
        <w:ind w:left="1134" w:right="0"/>
        <w:jc w:val="left"/>
      </w:pPr>
      <w:r>
        <w:rPr/>
        <w:t>允价值进行重新计量；处置股权取得的对价与剩余股权公允价值之和，减去按原持股比例计算应享有原有</w:t>
      </w:r>
    </w:p>
    <w:p>
      <w:pPr>
        <w:pStyle w:val="BodyText"/>
        <w:spacing w:line="297" w:lineRule="auto" w:before="66"/>
        <w:ind w:left="1134" w:right="1116"/>
        <w:jc w:val="left"/>
      </w:pPr>
      <w:r>
        <w:rPr>
          <w:spacing w:val="-1"/>
        </w:rPr>
        <w:t>子公司自购买日开始持续计算的净资产账面价值的份额与商誉之和，形成的差额计入丧失控制权当期的投</w:t>
      </w:r>
      <w:r>
        <w:rPr>
          <w:spacing w:val="-80"/>
        </w:rPr>
        <w:t> </w:t>
      </w:r>
      <w:r>
        <w:rPr>
          <w:spacing w:val="-80"/>
        </w:rPr>
      </w:r>
      <w:r>
        <w:rPr/>
        <w:t>资收益。</w:t>
      </w:r>
    </w:p>
    <w:p>
      <w:pPr>
        <w:spacing w:line="240" w:lineRule="auto" w:before="10"/>
        <w:rPr>
          <w:rFonts w:ascii="宋体" w:hAnsi="宋体" w:cs="宋体" w:eastAsia="宋体" w:hint="default"/>
          <w:sz w:val="17"/>
          <w:szCs w:val="17"/>
        </w:rPr>
      </w:pPr>
    </w:p>
    <w:p>
      <w:pPr>
        <w:pStyle w:val="BodyText"/>
        <w:spacing w:line="297" w:lineRule="auto"/>
        <w:ind w:left="1134" w:right="1131" w:firstLine="420"/>
        <w:jc w:val="both"/>
      </w:pPr>
      <w:r>
        <w:rPr>
          <w:spacing w:val="-1"/>
        </w:rPr>
        <w:t>与原有子公司的股权投资相关的其他综合收益等，在丧失控制权时转入当期损益，由于被投资方重新</w:t>
      </w:r>
      <w:r>
        <w:rPr/>
        <w:t> 计量设定收益计划净负债或净资产变动而产生的其他综合收益除外。</w:t>
      </w:r>
    </w:p>
    <w:p>
      <w:pPr>
        <w:spacing w:line="240" w:lineRule="auto" w:before="3"/>
        <w:rPr>
          <w:rFonts w:ascii="宋体" w:hAnsi="宋体" w:cs="宋体" w:eastAsia="宋体" w:hint="default"/>
          <w:sz w:val="17"/>
          <w:szCs w:val="17"/>
        </w:rPr>
      </w:pPr>
    </w:p>
    <w:p>
      <w:pPr>
        <w:pStyle w:val="BodyText"/>
        <w:spacing w:line="240" w:lineRule="auto"/>
        <w:ind w:left="1553" w:right="0"/>
        <w:jc w:val="left"/>
        <w:rPr>
          <w:rFonts w:ascii="微软雅黑" w:hAnsi="微软雅黑" w:cs="微软雅黑" w:eastAsia="微软雅黑" w:hint="default"/>
        </w:rPr>
      </w:pPr>
      <w:bookmarkStart w:name="7、合营安排分类及共同经营会计处理方法" w:id="178"/>
      <w:bookmarkEnd w:id="178"/>
      <w:r>
        <w:rPr/>
      </w:r>
      <w:r>
        <w:rPr>
          <w:rFonts w:ascii="Times New Roman" w:hAnsi="Times New Roman" w:cs="Times New Roman" w:eastAsia="Times New Roman" w:hint="default"/>
        </w:rPr>
        <w:t>7</w:t>
      </w:r>
      <w:r>
        <w:rPr>
          <w:rFonts w:ascii="微软雅黑" w:hAnsi="微软雅黑" w:cs="微软雅黑" w:eastAsia="微软雅黑" w:hint="default"/>
        </w:rPr>
        <w:t>、合营安排分类及共同经营会计处理方法</w:t>
      </w:r>
    </w:p>
    <w:p>
      <w:pPr>
        <w:spacing w:line="240" w:lineRule="auto" w:before="6"/>
        <w:rPr>
          <w:rFonts w:ascii="微软雅黑" w:hAnsi="微软雅黑" w:cs="微软雅黑" w:eastAsia="微软雅黑" w:hint="default"/>
          <w:sz w:val="23"/>
          <w:szCs w:val="23"/>
        </w:rPr>
      </w:pPr>
    </w:p>
    <w:p>
      <w:pPr>
        <w:pStyle w:val="BodyText"/>
        <w:spacing w:line="297" w:lineRule="auto"/>
        <w:ind w:left="1133" w:right="1131" w:firstLine="420"/>
        <w:jc w:val="both"/>
      </w:pPr>
      <w:r>
        <w:rPr>
          <w:spacing w:val="-1"/>
        </w:rPr>
        <w:t>合营安排，是指一项由两个或两个以上的参与方共同控制的安排。本集团合营安排分为共同经营和合</w:t>
      </w:r>
      <w:r>
        <w:rPr/>
        <w:t> 营企业。</w:t>
      </w:r>
    </w:p>
    <w:p>
      <w:pPr>
        <w:spacing w:line="240" w:lineRule="auto" w:before="10"/>
        <w:rPr>
          <w:rFonts w:ascii="宋体" w:hAnsi="宋体" w:cs="宋体" w:eastAsia="宋体" w:hint="default"/>
          <w:sz w:val="17"/>
          <w:szCs w:val="17"/>
        </w:rPr>
      </w:pPr>
    </w:p>
    <w:p>
      <w:pPr>
        <w:pStyle w:val="BodyText"/>
        <w:spacing w:line="460" w:lineRule="auto"/>
        <w:ind w:right="3192"/>
        <w:jc w:val="left"/>
      </w:pPr>
      <w:r>
        <w:rPr/>
        <w:t>（</w:t>
      </w:r>
      <w:r>
        <w:rPr>
          <w:rFonts w:ascii="Times New Roman" w:hAnsi="Times New Roman" w:cs="Times New Roman" w:eastAsia="Times New Roman" w:hint="default"/>
        </w:rPr>
        <w:t>1</w:t>
      </w:r>
      <w:r>
        <w:rPr/>
        <w:t>）共同经营 共同经营是指本集团享有该安排相关资产且承担该安排相关负债的合营安排。</w:t>
      </w:r>
    </w:p>
    <w:p>
      <w:pPr>
        <w:pStyle w:val="BodyText"/>
        <w:spacing w:line="468" w:lineRule="auto" w:before="91"/>
        <w:ind w:left="1553" w:right="1093"/>
        <w:jc w:val="left"/>
      </w:pPr>
      <w:r>
        <w:rPr/>
        <w:t>本集团确认与共同经营中利益份额相关的下列项目，并按照相关企业会计准则的规定进行会计处理：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w:t>
      </w:r>
    </w:p>
    <w:p>
      <w:pPr>
        <w:spacing w:after="0" w:line="468"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rFonts w:ascii="Times New Roman" w:hAnsi="Times New Roman" w:cs="Times New Roman" w:eastAsia="Times New Roman" w:hint="default"/>
        </w:rPr>
        <w:t>E</w:t>
      </w:r>
      <w:r>
        <w:rPr/>
        <w:t>、确认单独所发生的费用，以及按其份额确认共同经营发生的费用。</w:t>
      </w:r>
    </w:p>
    <w:p>
      <w:pPr>
        <w:spacing w:line="240" w:lineRule="auto" w:before="6"/>
        <w:rPr>
          <w:rFonts w:ascii="宋体" w:hAnsi="宋体" w:cs="宋体" w:eastAsia="宋体" w:hint="default"/>
          <w:sz w:val="20"/>
          <w:szCs w:val="20"/>
        </w:rPr>
      </w:pPr>
    </w:p>
    <w:p>
      <w:pPr>
        <w:pStyle w:val="BodyText"/>
        <w:spacing w:line="460" w:lineRule="auto"/>
        <w:ind w:right="4452"/>
        <w:jc w:val="left"/>
      </w:pPr>
      <w:r>
        <w:rPr/>
        <w:t>（</w:t>
      </w:r>
      <w:r>
        <w:rPr>
          <w:rFonts w:ascii="Times New Roman" w:hAnsi="Times New Roman" w:cs="Times New Roman" w:eastAsia="Times New Roman" w:hint="default"/>
        </w:rPr>
        <w:t>2</w:t>
      </w:r>
      <w:r>
        <w:rPr/>
        <w:t>）合营企业 合营企业是指本集团仅对该安排的净资产享有权利的合营安排。</w:t>
      </w:r>
    </w:p>
    <w:p>
      <w:pPr>
        <w:pStyle w:val="BodyText"/>
        <w:spacing w:line="240" w:lineRule="auto" w:before="90"/>
        <w:ind w:left="1553" w:right="0"/>
        <w:jc w:val="left"/>
      </w:pPr>
      <w:r>
        <w:rPr/>
        <w:t>本集团按照长期股权投资有关权益法核算的规定对合营企业的投资进行会计处理。</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8、现金及现金等价物的确定标准" w:id="179"/>
      <w:bookmarkEnd w:id="179"/>
      <w:r>
        <w:rPr/>
      </w:r>
      <w:r>
        <w:rPr>
          <w:rFonts w:ascii="Times New Roman" w:hAnsi="Times New Roman" w:cs="Times New Roman" w:eastAsia="Times New Roman" w:hint="default"/>
        </w:rPr>
        <w:t>8</w:t>
      </w:r>
      <w:r>
        <w:rPr>
          <w:rFonts w:ascii="微软雅黑" w:hAnsi="微软雅黑" w:cs="微软雅黑" w:eastAsia="微软雅黑" w:hint="default"/>
        </w:rPr>
        <w:t>、现金及现金等价物的确定标准</w:t>
      </w:r>
    </w:p>
    <w:p>
      <w:pPr>
        <w:pStyle w:val="BodyText"/>
        <w:spacing w:line="560" w:lineRule="atLeast" w:before="119"/>
        <w:ind w:left="1553" w:right="1018"/>
        <w:jc w:val="left"/>
      </w:pPr>
      <w:r>
        <w:rPr/>
        <w:t>现金及现金等价物的确定标准 </w:t>
      </w:r>
      <w:r>
        <w:rPr>
          <w:spacing w:val="-3"/>
        </w:rPr>
        <w:t>现金是指库存现金以及可以随时用于支付的存款。现金等价物，是指本集团持有的期限短、流动性强、</w:t>
      </w:r>
    </w:p>
    <w:p>
      <w:pPr>
        <w:pStyle w:val="BodyText"/>
        <w:spacing w:line="240" w:lineRule="auto" w:before="64"/>
        <w:ind w:left="1133" w:right="0"/>
        <w:jc w:val="left"/>
      </w:pPr>
      <w:r>
        <w:rPr/>
        <w:t>易于转换为已知金额现金、价值变动风险很小的投资。</w:t>
      </w:r>
    </w:p>
    <w:p>
      <w:pPr>
        <w:spacing w:line="240" w:lineRule="auto" w:before="2"/>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9、外币业务和外币报表折算" w:id="180"/>
      <w:bookmarkEnd w:id="180"/>
      <w:r>
        <w:rPr/>
      </w:r>
      <w:r>
        <w:rPr>
          <w:rFonts w:ascii="Times New Roman" w:hAnsi="Times New Roman" w:cs="Times New Roman" w:eastAsia="Times New Roman" w:hint="default"/>
        </w:rPr>
        <w:t>9</w:t>
      </w:r>
      <w:r>
        <w:rPr>
          <w:rFonts w:ascii="微软雅黑" w:hAnsi="微软雅黑" w:cs="微软雅黑" w:eastAsia="微软雅黑" w:hint="default"/>
        </w:rPr>
        <w:t>、外币业务和外币报表折算</w:t>
      </w:r>
    </w:p>
    <w:p>
      <w:pPr>
        <w:pStyle w:val="BodyText"/>
        <w:spacing w:line="540" w:lineRule="atLeast" w:before="153"/>
        <w:ind w:left="1553" w:right="1116"/>
        <w:jc w:val="left"/>
      </w:pPr>
      <w:r>
        <w:rPr>
          <w:rFonts w:ascii="Times New Roman" w:hAnsi="Times New Roman" w:cs="Times New Roman" w:eastAsia="Times New Roman" w:hint="default"/>
        </w:rPr>
        <w:t>1</w:t>
      </w:r>
      <w:r>
        <w:rPr/>
        <w:t>）外币业务 </w:t>
      </w:r>
      <w:r>
        <w:rPr>
          <w:spacing w:val="-1"/>
        </w:rPr>
        <w:t>本集团发生外币业务，采用按照系统合理的方法确定的、与交易发生日即期汇率近似的汇率折算为记</w:t>
      </w:r>
    </w:p>
    <w:p>
      <w:pPr>
        <w:pStyle w:val="BodyText"/>
        <w:spacing w:line="240" w:lineRule="auto" w:before="66"/>
        <w:ind w:left="1133" w:right="0"/>
        <w:jc w:val="left"/>
      </w:pPr>
      <w:r>
        <w:rPr/>
        <w:t>账本位币金额。</w:t>
      </w:r>
    </w:p>
    <w:p>
      <w:pPr>
        <w:spacing w:line="240" w:lineRule="auto" w:before="8"/>
        <w:rPr>
          <w:rFonts w:ascii="宋体" w:hAnsi="宋体" w:cs="宋体" w:eastAsia="宋体" w:hint="default"/>
          <w:sz w:val="21"/>
          <w:szCs w:val="21"/>
        </w:rPr>
      </w:pPr>
    </w:p>
    <w:p>
      <w:pPr>
        <w:pStyle w:val="BodyText"/>
        <w:spacing w:line="297" w:lineRule="auto"/>
        <w:ind w:left="1133" w:right="1130" w:firstLine="420"/>
        <w:jc w:val="both"/>
      </w:pPr>
      <w:r>
        <w:rPr>
          <w:spacing w:val="-1"/>
        </w:rPr>
        <w:t>资产负债表日，对外币货币性项目，采用资产负债表日即期汇率折算。因资产负债表日即期汇率与初</w:t>
      </w:r>
      <w:r>
        <w:rPr/>
        <w:t> </w:t>
      </w:r>
      <w:r>
        <w:rPr>
          <w:spacing w:val="-1"/>
        </w:rPr>
        <w:t>始确认时或者前一资产负债表日即期汇率不同而产生的汇兑差额，计入当期损益；对以历史成本计量的外</w:t>
      </w:r>
      <w:r>
        <w:rPr>
          <w:spacing w:val="-80"/>
        </w:rPr>
        <w:t> </w:t>
      </w:r>
      <w:r>
        <w:rPr>
          <w:spacing w:val="-80"/>
        </w:rPr>
      </w:r>
      <w:r>
        <w:rPr>
          <w:spacing w:val="-1"/>
        </w:rPr>
        <w:t>币非货币性项目，仍采用交易发生日的即期汇率折算；对以公允价值计量的外币非货币性项目，采用公允</w:t>
      </w:r>
      <w:r>
        <w:rPr>
          <w:spacing w:val="-83"/>
        </w:rPr>
        <w:t> </w:t>
      </w:r>
      <w:r>
        <w:rPr>
          <w:spacing w:val="-83"/>
        </w:rPr>
      </w:r>
      <w:r>
        <w:rPr/>
        <w:t>价值确定日的即期汇率折算，折算后的记账本位币金额与原记账本位币金额的差额，计入当期损益。</w:t>
      </w:r>
    </w:p>
    <w:p>
      <w:pPr>
        <w:pStyle w:val="BodyText"/>
        <w:spacing w:line="558" w:lineRule="exact" w:before="33"/>
        <w:ind w:right="0"/>
        <w:jc w:val="left"/>
      </w:pPr>
      <w:r>
        <w:rPr/>
        <w:t>（</w:t>
      </w:r>
      <w:r>
        <w:rPr>
          <w:rFonts w:ascii="Times New Roman" w:hAnsi="Times New Roman" w:cs="Times New Roman" w:eastAsia="Times New Roman" w:hint="default"/>
        </w:rPr>
        <w:t>2</w:t>
      </w:r>
      <w:r>
        <w:rPr/>
        <w:t>）外币财务报表的折算 </w:t>
      </w:r>
      <w:r>
        <w:rPr>
          <w:spacing w:val="-1"/>
        </w:rPr>
        <w:t>资产负债表日，对境外子公司外币财务报表进行折算时，资产负债表中的资产和负债项目，采用资产</w:t>
      </w:r>
    </w:p>
    <w:p>
      <w:pPr>
        <w:pStyle w:val="BodyText"/>
        <w:spacing w:line="259" w:lineRule="exact"/>
        <w:ind w:left="1134" w:right="0"/>
        <w:jc w:val="left"/>
      </w:pPr>
      <w:r>
        <w:rPr/>
        <w:t>负债表日的即期汇率折算，股东权益项目除“未分配利润”外，其他项目采用发生日的即期汇率折算。</w:t>
      </w:r>
    </w:p>
    <w:p>
      <w:pPr>
        <w:spacing w:line="240" w:lineRule="auto" w:before="8"/>
        <w:rPr>
          <w:rFonts w:ascii="宋体" w:hAnsi="宋体" w:cs="宋体" w:eastAsia="宋体" w:hint="default"/>
          <w:sz w:val="21"/>
          <w:szCs w:val="21"/>
        </w:rPr>
      </w:pPr>
    </w:p>
    <w:p>
      <w:pPr>
        <w:pStyle w:val="BodyText"/>
        <w:spacing w:line="297" w:lineRule="auto"/>
        <w:ind w:left="1133" w:right="1131" w:firstLine="420"/>
        <w:jc w:val="both"/>
      </w:pPr>
      <w:r>
        <w:rPr>
          <w:spacing w:val="-1"/>
        </w:rPr>
        <w:t>利润表中的收入和费用项目，采用按照系统合理的方法确定的、与交易发生日即期汇率近似的汇率折</w:t>
      </w:r>
      <w:r>
        <w:rPr/>
        <w:t> 算。</w:t>
      </w:r>
    </w:p>
    <w:p>
      <w:pPr>
        <w:spacing w:line="240" w:lineRule="auto" w:before="10"/>
        <w:rPr>
          <w:rFonts w:ascii="宋体" w:hAnsi="宋体" w:cs="宋体" w:eastAsia="宋体" w:hint="default"/>
          <w:sz w:val="17"/>
          <w:szCs w:val="17"/>
        </w:rPr>
      </w:pPr>
    </w:p>
    <w:p>
      <w:pPr>
        <w:pStyle w:val="BodyText"/>
        <w:spacing w:line="297" w:lineRule="auto"/>
        <w:ind w:left="1133" w:right="1109" w:firstLine="420"/>
        <w:jc w:val="both"/>
      </w:pPr>
      <w:r>
        <w:rPr>
          <w:spacing w:val="-1"/>
        </w:rPr>
        <w:t>现金流量表所有项目均按照系统合理的方法确定的、与现金流量发生日即期汇率近似的汇率折算。汇</w:t>
      </w:r>
      <w:r>
        <w:rPr/>
        <w:t> 率变动对现金的影响额作为调节项目，在现金流量表中单独列示“汇率变动对现金及现金等价物的影响” 项目反映。</w:t>
      </w:r>
    </w:p>
    <w:p>
      <w:pPr>
        <w:pStyle w:val="BodyText"/>
        <w:spacing w:line="558" w:lineRule="exact" w:before="33"/>
        <w:ind w:left="1553" w:right="0"/>
        <w:jc w:val="left"/>
      </w:pPr>
      <w:r>
        <w:rPr/>
        <w:t>由于财务报表折算而产生的差额，在资产负债表股东权益项目下的“其他综合收益”项目反映。 </w:t>
      </w:r>
      <w:r>
        <w:rPr>
          <w:spacing w:val="-1"/>
        </w:rPr>
        <w:t>处置境外经营并丧失控制权时，将资产负债表中项目下列示的、与该境外经营相关的外币报表折算差</w:t>
      </w:r>
    </w:p>
    <w:p>
      <w:pPr>
        <w:pStyle w:val="BodyText"/>
        <w:spacing w:line="259" w:lineRule="exact"/>
        <w:ind w:left="1133" w:right="0"/>
        <w:jc w:val="left"/>
      </w:pPr>
      <w:r>
        <w:rPr/>
        <w:t>额，全部或按处置该境外经营的比例转入处置当期损益。</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10、金融工具" w:id="181"/>
      <w:bookmarkEnd w:id="181"/>
      <w:r>
        <w:rPr/>
      </w:r>
      <w:r>
        <w:rPr>
          <w:rFonts w:ascii="Times New Roman" w:hAnsi="Times New Roman" w:cs="Times New Roman" w:eastAsia="Times New Roman" w:hint="default"/>
        </w:rPr>
        <w:t>10</w:t>
      </w:r>
      <w:r>
        <w:rPr>
          <w:rFonts w:ascii="微软雅黑" w:hAnsi="微软雅黑" w:cs="微软雅黑" w:eastAsia="微软雅黑" w:hint="default"/>
        </w:rPr>
        <w:t>、金融工具</w:t>
      </w:r>
    </w:p>
    <w:p>
      <w:pPr>
        <w:spacing w:after="0" w:line="240" w:lineRule="auto"/>
        <w:jc w:val="left"/>
        <w:rPr>
          <w:rFonts w:ascii="微软雅黑" w:hAnsi="微软雅黑" w:cs="微软雅黑" w:eastAsia="微软雅黑" w:hint="default"/>
        </w:rPr>
        <w:sectPr>
          <w:pgSz w:w="11910" w:h="16840"/>
          <w:pgMar w:header="877" w:footer="979" w:top="1100" w:bottom="1160" w:left="0" w:right="0"/>
        </w:sectPr>
      </w:pPr>
    </w:p>
    <w:p>
      <w:pPr>
        <w:spacing w:line="240" w:lineRule="auto" w:before="8"/>
        <w:rPr>
          <w:rFonts w:ascii="微软雅黑" w:hAnsi="微软雅黑" w:cs="微软雅黑" w:eastAsia="微软雅黑" w:hint="default"/>
          <w:sz w:val="14"/>
          <w:szCs w:val="14"/>
        </w:rPr>
      </w:pPr>
    </w:p>
    <w:p>
      <w:pPr>
        <w:pStyle w:val="BodyText"/>
        <w:spacing w:line="240" w:lineRule="auto" w:before="35"/>
        <w:ind w:right="0"/>
        <w:jc w:val="left"/>
      </w:pPr>
      <w:r>
        <w:rPr/>
        <w:t>金融工具是指形成一个企业的金融资产，并形成其他单位的金融负债或权益工具的合同。</w:t>
      </w:r>
    </w:p>
    <w:p>
      <w:pPr>
        <w:spacing w:line="240" w:lineRule="auto" w:before="8"/>
        <w:rPr>
          <w:rFonts w:ascii="宋体" w:hAnsi="宋体" w:cs="宋体" w:eastAsia="宋体" w:hint="default"/>
          <w:sz w:val="21"/>
          <w:szCs w:val="21"/>
        </w:rPr>
      </w:pPr>
    </w:p>
    <w:p>
      <w:pPr>
        <w:pStyle w:val="BodyText"/>
        <w:spacing w:line="475" w:lineRule="auto"/>
        <w:ind w:left="1553" w:right="4033"/>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77"/>
        <w:ind w:right="0"/>
        <w:jc w:val="left"/>
      </w:pPr>
      <w:r>
        <w:rPr/>
        <w:t>①收取该金融资产现金流量的合同权利终止；</w:t>
      </w:r>
    </w:p>
    <w:p>
      <w:pPr>
        <w:pStyle w:val="BodyText"/>
        <w:spacing w:line="560" w:lineRule="atLeast"/>
        <w:ind w:left="1553" w:right="0"/>
        <w:jc w:val="left"/>
      </w:pPr>
      <w:r>
        <w:rPr/>
        <w:t>②该金融资产已转移，且符合下述金融资产转移的终止确认条件。 </w:t>
      </w:r>
      <w:r>
        <w:rPr>
          <w:spacing w:val="-1"/>
        </w:rPr>
        <w:t>金融负债的现时义务全部或部分已经解除的，终止确认该金融负债或其一部分。本集团（债务人）与</w:t>
      </w:r>
    </w:p>
    <w:p>
      <w:pPr>
        <w:pStyle w:val="BodyText"/>
        <w:spacing w:line="297" w:lineRule="auto" w:before="66"/>
        <w:ind w:left="1133" w:right="1131"/>
        <w:jc w:val="both"/>
      </w:pPr>
      <w:r>
        <w:rPr>
          <w:spacing w:val="-1"/>
        </w:rPr>
        <w:t>债权人之间签订协议，以承担新金融负债方式替换现存金融负债，且新金融负债与现存金融负债的合同条</w:t>
      </w:r>
      <w:r>
        <w:rPr>
          <w:spacing w:val="-81"/>
        </w:rPr>
        <w:t> </w:t>
      </w:r>
      <w:r>
        <w:rPr>
          <w:spacing w:val="-81"/>
        </w:rPr>
      </w:r>
      <w:r>
        <w:rPr/>
        <w:t>款实质上不同的，终止确认现存金融负债，并同时确认新金融负债。</w:t>
      </w:r>
    </w:p>
    <w:p>
      <w:pPr>
        <w:spacing w:line="240" w:lineRule="auto" w:before="10"/>
        <w:rPr>
          <w:rFonts w:ascii="宋体" w:hAnsi="宋体" w:cs="宋体" w:eastAsia="宋体" w:hint="default"/>
          <w:sz w:val="17"/>
          <w:szCs w:val="17"/>
        </w:rPr>
      </w:pPr>
    </w:p>
    <w:p>
      <w:pPr>
        <w:pStyle w:val="BodyText"/>
        <w:spacing w:line="240" w:lineRule="auto"/>
        <w:ind w:left="1553" w:right="0"/>
        <w:jc w:val="left"/>
      </w:pPr>
      <w:r>
        <w:rPr/>
        <w:t>以常规方式买卖金融资产，按交易日进行会计确认和终止确认。</w:t>
      </w:r>
    </w:p>
    <w:p>
      <w:pPr>
        <w:pStyle w:val="BodyText"/>
        <w:spacing w:line="540" w:lineRule="atLeast" w:before="34"/>
        <w:ind w:right="1092"/>
        <w:jc w:val="left"/>
      </w:pPr>
      <w:r>
        <w:rPr/>
        <w:t>（</w:t>
      </w:r>
      <w:r>
        <w:rPr>
          <w:rFonts w:ascii="Times New Roman" w:hAnsi="Times New Roman" w:cs="Times New Roman" w:eastAsia="Times New Roman" w:hint="default"/>
        </w:rPr>
        <w:t>2</w:t>
      </w:r>
      <w:r>
        <w:rPr/>
        <w:t>）金融资产分类和计量 本集团的金融资产于初始确认时分为以下四类：以公允价值计量且其变动计入当期损益的金融资产、</w:t>
      </w:r>
    </w:p>
    <w:p>
      <w:pPr>
        <w:pStyle w:val="BodyText"/>
        <w:spacing w:line="297" w:lineRule="auto" w:before="64"/>
        <w:ind w:left="1134" w:right="1131"/>
        <w:jc w:val="both"/>
      </w:pPr>
      <w:r>
        <w:rPr>
          <w:spacing w:val="-1"/>
        </w:rPr>
        <w:t>持有至到期投资、贷款和应收款项、可供出售金融资产。金融资产在初始确认时以公允价值计量。对于以</w:t>
      </w:r>
      <w:r>
        <w:rPr>
          <w:spacing w:val="-86"/>
        </w:rPr>
        <w:t> </w:t>
      </w:r>
      <w:r>
        <w:rPr>
          <w:spacing w:val="-86"/>
        </w:rPr>
      </w:r>
      <w:r>
        <w:rPr>
          <w:spacing w:val="-1"/>
        </w:rPr>
        <w:t>公允价值计量且其变动计入当期损益的金融资产，相关交易费用直接计入当期损益，其他类别的金融资产</w:t>
      </w:r>
      <w:r>
        <w:rPr>
          <w:spacing w:val="-81"/>
        </w:rPr>
        <w:t> </w:t>
      </w:r>
      <w:r>
        <w:rPr>
          <w:spacing w:val="-81"/>
        </w:rPr>
      </w:r>
      <w:r>
        <w:rPr/>
        <w:t>相关交易费用计入其初始确认金额。</w:t>
      </w:r>
    </w:p>
    <w:p>
      <w:pPr>
        <w:pStyle w:val="BodyText"/>
        <w:spacing w:line="558" w:lineRule="exact" w:before="32"/>
        <w:ind w:right="0"/>
        <w:jc w:val="left"/>
      </w:pPr>
      <w:r>
        <w:rPr/>
        <w:t>以公允价值计量且其变动计入当期损益的金融资产 </w:t>
      </w:r>
      <w:r>
        <w:rPr>
          <w:spacing w:val="-1"/>
        </w:rPr>
        <w:t>以公允价值计量且其变动计入当期损益的金融资产，包括交易性金融资产和初始确认时指定为以公允</w:t>
      </w:r>
    </w:p>
    <w:p>
      <w:pPr>
        <w:pStyle w:val="BodyText"/>
        <w:spacing w:line="259" w:lineRule="exact"/>
        <w:ind w:left="1134" w:right="0"/>
        <w:jc w:val="left"/>
      </w:pPr>
      <w:r>
        <w:rPr/>
        <w:t>价值计量且其变动计入当期损益的金融资产。对于此类金融资产，采用公允价值进行后续计量，公允价值</w:t>
      </w:r>
    </w:p>
    <w:p>
      <w:pPr>
        <w:pStyle w:val="BodyText"/>
        <w:spacing w:line="487" w:lineRule="auto" w:before="66"/>
        <w:ind w:left="1553" w:right="3193" w:hanging="420"/>
        <w:jc w:val="left"/>
      </w:pPr>
      <w:r>
        <w:rPr/>
        <w:t>变动形成的利得或损失以及与该等金融资产相关的股利和利息收入计入当期损益。 持有至到期投资</w:t>
      </w:r>
    </w:p>
    <w:p>
      <w:pPr>
        <w:pStyle w:val="BodyText"/>
        <w:spacing w:line="297" w:lineRule="auto" w:before="67"/>
        <w:ind w:left="1133" w:right="1131" w:firstLine="420"/>
        <w:jc w:val="both"/>
      </w:pPr>
      <w:r>
        <w:rPr>
          <w:spacing w:val="-1"/>
        </w:rPr>
        <w:t>持有至到期投资，是指到期日固定、回收金额固定或可确定，且本集团有明确意图和能力持有至到期</w:t>
      </w:r>
      <w:r>
        <w:rPr/>
        <w:t> </w:t>
      </w:r>
      <w:r>
        <w:rPr>
          <w:spacing w:val="-1"/>
        </w:rPr>
        <w:t>的非衍生金融资产。持有至到期投资采用实际利率法，按照摊余成本进行后续计量，其终止确认、发生减</w:t>
      </w:r>
      <w:r>
        <w:rPr>
          <w:spacing w:val="-86"/>
        </w:rPr>
        <w:t> </w:t>
      </w:r>
      <w:r>
        <w:rPr>
          <w:spacing w:val="-86"/>
        </w:rPr>
      </w:r>
      <w:r>
        <w:rPr/>
        <w:t>值或摊销产生的利得或损失，均计入当期损益。</w:t>
      </w:r>
    </w:p>
    <w:p>
      <w:pPr>
        <w:pStyle w:val="BodyText"/>
        <w:spacing w:line="560" w:lineRule="exact" w:before="30"/>
        <w:ind w:left="1553" w:right="1116"/>
        <w:jc w:val="left"/>
      </w:pPr>
      <w:r>
        <w:rPr/>
        <w:t>应收款项 </w:t>
      </w:r>
      <w:r>
        <w:rPr>
          <w:spacing w:val="-1"/>
        </w:rPr>
        <w:t>应收款项，是指在活跃市场中没有报价、回收金额固定或可确定的非衍生金融资产，包括应收账款和</w:t>
      </w:r>
    </w:p>
    <w:p>
      <w:pPr>
        <w:pStyle w:val="BodyText"/>
        <w:spacing w:line="273" w:lineRule="exact"/>
        <w:ind w:left="1133" w:right="0"/>
        <w:jc w:val="left"/>
      </w:pPr>
      <w:r>
        <w:rPr/>
        <w:t>其他应收款等（附注三、</w:t>
      </w:r>
      <w:r>
        <w:rPr>
          <w:rFonts w:ascii="Times New Roman" w:hAnsi="Times New Roman" w:cs="Times New Roman" w:eastAsia="Times New Roman" w:hint="default"/>
        </w:rPr>
        <w:t>12</w:t>
      </w:r>
      <w:r>
        <w:rPr/>
        <w:t>）。应收款项采用实际利率法，按摊余成本进行后续计量，在终止确认、发生</w:t>
      </w:r>
    </w:p>
    <w:p>
      <w:pPr>
        <w:pStyle w:val="BodyText"/>
        <w:spacing w:line="487" w:lineRule="auto" w:before="50"/>
        <w:ind w:right="6132" w:hanging="420"/>
        <w:jc w:val="left"/>
      </w:pPr>
      <w:r>
        <w:rPr/>
        <w:t>减值或摊销时产生的利得或损失，计入当期损益。 可供出售金融资产</w:t>
      </w:r>
    </w:p>
    <w:p>
      <w:pPr>
        <w:pStyle w:val="BodyText"/>
        <w:spacing w:line="297" w:lineRule="auto" w:before="68"/>
        <w:ind w:left="1134" w:right="1131" w:firstLine="420"/>
        <w:jc w:val="both"/>
      </w:pPr>
      <w:r>
        <w:rPr>
          <w:spacing w:val="-1"/>
        </w:rPr>
        <w:t>可供出售金融资产，是指初始确认时即指定为可供出售的非衍生金融资产，以及除上述金融资产类别</w:t>
      </w:r>
      <w:r>
        <w:rPr/>
        <w:t> </w:t>
      </w:r>
      <w:r>
        <w:rPr>
          <w:spacing w:val="-1"/>
        </w:rPr>
        <w:t>以外的金融资产。可供出售金融资产采用公允价值进行后续计量，其折溢价采用实际利率法摊销并确认为</w:t>
      </w:r>
    </w:p>
    <w:p>
      <w:pPr>
        <w:spacing w:after="0" w:line="297"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1131"/>
        <w:jc w:val="both"/>
      </w:pPr>
      <w:r>
        <w:rPr>
          <w:spacing w:val="-1"/>
        </w:rPr>
        <w:t>利息收入。除减值损失及外币货币性金融资产的汇兑差额确认为当期损益外，可供出售金融资产的公允价</w:t>
      </w:r>
      <w:r>
        <w:rPr>
          <w:spacing w:val="-81"/>
        </w:rPr>
        <w:t> </w:t>
      </w:r>
      <w:r>
        <w:rPr>
          <w:spacing w:val="-81"/>
        </w:rPr>
      </w:r>
      <w:r>
        <w:rPr>
          <w:spacing w:val="-1"/>
        </w:rPr>
        <w:t>值变动确认为其他综合收益，在该金融资产终止确认时转出，计入当期损益。与可供出售金融资产相关的</w:t>
      </w:r>
      <w:r>
        <w:rPr>
          <w:spacing w:val="-83"/>
        </w:rPr>
        <w:t> </w:t>
      </w:r>
      <w:r>
        <w:rPr>
          <w:spacing w:val="-83"/>
        </w:rPr>
      </w:r>
      <w:r>
        <w:rPr/>
        <w:t>股利或利息收入，计入当期损益。</w:t>
      </w:r>
    </w:p>
    <w:p>
      <w:pPr>
        <w:spacing w:line="240" w:lineRule="auto" w:before="12"/>
        <w:rPr>
          <w:rFonts w:ascii="宋体" w:hAnsi="宋体" w:cs="宋体" w:eastAsia="宋体" w:hint="default"/>
          <w:sz w:val="17"/>
          <w:szCs w:val="17"/>
        </w:rPr>
      </w:pPr>
    </w:p>
    <w:p>
      <w:pPr>
        <w:pStyle w:val="BodyText"/>
        <w:spacing w:line="297" w:lineRule="auto"/>
        <w:ind w:left="1134" w:right="0" w:firstLine="420"/>
        <w:jc w:val="left"/>
      </w:pPr>
      <w:r>
        <w:rPr>
          <w:spacing w:val="-1"/>
        </w:rPr>
        <w:t>对于在活跃市场中没有报价且其公允价值不能可靠计量的权益工具投资，以及与该权益工具挂钩并须</w:t>
      </w:r>
      <w:r>
        <w:rPr/>
        <w:t> 通过交付该权益工具结算的衍生金融资产，按成本计量。</w:t>
      </w:r>
    </w:p>
    <w:p>
      <w:pPr>
        <w:pStyle w:val="BodyText"/>
        <w:spacing w:line="558" w:lineRule="exact" w:before="33"/>
        <w:ind w:right="0"/>
        <w:jc w:val="left"/>
      </w:pPr>
      <w:r>
        <w:rPr/>
        <w:t>（</w:t>
      </w:r>
      <w:r>
        <w:rPr>
          <w:rFonts w:ascii="Times New Roman" w:hAnsi="Times New Roman" w:cs="Times New Roman" w:eastAsia="Times New Roman" w:hint="default"/>
        </w:rPr>
        <w:t>3</w:t>
      </w:r>
      <w:r>
        <w:rPr/>
        <w:t>）金融负债分类和计量 </w:t>
      </w:r>
      <w:r>
        <w:rPr>
          <w:spacing w:val="-1"/>
        </w:rPr>
        <w:t>本集团的金融负债于初始确认时分类为：以公允价值计量且其变动计入当期损益的金融负债、其他金</w:t>
      </w:r>
    </w:p>
    <w:p>
      <w:pPr>
        <w:pStyle w:val="BodyText"/>
        <w:spacing w:line="259" w:lineRule="exact"/>
        <w:ind w:left="1134" w:right="0"/>
        <w:jc w:val="left"/>
      </w:pPr>
      <w:r>
        <w:rPr/>
        <w:t>融负债。对于未划分为以公允价值计量且其变动计入当期损益的金融负债的，相关交易费用计入其初始确</w:t>
      </w:r>
    </w:p>
    <w:p>
      <w:pPr>
        <w:pStyle w:val="BodyText"/>
        <w:spacing w:line="240" w:lineRule="auto" w:before="66"/>
        <w:ind w:left="1134" w:right="0"/>
        <w:jc w:val="left"/>
      </w:pPr>
      <w:r>
        <w:rPr/>
        <w:t>认金额。</w:t>
      </w:r>
    </w:p>
    <w:p>
      <w:pPr>
        <w:pStyle w:val="BodyText"/>
        <w:spacing w:line="550" w:lineRule="atLeast" w:before="8"/>
        <w:ind w:right="0"/>
        <w:jc w:val="left"/>
      </w:pPr>
      <w:r>
        <w:rPr/>
        <w:t>以公允价值计量且其变动计入当期损益的金融负债 </w:t>
      </w:r>
      <w:r>
        <w:rPr>
          <w:spacing w:val="-1"/>
        </w:rPr>
        <w:t>以公允价值计量且其变动计入当期损益的金融负债，包括交易性金融负债和初始确认时指定为以公允</w:t>
      </w:r>
    </w:p>
    <w:p>
      <w:pPr>
        <w:pStyle w:val="BodyText"/>
        <w:spacing w:line="297" w:lineRule="auto" w:before="66"/>
        <w:ind w:left="1134" w:right="1131"/>
        <w:jc w:val="both"/>
      </w:pPr>
      <w:r>
        <w:rPr>
          <w:spacing w:val="-1"/>
        </w:rPr>
        <w:t>价值计量且其变动计入当期损益的金融负债。对于此类金融负债，按照公允价值进行后续计量，公允价值</w:t>
      </w:r>
      <w:r>
        <w:rPr>
          <w:spacing w:val="-83"/>
        </w:rPr>
        <w:t> </w:t>
      </w:r>
      <w:r>
        <w:rPr>
          <w:spacing w:val="-83"/>
        </w:rPr>
      </w:r>
      <w:r>
        <w:rPr/>
        <w:t>变动形成的利得或损失以及与该等金融负债相关的股利和利息支出计入当期损益。</w:t>
      </w:r>
    </w:p>
    <w:p>
      <w:pPr>
        <w:pStyle w:val="BodyText"/>
        <w:spacing w:line="558" w:lineRule="exact" w:before="31"/>
        <w:ind w:left="1553" w:right="0"/>
        <w:jc w:val="left"/>
      </w:pPr>
      <w:r>
        <w:rPr/>
        <w:t>其他金融负债 </w:t>
      </w:r>
      <w:r>
        <w:rPr>
          <w:spacing w:val="-1"/>
        </w:rPr>
        <w:t>与在活跃市场中没有报价、公允价值不能可靠计量的权益工具挂钩并须通过交付该权益工具结算的衍</w:t>
      </w:r>
    </w:p>
    <w:p>
      <w:pPr>
        <w:pStyle w:val="BodyText"/>
        <w:spacing w:line="259" w:lineRule="exact"/>
        <w:ind w:left="1133" w:right="0"/>
        <w:jc w:val="left"/>
      </w:pPr>
      <w:r>
        <w:rPr/>
        <w:t>生金融负债，按照成本进行后续计量。其他金融负债采用实际利率法，按摊余成本进行后续计量，终止确</w:t>
      </w:r>
    </w:p>
    <w:p>
      <w:pPr>
        <w:pStyle w:val="BodyText"/>
        <w:spacing w:line="487" w:lineRule="auto" w:before="66"/>
        <w:ind w:right="6342" w:hanging="420"/>
        <w:jc w:val="left"/>
      </w:pPr>
      <w:r>
        <w:rPr/>
        <w:t>认或摊销产生的利得或损失计入当期损益。 金融负债与权益工具的区分 金融负债，是指符合下列条件之一的负债：</w:t>
      </w:r>
    </w:p>
    <w:p>
      <w:pPr>
        <w:pStyle w:val="BodyText"/>
        <w:spacing w:line="240" w:lineRule="auto" w:before="68"/>
        <w:ind w:right="0"/>
        <w:jc w:val="left"/>
      </w:pPr>
      <w:r>
        <w:rPr/>
        <w:t>①向其他方交付现金或其他金融资产的合同义务。</w:t>
      </w:r>
    </w:p>
    <w:p>
      <w:pPr>
        <w:spacing w:line="240" w:lineRule="auto" w:before="8"/>
        <w:rPr>
          <w:rFonts w:ascii="宋体" w:hAnsi="宋体" w:cs="宋体" w:eastAsia="宋体" w:hint="default"/>
          <w:sz w:val="21"/>
          <w:szCs w:val="21"/>
        </w:rPr>
      </w:pPr>
    </w:p>
    <w:p>
      <w:pPr>
        <w:pStyle w:val="BodyText"/>
        <w:spacing w:line="240" w:lineRule="auto"/>
        <w:ind w:right="0"/>
        <w:jc w:val="left"/>
      </w:pPr>
      <w:r>
        <w:rPr/>
        <w:t>②在潜在不利条件下，与其他方交换金融资产或金融负债的合同义务。</w:t>
      </w:r>
    </w:p>
    <w:p>
      <w:pPr>
        <w:spacing w:line="240" w:lineRule="auto" w:before="10"/>
        <w:rPr>
          <w:rFonts w:ascii="宋体" w:hAnsi="宋体" w:cs="宋体" w:eastAsia="宋体" w:hint="default"/>
          <w:sz w:val="21"/>
          <w:szCs w:val="21"/>
        </w:rPr>
      </w:pPr>
    </w:p>
    <w:p>
      <w:pPr>
        <w:pStyle w:val="BodyText"/>
        <w:spacing w:line="297" w:lineRule="auto"/>
        <w:ind w:left="1133" w:right="0" w:firstLine="420"/>
        <w:jc w:val="left"/>
      </w:pPr>
      <w:r>
        <w:rPr>
          <w:spacing w:val="-1"/>
        </w:rPr>
        <w:t>③将来须用或可用企业自身权益工具进行结算的非衍生工具合同，且企业根据该合同将交付可变数量</w:t>
      </w:r>
      <w:r>
        <w:rPr/>
        <w:t> 的自身权益工具。</w:t>
      </w:r>
    </w:p>
    <w:p>
      <w:pPr>
        <w:spacing w:line="240" w:lineRule="auto" w:before="12"/>
        <w:rPr>
          <w:rFonts w:ascii="宋体" w:hAnsi="宋体" w:cs="宋体" w:eastAsia="宋体" w:hint="default"/>
          <w:sz w:val="17"/>
          <w:szCs w:val="17"/>
        </w:rPr>
      </w:pPr>
    </w:p>
    <w:p>
      <w:pPr>
        <w:pStyle w:val="BodyText"/>
        <w:spacing w:line="297" w:lineRule="auto"/>
        <w:ind w:left="1133" w:right="0" w:firstLine="420"/>
        <w:jc w:val="left"/>
      </w:pPr>
      <w:r>
        <w:rPr>
          <w:spacing w:val="-1"/>
        </w:rPr>
        <w:t>④将来须用或可用企业自身权益工具进行结算的衍生工具合同，但以固定数量的自身权益工具交换固</w:t>
      </w:r>
      <w:r>
        <w:rPr/>
        <w:t> 定金额的现金或其他金融资产的衍生工具合同除外。</w:t>
      </w:r>
    </w:p>
    <w:p>
      <w:pPr>
        <w:pStyle w:val="BodyText"/>
        <w:spacing w:line="558" w:lineRule="exact" w:before="33"/>
        <w:ind w:left="1553" w:right="0"/>
        <w:jc w:val="left"/>
      </w:pPr>
      <w:r>
        <w:rPr/>
        <w:t>权益工具，是指能证明拥有某个企业在扣除所有负债后的资产中剩余权益的合同。 </w:t>
      </w:r>
      <w:r>
        <w:rPr>
          <w:spacing w:val="-1"/>
        </w:rPr>
        <w:t>如果本集团不能无条件地避免以交付现金或其他金融资产来履行一项合同义务，则该合同义务符合金</w:t>
      </w:r>
    </w:p>
    <w:p>
      <w:pPr>
        <w:pStyle w:val="BodyText"/>
        <w:spacing w:line="259" w:lineRule="exact"/>
        <w:ind w:left="1133" w:right="0"/>
        <w:jc w:val="left"/>
      </w:pPr>
      <w:r>
        <w:rPr/>
        <w:t>融负债的定义。</w:t>
      </w:r>
    </w:p>
    <w:p>
      <w:pPr>
        <w:spacing w:line="240" w:lineRule="auto" w:before="8"/>
        <w:rPr>
          <w:rFonts w:ascii="宋体" w:hAnsi="宋体" w:cs="宋体" w:eastAsia="宋体" w:hint="default"/>
          <w:sz w:val="21"/>
          <w:szCs w:val="21"/>
        </w:rPr>
      </w:pPr>
    </w:p>
    <w:p>
      <w:pPr>
        <w:pStyle w:val="BodyText"/>
        <w:spacing w:line="297" w:lineRule="auto"/>
        <w:ind w:left="1133" w:right="0" w:firstLine="420"/>
        <w:jc w:val="left"/>
      </w:pPr>
      <w:r>
        <w:rPr>
          <w:spacing w:val="-1"/>
        </w:rPr>
        <w:t>如果一项金融工具须用或可用本集团自身权益工具进行结算，需要考虑用于结算该工具的本集团自身</w:t>
      </w:r>
      <w:r>
        <w:rPr/>
        <w:t> </w:t>
      </w:r>
      <w:r>
        <w:rPr>
          <w:spacing w:val="-1"/>
        </w:rPr>
        <w:t>权益工具，是作为现金或其他金融资产的替代品，还是为了使该工具持有方享有在发行方扣除所有负债后</w:t>
      </w:r>
    </w:p>
    <w:p>
      <w:pPr>
        <w:spacing w:after="0" w:line="297"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1116"/>
        <w:jc w:val="left"/>
      </w:pPr>
      <w:r>
        <w:rPr>
          <w:spacing w:val="-1"/>
        </w:rPr>
        <w:t>的资产中的剩余权益。如果是前者，该工具是本集团的金融负债；如果是后者，该工具是本集团的权益工</w:t>
      </w:r>
      <w:r>
        <w:rPr>
          <w:spacing w:val="-85"/>
        </w:rPr>
        <w:t> </w:t>
      </w:r>
      <w:r>
        <w:rPr>
          <w:spacing w:val="-85"/>
        </w:rPr>
      </w:r>
      <w:r>
        <w:rPr/>
        <w:t>具。</w:t>
      </w:r>
    </w:p>
    <w:p>
      <w:pPr>
        <w:pStyle w:val="BodyText"/>
        <w:spacing w:line="558" w:lineRule="exact" w:before="31"/>
        <w:ind w:right="0"/>
        <w:jc w:val="left"/>
      </w:pPr>
      <w:r>
        <w:rPr/>
        <w:t>（</w:t>
      </w:r>
      <w:r>
        <w:rPr>
          <w:rFonts w:ascii="Times New Roman" w:hAnsi="Times New Roman" w:cs="Times New Roman" w:eastAsia="Times New Roman" w:hint="default"/>
        </w:rPr>
        <w:t>4</w:t>
      </w:r>
      <w:r>
        <w:rPr/>
        <w:t>）衍生金融工具及嵌入衍生工具 </w:t>
      </w:r>
      <w:r>
        <w:rPr>
          <w:spacing w:val="-1"/>
        </w:rPr>
        <w:t>本集团衍生金融工具包括远期外汇合约、货币汇率互换合同、利率互换合同及外汇期权合同等。初始</w:t>
      </w:r>
    </w:p>
    <w:p>
      <w:pPr>
        <w:pStyle w:val="BodyText"/>
        <w:spacing w:line="259" w:lineRule="exact"/>
        <w:ind w:left="1134" w:right="0"/>
        <w:jc w:val="left"/>
      </w:pPr>
      <w:r>
        <w:rPr/>
        <w:t>以衍生交易合同签订当日的公允价值进行计量，并以其公允价值进行后续计量。公允价值为正数的衍生金</w:t>
      </w:r>
    </w:p>
    <w:p>
      <w:pPr>
        <w:pStyle w:val="BodyText"/>
        <w:spacing w:line="297" w:lineRule="auto" w:before="66"/>
        <w:ind w:left="1134" w:right="0"/>
        <w:jc w:val="left"/>
      </w:pPr>
      <w:r>
        <w:rPr>
          <w:spacing w:val="-1"/>
        </w:rPr>
        <w:t>融工具确认为一项资产，公允价值为负数的确认为一项负债。因公允价值变动而产生的任何不符合套期会</w:t>
      </w:r>
      <w:r>
        <w:rPr>
          <w:spacing w:val="-81"/>
        </w:rPr>
        <w:t> </w:t>
      </w:r>
      <w:r>
        <w:rPr>
          <w:spacing w:val="-81"/>
        </w:rPr>
      </w:r>
      <w:r>
        <w:rPr/>
        <w:t>计规定的利得或损失，直接计入当期损益。</w:t>
      </w:r>
    </w:p>
    <w:p>
      <w:pPr>
        <w:spacing w:line="240" w:lineRule="auto" w:before="12"/>
        <w:rPr>
          <w:rFonts w:ascii="宋体" w:hAnsi="宋体" w:cs="宋体" w:eastAsia="宋体" w:hint="default"/>
          <w:sz w:val="17"/>
          <w:szCs w:val="17"/>
        </w:rPr>
      </w:pPr>
    </w:p>
    <w:p>
      <w:pPr>
        <w:pStyle w:val="BodyText"/>
        <w:spacing w:line="297" w:lineRule="auto"/>
        <w:ind w:left="1134" w:right="1110" w:firstLine="42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spacing w:line="240" w:lineRule="auto" w:before="10"/>
        <w:rPr>
          <w:rFonts w:ascii="宋体" w:hAnsi="宋体" w:cs="宋体" w:eastAsia="宋体" w:hint="default"/>
          <w:sz w:val="17"/>
          <w:szCs w:val="17"/>
        </w:rPr>
      </w:pPr>
    </w:p>
    <w:p>
      <w:pPr>
        <w:pStyle w:val="BodyText"/>
        <w:spacing w:line="460" w:lineRule="auto"/>
        <w:ind w:right="5082"/>
        <w:jc w:val="left"/>
      </w:pPr>
      <w:r>
        <w:rPr/>
        <w:t>（</w:t>
      </w:r>
      <w:r>
        <w:rPr>
          <w:rFonts w:ascii="Times New Roman" w:hAnsi="Times New Roman" w:cs="Times New Roman" w:eastAsia="Times New Roman" w:hint="default"/>
        </w:rPr>
        <w:t>5</w:t>
      </w:r>
      <w:r>
        <w:rPr/>
        <w:t>）金融工具的公允价值 金融资产和金融负债的公允价值确定方法见附注三、</w:t>
      </w:r>
      <w:r>
        <w:rPr>
          <w:rFonts w:ascii="Times New Roman" w:hAnsi="Times New Roman" w:cs="Times New Roman" w:eastAsia="Times New Roman" w:hint="default"/>
        </w:rPr>
        <w:t>11</w:t>
      </w:r>
      <w:r>
        <w:rPr/>
        <w:t>。</w:t>
      </w:r>
    </w:p>
    <w:p>
      <w:pPr>
        <w:pStyle w:val="BodyText"/>
        <w:spacing w:line="240" w:lineRule="auto" w:before="54"/>
        <w:ind w:left="1553" w:right="0"/>
        <w:jc w:val="left"/>
      </w:pPr>
      <w:r>
        <w:rPr/>
        <w:t>（</w:t>
      </w:r>
      <w:r>
        <w:rPr>
          <w:rFonts w:ascii="Times New Roman" w:hAnsi="Times New Roman" w:cs="Times New Roman" w:eastAsia="Times New Roman" w:hint="default"/>
        </w:rPr>
        <w:t>6</w:t>
      </w:r>
      <w:r>
        <w:rPr/>
        <w:t>）金融资产减值</w:t>
      </w:r>
    </w:p>
    <w:p>
      <w:pPr>
        <w:spacing w:line="240" w:lineRule="auto" w:before="6"/>
        <w:rPr>
          <w:rFonts w:ascii="宋体" w:hAnsi="宋体" w:cs="宋体" w:eastAsia="宋体" w:hint="default"/>
          <w:sz w:val="20"/>
          <w:szCs w:val="20"/>
        </w:rPr>
      </w:pPr>
    </w:p>
    <w:p>
      <w:pPr>
        <w:pStyle w:val="BodyText"/>
        <w:spacing w:line="297" w:lineRule="auto"/>
        <w:ind w:left="1134" w:right="1131" w:firstLine="420"/>
        <w:jc w:val="both"/>
      </w:pPr>
      <w:r>
        <w:rPr>
          <w:spacing w:val="-1"/>
        </w:rPr>
        <w:t>除了以公允价值计量且其变动计入当期损益的金融资产外，本集团于资产负债表日对其他金融资产的</w:t>
      </w:r>
      <w:r>
        <w:rPr/>
        <w:t> </w:t>
      </w:r>
      <w:r>
        <w:rPr>
          <w:spacing w:val="-1"/>
        </w:rPr>
        <w:t>账面价值进行检查，有客观证据表明该金融资产发生减值的，计提减值准备。表明金融资产发生减值的客</w:t>
      </w:r>
      <w:r>
        <w:rPr>
          <w:spacing w:val="-83"/>
        </w:rPr>
        <w:t> </w:t>
      </w:r>
      <w:r>
        <w:rPr>
          <w:spacing w:val="-83"/>
        </w:rPr>
      </w:r>
      <w:r>
        <w:rPr>
          <w:spacing w:val="-1"/>
        </w:rPr>
        <w:t>观证据，是指金融资产初始确认后实际发生的、对该金融资产的预计未来现金流量有影响，且企业能够对</w:t>
      </w:r>
      <w:r>
        <w:rPr>
          <w:spacing w:val="-83"/>
        </w:rPr>
        <w:t> </w:t>
      </w:r>
      <w:r>
        <w:rPr>
          <w:spacing w:val="-83"/>
        </w:rPr>
      </w:r>
      <w:r>
        <w:rPr/>
        <w:t>该影响进行可靠计量的事项。</w:t>
      </w:r>
    </w:p>
    <w:p>
      <w:pPr>
        <w:spacing w:line="240" w:lineRule="auto" w:before="10"/>
        <w:rPr>
          <w:rFonts w:ascii="宋体" w:hAnsi="宋体" w:cs="宋体" w:eastAsia="宋体" w:hint="default"/>
          <w:sz w:val="17"/>
          <w:szCs w:val="17"/>
        </w:rPr>
      </w:pPr>
    </w:p>
    <w:p>
      <w:pPr>
        <w:pStyle w:val="BodyText"/>
        <w:spacing w:line="240" w:lineRule="auto"/>
        <w:ind w:right="0"/>
        <w:jc w:val="left"/>
      </w:pPr>
      <w:r>
        <w:rPr/>
        <w:t>金融资产发生减值的客观证据，包括下列可观察到的情形：</w:t>
      </w:r>
    </w:p>
    <w:p>
      <w:pPr>
        <w:spacing w:line="240" w:lineRule="auto" w:before="10"/>
        <w:rPr>
          <w:rFonts w:ascii="宋体" w:hAnsi="宋体" w:cs="宋体" w:eastAsia="宋体" w:hint="default"/>
          <w:sz w:val="21"/>
          <w:szCs w:val="21"/>
        </w:rPr>
      </w:pPr>
    </w:p>
    <w:p>
      <w:pPr>
        <w:pStyle w:val="BodyText"/>
        <w:spacing w:line="240" w:lineRule="auto"/>
        <w:ind w:left="1553" w:right="0"/>
        <w:jc w:val="left"/>
      </w:pPr>
      <w:r>
        <w:rPr/>
        <w:t>①发行方或债务人发生严重财务困难；</w:t>
      </w:r>
    </w:p>
    <w:p>
      <w:pPr>
        <w:spacing w:line="240" w:lineRule="auto" w:before="8"/>
        <w:rPr>
          <w:rFonts w:ascii="宋体" w:hAnsi="宋体" w:cs="宋体" w:eastAsia="宋体" w:hint="default"/>
          <w:sz w:val="21"/>
          <w:szCs w:val="21"/>
        </w:rPr>
      </w:pPr>
    </w:p>
    <w:p>
      <w:pPr>
        <w:pStyle w:val="BodyText"/>
        <w:spacing w:line="240" w:lineRule="auto"/>
        <w:ind w:right="0"/>
        <w:jc w:val="left"/>
      </w:pPr>
      <w:r>
        <w:rPr/>
        <w:t>②债务人违反了合同条款，如偿付利息或本金发生违约或逾期等；</w:t>
      </w:r>
    </w:p>
    <w:p>
      <w:pPr>
        <w:spacing w:line="240" w:lineRule="auto" w:before="10"/>
        <w:rPr>
          <w:rFonts w:ascii="宋体" w:hAnsi="宋体" w:cs="宋体" w:eastAsia="宋体" w:hint="default"/>
          <w:sz w:val="21"/>
          <w:szCs w:val="21"/>
        </w:rPr>
      </w:pPr>
    </w:p>
    <w:p>
      <w:pPr>
        <w:pStyle w:val="BodyText"/>
        <w:spacing w:line="240" w:lineRule="auto"/>
        <w:ind w:left="1553" w:right="0"/>
        <w:jc w:val="left"/>
      </w:pPr>
      <w:r>
        <w:rPr/>
        <w:t>③本集团出于经济或法律等方面因素的考虑，对发生财务困难的债务人作出让步；</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④债务人很可能倒闭或者进行其他财务重组；</w:t>
      </w:r>
    </w:p>
    <w:p>
      <w:pPr>
        <w:spacing w:line="240" w:lineRule="auto" w:before="8"/>
        <w:rPr>
          <w:rFonts w:ascii="宋体" w:hAnsi="宋体" w:cs="宋体" w:eastAsia="宋体" w:hint="default"/>
          <w:sz w:val="21"/>
          <w:szCs w:val="21"/>
        </w:rPr>
      </w:pPr>
    </w:p>
    <w:p>
      <w:pPr>
        <w:pStyle w:val="BodyText"/>
        <w:spacing w:line="240" w:lineRule="auto"/>
        <w:ind w:right="0"/>
        <w:jc w:val="left"/>
      </w:pPr>
      <w:r>
        <w:rPr/>
        <w:t>⑤因发行方发生重大财务困难，导致金融资产无法在活跃市场继续交易；</w:t>
      </w:r>
    </w:p>
    <w:p>
      <w:pPr>
        <w:spacing w:line="240" w:lineRule="auto" w:before="10"/>
        <w:rPr>
          <w:rFonts w:ascii="宋体" w:hAnsi="宋体" w:cs="宋体" w:eastAsia="宋体" w:hint="default"/>
          <w:sz w:val="21"/>
          <w:szCs w:val="21"/>
        </w:rPr>
      </w:pPr>
    </w:p>
    <w:p>
      <w:pPr>
        <w:pStyle w:val="BodyText"/>
        <w:spacing w:line="297" w:lineRule="auto"/>
        <w:ind w:left="1133" w:right="0" w:firstLine="420"/>
        <w:jc w:val="left"/>
      </w:pPr>
      <w:r>
        <w:rPr>
          <w:spacing w:val="-1"/>
        </w:rPr>
        <w:t>⑥无法辨认一组金融资产中的某项资产的现金流量是否已经减少，但根据公开的数据对其进行总体评</w:t>
      </w:r>
      <w:r>
        <w:rPr/>
        <w:t> 价后发现，该组金融资产自初始确认以来的预计未来现金流量确已减少且可计量，包括：</w:t>
      </w:r>
    </w:p>
    <w:p>
      <w:pPr>
        <w:spacing w:line="240" w:lineRule="auto" w:before="12"/>
        <w:rPr>
          <w:rFonts w:ascii="宋体" w:hAnsi="宋体" w:cs="宋体" w:eastAsia="宋体" w:hint="default"/>
          <w:sz w:val="17"/>
          <w:szCs w:val="17"/>
        </w:rPr>
      </w:pPr>
    </w:p>
    <w:p>
      <w:pPr>
        <w:pStyle w:val="BodyText"/>
        <w:spacing w:line="240" w:lineRule="auto"/>
        <w:ind w:left="1974" w:right="0"/>
        <w:jc w:val="left"/>
      </w:pPr>
      <w:r>
        <w:rPr>
          <w:rFonts w:ascii="Times New Roman" w:hAnsi="Times New Roman" w:cs="Times New Roman" w:eastAsia="Times New Roman" w:hint="default"/>
        </w:rPr>
        <w:t>-</w:t>
      </w:r>
      <w:r>
        <w:rPr/>
        <w:t>该组金融资产的债务人支付能力逐步恶化；</w:t>
      </w:r>
    </w:p>
    <w:p>
      <w:pPr>
        <w:spacing w:line="240" w:lineRule="auto" w:before="6"/>
        <w:rPr>
          <w:rFonts w:ascii="宋体" w:hAnsi="宋体" w:cs="宋体" w:eastAsia="宋体" w:hint="default"/>
          <w:sz w:val="20"/>
          <w:szCs w:val="20"/>
        </w:rPr>
      </w:pPr>
    </w:p>
    <w:p>
      <w:pPr>
        <w:pStyle w:val="BodyText"/>
        <w:spacing w:line="240" w:lineRule="auto"/>
        <w:ind w:left="1974" w:right="0"/>
        <w:jc w:val="left"/>
      </w:pPr>
      <w:r>
        <w:rPr>
          <w:rFonts w:ascii="Times New Roman" w:hAnsi="Times New Roman" w:cs="Times New Roman" w:eastAsia="Times New Roman" w:hint="default"/>
        </w:rPr>
        <w:t>-</w:t>
      </w:r>
      <w:r>
        <w:rPr/>
        <w:t>债务人所在国家或地区经济出现了可能导致该组金融资产无法支付的状况；</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⑦债务人经营所处的技术、市场、经济或法律环境等发生重大不利变化，使权益工具投资人可能无法</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3" w:right="0"/>
        <w:jc w:val="left"/>
      </w:pPr>
      <w:r>
        <w:rPr/>
        <w:t>收回投资成本；</w:t>
      </w:r>
    </w:p>
    <w:p>
      <w:pPr>
        <w:spacing w:line="240" w:lineRule="auto" w:before="8"/>
        <w:rPr>
          <w:rFonts w:ascii="宋体" w:hAnsi="宋体" w:cs="宋体" w:eastAsia="宋体" w:hint="default"/>
          <w:sz w:val="21"/>
          <w:szCs w:val="21"/>
        </w:rPr>
      </w:pPr>
    </w:p>
    <w:p>
      <w:pPr>
        <w:pStyle w:val="BodyText"/>
        <w:spacing w:line="285" w:lineRule="auto"/>
        <w:ind w:left="1133" w:right="1130" w:firstLine="420"/>
        <w:jc w:val="both"/>
      </w:pPr>
      <w:r>
        <w:rPr>
          <w:spacing w:val="-1"/>
        </w:rPr>
        <w:t>⑧权益工具投资的公允价值发生严重或非暂时性下跌，如权益工具投资于资产负债表日的公允价值低</w:t>
      </w:r>
      <w:r>
        <w:rPr/>
        <w:t> 于其初始投资成本超过</w:t>
      </w:r>
      <w:r>
        <w:rPr>
          <w:spacing w:val="-55"/>
        </w:rPr>
        <w:t> </w:t>
      </w:r>
      <w:r>
        <w:rPr>
          <w:rFonts w:ascii="Times New Roman" w:hAnsi="Times New Roman" w:cs="Times New Roman" w:eastAsia="Times New Roman" w:hint="default"/>
        </w:rPr>
        <w:t>50%</w:t>
      </w:r>
      <w:r>
        <w:rPr/>
        <w:t>（含</w:t>
      </w:r>
      <w:r>
        <w:rPr>
          <w:spacing w:val="-57"/>
        </w:rPr>
        <w:t> </w:t>
      </w:r>
      <w:r>
        <w:rPr>
          <w:rFonts w:ascii="Times New Roman" w:hAnsi="Times New Roman" w:cs="Times New Roman" w:eastAsia="Times New Roman" w:hint="default"/>
        </w:rPr>
        <w:t>50%</w:t>
      </w:r>
      <w:r>
        <w:rPr/>
        <w:t>）或低于其初始投资成本持续时间超过</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3"/>
        </w:rPr>
        <w:t>个月（含</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3"/>
        </w:rPr>
        <w:t>个月）。低于</w:t>
      </w:r>
      <w:r>
        <w:rPr/>
        <w:t> 其初始投资成本持续时间超过</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9"/>
        </w:rPr>
        <w:t>个月（含</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4"/>
        </w:rPr>
        <w:t>个月）是指，权益工具投资公允价值月度均值连续</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个月均 低于其初始投资成本。</w:t>
      </w:r>
    </w:p>
    <w:p>
      <w:pPr>
        <w:spacing w:line="240" w:lineRule="auto" w:before="9"/>
        <w:rPr>
          <w:rFonts w:ascii="宋体" w:hAnsi="宋体" w:cs="宋体" w:eastAsia="宋体" w:hint="default"/>
          <w:sz w:val="18"/>
          <w:szCs w:val="18"/>
        </w:rPr>
      </w:pPr>
    </w:p>
    <w:p>
      <w:pPr>
        <w:pStyle w:val="BodyText"/>
        <w:spacing w:line="487" w:lineRule="auto"/>
        <w:ind w:right="6342"/>
        <w:jc w:val="left"/>
      </w:pPr>
      <w:r>
        <w:rPr/>
        <w:t>⑨其他表明金融资产发生减值的客观证据。 以摊余成本计量的金融资产</w:t>
      </w:r>
    </w:p>
    <w:p>
      <w:pPr>
        <w:pStyle w:val="BodyText"/>
        <w:spacing w:line="297" w:lineRule="auto" w:before="68"/>
        <w:ind w:left="1133" w:right="1130" w:firstLine="420"/>
        <w:jc w:val="both"/>
      </w:pPr>
      <w:r>
        <w:rPr>
          <w:spacing w:val="-1"/>
        </w:rPr>
        <w:t>如果有客观证据表明该金融资产发生减值，则将该金融资产的账面价值减记至预计未来现金流量（不</w:t>
      </w:r>
      <w:r>
        <w:rPr/>
        <w:t> </w:t>
      </w:r>
      <w:r>
        <w:rPr>
          <w:spacing w:val="-1"/>
        </w:rPr>
        <w:t>包括尚未发生的未来信用损失）现值，减记金额计入当期损益。预计未来现金流量现值，按照该金融资产</w:t>
      </w:r>
      <w:r>
        <w:rPr>
          <w:spacing w:val="-86"/>
        </w:rPr>
        <w:t> </w:t>
      </w:r>
      <w:r>
        <w:rPr>
          <w:spacing w:val="-86"/>
        </w:rPr>
      </w:r>
      <w:r>
        <w:rPr/>
        <w:t>原实际利率折现确定，并考虑相关担保物的价值。</w:t>
      </w:r>
    </w:p>
    <w:p>
      <w:pPr>
        <w:spacing w:line="240" w:lineRule="auto" w:before="10"/>
        <w:rPr>
          <w:rFonts w:ascii="宋体" w:hAnsi="宋体" w:cs="宋体" w:eastAsia="宋体" w:hint="default"/>
          <w:sz w:val="17"/>
          <w:szCs w:val="17"/>
        </w:rPr>
      </w:pPr>
    </w:p>
    <w:p>
      <w:pPr>
        <w:pStyle w:val="BodyText"/>
        <w:spacing w:line="297" w:lineRule="auto"/>
        <w:ind w:left="1133" w:right="1131" w:firstLine="420"/>
        <w:jc w:val="both"/>
      </w:pPr>
      <w:r>
        <w:rPr>
          <w:spacing w:val="-1"/>
        </w:rPr>
        <w:t>对单项金额重大的金融资产单独进行减值测试，如有客观证据表明其已发生减值，确认减值损失，计</w:t>
      </w:r>
      <w:r>
        <w:rPr/>
        <w:t> </w:t>
      </w:r>
      <w:r>
        <w:rPr>
          <w:spacing w:val="-1"/>
        </w:rPr>
        <w:t>入当期损益。对单项金额不重大的金融资产，单独进行减值测试或包括在具有类似信用风险特征的金融资</w:t>
      </w:r>
      <w:r>
        <w:rPr>
          <w:spacing w:val="-81"/>
        </w:rPr>
        <w:t> </w:t>
      </w:r>
      <w:r>
        <w:rPr>
          <w:spacing w:val="-81"/>
        </w:rPr>
      </w:r>
      <w:r>
        <w:rPr>
          <w:spacing w:val="-1"/>
        </w:rPr>
        <w:t>产组合中进行减值测试。单独测试未发生减值的金融资产（包括单项金额重大和不重大的金融资产），包</w:t>
      </w:r>
      <w:r>
        <w:rPr>
          <w:spacing w:val="-90"/>
        </w:rPr>
        <w:t> </w:t>
      </w:r>
      <w:r>
        <w:rPr>
          <w:spacing w:val="-90"/>
        </w:rPr>
      </w:r>
      <w:r>
        <w:rPr>
          <w:spacing w:val="-1"/>
        </w:rPr>
        <w:t>括在具有类似信用风险特征的金融资产组合中再进行减值测试。已单项确认减值损失的金融资产，不包括</w:t>
      </w:r>
      <w:r>
        <w:rPr>
          <w:spacing w:val="-81"/>
        </w:rPr>
        <w:t> </w:t>
      </w:r>
      <w:r>
        <w:rPr>
          <w:spacing w:val="-81"/>
        </w:rPr>
      </w:r>
      <w:r>
        <w:rPr/>
        <w:t>在具有类似信用风险特征的金融资产组合中进行减值测试。</w:t>
      </w:r>
    </w:p>
    <w:p>
      <w:pPr>
        <w:spacing w:line="240" w:lineRule="auto" w:before="10"/>
        <w:rPr>
          <w:rFonts w:ascii="宋体" w:hAnsi="宋体" w:cs="宋体" w:eastAsia="宋体" w:hint="default"/>
          <w:sz w:val="17"/>
          <w:szCs w:val="17"/>
        </w:rPr>
      </w:pPr>
    </w:p>
    <w:p>
      <w:pPr>
        <w:pStyle w:val="BodyText"/>
        <w:spacing w:line="297" w:lineRule="auto"/>
        <w:ind w:left="1134" w:right="1131" w:firstLine="420"/>
        <w:jc w:val="both"/>
      </w:pPr>
      <w:r>
        <w:rPr>
          <w:spacing w:val="-1"/>
        </w:rPr>
        <w:t>本集团对以摊余成本计量的金融资产确认减值损失后，如有客观证据表明该金融资产价值已恢复，且</w:t>
      </w:r>
      <w:r>
        <w:rPr/>
        <w:t> </w:t>
      </w:r>
      <w:r>
        <w:rPr>
          <w:spacing w:val="-1"/>
        </w:rPr>
        <w:t>客观上与确认该损失后发生的事项有关，原确认的减值损失予以转回，计入当期损益。但是，该转回后的</w:t>
      </w:r>
      <w:r>
        <w:rPr>
          <w:spacing w:val="-86"/>
        </w:rPr>
        <w:t> </w:t>
      </w:r>
      <w:r>
        <w:rPr>
          <w:spacing w:val="-86"/>
        </w:rPr>
      </w:r>
      <w:r>
        <w:rPr/>
        <w:t>账面价值不超过假定不计提减值准备情况下该金融资产在转回日的摊余成本。</w:t>
      </w:r>
    </w:p>
    <w:p>
      <w:pPr>
        <w:pStyle w:val="BodyText"/>
        <w:spacing w:line="558" w:lineRule="exact" w:before="31"/>
        <w:ind w:left="1553" w:right="0"/>
        <w:jc w:val="left"/>
      </w:pPr>
      <w:r>
        <w:rPr/>
        <w:t>可供出售金融资产 </w:t>
      </w:r>
      <w:r>
        <w:rPr>
          <w:spacing w:val="-1"/>
        </w:rPr>
        <w:t>如果有客观证据表明该金融资产发生减值，原直接计入其他综合收益的因公允价值下降形成的累计损</w:t>
      </w:r>
    </w:p>
    <w:p>
      <w:pPr>
        <w:pStyle w:val="BodyText"/>
        <w:spacing w:line="259" w:lineRule="exact"/>
        <w:ind w:left="1133" w:right="0"/>
        <w:jc w:val="left"/>
      </w:pPr>
      <w:r>
        <w:rPr/>
        <w:t>失，予以转出，计入当期损益。该转出的累计损失，为可供出售金融资产的初始取得成本扣除已收回本金</w:t>
      </w:r>
    </w:p>
    <w:p>
      <w:pPr>
        <w:pStyle w:val="BodyText"/>
        <w:spacing w:line="240" w:lineRule="auto" w:before="66"/>
        <w:ind w:left="1133" w:right="0"/>
        <w:jc w:val="left"/>
      </w:pPr>
      <w:r>
        <w:rPr/>
        <w:t>和已摊销金额、当前公允价值和原已计入损益的减值损失后的余额。</w:t>
      </w:r>
    </w:p>
    <w:p>
      <w:pPr>
        <w:spacing w:line="240" w:lineRule="auto" w:before="8"/>
        <w:rPr>
          <w:rFonts w:ascii="宋体" w:hAnsi="宋体" w:cs="宋体" w:eastAsia="宋体" w:hint="default"/>
          <w:sz w:val="21"/>
          <w:szCs w:val="21"/>
        </w:rPr>
      </w:pPr>
    </w:p>
    <w:p>
      <w:pPr>
        <w:pStyle w:val="BodyText"/>
        <w:spacing w:line="297" w:lineRule="auto"/>
        <w:ind w:left="1133" w:right="1131" w:firstLine="420"/>
        <w:jc w:val="both"/>
      </w:pPr>
      <w:r>
        <w:rPr>
          <w:spacing w:val="-1"/>
        </w:rPr>
        <w:t>对于已确认减值损失的可供出售债务工具，在随后的会计期间公允价值已上升且客观上与确认原减值</w:t>
      </w:r>
      <w:r>
        <w:rPr/>
        <w:t> </w:t>
      </w:r>
      <w:r>
        <w:rPr>
          <w:spacing w:val="-1"/>
        </w:rPr>
        <w:t>损失确认后发生的事项有关的，原确认的减值损失予以转回，计入当期损益。可供出售权益工具投资发生</w:t>
      </w:r>
      <w:r>
        <w:rPr>
          <w:spacing w:val="-83"/>
        </w:rPr>
        <w:t> </w:t>
      </w:r>
      <w:r>
        <w:rPr>
          <w:spacing w:val="-83"/>
        </w:rPr>
      </w:r>
      <w:r>
        <w:rPr/>
        <w:t>的减值损失，不通过损益转回。</w:t>
      </w:r>
    </w:p>
    <w:p>
      <w:pPr>
        <w:pStyle w:val="BodyText"/>
        <w:spacing w:line="558" w:lineRule="exact" w:before="31"/>
        <w:ind w:right="0"/>
        <w:jc w:val="left"/>
      </w:pPr>
      <w:r>
        <w:rPr/>
        <w:t>以成本计量的金融资产 </w:t>
      </w:r>
      <w:r>
        <w:rPr>
          <w:spacing w:val="-1"/>
        </w:rPr>
        <w:t>在活跃市场中没有报价且其公允价值不能可靠计量的权益工具投资，或与该权益工具挂钩并须通过交</w:t>
      </w:r>
    </w:p>
    <w:p>
      <w:pPr>
        <w:pStyle w:val="BodyText"/>
        <w:spacing w:line="259" w:lineRule="exact"/>
        <w:ind w:left="1134" w:right="0"/>
        <w:jc w:val="left"/>
      </w:pPr>
      <w:r>
        <w:rPr/>
        <w:t>付该权益工具结算的衍生金融资产发生减值时，将该金融资产的账面价值，与按照类似金融资产当时市场</w:t>
      </w:r>
    </w:p>
    <w:p>
      <w:pPr>
        <w:pStyle w:val="BodyText"/>
        <w:spacing w:line="297" w:lineRule="auto" w:before="66"/>
        <w:ind w:left="1134" w:right="0"/>
        <w:jc w:val="left"/>
      </w:pPr>
      <w:r>
        <w:rPr>
          <w:spacing w:val="-1"/>
        </w:rPr>
        <w:t>收益率对未来现金流量折现确定的现值之间的差额，确认为减值损失，计入当期损益。发生的减值损失一</w:t>
      </w:r>
      <w:r>
        <w:rPr>
          <w:spacing w:val="-83"/>
        </w:rPr>
        <w:t> </w:t>
      </w:r>
      <w:r>
        <w:rPr>
          <w:spacing w:val="-83"/>
        </w:rPr>
      </w:r>
      <w:r>
        <w:rPr/>
        <w:t>经确认，不得转回。</w:t>
      </w:r>
    </w:p>
    <w:p>
      <w:pPr>
        <w:spacing w:line="240" w:lineRule="auto" w:before="12"/>
        <w:rPr>
          <w:rFonts w:ascii="宋体" w:hAnsi="宋体" w:cs="宋体" w:eastAsia="宋体" w:hint="default"/>
          <w:sz w:val="17"/>
          <w:szCs w:val="17"/>
        </w:rPr>
      </w:pPr>
    </w:p>
    <w:p>
      <w:pPr>
        <w:pStyle w:val="BodyText"/>
        <w:spacing w:line="460" w:lineRule="auto"/>
        <w:ind w:right="1932"/>
        <w:jc w:val="left"/>
      </w:pPr>
      <w:r>
        <w:rPr/>
        <w:t>（</w:t>
      </w:r>
      <w:r>
        <w:rPr>
          <w:rFonts w:ascii="Times New Roman" w:hAnsi="Times New Roman" w:cs="Times New Roman" w:eastAsia="Times New Roman" w:hint="default"/>
        </w:rPr>
        <w:t>7</w:t>
      </w:r>
      <w:r>
        <w:rPr/>
        <w:t>）金融资产转移 金融资产转移，是指将金融资产让与或交付给该金融资产发行方以外的另一方（转入方）。</w:t>
      </w:r>
    </w:p>
    <w:p>
      <w:pPr>
        <w:spacing w:after="0" w:line="46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1130" w:firstLine="420"/>
        <w:jc w:val="both"/>
      </w:pPr>
      <w:r>
        <w:rPr>
          <w:spacing w:val="-1"/>
        </w:rPr>
        <w:t>本集团已将金融资产所有权上几乎所有的风险和报酬转移给转入方的，终止确认该金融资产；保留了</w:t>
      </w:r>
      <w:r>
        <w:rPr/>
        <w:t> 金融资产所有权上几乎所有的风险和报酬的，不终止确认该金融资产。</w:t>
      </w:r>
    </w:p>
    <w:p>
      <w:pPr>
        <w:spacing w:line="240" w:lineRule="auto" w:before="10"/>
        <w:rPr>
          <w:rFonts w:ascii="宋体" w:hAnsi="宋体" w:cs="宋体" w:eastAsia="宋体" w:hint="default"/>
          <w:sz w:val="17"/>
          <w:szCs w:val="17"/>
        </w:rPr>
      </w:pPr>
    </w:p>
    <w:p>
      <w:pPr>
        <w:pStyle w:val="BodyText"/>
        <w:spacing w:line="297" w:lineRule="auto"/>
        <w:ind w:left="1133" w:right="1130" w:firstLine="420"/>
        <w:jc w:val="both"/>
      </w:pPr>
      <w:r>
        <w:rPr>
          <w:spacing w:val="-1"/>
        </w:rPr>
        <w:t>本集团既没有转移也没有保留金融资产所有权上几乎所有的风险和报酬的，分别下列情况处理：放弃</w:t>
      </w:r>
      <w:r>
        <w:rPr/>
        <w:t> </w:t>
      </w:r>
      <w:r>
        <w:rPr>
          <w:spacing w:val="-1"/>
        </w:rPr>
        <w:t>了对该金融资产控制的，终止确认该金融资产并确认产生的资产和负债；未放弃对该金融资产控制的，按</w:t>
      </w:r>
      <w:r>
        <w:rPr>
          <w:spacing w:val="-83"/>
        </w:rPr>
        <w:t> </w:t>
      </w:r>
      <w:r>
        <w:rPr>
          <w:spacing w:val="-83"/>
        </w:rPr>
      </w:r>
      <w:r>
        <w:rPr/>
        <w:t>照其继续涉入所转移金融资产的程度确认有关金融资产，并相应确认有关负债。</w:t>
      </w:r>
    </w:p>
    <w:p>
      <w:pPr>
        <w:pStyle w:val="BodyText"/>
        <w:spacing w:line="558" w:lineRule="exact" w:before="33"/>
        <w:ind w:right="0"/>
        <w:jc w:val="left"/>
      </w:pPr>
      <w:r>
        <w:rPr/>
        <w:t>（</w:t>
      </w:r>
      <w:r>
        <w:rPr>
          <w:rFonts w:ascii="Times New Roman" w:hAnsi="Times New Roman" w:cs="Times New Roman" w:eastAsia="Times New Roman" w:hint="default"/>
        </w:rPr>
        <w:t>8</w:t>
      </w:r>
      <w:r>
        <w:rPr/>
        <w:t>）金融资产和金融负债的抵销 </w:t>
      </w:r>
      <w:r>
        <w:rPr>
          <w:spacing w:val="-1"/>
        </w:rPr>
        <w:t>当本集团具有抵销已确认金融资产和金融负债的法定权利，且目前可执行该种法定权利，同时本集团</w:t>
      </w:r>
    </w:p>
    <w:p>
      <w:pPr>
        <w:pStyle w:val="BodyText"/>
        <w:spacing w:line="259" w:lineRule="exact"/>
        <w:ind w:left="1134" w:right="0"/>
        <w:jc w:val="left"/>
      </w:pPr>
      <w:r>
        <w:rPr/>
        <w:t>计划以净额结算或同时变现该金融资产和清偿该金融负债时，金融资产和金融负债以相互抵销后的金额在</w:t>
      </w:r>
    </w:p>
    <w:p>
      <w:pPr>
        <w:pStyle w:val="BodyText"/>
        <w:spacing w:line="240" w:lineRule="auto" w:before="66"/>
        <w:ind w:left="1134" w:right="0"/>
        <w:jc w:val="left"/>
      </w:pPr>
      <w:r>
        <w:rPr/>
        <w:t>资产负债表内列示。除此以外，金融资产和金融负债在资产负债表内分别列示，不予相互抵销。</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11、应收款项" w:id="182"/>
      <w:bookmarkEnd w:id="182"/>
      <w:r>
        <w:rPr/>
      </w:r>
      <w:r>
        <w:rPr>
          <w:rFonts w:ascii="Times New Roman" w:hAnsi="Times New Roman" w:cs="Times New Roman" w:eastAsia="Times New Roman" w:hint="default"/>
        </w:rPr>
        <w:t>11</w:t>
      </w:r>
      <w:r>
        <w:rPr>
          <w:rFonts w:ascii="微软雅黑" w:hAnsi="微软雅黑" w:cs="微软雅黑" w:eastAsia="微软雅黑" w:hint="default"/>
        </w:rPr>
        <w:t>、应收款项</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2"/>
        <w:rPr>
          <w:rFonts w:ascii="宋体" w:hAnsi="宋体" w:cs="宋体" w:eastAsia="宋体" w:hint="default"/>
          <w:b/>
          <w:bCs/>
          <w:sz w:val="23"/>
          <w:szCs w:val="23"/>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6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33"/>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 项金额重大的应收款项。</w:t>
            </w:r>
          </w:p>
        </w:tc>
      </w:tr>
      <w:tr>
        <w:trPr>
          <w:trHeight w:val="106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6"/>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32"/>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 据表明发生了减值，根据其未来现金流量现值低于其账面价 值的差额计提坏账准备。单项金额重大经单独测试未发生减 值的应收款项，再按组合计提坏账准备。</w:t>
            </w:r>
          </w:p>
        </w:tc>
      </w:tr>
    </w:tbl>
    <w:p>
      <w:pPr>
        <w:spacing w:line="240" w:lineRule="auto" w:before="4"/>
        <w:rPr>
          <w:rFonts w:ascii="宋体" w:hAnsi="宋体" w:cs="宋体" w:eastAsia="宋体" w:hint="default"/>
          <w:b/>
          <w:bCs/>
          <w:sz w:val="11"/>
          <w:szCs w:val="11"/>
        </w:rPr>
      </w:pPr>
    </w:p>
    <w:p>
      <w:pPr>
        <w:pStyle w:val="Heading4"/>
        <w:spacing w:line="240" w:lineRule="auto" w:before="35"/>
        <w:ind w:right="0"/>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2"/>
        <w:rPr>
          <w:rFonts w:ascii="宋体" w:hAnsi="宋体" w:cs="宋体" w:eastAsia="宋体" w:hint="default"/>
          <w:b/>
          <w:bCs/>
          <w:sz w:val="23"/>
          <w:szCs w:val="23"/>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账龄组合</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4"/>
        <w:rPr>
          <w:rFonts w:ascii="宋体" w:hAnsi="宋体" w:cs="宋体" w:eastAsia="宋体" w:hint="default"/>
          <w:b/>
          <w:bCs/>
          <w:sz w:val="11"/>
          <w:szCs w:val="11"/>
        </w:rPr>
      </w:pPr>
    </w:p>
    <w:p>
      <w:pPr>
        <w:pStyle w:val="BodyText"/>
        <w:spacing w:line="240" w:lineRule="auto" w:before="35"/>
        <w:ind w:right="0"/>
        <w:jc w:val="left"/>
      </w:pPr>
      <w:r>
        <w:rPr/>
        <w:t>组合中，采用账龄分析法计提坏账准备的：</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38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917"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82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1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w:t>
            </w:r>
          </w:p>
        </w:tc>
        <w:tc>
          <w:tcPr>
            <w:tcW w:w="328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70.00%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组合中，采用余额百分比法计提坏账准备的：</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460" w:lineRule="auto" w:before="35"/>
        <w:ind w:right="6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2"/>
        <w:rPr>
          <w:rFonts w:ascii="宋体" w:hAnsi="宋体" w:cs="宋体" w:eastAsia="宋体" w:hint="default"/>
          <w:b/>
          <w:bCs/>
          <w:sz w:val="23"/>
          <w:szCs w:val="23"/>
        </w:rPr>
      </w:pPr>
    </w:p>
    <w:tbl>
      <w:tblPr>
        <w:tblW w:w="0" w:type="auto"/>
        <w:jc w:val="left"/>
        <w:tblInd w:w="1021" w:type="dxa"/>
        <w:tblLayout w:type="fixed"/>
        <w:tblCellMar>
          <w:top w:w="0" w:type="dxa"/>
          <w:left w:w="0" w:type="dxa"/>
          <w:bottom w:w="0" w:type="dxa"/>
          <w:right w:w="0" w:type="dxa"/>
        </w:tblCellMar>
        <w:tblLook w:val="01E0"/>
      </w:tblPr>
      <w:tblGrid>
        <w:gridCol w:w="4546"/>
        <w:gridCol w:w="5309"/>
      </w:tblGrid>
      <w:tr>
        <w:trPr>
          <w:trHeight w:val="408" w:hRule="exact"/>
        </w:trPr>
        <w:tc>
          <w:tcPr>
            <w:tcW w:w="4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07" w:hRule="exact"/>
        </w:trPr>
        <w:tc>
          <w:tcPr>
            <w:tcW w:w="4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8"/>
        <w:rPr>
          <w:rFonts w:ascii="宋体" w:hAnsi="宋体" w:cs="宋体" w:eastAsia="宋体" w:hint="default"/>
          <w:b/>
          <w:bCs/>
          <w:sz w:val="11"/>
          <w:szCs w:val="11"/>
        </w:rPr>
      </w:pPr>
    </w:p>
    <w:p>
      <w:pPr>
        <w:pStyle w:val="BodyText"/>
        <w:spacing w:line="324" w:lineRule="exact"/>
        <w:ind w:right="0"/>
        <w:jc w:val="left"/>
        <w:rPr>
          <w:rFonts w:ascii="微软雅黑" w:hAnsi="微软雅黑" w:cs="微软雅黑" w:eastAsia="微软雅黑" w:hint="default"/>
        </w:rPr>
      </w:pPr>
      <w:bookmarkStart w:name="12、存货" w:id="186"/>
      <w:bookmarkEnd w:id="186"/>
      <w:r>
        <w:rPr/>
      </w:r>
      <w:r>
        <w:rPr>
          <w:rFonts w:ascii="Times New Roman" w:hAnsi="Times New Roman" w:cs="Times New Roman" w:eastAsia="Times New Roman" w:hint="default"/>
        </w:rPr>
        <w:t>12</w:t>
      </w:r>
      <w:r>
        <w:rPr>
          <w:rFonts w:ascii="微软雅黑" w:hAnsi="微软雅黑" w:cs="微软雅黑" w:eastAsia="微软雅黑" w:hint="default"/>
        </w:rPr>
        <w:t>、存货</w:t>
      </w:r>
    </w:p>
    <w:p>
      <w:pPr>
        <w:spacing w:line="240" w:lineRule="auto" w:before="6"/>
        <w:rPr>
          <w:rFonts w:ascii="微软雅黑" w:hAnsi="微软雅黑" w:cs="微软雅黑" w:eastAsia="微软雅黑" w:hint="default"/>
          <w:sz w:val="23"/>
          <w:szCs w:val="23"/>
        </w:rPr>
      </w:pPr>
    </w:p>
    <w:p>
      <w:pPr>
        <w:pStyle w:val="BodyText"/>
        <w:spacing w:line="487" w:lineRule="auto"/>
        <w:ind w:right="6762"/>
        <w:jc w:val="left"/>
      </w:pPr>
      <w:r>
        <w:rPr/>
        <w:t>公司是否需要遵守特殊行业的披露要求 否</w:t>
      </w:r>
    </w:p>
    <w:p>
      <w:pPr>
        <w:pStyle w:val="BodyText"/>
        <w:spacing w:line="460" w:lineRule="auto" w:before="68"/>
        <w:ind w:right="2982"/>
        <w:jc w:val="left"/>
      </w:pPr>
      <w:r>
        <w:rPr/>
        <w:t>（</w:t>
      </w:r>
      <w:r>
        <w:rPr>
          <w:rFonts w:ascii="Times New Roman" w:hAnsi="Times New Roman" w:cs="Times New Roman" w:eastAsia="Times New Roman" w:hint="default"/>
        </w:rPr>
        <w:t>1</w:t>
      </w:r>
      <w:r>
        <w:rPr/>
        <w:t>）存货的分类 本集团存货分为原材料、委托加工物资、库存商品、发出商品、低值易耗品等。</w:t>
      </w:r>
    </w:p>
    <w:p>
      <w:pPr>
        <w:pStyle w:val="BodyText"/>
        <w:spacing w:line="463" w:lineRule="auto" w:before="90"/>
        <w:ind w:right="1302"/>
        <w:jc w:val="left"/>
      </w:pPr>
      <w:r>
        <w:rPr/>
        <w:t>（</w:t>
      </w:r>
      <w:r>
        <w:rPr>
          <w:rFonts w:ascii="Times New Roman" w:hAnsi="Times New Roman" w:cs="Times New Roman" w:eastAsia="Times New Roman" w:hint="default"/>
        </w:rPr>
        <w:t>2</w:t>
      </w:r>
      <w:r>
        <w:rPr/>
        <w:t>）发出存货的计价方法 本集团存货取得时按实际成本计价。原材料、在产品、发出商品、库存商品采用加权平均法计价。</w:t>
      </w:r>
    </w:p>
    <w:p>
      <w:pPr>
        <w:pStyle w:val="BodyText"/>
        <w:spacing w:line="240" w:lineRule="auto" w:before="88"/>
        <w:ind w:left="1553" w:right="0"/>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7"/>
        <w:rPr>
          <w:rFonts w:ascii="宋体" w:hAnsi="宋体" w:cs="宋体" w:eastAsia="宋体" w:hint="default"/>
          <w:sz w:val="20"/>
          <w:szCs w:val="20"/>
        </w:rPr>
      </w:pPr>
    </w:p>
    <w:p>
      <w:pPr>
        <w:pStyle w:val="BodyText"/>
        <w:spacing w:line="297" w:lineRule="auto"/>
        <w:ind w:left="1134" w:right="1131" w:firstLine="420"/>
        <w:jc w:val="both"/>
      </w:pPr>
      <w:r>
        <w:rPr>
          <w:spacing w:val="-1"/>
        </w:rPr>
        <w:t>存货可变现净值是按存货的估计售价减去至完工时估计将要发生的成本、估计的销售费用以及相关税</w:t>
      </w:r>
      <w:r>
        <w:rPr/>
        <w:t> </w:t>
      </w:r>
      <w:r>
        <w:rPr>
          <w:spacing w:val="-1"/>
        </w:rPr>
        <w:t>费后的金额。在确定存货的可变现净值时，以取得的确凿证据为基础，同时考虑持有存货的目的以及资产</w:t>
      </w:r>
      <w:r>
        <w:rPr>
          <w:spacing w:val="-83"/>
        </w:rPr>
        <w:t> </w:t>
      </w:r>
      <w:r>
        <w:rPr>
          <w:spacing w:val="-83"/>
        </w:rPr>
      </w:r>
      <w:r>
        <w:rPr/>
        <w:t>负债表日后事项的影响。</w:t>
      </w:r>
    </w:p>
    <w:p>
      <w:pPr>
        <w:spacing w:line="240" w:lineRule="auto" w:before="10"/>
        <w:rPr>
          <w:rFonts w:ascii="宋体" w:hAnsi="宋体" w:cs="宋体" w:eastAsia="宋体" w:hint="default"/>
          <w:sz w:val="17"/>
          <w:szCs w:val="17"/>
        </w:rPr>
      </w:pPr>
    </w:p>
    <w:p>
      <w:pPr>
        <w:pStyle w:val="BodyText"/>
        <w:spacing w:line="297" w:lineRule="auto"/>
        <w:ind w:left="1134" w:right="1130" w:firstLine="420"/>
        <w:jc w:val="both"/>
      </w:pPr>
      <w:r>
        <w:rPr>
          <w:spacing w:val="-1"/>
        </w:rPr>
        <w:t>资产负债表日，存货成本高于其可变现净值的，计提存货跌价准备。本集团通常按照单个存货项目计</w:t>
      </w:r>
      <w:r>
        <w:rPr/>
        <w:t> </w:t>
      </w:r>
      <w:r>
        <w:rPr>
          <w:spacing w:val="-1"/>
        </w:rPr>
        <w:t>提存货跌价准备，资产负债表日，以前减记存货价值的影响因素已经消失的，存货跌价准备在原已计提的</w:t>
      </w:r>
      <w:r>
        <w:rPr>
          <w:spacing w:val="-83"/>
        </w:rPr>
        <w:t> </w:t>
      </w:r>
      <w:r>
        <w:rPr>
          <w:spacing w:val="-83"/>
        </w:rPr>
      </w:r>
      <w:r>
        <w:rPr/>
        <w:t>金额内转回。</w:t>
      </w:r>
    </w:p>
    <w:p>
      <w:pPr>
        <w:spacing w:line="240" w:lineRule="auto" w:before="10"/>
        <w:rPr>
          <w:rFonts w:ascii="宋体" w:hAnsi="宋体" w:cs="宋体" w:eastAsia="宋体" w:hint="default"/>
          <w:sz w:val="17"/>
          <w:szCs w:val="17"/>
        </w:rPr>
      </w:pPr>
    </w:p>
    <w:p>
      <w:pPr>
        <w:pStyle w:val="BodyText"/>
        <w:spacing w:line="460" w:lineRule="auto"/>
        <w:ind w:right="6762"/>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477" w:lineRule="auto" w:before="91"/>
        <w:ind w:right="5292"/>
        <w:jc w:val="left"/>
        <w:rPr>
          <w:rFonts w:ascii="微软雅黑" w:hAnsi="微软雅黑" w:cs="微软雅黑" w:eastAsia="微软雅黑" w:hint="default"/>
        </w:rPr>
      </w:pPr>
      <w:r>
        <w:rPr/>
        <w:t>（</w:t>
      </w:r>
      <w:r>
        <w:rPr>
          <w:rFonts w:ascii="Times New Roman" w:hAnsi="Times New Roman" w:cs="Times New Roman" w:eastAsia="Times New Roman" w:hint="default"/>
        </w:rPr>
        <w:t>5</w:t>
      </w:r>
      <w:r>
        <w:rPr/>
        <w:t>）低值易耗品和包装物的摊销方法 本集团低值易耗品领用时采用一次转销法摊销。 周转用包装物按照预计的使用次数分次计入成本费用。 </w:t>
      </w:r>
      <w:bookmarkStart w:name="13、持有待售资产" w:id="187"/>
      <w:bookmarkEnd w:id="187"/>
      <w:r>
        <w:rPr/>
      </w:r>
      <w:r>
        <w:rPr>
          <w:rFonts w:ascii="Times New Roman" w:hAnsi="Times New Roman" w:cs="Times New Roman" w:eastAsia="Times New Roman" w:hint="default"/>
        </w:rPr>
        <w:t>13</w:t>
      </w:r>
      <w:r>
        <w:rPr>
          <w:rFonts w:ascii="微软雅黑" w:hAnsi="微软雅黑" w:cs="微软雅黑" w:eastAsia="微软雅黑" w:hint="default"/>
        </w:rPr>
        <w:t>、持有待售资产</w:t>
      </w:r>
    </w:p>
    <w:p>
      <w:pPr>
        <w:spacing w:after="0" w:line="477" w:lineRule="auto"/>
        <w:jc w:val="left"/>
        <w:rPr>
          <w:rFonts w:ascii="微软雅黑" w:hAnsi="微软雅黑" w:cs="微软雅黑" w:eastAsia="微软雅黑" w:hint="default"/>
        </w:rPr>
        <w:sectPr>
          <w:pgSz w:w="11910" w:h="16840"/>
          <w:pgMar w:header="877" w:footer="979" w:top="1100" w:bottom="1160" w:left="0" w:right="0"/>
        </w:sectPr>
      </w:pPr>
    </w:p>
    <w:p>
      <w:pPr>
        <w:spacing w:line="240" w:lineRule="auto" w:before="8"/>
        <w:rPr>
          <w:rFonts w:ascii="微软雅黑" w:hAnsi="微软雅黑" w:cs="微软雅黑" w:eastAsia="微软雅黑" w:hint="default"/>
          <w:sz w:val="14"/>
          <w:szCs w:val="14"/>
        </w:rPr>
      </w:pPr>
    </w:p>
    <w:p>
      <w:pPr>
        <w:pStyle w:val="BodyText"/>
        <w:spacing w:line="240" w:lineRule="auto" w:before="35"/>
        <w:ind w:right="0"/>
        <w:jc w:val="left"/>
      </w:pPr>
      <w:r>
        <w:rPr/>
        <w:t>（</w:t>
      </w:r>
      <w:r>
        <w:rPr>
          <w:rFonts w:ascii="Times New Roman" w:hAnsi="Times New Roman" w:cs="Times New Roman" w:eastAsia="Times New Roman" w:hint="default"/>
        </w:rPr>
        <w:t>1</w:t>
      </w:r>
      <w:r>
        <w:rPr/>
        <w:t>）持有待售的非流动资产或处置组的分类与计量</w:t>
      </w:r>
    </w:p>
    <w:p>
      <w:pPr>
        <w:spacing w:line="240" w:lineRule="auto" w:before="6"/>
        <w:rPr>
          <w:rFonts w:ascii="宋体" w:hAnsi="宋体" w:cs="宋体" w:eastAsia="宋体" w:hint="default"/>
          <w:sz w:val="20"/>
          <w:szCs w:val="20"/>
        </w:rPr>
      </w:pPr>
    </w:p>
    <w:p>
      <w:pPr>
        <w:pStyle w:val="BodyText"/>
        <w:spacing w:line="297" w:lineRule="auto"/>
        <w:ind w:left="1134" w:right="1131" w:firstLine="420"/>
        <w:jc w:val="both"/>
      </w:pPr>
      <w:r>
        <w:rPr>
          <w:spacing w:val="-1"/>
        </w:rPr>
        <w:t>本集团主要通过出售（包括具有商业实质的非货币性资产交换）而非持续使用一项非流动资产或处置</w:t>
      </w:r>
      <w:r>
        <w:rPr/>
        <w:t> 组收回其账面价值时，该非流动资产或处置组被划分为持有待售类别。</w:t>
      </w:r>
    </w:p>
    <w:p>
      <w:pPr>
        <w:spacing w:line="240" w:lineRule="auto" w:before="11"/>
        <w:rPr>
          <w:rFonts w:ascii="宋体" w:hAnsi="宋体" w:cs="宋体" w:eastAsia="宋体" w:hint="default"/>
          <w:sz w:val="17"/>
          <w:szCs w:val="17"/>
        </w:rPr>
      </w:pPr>
    </w:p>
    <w:p>
      <w:pPr>
        <w:pStyle w:val="BodyText"/>
        <w:spacing w:line="297" w:lineRule="auto"/>
        <w:ind w:left="1133" w:right="1132" w:firstLine="420"/>
        <w:jc w:val="both"/>
      </w:pPr>
      <w:r>
        <w:rPr>
          <w:spacing w:val="-1"/>
        </w:rPr>
        <w:t>上述非流动资产不包括采用公允价值模式进行后续计量的投资性房地产、采用公允价值减去出售费用</w:t>
      </w:r>
      <w:r>
        <w:rPr/>
        <w:t> 后的净额计量的生物资产、职工薪酬形成的资产、金融资产、递延所得税资产及保险合同产生的权利。</w:t>
      </w:r>
    </w:p>
    <w:p>
      <w:pPr>
        <w:spacing w:line="240" w:lineRule="auto" w:before="10"/>
        <w:rPr>
          <w:rFonts w:ascii="宋体" w:hAnsi="宋体" w:cs="宋体" w:eastAsia="宋体" w:hint="default"/>
          <w:sz w:val="17"/>
          <w:szCs w:val="17"/>
        </w:rPr>
      </w:pPr>
    </w:p>
    <w:p>
      <w:pPr>
        <w:pStyle w:val="BodyText"/>
        <w:spacing w:line="297" w:lineRule="auto"/>
        <w:ind w:left="1133" w:right="1131" w:firstLine="420"/>
        <w:jc w:val="both"/>
      </w:pPr>
      <w:r>
        <w:rPr>
          <w:spacing w:val="-1"/>
        </w:rPr>
        <w:t>处置组，是指在一项交易中作为整体通过出售或其他方式一并处置的一组资产，以及在该交易中转让</w:t>
      </w:r>
      <w:r>
        <w:rPr/>
        <w:t> 的与这些资产直接相关的负债。在特定情况下，处置组包括企业合并中取得的商誉等。</w:t>
      </w:r>
    </w:p>
    <w:p>
      <w:pPr>
        <w:spacing w:line="240" w:lineRule="auto" w:before="12"/>
        <w:rPr>
          <w:rFonts w:ascii="宋体" w:hAnsi="宋体" w:cs="宋体" w:eastAsia="宋体" w:hint="default"/>
          <w:sz w:val="17"/>
          <w:szCs w:val="17"/>
        </w:rPr>
      </w:pPr>
    </w:p>
    <w:p>
      <w:pPr>
        <w:pStyle w:val="BodyText"/>
        <w:spacing w:line="297" w:lineRule="auto"/>
        <w:ind w:left="1133" w:right="1131" w:firstLine="420"/>
        <w:jc w:val="both"/>
      </w:pPr>
      <w:r>
        <w:rPr>
          <w:spacing w:val="-1"/>
        </w:rPr>
        <w:t>同时满足下列条件的非流动资产或处置组被划分为持有待售类别：根据类似交易中出售此类资产或处</w:t>
      </w:r>
      <w:r>
        <w:rPr/>
        <w:t> </w:t>
      </w:r>
      <w:r>
        <w:rPr>
          <w:spacing w:val="-1"/>
        </w:rPr>
        <w:t>置组的惯例，该非流动资产或处置组在当前状况下即可立即出售；出售极可能发生，即已经就一项出售计</w:t>
      </w:r>
      <w:r>
        <w:rPr>
          <w:spacing w:val="-84"/>
        </w:rPr>
        <w:t> </w:t>
      </w:r>
      <w:r>
        <w:rPr>
          <w:spacing w:val="-84"/>
        </w:rPr>
      </w:r>
      <w:r>
        <w:rPr>
          <w:spacing w:val="-1"/>
        </w:rPr>
        <w:t>划作出决议且获得确定的购买承诺，预计出售将在一年内完成。因出售对子公司的投资等原因导致丧失对</w:t>
      </w:r>
      <w:r>
        <w:rPr>
          <w:spacing w:val="-81"/>
        </w:rPr>
        <w:t> </w:t>
      </w:r>
      <w:r>
        <w:rPr>
          <w:spacing w:val="-81"/>
        </w:rPr>
      </w:r>
      <w:r>
        <w:rPr>
          <w:spacing w:val="-1"/>
        </w:rPr>
        <w:t>子公司控制权的，无论出售后本集团是否保留部分权益性投资，在拟出售的对子公司投资满足持有待售类</w:t>
      </w:r>
      <w:r>
        <w:rPr>
          <w:spacing w:val="-81"/>
        </w:rPr>
        <w:t> </w:t>
      </w:r>
      <w:r>
        <w:rPr>
          <w:spacing w:val="-81"/>
        </w:rPr>
      </w:r>
      <w:r>
        <w:rPr>
          <w:spacing w:val="-1"/>
        </w:rPr>
        <w:t>别划分条件时，在个别财务报表中将对子公司投资整体划分为持有待售类别，在合并财务报表中将子公司</w:t>
      </w:r>
      <w:r>
        <w:rPr>
          <w:spacing w:val="-81"/>
        </w:rPr>
        <w:t> </w:t>
      </w:r>
      <w:r>
        <w:rPr>
          <w:spacing w:val="-81"/>
        </w:rPr>
      </w:r>
      <w:r>
        <w:rPr/>
        <w:t>所有资产和负债划分为持有待售类别。</w:t>
      </w:r>
    </w:p>
    <w:p>
      <w:pPr>
        <w:spacing w:line="240" w:lineRule="auto" w:before="10"/>
        <w:rPr>
          <w:rFonts w:ascii="宋体" w:hAnsi="宋体" w:cs="宋体" w:eastAsia="宋体" w:hint="default"/>
          <w:sz w:val="17"/>
          <w:szCs w:val="17"/>
        </w:rPr>
      </w:pPr>
    </w:p>
    <w:p>
      <w:pPr>
        <w:pStyle w:val="BodyText"/>
        <w:spacing w:line="297" w:lineRule="auto"/>
        <w:ind w:left="1133" w:right="1110" w:firstLine="420"/>
        <w:jc w:val="right"/>
      </w:pPr>
      <w:r>
        <w:rPr>
          <w:spacing w:val="-1"/>
        </w:rPr>
        <w:t>初始计量或在资产负债表日重新计量持有待售的非流动资产或处置组时，账面价值高于公允价值减去</w:t>
      </w:r>
      <w:r>
        <w:rPr/>
        <w:t> </w:t>
      </w:r>
      <w:r>
        <w:rPr>
          <w:spacing w:val="-1"/>
        </w:rPr>
        <w:t>出售费用后净额的差额确认为资产减值损失。对于持有待售的处置组确认的资产减值损失金额，先抵减处</w:t>
      </w:r>
      <w:r>
        <w:rPr/>
        <w:t> 置组中商誉的账面价值，再根据处置组中的各项非流动资产账面价值所占比重，按比例抵减其账面价值。</w:t>
      </w:r>
    </w:p>
    <w:p>
      <w:pPr>
        <w:spacing w:line="240" w:lineRule="auto" w:before="10"/>
        <w:rPr>
          <w:rFonts w:ascii="宋体" w:hAnsi="宋体" w:cs="宋体" w:eastAsia="宋体" w:hint="default"/>
          <w:sz w:val="17"/>
          <w:szCs w:val="17"/>
        </w:rPr>
      </w:pPr>
    </w:p>
    <w:p>
      <w:pPr>
        <w:pStyle w:val="BodyText"/>
        <w:spacing w:line="297" w:lineRule="auto"/>
        <w:ind w:left="1134" w:right="1110" w:firstLine="420"/>
        <w:jc w:val="both"/>
      </w:pPr>
      <w:r>
        <w:rPr>
          <w:spacing w:val="-1"/>
        </w:rPr>
        <w:t>后续资产负债表日持有待售的非流动资产或处置组公允价值减去出售费用后的净额增加的，以前减记</w:t>
      </w:r>
      <w:r>
        <w:rPr/>
        <w:t> 的金额予以恢复，并在划分为持有待售类别后确认的资产减值损失金额内转回，转回金额计入当期损益。 已抵减的商誉账面价值不得转回。</w:t>
      </w:r>
    </w:p>
    <w:p>
      <w:pPr>
        <w:spacing w:line="240" w:lineRule="auto" w:before="12"/>
        <w:rPr>
          <w:rFonts w:ascii="宋体" w:hAnsi="宋体" w:cs="宋体" w:eastAsia="宋体" w:hint="default"/>
          <w:sz w:val="17"/>
          <w:szCs w:val="17"/>
        </w:rPr>
      </w:pPr>
    </w:p>
    <w:p>
      <w:pPr>
        <w:pStyle w:val="BodyText"/>
        <w:spacing w:line="297" w:lineRule="auto"/>
        <w:ind w:left="1133" w:right="1109" w:firstLine="420"/>
        <w:jc w:val="both"/>
      </w:pPr>
      <w:r>
        <w:rPr>
          <w:spacing w:val="-1"/>
        </w:rPr>
        <w:t>持有待售的非流动资产和持有待售的处置组中的资产不计提折旧或进行摊销；持有待售的处置组中负</w:t>
      </w:r>
      <w:r>
        <w:rPr/>
        <w:t> </w:t>
      </w:r>
      <w:r>
        <w:rPr>
          <w:spacing w:val="-1"/>
        </w:rPr>
        <w:t>债的利息和其他费用继续予以确认。被划分为持有待售的联营企业或合营企业的全部或部分投资，对于划</w:t>
      </w:r>
      <w:r>
        <w:rPr>
          <w:spacing w:val="-81"/>
        </w:rPr>
        <w:t> </w:t>
      </w:r>
      <w:r>
        <w:rPr>
          <w:spacing w:val="-81"/>
        </w:rPr>
      </w:r>
      <w:r>
        <w:rPr/>
        <w:t>分为持有待售的部分停止权益法核算，保留的部分（未被划分为持有待售类别）则继续采用权益法核算；</w:t>
      </w:r>
      <w:r>
        <w:rPr/>
        <w:t> 当本集团因出售丧失对联营企业和合营企业的重大影响时，停止使用权益法。</w:t>
      </w:r>
    </w:p>
    <w:p>
      <w:pPr>
        <w:spacing w:line="240" w:lineRule="auto" w:before="10"/>
        <w:rPr>
          <w:rFonts w:ascii="宋体" w:hAnsi="宋体" w:cs="宋体" w:eastAsia="宋体" w:hint="default"/>
          <w:sz w:val="17"/>
          <w:szCs w:val="17"/>
        </w:rPr>
      </w:pPr>
    </w:p>
    <w:p>
      <w:pPr>
        <w:pStyle w:val="BodyText"/>
        <w:spacing w:line="297" w:lineRule="auto"/>
        <w:ind w:left="1133" w:right="1131" w:firstLine="420"/>
        <w:jc w:val="both"/>
      </w:pPr>
      <w:r>
        <w:rPr>
          <w:spacing w:val="-1"/>
        </w:rPr>
        <w:t>某项非流动资产或处置组被划分为持有待售类别，但后来不再满足持有待售类别划分条件的，本集团</w:t>
      </w:r>
      <w:r>
        <w:rPr/>
        <w:t> 停止将其划分为持有待售类别，并按照下列两项金额中较低者计量：</w:t>
      </w:r>
    </w:p>
    <w:p>
      <w:pPr>
        <w:spacing w:line="240" w:lineRule="auto" w:before="10"/>
        <w:rPr>
          <w:rFonts w:ascii="宋体" w:hAnsi="宋体" w:cs="宋体" w:eastAsia="宋体" w:hint="default"/>
          <w:sz w:val="17"/>
          <w:szCs w:val="17"/>
        </w:rPr>
      </w:pPr>
    </w:p>
    <w:p>
      <w:pPr>
        <w:pStyle w:val="BodyText"/>
        <w:spacing w:line="297" w:lineRule="auto"/>
        <w:ind w:left="1133" w:right="1132" w:firstLine="420"/>
        <w:jc w:val="both"/>
      </w:pPr>
      <w:r>
        <w:rPr>
          <w:spacing w:val="-1"/>
        </w:rPr>
        <w:t>①该资产或处置组被划分为持有待售类别之前的账面价值，按照其假定在没有被划分为持有待售类别</w:t>
      </w:r>
      <w:r>
        <w:rPr/>
        <w:t> 的情况下本应确认的折旧、摊销或减值进行调整后的金额；</w:t>
      </w:r>
    </w:p>
    <w:p>
      <w:pPr>
        <w:spacing w:line="240" w:lineRule="auto" w:before="10"/>
        <w:rPr>
          <w:rFonts w:ascii="宋体" w:hAnsi="宋体" w:cs="宋体" w:eastAsia="宋体" w:hint="default"/>
          <w:sz w:val="17"/>
          <w:szCs w:val="17"/>
        </w:rPr>
      </w:pPr>
    </w:p>
    <w:p>
      <w:pPr>
        <w:pStyle w:val="BodyText"/>
        <w:spacing w:line="240" w:lineRule="auto"/>
        <w:ind w:right="0"/>
        <w:jc w:val="left"/>
      </w:pPr>
      <w:r>
        <w:rPr/>
        <w:t>②可收回金额。</w:t>
      </w:r>
    </w:p>
    <w:p>
      <w:pPr>
        <w:pStyle w:val="BodyText"/>
        <w:spacing w:line="540" w:lineRule="atLeast" w:before="35"/>
        <w:ind w:left="1553" w:right="1116"/>
        <w:jc w:val="left"/>
      </w:pPr>
      <w:r>
        <w:rPr/>
        <w:t>（</w:t>
      </w:r>
      <w:r>
        <w:rPr>
          <w:rFonts w:ascii="Times New Roman" w:hAnsi="Times New Roman" w:cs="Times New Roman" w:eastAsia="Times New Roman" w:hint="default"/>
        </w:rPr>
        <w:t>2</w:t>
      </w:r>
      <w:r>
        <w:rPr/>
        <w:t>）列报 </w:t>
      </w:r>
      <w:r>
        <w:rPr>
          <w:spacing w:val="3"/>
        </w:rPr>
        <w:t>本集团在资产负债表中将持有待售的非流动资产或持有待售的处置组中的资产列报于“持有待售资</w:t>
      </w:r>
    </w:p>
    <w:p>
      <w:pPr>
        <w:pStyle w:val="BodyText"/>
        <w:spacing w:line="240" w:lineRule="auto" w:before="66"/>
        <w:ind w:left="1133" w:right="0"/>
        <w:jc w:val="left"/>
      </w:pPr>
      <w:r>
        <w:rPr/>
        <w:t>产”，将持有待售的处置组中的负债列报于“持有待售负债”。</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14、长期股权投资" w:id="188"/>
      <w:bookmarkEnd w:id="188"/>
      <w:r>
        <w:rPr/>
      </w:r>
      <w:r>
        <w:rPr>
          <w:rFonts w:ascii="Times New Roman" w:hAnsi="Times New Roman" w:cs="Times New Roman" w:eastAsia="Times New Roman" w:hint="default"/>
        </w:rPr>
        <w:t>14</w:t>
      </w:r>
      <w:r>
        <w:rPr>
          <w:rFonts w:ascii="微软雅黑" w:hAnsi="微软雅黑" w:cs="微软雅黑" w:eastAsia="微软雅黑" w:hint="default"/>
        </w:rPr>
        <w:t>、长期股权投资</w:t>
      </w:r>
    </w:p>
    <w:p>
      <w:pPr>
        <w:spacing w:after="0" w:line="240" w:lineRule="auto"/>
        <w:jc w:val="left"/>
        <w:rPr>
          <w:rFonts w:ascii="微软雅黑" w:hAnsi="微软雅黑" w:cs="微软雅黑" w:eastAsia="微软雅黑" w:hint="default"/>
        </w:rPr>
        <w:sectPr>
          <w:pgSz w:w="11910" w:h="16840"/>
          <w:pgMar w:header="877" w:footer="979" w:top="1100" w:bottom="1160" w:left="0" w:right="0"/>
        </w:sectPr>
      </w:pPr>
    </w:p>
    <w:p>
      <w:pPr>
        <w:spacing w:line="240" w:lineRule="auto" w:before="8"/>
        <w:rPr>
          <w:rFonts w:ascii="微软雅黑" w:hAnsi="微软雅黑" w:cs="微软雅黑" w:eastAsia="微软雅黑" w:hint="default"/>
          <w:sz w:val="14"/>
          <w:szCs w:val="14"/>
        </w:rPr>
      </w:pPr>
    </w:p>
    <w:p>
      <w:pPr>
        <w:pStyle w:val="BodyText"/>
        <w:spacing w:line="297" w:lineRule="auto" w:before="35"/>
        <w:ind w:left="1134" w:right="1131" w:firstLine="420"/>
        <w:jc w:val="both"/>
      </w:pPr>
      <w:r>
        <w:rPr>
          <w:spacing w:val="-1"/>
        </w:rPr>
        <w:t>长期股权投资包括对子公司、合营企业和联营企业的权益性投资。本集团能够对被投资单位施加重大</w:t>
      </w:r>
      <w:r>
        <w:rPr/>
        <w:t> 影响的，为本集团的联营企业。</w:t>
      </w:r>
    </w:p>
    <w:p>
      <w:pPr>
        <w:pStyle w:val="BodyText"/>
        <w:spacing w:line="558" w:lineRule="exact" w:before="31"/>
        <w:ind w:right="0"/>
        <w:jc w:val="left"/>
      </w:pPr>
      <w:r>
        <w:rPr/>
        <w:t>（</w:t>
      </w:r>
      <w:r>
        <w:rPr>
          <w:rFonts w:ascii="Times New Roman" w:hAnsi="Times New Roman" w:cs="Times New Roman" w:eastAsia="Times New Roman" w:hint="default"/>
        </w:rPr>
        <w:t>1</w:t>
      </w:r>
      <w:r>
        <w:rPr/>
        <w:t>）初始投资成本确定 </w:t>
      </w:r>
      <w:r>
        <w:rPr>
          <w:spacing w:val="-1"/>
        </w:rPr>
        <w:t>形成企业合并的长期股权投资：同一控制下企业合并取得的长期股权投资，在合并日按照取得被合并</w:t>
      </w:r>
    </w:p>
    <w:p>
      <w:pPr>
        <w:pStyle w:val="BodyText"/>
        <w:spacing w:line="259" w:lineRule="exact"/>
        <w:ind w:left="1134" w:right="0"/>
        <w:jc w:val="left"/>
      </w:pPr>
      <w:r>
        <w:rPr/>
        <w:t>方所有者权益在最终控制方合并财务报表中的账面价值份额作为投资成本；非同一控制下企业合并取得的</w:t>
      </w:r>
    </w:p>
    <w:p>
      <w:pPr>
        <w:pStyle w:val="BodyText"/>
        <w:spacing w:line="240" w:lineRule="auto" w:before="66"/>
        <w:ind w:left="1134" w:right="0"/>
        <w:jc w:val="left"/>
      </w:pPr>
      <w:r>
        <w:rPr/>
        <w:t>长期股权投资，按照合并成本作为长期股权投资的投资成本。</w:t>
      </w:r>
    </w:p>
    <w:p>
      <w:pPr>
        <w:spacing w:line="240" w:lineRule="auto" w:before="8"/>
        <w:rPr>
          <w:rFonts w:ascii="宋体" w:hAnsi="宋体" w:cs="宋体" w:eastAsia="宋体" w:hint="default"/>
          <w:sz w:val="21"/>
          <w:szCs w:val="21"/>
        </w:rPr>
      </w:pPr>
    </w:p>
    <w:p>
      <w:pPr>
        <w:pStyle w:val="BodyText"/>
        <w:spacing w:line="297" w:lineRule="auto"/>
        <w:ind w:left="1133" w:right="1131" w:firstLine="420"/>
        <w:jc w:val="both"/>
      </w:pPr>
      <w:r>
        <w:rPr>
          <w:spacing w:val="-1"/>
        </w:rPr>
        <w:t>对于其他方式取得的长期股权投资：支付现金取得的长期股权投资，按照实际支付的购买价款作为初</w:t>
      </w:r>
      <w:r>
        <w:rPr/>
        <w:t> 始投资成本；发行权益性证券取得的长期股权投资，以发行权益性证券的公允价值作为初始投资成本。</w:t>
      </w:r>
    </w:p>
    <w:p>
      <w:pPr>
        <w:spacing w:line="240" w:lineRule="auto" w:before="10"/>
        <w:rPr>
          <w:rFonts w:ascii="宋体" w:hAnsi="宋体" w:cs="宋体" w:eastAsia="宋体" w:hint="default"/>
          <w:sz w:val="17"/>
          <w:szCs w:val="17"/>
        </w:rPr>
      </w:pPr>
    </w:p>
    <w:p>
      <w:pPr>
        <w:pStyle w:val="BodyText"/>
        <w:spacing w:line="240" w:lineRule="auto"/>
        <w:ind w:left="1553" w:right="0"/>
        <w:jc w:val="left"/>
      </w:pPr>
      <w:r>
        <w:rPr/>
        <w:t>（</w:t>
      </w:r>
      <w:r>
        <w:rPr>
          <w:rFonts w:ascii="Times New Roman" w:hAnsi="Times New Roman" w:cs="Times New Roman" w:eastAsia="Times New Roman" w:hint="default"/>
        </w:rPr>
        <w:t>2</w:t>
      </w:r>
      <w:r>
        <w:rPr/>
        <w:t>）后续计量及损益确认方法</w:t>
      </w:r>
    </w:p>
    <w:p>
      <w:pPr>
        <w:pStyle w:val="BodyText"/>
        <w:spacing w:line="558" w:lineRule="exact" w:before="67"/>
        <w:ind w:left="1553" w:right="0"/>
        <w:jc w:val="left"/>
      </w:pPr>
      <w:r>
        <w:rPr/>
        <w:t>对子公司的投资，采用成本法核算；对联营企业和合营企业的投资，采用权益法核算。 </w:t>
      </w:r>
      <w:r>
        <w:rPr>
          <w:spacing w:val="-1"/>
        </w:rPr>
        <w:t>采用成本法核算的长期股权投资，除取得投资时实际支付的价款或对价中包含的已宣告但尚未发放的</w:t>
      </w:r>
    </w:p>
    <w:p>
      <w:pPr>
        <w:pStyle w:val="BodyText"/>
        <w:spacing w:line="259" w:lineRule="exact"/>
        <w:ind w:left="1133" w:right="0"/>
        <w:jc w:val="left"/>
      </w:pPr>
      <w:r>
        <w:rPr/>
        <w:t>现金股利或利润外，被投资单位宣告分派的现金股利或利润，确认为投资收益计入当期损益。</w:t>
      </w:r>
    </w:p>
    <w:p>
      <w:pPr>
        <w:spacing w:line="240" w:lineRule="auto" w:before="8"/>
        <w:rPr>
          <w:rFonts w:ascii="宋体" w:hAnsi="宋体" w:cs="宋体" w:eastAsia="宋体" w:hint="default"/>
          <w:sz w:val="21"/>
          <w:szCs w:val="21"/>
        </w:rPr>
      </w:pPr>
    </w:p>
    <w:p>
      <w:pPr>
        <w:pStyle w:val="BodyText"/>
        <w:spacing w:line="297" w:lineRule="auto"/>
        <w:ind w:left="1133" w:right="1131" w:firstLine="420"/>
        <w:jc w:val="both"/>
      </w:pPr>
      <w:r>
        <w:rPr>
          <w:spacing w:val="-1"/>
        </w:rPr>
        <w:t>采用权益法核算的长期股权投资，初始投资成本大于投资时应享有被投资单位可辨认净资产公允价值</w:t>
      </w:r>
      <w:r>
        <w:rPr/>
        <w:t> </w:t>
      </w:r>
      <w:r>
        <w:rPr>
          <w:spacing w:val="-1"/>
        </w:rPr>
        <w:t>份额的，不调整长期股权投资的投资成本；初始投资成本小于投资时应享有被投资单位可辨认净资产公允</w:t>
      </w:r>
      <w:r>
        <w:rPr>
          <w:spacing w:val="-81"/>
        </w:rPr>
        <w:t> </w:t>
      </w:r>
      <w:r>
        <w:rPr>
          <w:spacing w:val="-81"/>
        </w:rPr>
      </w:r>
      <w:r>
        <w:rPr/>
        <w:t>价值份额的，对长期股权投资的账面价值进行调整，差额计入投资当期的损益。</w:t>
      </w:r>
    </w:p>
    <w:p>
      <w:pPr>
        <w:spacing w:line="240" w:lineRule="auto" w:before="12"/>
        <w:rPr>
          <w:rFonts w:ascii="宋体" w:hAnsi="宋体" w:cs="宋体" w:eastAsia="宋体" w:hint="default"/>
          <w:sz w:val="17"/>
          <w:szCs w:val="17"/>
        </w:rPr>
      </w:pPr>
    </w:p>
    <w:p>
      <w:pPr>
        <w:pStyle w:val="BodyText"/>
        <w:spacing w:line="297" w:lineRule="auto"/>
        <w:ind w:left="1133" w:right="1130"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股利计算应享有的部分，相应减少长期股权投资的账面价值；被投资单位除净损益、其他综合收益和利润</w:t>
      </w:r>
      <w:r>
        <w:rPr>
          <w:spacing w:val="-83"/>
        </w:rPr>
        <w:t> </w:t>
      </w:r>
      <w:r>
        <w:rPr>
          <w:spacing w:val="-83"/>
        </w:rPr>
      </w:r>
      <w:r>
        <w:rPr>
          <w:spacing w:val="-1"/>
        </w:rPr>
        <w:t>分配以外所有者权益的其他变动，调整长期股权投资的账面价值并计入资本公积（其他资本公积）。在确</w:t>
      </w:r>
      <w:r>
        <w:rPr>
          <w:spacing w:val="-85"/>
        </w:rPr>
        <w:t> </w:t>
      </w:r>
      <w:r>
        <w:rPr>
          <w:spacing w:val="-85"/>
        </w:rPr>
      </w:r>
      <w:r>
        <w:rPr>
          <w:spacing w:val="-1"/>
        </w:rPr>
        <w:t>认应享有被投资单位净损益的份额时，以取得投资时被投资单位各项可辨认资产等的公允价值为基础，并</w:t>
      </w:r>
      <w:r>
        <w:rPr>
          <w:spacing w:val="-81"/>
        </w:rPr>
        <w:t> </w:t>
      </w:r>
      <w:r>
        <w:rPr>
          <w:spacing w:val="-81"/>
        </w:rPr>
      </w:r>
      <w:r>
        <w:rPr/>
        <w:t>按照本集团的会计政策及会计期间，对被投资单位的净利润进行调整后确认。</w:t>
      </w:r>
    </w:p>
    <w:p>
      <w:pPr>
        <w:spacing w:line="240" w:lineRule="auto" w:before="12"/>
        <w:rPr>
          <w:rFonts w:ascii="宋体" w:hAnsi="宋体" w:cs="宋体" w:eastAsia="宋体" w:hint="default"/>
          <w:sz w:val="17"/>
          <w:szCs w:val="17"/>
        </w:rPr>
      </w:pPr>
    </w:p>
    <w:p>
      <w:pPr>
        <w:pStyle w:val="BodyText"/>
        <w:spacing w:line="297" w:lineRule="auto"/>
        <w:ind w:left="1134" w:right="1131" w:firstLine="420"/>
        <w:jc w:val="both"/>
      </w:pPr>
      <w:r>
        <w:rPr>
          <w:spacing w:val="-1"/>
        </w:rPr>
        <w:t>因追加投资等原因能够对被投资单位施加重大影响或实施共同控制但不构成控制的，在转换日，按照</w:t>
      </w:r>
      <w:r>
        <w:rPr/>
        <w:t> </w:t>
      </w:r>
      <w:r>
        <w:rPr>
          <w:spacing w:val="-1"/>
        </w:rPr>
        <w:t>原股权的公允价值加上新增投资成本之和，作为改按权益法核算的初始投资成本。原股权于转换日的公允</w:t>
      </w:r>
      <w:r>
        <w:rPr>
          <w:spacing w:val="-81"/>
        </w:rPr>
        <w:t> </w:t>
      </w:r>
      <w:r>
        <w:rPr>
          <w:spacing w:val="-81"/>
        </w:rPr>
      </w:r>
      <w:r>
        <w:rPr>
          <w:spacing w:val="-1"/>
        </w:rPr>
        <w:t>价值与账面价值之间的差额，以及原计入其他综合收益的累计公允价值变动转入改按权益法核算的当期损</w:t>
      </w:r>
      <w:r>
        <w:rPr>
          <w:spacing w:val="-81"/>
        </w:rPr>
        <w:t> </w:t>
      </w:r>
      <w:r>
        <w:rPr>
          <w:spacing w:val="-81"/>
        </w:rPr>
      </w:r>
      <w:r>
        <w:rPr/>
        <w:t>益。</w:t>
      </w:r>
    </w:p>
    <w:p>
      <w:pPr>
        <w:spacing w:line="240" w:lineRule="auto" w:before="10"/>
        <w:rPr>
          <w:rFonts w:ascii="宋体" w:hAnsi="宋体" w:cs="宋体" w:eastAsia="宋体" w:hint="default"/>
          <w:sz w:val="17"/>
          <w:szCs w:val="17"/>
        </w:rPr>
      </w:pPr>
    </w:p>
    <w:p>
      <w:pPr>
        <w:pStyle w:val="BodyText"/>
        <w:spacing w:line="292" w:lineRule="auto"/>
        <w:ind w:left="1134" w:right="1130" w:firstLine="420"/>
        <w:jc w:val="both"/>
      </w:pPr>
      <w:r>
        <w:rPr>
          <w:spacing w:val="-1"/>
        </w:rPr>
        <w:t>因处置部分股权投资等原因丧失了对被投资单位的共同控制或重大影响的，处置后的剩余股权在丧失</w:t>
      </w:r>
      <w:r>
        <w:rPr/>
        <w:t> 共同控制或重大影响之日改按《企业会计准则第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金融工具确认和计量》进行会计处理，公允价值 </w:t>
      </w:r>
      <w:r>
        <w:rPr>
          <w:spacing w:val="-1"/>
        </w:rPr>
        <w:t>与账面价值之间的差额计入当期损益。原股权投资因采用权益法核算而确认的其他综合收益，在终止采用</w:t>
      </w:r>
      <w:r>
        <w:rPr>
          <w:spacing w:val="-81"/>
        </w:rPr>
        <w:t> </w:t>
      </w:r>
      <w:r>
        <w:rPr>
          <w:spacing w:val="-81"/>
        </w:rPr>
      </w:r>
      <w:r>
        <w:rPr>
          <w:spacing w:val="-1"/>
        </w:rPr>
        <w:t>权益法核算时采用与被投资单位直接处置相关资产或负债相同的基础进行会计处理；原股权投资相关的其</w:t>
      </w:r>
      <w:r>
        <w:rPr>
          <w:spacing w:val="-80"/>
        </w:rPr>
        <w:t> </w:t>
      </w:r>
      <w:r>
        <w:rPr>
          <w:spacing w:val="-80"/>
        </w:rPr>
      </w:r>
      <w:r>
        <w:rPr/>
        <w:t>他所有者权益变动转入当期损益。</w:t>
      </w:r>
    </w:p>
    <w:p>
      <w:pPr>
        <w:spacing w:line="240" w:lineRule="auto" w:before="2"/>
        <w:rPr>
          <w:rFonts w:ascii="宋体" w:hAnsi="宋体" w:cs="宋体" w:eastAsia="宋体" w:hint="default"/>
          <w:sz w:val="18"/>
          <w:szCs w:val="18"/>
        </w:rPr>
      </w:pPr>
    </w:p>
    <w:p>
      <w:pPr>
        <w:pStyle w:val="BodyText"/>
        <w:spacing w:line="292" w:lineRule="auto"/>
        <w:ind w:left="1134" w:right="1023" w:firstLine="420"/>
        <w:jc w:val="left"/>
      </w:pPr>
      <w:r>
        <w:rPr/>
        <w:t>因处置部分股权投资等原因丧失了对被投资单位的控制的，处置后的剩余股权能够对被投资单位实施 </w:t>
      </w:r>
      <w:r>
        <w:rPr>
          <w:spacing w:val="-3"/>
        </w:rPr>
        <w:t>共同控制或施加重大影响的，改按权益法核算，并对该剩余股权视同自取得时即采用权益法核算进行调整；</w:t>
      </w:r>
      <w:r>
        <w:rPr>
          <w:spacing w:val="-92"/>
        </w:rPr>
        <w:t> </w:t>
      </w:r>
      <w:r>
        <w:rPr>
          <w:spacing w:val="-92"/>
        </w:rPr>
      </w:r>
      <w:r>
        <w:rPr/>
        <w:t>处置后的剩余股权不能对被投资单位实施共同控制或施加重大影响的，改按《企业会计准则第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金 融工具确认和计量》的有关规定进行会计处理，其在丧失控制之日的公允价值与账面价值之间的差额计入</w:t>
      </w:r>
    </w:p>
    <w:p>
      <w:pPr>
        <w:spacing w:after="0" w:line="292"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4" w:right="0"/>
        <w:jc w:val="both"/>
      </w:pPr>
      <w:r>
        <w:rPr/>
        <w:t>当期损益。</w:t>
      </w:r>
    </w:p>
    <w:p>
      <w:pPr>
        <w:spacing w:line="240" w:lineRule="auto" w:before="8"/>
        <w:rPr>
          <w:rFonts w:ascii="宋体" w:hAnsi="宋体" w:cs="宋体" w:eastAsia="宋体" w:hint="default"/>
          <w:sz w:val="21"/>
          <w:szCs w:val="21"/>
        </w:rPr>
      </w:pPr>
    </w:p>
    <w:p>
      <w:pPr>
        <w:pStyle w:val="BodyText"/>
        <w:spacing w:line="297" w:lineRule="auto"/>
        <w:ind w:left="1134" w:right="1130" w:firstLine="420"/>
        <w:jc w:val="both"/>
      </w:pPr>
      <w:r>
        <w:rPr>
          <w:spacing w:val="-1"/>
        </w:rPr>
        <w:t>因其他投资方增资而导致本公司持股比例下降、从而丧失控制权但能对被投资单位实施共同控制或施</w:t>
      </w:r>
      <w:r>
        <w:rPr/>
        <w:t> </w:t>
      </w:r>
      <w:r>
        <w:rPr>
          <w:spacing w:val="-1"/>
        </w:rPr>
        <w:t>加重大影响的，按照新的持股比例确认本公司应享有的被投资单位因增资扩股而增加净资产的份额，与应</w:t>
      </w:r>
      <w:r>
        <w:rPr>
          <w:spacing w:val="-81"/>
        </w:rPr>
        <w:t> </w:t>
      </w:r>
      <w:r>
        <w:rPr>
          <w:spacing w:val="-81"/>
        </w:rPr>
      </w:r>
      <w:r>
        <w:rPr>
          <w:spacing w:val="-1"/>
        </w:rPr>
        <w:t>结转持股比例下降部分所对应的长期股权投资原账面价值之间的差额计入当期损益；然后，按照新的持股</w:t>
      </w:r>
      <w:r>
        <w:rPr>
          <w:spacing w:val="-80"/>
        </w:rPr>
        <w:t> </w:t>
      </w:r>
      <w:r>
        <w:rPr>
          <w:spacing w:val="-80"/>
        </w:rPr>
      </w:r>
      <w:r>
        <w:rPr/>
        <w:t>比例视同自取得投资时即采用权益法核算进行调整。</w:t>
      </w:r>
    </w:p>
    <w:p>
      <w:pPr>
        <w:spacing w:line="240" w:lineRule="auto" w:before="12"/>
        <w:rPr>
          <w:rFonts w:ascii="宋体" w:hAnsi="宋体" w:cs="宋体" w:eastAsia="宋体" w:hint="default"/>
          <w:sz w:val="17"/>
          <w:szCs w:val="17"/>
        </w:rPr>
      </w:pPr>
    </w:p>
    <w:p>
      <w:pPr>
        <w:pStyle w:val="BodyText"/>
        <w:spacing w:line="297" w:lineRule="auto"/>
        <w:ind w:left="1134" w:right="1131" w:firstLine="420"/>
        <w:jc w:val="both"/>
      </w:pPr>
      <w:r>
        <w:rPr>
          <w:spacing w:val="3"/>
        </w:rPr>
        <w:t>本集团与联营企业及合营企业之间发生的未实现内部交易损益按照持股比例计算归属于本集团的部</w:t>
      </w:r>
      <w:r>
        <w:rPr/>
        <w:t> </w:t>
      </w:r>
      <w:r>
        <w:rPr>
          <w:spacing w:val="-1"/>
        </w:rPr>
        <w:t>分，在抵销基础上确认投资损益。但本集团与被投资单位发生的未实现内部交易损失，属于所转让资产减</w:t>
      </w:r>
      <w:r>
        <w:rPr>
          <w:spacing w:val="-83"/>
        </w:rPr>
        <w:t> </w:t>
      </w:r>
      <w:r>
        <w:rPr>
          <w:spacing w:val="-83"/>
        </w:rPr>
      </w:r>
      <w:r>
        <w:rPr/>
        <w:t>值损失的，不予以抵销。</w:t>
      </w:r>
    </w:p>
    <w:p>
      <w:pPr>
        <w:pStyle w:val="BodyText"/>
        <w:spacing w:line="558" w:lineRule="exact" w:before="33"/>
        <w:ind w:right="0"/>
        <w:jc w:val="left"/>
      </w:pPr>
      <w:r>
        <w:rPr/>
        <w:t>（</w:t>
      </w:r>
      <w:r>
        <w:rPr>
          <w:rFonts w:ascii="Times New Roman" w:hAnsi="Times New Roman" w:cs="Times New Roman" w:eastAsia="Times New Roman" w:hint="default"/>
        </w:rPr>
        <w:t>3</w:t>
      </w:r>
      <w:r>
        <w:rPr/>
        <w:t>）确定对被投资单位具有共同控制、重大影响的依据 </w:t>
      </w:r>
      <w:r>
        <w:rPr>
          <w:spacing w:val="-1"/>
        </w:rPr>
        <w:t>共同控制，是指按照相关约定对某项安排所共有的控制，并且该安排的相关活动必须经过分享控制权</w:t>
      </w:r>
    </w:p>
    <w:p>
      <w:pPr>
        <w:pStyle w:val="BodyText"/>
        <w:spacing w:line="259" w:lineRule="exact"/>
        <w:ind w:left="1134" w:right="0"/>
        <w:jc w:val="both"/>
      </w:pPr>
      <w:r>
        <w:rPr/>
        <w:t>的参与方一致同意后才能决策。在判断是否存在共同控制时，首先判断是否由所有参与方或参与方组合集</w:t>
      </w:r>
    </w:p>
    <w:p>
      <w:pPr>
        <w:pStyle w:val="BodyText"/>
        <w:spacing w:line="297" w:lineRule="auto" w:before="64"/>
        <w:ind w:left="1134" w:right="1109"/>
        <w:jc w:val="both"/>
      </w:pPr>
      <w:r>
        <w:rPr/>
        <w:t>体控制该安排，其次再判断该安排相关活动的决策是否必须经过这些集体控制该安排的参与方一致同意。 </w:t>
      </w:r>
      <w:r>
        <w:rPr>
          <w:spacing w:val="-1"/>
        </w:rPr>
        <w:t>如果所有参与方或一组参与方必须一致行动才能决定某项安排的相关活动，则认为所有参与方或一组参与</w:t>
      </w:r>
      <w:r>
        <w:rPr>
          <w:spacing w:val="-81"/>
        </w:rPr>
        <w:t> </w:t>
      </w:r>
      <w:r>
        <w:rPr>
          <w:spacing w:val="-81"/>
        </w:rPr>
      </w:r>
      <w:r>
        <w:rPr/>
        <w:t>方集体控制该安排；如果存在两个或两个以上的参与方组合能够集体控制某项安排的，不构成共同控制。</w:t>
      </w:r>
      <w:r>
        <w:rPr/>
        <w:t> 判断是否存在共同控制时，不考虑享有的保护性权利。</w:t>
      </w:r>
    </w:p>
    <w:p>
      <w:pPr>
        <w:spacing w:line="240" w:lineRule="auto" w:before="12"/>
        <w:rPr>
          <w:rFonts w:ascii="宋体" w:hAnsi="宋体" w:cs="宋体" w:eastAsia="宋体" w:hint="default"/>
          <w:sz w:val="17"/>
          <w:szCs w:val="17"/>
        </w:rPr>
      </w:pPr>
    </w:p>
    <w:p>
      <w:pPr>
        <w:pStyle w:val="BodyText"/>
        <w:spacing w:line="297" w:lineRule="auto"/>
        <w:ind w:left="1134" w:right="1131"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他方一起共同控制这些政策的制定。在确定能否对被投资单位施加重大影响时，考虑投资方直接或间接持</w:t>
      </w:r>
      <w:r>
        <w:rPr>
          <w:spacing w:val="-81"/>
        </w:rPr>
        <w:t> </w:t>
      </w:r>
      <w:r>
        <w:rPr>
          <w:spacing w:val="-81"/>
        </w:rPr>
      </w:r>
      <w:r>
        <w:rPr>
          <w:spacing w:val="3"/>
        </w:rPr>
        <w:t>有被投资单位的表决权股份以及投资方及其他方持有的当期可执行潜在表决权在假定转换为对被投资方</w:t>
      </w:r>
      <w:r>
        <w:rPr>
          <w:spacing w:val="-77"/>
        </w:rPr>
        <w:t> </w:t>
      </w:r>
      <w:r>
        <w:rPr>
          <w:spacing w:val="-77"/>
        </w:rPr>
      </w:r>
      <w:r>
        <w:rPr>
          <w:spacing w:val="-1"/>
        </w:rPr>
        <w:t>单位的股权后产生的影响，包括被投资单位发行的当期可转换的认股权证、股份期权及可转换公司债券等</w:t>
      </w:r>
      <w:r>
        <w:rPr>
          <w:spacing w:val="-81"/>
        </w:rPr>
        <w:t> </w:t>
      </w:r>
      <w:r>
        <w:rPr>
          <w:spacing w:val="-81"/>
        </w:rPr>
      </w:r>
      <w:r>
        <w:rPr/>
        <w:t>的影响。</w:t>
      </w:r>
    </w:p>
    <w:p>
      <w:pPr>
        <w:spacing w:line="240" w:lineRule="auto" w:before="12"/>
        <w:rPr>
          <w:rFonts w:ascii="宋体" w:hAnsi="宋体" w:cs="宋体" w:eastAsia="宋体" w:hint="default"/>
          <w:sz w:val="17"/>
          <w:szCs w:val="17"/>
        </w:rPr>
      </w:pPr>
    </w:p>
    <w:p>
      <w:pPr>
        <w:pStyle w:val="BodyText"/>
        <w:spacing w:line="285" w:lineRule="auto"/>
        <w:ind w:left="1133" w:right="1109" w:firstLine="420"/>
        <w:jc w:val="both"/>
      </w:pPr>
      <w:r>
        <w:rPr/>
        <w:t>当本公司直接或通过子公司间接拥有被投资单位</w:t>
      </w:r>
      <w:r>
        <w:rPr>
          <w:spacing w:val="-50"/>
        </w:rPr>
        <w:t> </w:t>
      </w:r>
      <w:r>
        <w:rPr>
          <w:rFonts w:ascii="Times New Roman" w:hAnsi="Times New Roman" w:cs="Times New Roman" w:eastAsia="Times New Roman" w:hint="default"/>
          <w:spacing w:val="-5"/>
        </w:rPr>
        <w:t>20%</w:t>
      </w:r>
      <w:r>
        <w:rPr>
          <w:spacing w:val="-5"/>
        </w:rPr>
        <w:t>（含</w:t>
      </w:r>
      <w:r>
        <w:rPr>
          <w:spacing w:val="-52"/>
        </w:rPr>
        <w:t> </w:t>
      </w:r>
      <w:r>
        <w:rPr>
          <w:rFonts w:ascii="Times New Roman" w:hAnsi="Times New Roman" w:cs="Times New Roman" w:eastAsia="Times New Roman" w:hint="default"/>
          <w:spacing w:val="-3"/>
        </w:rPr>
        <w:t>20%</w:t>
      </w:r>
      <w:r>
        <w:rPr>
          <w:spacing w:val="-3"/>
        </w:rPr>
        <w:t>）以上但低于</w:t>
      </w:r>
      <w:r>
        <w:rPr>
          <w:spacing w:val="-50"/>
        </w:rPr>
        <w:t> </w:t>
      </w:r>
      <w:r>
        <w:rPr>
          <w:rFonts w:ascii="Times New Roman" w:hAnsi="Times New Roman" w:cs="Times New Roman" w:eastAsia="Times New Roman" w:hint="default"/>
          <w:spacing w:val="-3"/>
        </w:rPr>
        <w:t>50%</w:t>
      </w:r>
      <w:r>
        <w:rPr>
          <w:spacing w:val="-3"/>
        </w:rPr>
        <w:t>的表决权股份时，一</w:t>
      </w:r>
      <w:r>
        <w:rPr/>
        <w:t> </w:t>
      </w:r>
      <w:r>
        <w:rPr>
          <w:spacing w:val="3"/>
        </w:rPr>
        <w:t>般认为对被投资单位具有重大影响，除非有明确证据表明该种情况下不能参与被投资单位的生产经营决</w:t>
      </w:r>
      <w:r>
        <w:rPr>
          <w:spacing w:val="-82"/>
        </w:rPr>
        <w:t> </w:t>
      </w:r>
      <w:r>
        <w:rPr>
          <w:spacing w:val="-82"/>
        </w:rPr>
      </w:r>
      <w:r>
        <w:rPr/>
        <w:t>策，不形成重大影响；本集团拥有被投资单位</w:t>
      </w:r>
      <w:r>
        <w:rPr>
          <w:spacing w:val="-79"/>
        </w:rPr>
        <w:t> </w:t>
      </w:r>
      <w:r>
        <w:rPr>
          <w:rFonts w:ascii="Times New Roman" w:hAnsi="Times New Roman" w:cs="Times New Roman" w:eastAsia="Times New Roman" w:hint="default"/>
        </w:rPr>
        <w:t>20%</w:t>
      </w:r>
      <w:r>
        <w:rPr/>
        <w:t>（不含）以下的表决权股份时，一般不认为对被投资单 位具有重大影响，除非有明确证据表明该种情况下能够参与被投资单位的生产经营决策，形成重大影响。</w:t>
      </w:r>
    </w:p>
    <w:p>
      <w:pPr>
        <w:pStyle w:val="BodyText"/>
        <w:spacing w:line="560" w:lineRule="exact" w:before="40"/>
        <w:ind w:right="0"/>
        <w:jc w:val="left"/>
      </w:pPr>
      <w:r>
        <w:rPr/>
        <w:t>（</w:t>
      </w:r>
      <w:r>
        <w:rPr>
          <w:rFonts w:ascii="Times New Roman" w:hAnsi="Times New Roman" w:cs="Times New Roman" w:eastAsia="Times New Roman" w:hint="default"/>
        </w:rPr>
        <w:t>4</w:t>
      </w:r>
      <w:r>
        <w:rPr/>
        <w:t>）持有待售的权益性投资 </w:t>
      </w:r>
      <w:r>
        <w:rPr>
          <w:spacing w:val="-1"/>
        </w:rPr>
        <w:t>对联营企业或合营企业的权益性投资全部或部分分类为持有待售资产的，相关会计处理见本报告“第</w:t>
      </w:r>
    </w:p>
    <w:p>
      <w:pPr>
        <w:pStyle w:val="BodyText"/>
        <w:spacing w:line="273" w:lineRule="exact"/>
        <w:ind w:left="1133" w:right="0"/>
        <w:jc w:val="both"/>
      </w:pPr>
      <w:r>
        <w:rPr/>
        <w:t>十一节财务报告</w:t>
      </w:r>
      <w:r>
        <w:rPr>
          <w:spacing w:val="-22"/>
        </w:rPr>
        <w:t> </w:t>
      </w:r>
      <w:r>
        <w:rPr/>
        <w:t>五、</w:t>
      </w:r>
      <w:r>
        <w:rPr>
          <w:rFonts w:ascii="Times New Roman" w:hAnsi="Times New Roman" w:cs="Times New Roman" w:eastAsia="Times New Roman" w:hint="default"/>
        </w:rPr>
        <w:t>14</w:t>
      </w:r>
      <w:r>
        <w:rPr/>
        <w:t>”。</w:t>
      </w:r>
    </w:p>
    <w:p>
      <w:pPr>
        <w:pStyle w:val="BodyText"/>
        <w:spacing w:line="558" w:lineRule="exact" w:before="67"/>
        <w:ind w:left="1553" w:right="0"/>
        <w:jc w:val="left"/>
      </w:pPr>
      <w:r>
        <w:rPr/>
        <w:t>对于未划分为持有待售资产的剩余权益性投资，采用权益法进行会计处理。 </w:t>
      </w:r>
      <w:r>
        <w:rPr>
          <w:spacing w:val="-1"/>
        </w:rPr>
        <w:t>已划分为持有待售的对联营企业或合营企业的权益性投资，不再符合持有待售资产分类条件的，从被</w:t>
      </w:r>
    </w:p>
    <w:p>
      <w:pPr>
        <w:pStyle w:val="BodyText"/>
        <w:spacing w:line="259" w:lineRule="exact"/>
        <w:ind w:left="1133" w:right="0"/>
        <w:jc w:val="both"/>
      </w:pPr>
      <w:r>
        <w:rPr/>
        <w:t>分类为持有待售资产之日起采用权益法进行追溯调整。</w:t>
      </w:r>
    </w:p>
    <w:p>
      <w:pPr>
        <w:spacing w:line="240" w:lineRule="auto" w:before="9"/>
        <w:rPr>
          <w:rFonts w:ascii="宋体" w:hAnsi="宋体" w:cs="宋体" w:eastAsia="宋体" w:hint="default"/>
          <w:sz w:val="21"/>
          <w:szCs w:val="21"/>
        </w:rPr>
      </w:pPr>
    </w:p>
    <w:p>
      <w:pPr>
        <w:pStyle w:val="BodyText"/>
        <w:spacing w:line="460" w:lineRule="auto"/>
        <w:ind w:right="1010"/>
        <w:jc w:val="left"/>
      </w:pPr>
      <w:r>
        <w:rPr/>
        <w:t>（</w:t>
      </w:r>
      <w:r>
        <w:rPr>
          <w:rFonts w:ascii="Times New Roman" w:hAnsi="Times New Roman" w:cs="Times New Roman" w:eastAsia="Times New Roman" w:hint="default"/>
        </w:rPr>
        <w:t>5</w:t>
      </w:r>
      <w:r>
        <w:rPr/>
        <w:t>）减值测试方法及减值准备计提方法 </w:t>
      </w:r>
      <w:r>
        <w:rPr>
          <w:spacing w:val="-4"/>
        </w:rPr>
        <w:t>对子公司、联营企业及合营企业的投资，计提资产减值的方法见本报告“第十一节财务报告</w:t>
      </w:r>
      <w:r>
        <w:rPr>
          <w:spacing w:val="17"/>
        </w:rPr>
        <w:t> </w:t>
      </w:r>
      <w:r>
        <w:rPr>
          <w:spacing w:val="-15"/>
        </w:rPr>
        <w:t>五、</w:t>
      </w:r>
      <w:r>
        <w:rPr>
          <w:rFonts w:ascii="Times New Roman" w:hAnsi="Times New Roman" w:cs="Times New Roman" w:eastAsia="Times New Roman" w:hint="default"/>
          <w:spacing w:val="-15"/>
        </w:rPr>
        <w:t>22</w:t>
      </w:r>
      <w:r>
        <w:rPr>
          <w:spacing w:val="-15"/>
        </w:rPr>
        <w:t>”。</w:t>
      </w:r>
    </w:p>
    <w:p>
      <w:pPr>
        <w:spacing w:after="0" w:line="46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15、投资性房地产" w:id="189"/>
      <w:bookmarkEnd w:id="189"/>
      <w:r>
        <w:rPr/>
      </w:r>
      <w:r>
        <w:rPr>
          <w:rFonts w:ascii="Times New Roman" w:hAnsi="Times New Roman" w:cs="Times New Roman" w:eastAsia="Times New Roman" w:hint="default"/>
        </w:rPr>
        <w:t>15</w:t>
      </w:r>
      <w:r>
        <w:rPr>
          <w:rFonts w:ascii="微软雅黑" w:hAnsi="微软雅黑" w:cs="微软雅黑" w:eastAsia="微软雅黑" w:hint="default"/>
        </w:rPr>
        <w:t>、投资性房地产</w:t>
      </w:r>
    </w:p>
    <w:p>
      <w:pPr>
        <w:spacing w:line="240" w:lineRule="auto" w:before="6"/>
        <w:rPr>
          <w:rFonts w:ascii="微软雅黑" w:hAnsi="微软雅黑" w:cs="微软雅黑" w:eastAsia="微软雅黑" w:hint="default"/>
          <w:sz w:val="23"/>
          <w:szCs w:val="23"/>
        </w:rPr>
      </w:pPr>
    </w:p>
    <w:p>
      <w:pPr>
        <w:pStyle w:val="BodyText"/>
        <w:spacing w:line="487" w:lineRule="auto"/>
        <w:ind w:right="8232"/>
        <w:jc w:val="left"/>
      </w:pPr>
      <w:r>
        <w:rPr/>
        <w:t>投资性房地产计量模式 不适用</w:t>
      </w:r>
    </w:p>
    <w:p>
      <w:pPr>
        <w:pStyle w:val="BodyText"/>
        <w:spacing w:line="240" w:lineRule="auto" w:before="61"/>
        <w:ind w:right="0"/>
        <w:jc w:val="left"/>
        <w:rPr>
          <w:rFonts w:ascii="微软雅黑" w:hAnsi="微软雅黑" w:cs="微软雅黑" w:eastAsia="微软雅黑" w:hint="default"/>
        </w:rPr>
      </w:pPr>
      <w:bookmarkStart w:name="16、固定资产" w:id="190"/>
      <w:bookmarkEnd w:id="190"/>
      <w:r>
        <w:rPr/>
      </w:r>
      <w:r>
        <w:rPr>
          <w:rFonts w:ascii="Times New Roman" w:hAnsi="Times New Roman" w:cs="Times New Roman" w:eastAsia="Times New Roman" w:hint="default"/>
        </w:rPr>
        <w:t>16</w:t>
      </w:r>
      <w:r>
        <w:rPr>
          <w:rFonts w:ascii="微软雅黑" w:hAnsi="微软雅黑" w:cs="微软雅黑" w:eastAsia="微软雅黑" w:hint="default"/>
        </w:rPr>
        <w:t>、固定资产</w:t>
      </w:r>
    </w:p>
    <w:p>
      <w:pPr>
        <w:pStyle w:val="BodyText"/>
        <w:spacing w:line="540" w:lineRule="atLeast" w:before="153"/>
        <w:ind w:left="1553" w:right="0" w:firstLine="2"/>
        <w:jc w:val="left"/>
      </w:pPr>
      <w:bookmarkStart w:name="（1）确认条件" w:id="191"/>
      <w:bookmarkEnd w:id="191"/>
      <w:r>
        <w:rPr/>
      </w: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）确认条件</w:t>
      </w:r>
      <w:r>
        <w:rPr>
          <w:rFonts w:ascii="宋体" w:hAnsi="宋体" w:cs="宋体" w:eastAsia="宋体" w:hint="default"/>
          <w:b/>
          <w:bCs/>
          <w:w w:val="99"/>
        </w:rPr>
        <w:t> </w:t>
      </w:r>
      <w:r>
        <w:rPr>
          <w:spacing w:val="-1"/>
        </w:rPr>
        <w:t>本集团固定资产是指为生产商品、提供劳务、出租或经营管理而持有的，使用寿命超过一个会计年度</w:t>
      </w:r>
    </w:p>
    <w:p>
      <w:pPr>
        <w:pStyle w:val="BodyText"/>
        <w:spacing w:line="297" w:lineRule="auto" w:before="66"/>
        <w:ind w:left="1133" w:right="1093"/>
        <w:jc w:val="left"/>
      </w:pPr>
      <w:r>
        <w:rPr/>
        <w:t>的有形资产。与该固定资产有关的经济利益很可能流入企业，并且该固定资产的成本能够可靠地计量时， 固定资产才能予以确认。本集团固定资产按照取得时的实际成本进行初始计量。</w:t>
      </w:r>
    </w:p>
    <w:p>
      <w:pPr>
        <w:spacing w:line="240" w:lineRule="auto" w:before="12"/>
        <w:rPr>
          <w:rFonts w:ascii="宋体" w:hAnsi="宋体" w:cs="宋体" w:eastAsia="宋体" w:hint="default"/>
          <w:sz w:val="17"/>
          <w:szCs w:val="17"/>
        </w:rPr>
      </w:pPr>
    </w:p>
    <w:p>
      <w:pPr>
        <w:pStyle w:val="Heading4"/>
        <w:spacing w:line="240" w:lineRule="auto"/>
        <w:ind w:right="0"/>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2"/>
        <w:rPr>
          <w:rFonts w:ascii="宋体" w:hAnsi="宋体" w:cs="宋体" w:eastAsia="宋体" w:hint="default"/>
          <w:b/>
          <w:bCs/>
          <w:sz w:val="23"/>
          <w:szCs w:val="23"/>
        </w:rPr>
      </w:pPr>
    </w:p>
    <w:tbl>
      <w:tblPr>
        <w:tblW w:w="0" w:type="auto"/>
        <w:jc w:val="left"/>
        <w:tblInd w:w="102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407"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39.67 </w:t>
            </w:r>
            <w:r>
              <w:rPr>
                <w:rFonts w:ascii="宋体" w:hAnsi="宋体" w:cs="宋体" w:eastAsia="宋体" w:hint="default"/>
                <w:sz w:val="18"/>
                <w:szCs w:val="18"/>
              </w:rPr>
              <w:t>年、</w:t>
            </w:r>
            <w:r>
              <w:rPr>
                <w:rFonts w:ascii="Times New Roman" w:hAnsi="Times New Roman" w:cs="Times New Roman" w:eastAsia="Times New Roman" w:hint="default"/>
                <w:sz w:val="18"/>
                <w:szCs w:val="18"/>
              </w:rPr>
              <w:t>33.42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2.45%</w:t>
            </w:r>
            <w:r>
              <w:rPr>
                <w:rFonts w:ascii="宋体" w:hAnsi="宋体" w:cs="宋体" w:eastAsia="宋体" w:hint="default"/>
                <w:sz w:val="18"/>
                <w:szCs w:val="18"/>
              </w:rPr>
              <w:t>、</w:t>
            </w:r>
            <w:r>
              <w:rPr>
                <w:rFonts w:ascii="Times New Roman" w:hAnsi="Times New Roman" w:cs="Times New Roman" w:eastAsia="Times New Roman" w:hint="default"/>
                <w:sz w:val="18"/>
                <w:szCs w:val="18"/>
              </w:rPr>
              <w:t>2.90%</w:t>
            </w:r>
          </w:p>
        </w:tc>
      </w:tr>
      <w:tr>
        <w:trPr>
          <w:trHeight w:val="408"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房屋装修</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0%</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通用设备</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32.33%</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办公家具</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19.40%</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3%</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24.25%</w:t>
            </w:r>
          </w:p>
        </w:tc>
      </w:tr>
      <w:tr>
        <w:trPr>
          <w:trHeight w:val="408"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32.33%</w:t>
            </w:r>
          </w:p>
        </w:tc>
      </w:tr>
    </w:tbl>
    <w:p>
      <w:pPr>
        <w:spacing w:line="240" w:lineRule="auto" w:before="4"/>
        <w:rPr>
          <w:rFonts w:ascii="宋体" w:hAnsi="宋体" w:cs="宋体" w:eastAsia="宋体" w:hint="default"/>
          <w:b/>
          <w:bCs/>
          <w:sz w:val="11"/>
          <w:szCs w:val="11"/>
        </w:rPr>
      </w:pPr>
    </w:p>
    <w:p>
      <w:pPr>
        <w:pStyle w:val="BodyText"/>
        <w:spacing w:line="460" w:lineRule="auto" w:before="35"/>
        <w:ind w:left="1553" w:right="0"/>
        <w:jc w:val="left"/>
      </w:pPr>
      <w:r>
        <w:rPr/>
        <w:t>房屋建筑物的预计使用年限以</w:t>
      </w:r>
      <w:r>
        <w:rPr>
          <w:spacing w:val="-53"/>
        </w:rPr>
        <w:t> </w:t>
      </w:r>
      <w:r>
        <w:rPr>
          <w:rFonts w:ascii="Times New Roman" w:hAnsi="Times New Roman" w:cs="Times New Roman" w:eastAsia="Times New Roman" w:hint="default"/>
        </w:rPr>
        <w:t>40</w:t>
      </w:r>
      <w:r>
        <w:rPr>
          <w:rFonts w:ascii="Times New Roman" w:hAnsi="Times New Roman" w:cs="Times New Roman" w:eastAsia="Times New Roman" w:hint="default"/>
          <w:spacing w:val="-11"/>
        </w:rPr>
        <w:t> </w:t>
      </w:r>
      <w:r>
        <w:rPr/>
        <w:t>年与房屋产权证书所载使用年限孰低确定。 固定资产的减值测试方法、减值准备计提方法见本报告“第十一节财务报告五、</w:t>
      </w:r>
      <w:r>
        <w:rPr>
          <w:rFonts w:ascii="Times New Roman" w:hAnsi="Times New Roman" w:cs="Times New Roman" w:eastAsia="Times New Roman" w:hint="default"/>
        </w:rPr>
        <w:t>22</w:t>
      </w:r>
      <w:r>
        <w:rPr/>
        <w:t>”。 已计提减值准备的固定资产，还应扣除已计提的固定资产减值准备累计金额计算确定折旧率。</w:t>
      </w:r>
    </w:p>
    <w:p>
      <w:pPr>
        <w:pStyle w:val="BodyText"/>
        <w:spacing w:line="297" w:lineRule="auto" w:before="90"/>
        <w:ind w:left="1133" w:right="1131" w:firstLine="420"/>
        <w:jc w:val="both"/>
      </w:pPr>
      <w:r>
        <w:rPr>
          <w:spacing w:val="-1"/>
        </w:rPr>
        <w:t>对固定资产进行定期检查发生的大修理费用，有确凿证据表明符合固定资产确认条件的部分，计入固</w:t>
      </w:r>
      <w:r>
        <w:rPr/>
        <w:t> 定资产成本，不符合固定资产确认条件的计入当期损益。固定资产在定期大修理间隔期间，照提折旧。</w:t>
      </w:r>
    </w:p>
    <w:p>
      <w:pPr>
        <w:spacing w:line="240" w:lineRule="auto" w:before="10"/>
        <w:rPr>
          <w:rFonts w:ascii="宋体" w:hAnsi="宋体" w:cs="宋体" w:eastAsia="宋体" w:hint="default"/>
          <w:sz w:val="17"/>
          <w:szCs w:val="17"/>
        </w:rPr>
      </w:pPr>
    </w:p>
    <w:p>
      <w:pPr>
        <w:pStyle w:val="BodyText"/>
        <w:spacing w:line="297" w:lineRule="auto"/>
        <w:ind w:left="1133" w:right="1130" w:firstLine="420"/>
        <w:jc w:val="both"/>
      </w:pPr>
      <w:r>
        <w:rPr>
          <w:spacing w:val="-1"/>
        </w:rPr>
        <w:t>每年年度终了，本集团对固定资产的使用寿命、预计净残值和折旧方法进行复核，使用寿命预计数与</w:t>
      </w:r>
      <w:r>
        <w:rPr/>
        <w:t> </w:t>
      </w:r>
      <w:r>
        <w:rPr>
          <w:spacing w:val="-1"/>
        </w:rPr>
        <w:t>原先估计数有差异的，调整固定资产使用寿命；预计净残值预计数与原先估计数有差异的，调整预计净残</w:t>
      </w:r>
      <w:r>
        <w:rPr>
          <w:spacing w:val="-83"/>
        </w:rPr>
        <w:t> </w:t>
      </w:r>
      <w:r>
        <w:rPr>
          <w:spacing w:val="-83"/>
        </w:rPr>
      </w:r>
      <w:r>
        <w:rPr/>
        <w:t>值。</w:t>
      </w:r>
    </w:p>
    <w:p>
      <w:pPr>
        <w:spacing w:line="558" w:lineRule="exact" w:before="31"/>
        <w:ind w:left="1554" w:right="1017" w:firstLine="2"/>
        <w:jc w:val="left"/>
        <w:rPr>
          <w:rFonts w:ascii="宋体" w:hAnsi="宋体" w:cs="宋体" w:eastAsia="宋体" w:hint="default"/>
          <w:sz w:val="21"/>
          <w:szCs w:val="21"/>
        </w:rPr>
      </w:pPr>
      <w:bookmarkStart w:name="（3）融资租入固定资产的认定依据、计价和折旧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pacing w:val="-3"/>
          <w:sz w:val="21"/>
          <w:szCs w:val="21"/>
        </w:rPr>
        <w:t>当本集团租入的固定资产符合下列一项或数项标准时，确认为融资租入固定资产：①在租赁期届满时，</w:t>
      </w:r>
    </w:p>
    <w:p>
      <w:pPr>
        <w:pStyle w:val="BodyText"/>
        <w:spacing w:line="259" w:lineRule="exact"/>
        <w:ind w:left="1134" w:right="0"/>
        <w:jc w:val="left"/>
      </w:pPr>
      <w:r>
        <w:rPr/>
        <w:t>租赁资产的所有权转移给本集团。②本集团有购买租赁资产的选择权，所订立的购买价款预计将远低于行</w:t>
      </w:r>
    </w:p>
    <w:p>
      <w:pPr>
        <w:pStyle w:val="BodyText"/>
        <w:spacing w:line="297" w:lineRule="auto" w:before="66"/>
        <w:ind w:left="1133" w:right="0"/>
        <w:jc w:val="left"/>
      </w:pPr>
      <w:r>
        <w:rPr>
          <w:spacing w:val="-1"/>
        </w:rPr>
        <w:t>使选择权时租赁资产的公允价值，因而在租赁开始日就可以合理确定本集团将会行使这种选择权。③即使</w:t>
      </w:r>
      <w:r>
        <w:rPr>
          <w:spacing w:val="-81"/>
        </w:rPr>
        <w:t> </w:t>
      </w:r>
      <w:r>
        <w:rPr>
          <w:spacing w:val="-81"/>
        </w:rPr>
      </w:r>
      <w:r>
        <w:rPr>
          <w:spacing w:val="-1"/>
        </w:rPr>
        <w:t>资产的所有权不转移，但租赁期占租赁资产使用寿命的大部分。④本集团在租赁开始日的最低租赁付款额</w:t>
      </w:r>
    </w:p>
    <w:p>
      <w:pPr>
        <w:spacing w:after="0" w:line="297"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3" w:right="1109"/>
        <w:jc w:val="both"/>
      </w:pPr>
      <w:r>
        <w:rPr>
          <w:spacing w:val="-1"/>
        </w:rPr>
        <w:t>现值，几乎相当于租赁开始日租赁资产公允价值。⑤租赁资产性质特殊，如果不作较大改造，只有本集团</w:t>
      </w:r>
      <w:r>
        <w:rPr>
          <w:spacing w:val="-86"/>
        </w:rPr>
        <w:t> </w:t>
      </w:r>
      <w:r>
        <w:rPr>
          <w:spacing w:val="-86"/>
        </w:rPr>
      </w:r>
      <w:r>
        <w:rPr>
          <w:spacing w:val="-1"/>
        </w:rPr>
        <w:t>才能使用。融资租赁租入的固定资产，按租赁开始日租赁资产公允价值与最低租赁付款额的现值两者中较</w:t>
      </w:r>
      <w:r>
        <w:rPr>
          <w:spacing w:val="-81"/>
        </w:rPr>
        <w:t> </w:t>
      </w:r>
      <w:r>
        <w:rPr>
          <w:spacing w:val="-81"/>
        </w:rPr>
      </w:r>
      <w:r>
        <w:rPr>
          <w:spacing w:val="-1"/>
        </w:rPr>
        <w:t>低者，作为入账价值。最低租赁付款额作为长期应付款的入账价值，其差额作为未确认融资费用。在租赁</w:t>
      </w:r>
      <w:r>
        <w:rPr>
          <w:spacing w:val="-86"/>
        </w:rPr>
        <w:t> </w:t>
      </w:r>
      <w:r>
        <w:rPr>
          <w:spacing w:val="-86"/>
        </w:rPr>
      </w:r>
      <w:r>
        <w:rPr>
          <w:spacing w:val="-1"/>
        </w:rPr>
        <w:t>谈判和签订租赁合同过程中发生的，可归属于租赁项目的手续费、律师费、差旅费、印花税等初始直接费</w:t>
      </w:r>
      <w:r>
        <w:rPr>
          <w:spacing w:val="-86"/>
        </w:rPr>
        <w:t> </w:t>
      </w:r>
      <w:r>
        <w:rPr>
          <w:spacing w:val="-86"/>
        </w:rPr>
      </w:r>
      <w:r>
        <w:rPr>
          <w:spacing w:val="-1"/>
        </w:rPr>
        <w:t>用，计入租入资产价值。未确认融资费用在租赁期内各个期间采用实际利率法进行分摊。融资租入的固定</w:t>
      </w:r>
      <w:r>
        <w:rPr>
          <w:spacing w:val="-83"/>
        </w:rPr>
        <w:t> </w:t>
      </w:r>
      <w:r>
        <w:rPr>
          <w:spacing w:val="-83"/>
        </w:rPr>
      </w:r>
      <w:r>
        <w:rPr>
          <w:spacing w:val="-1"/>
        </w:rPr>
        <w:t>资产采用与自有固定资产一致的政策计提租赁资产折旧。能够合理确定租赁期届满时将会取得租赁资产所</w:t>
      </w:r>
      <w:r>
        <w:rPr>
          <w:spacing w:val="-81"/>
        </w:rPr>
        <w:t> </w:t>
      </w:r>
      <w:r>
        <w:rPr>
          <w:spacing w:val="-81"/>
        </w:rPr>
      </w:r>
      <w:r>
        <w:rPr/>
        <w:t>有权的，在租赁资产尚可使用年限内计提折旧；无法合理确定租赁期届满时能够取得租赁资产所有权的，</w:t>
      </w:r>
      <w:r>
        <w:rPr/>
        <w:t> 在租赁期与租赁资产尚可使用年限两者中较短的期间内计提折旧。</w:t>
      </w:r>
    </w:p>
    <w:p>
      <w:pPr>
        <w:spacing w:line="240" w:lineRule="auto" w:before="3"/>
        <w:rPr>
          <w:rFonts w:ascii="宋体" w:hAnsi="宋体" w:cs="宋体" w:eastAsia="宋体" w:hint="default"/>
          <w:sz w:val="17"/>
          <w:szCs w:val="17"/>
        </w:rPr>
      </w:pPr>
    </w:p>
    <w:p>
      <w:pPr>
        <w:pStyle w:val="BodyText"/>
        <w:spacing w:line="496" w:lineRule="auto"/>
        <w:ind w:left="1553" w:right="6763"/>
        <w:jc w:val="left"/>
      </w:pPr>
      <w:bookmarkStart w:name="17、在建工程" w:id="194"/>
      <w:bookmarkEnd w:id="194"/>
      <w:r>
        <w:rPr/>
      </w:r>
      <w:r>
        <w:rPr>
          <w:rFonts w:ascii="Times New Roman" w:hAnsi="Times New Roman" w:cs="Times New Roman" w:eastAsia="Times New Roman" w:hint="default"/>
        </w:rPr>
        <w:t>17</w:t>
      </w:r>
      <w:r>
        <w:rPr>
          <w:rFonts w:ascii="微软雅黑" w:hAnsi="微软雅黑" w:cs="微软雅黑" w:eastAsia="微软雅黑" w:hint="default"/>
        </w:rPr>
        <w:t>、在建工程 </w:t>
      </w:r>
      <w:r>
        <w:rPr/>
        <w:t>公司是否需要遵守特殊行业的披露要求 否</w:t>
      </w:r>
    </w:p>
    <w:p>
      <w:pPr>
        <w:pStyle w:val="BodyText"/>
        <w:spacing w:line="297" w:lineRule="auto" w:before="59"/>
        <w:ind w:left="1134" w:right="0" w:firstLine="420"/>
        <w:jc w:val="left"/>
      </w:pPr>
      <w:r>
        <w:rPr>
          <w:spacing w:val="-1"/>
        </w:rPr>
        <w:t>本集团在建工程成本按实际工程支出确定，包括在建期间发生的各项必要工程支出、工程达到预定可</w:t>
      </w:r>
      <w:r>
        <w:rPr/>
        <w:t> 使用状态前的应予资本化的借款费用以及其他相关费用等。</w:t>
      </w:r>
    </w:p>
    <w:p>
      <w:pPr>
        <w:spacing w:line="240" w:lineRule="auto" w:before="10"/>
        <w:rPr>
          <w:rFonts w:ascii="宋体" w:hAnsi="宋体" w:cs="宋体" w:eastAsia="宋体" w:hint="default"/>
          <w:sz w:val="17"/>
          <w:szCs w:val="17"/>
        </w:rPr>
      </w:pPr>
    </w:p>
    <w:p>
      <w:pPr>
        <w:pStyle w:val="BodyText"/>
        <w:spacing w:line="472" w:lineRule="auto"/>
        <w:ind w:left="1553" w:right="3950"/>
        <w:jc w:val="left"/>
        <w:rPr>
          <w:rFonts w:ascii="微软雅黑" w:hAnsi="微软雅黑" w:cs="微软雅黑" w:eastAsia="微软雅黑" w:hint="default"/>
        </w:rPr>
      </w:pPr>
      <w:r>
        <w:rPr/>
        <w:t>在建工程在达到预定可使用状态时转入固定资产。 在建工程计提资产减值方法见本报告“第十一节财务报告</w:t>
      </w:r>
      <w:r>
        <w:rPr>
          <w:spacing w:val="-22"/>
        </w:rPr>
        <w:t> </w:t>
      </w:r>
      <w:r>
        <w:rPr/>
        <w:t>五、</w:t>
      </w:r>
      <w:r>
        <w:rPr>
          <w:rFonts w:ascii="Times New Roman" w:hAnsi="Times New Roman" w:cs="Times New Roman" w:eastAsia="Times New Roman" w:hint="default"/>
        </w:rPr>
        <w:t>22</w:t>
      </w:r>
      <w:r>
        <w:rPr/>
        <w:t>”。 </w:t>
      </w:r>
      <w:bookmarkStart w:name="18、借款费用" w:id="195"/>
      <w:bookmarkEnd w:id="195"/>
      <w:r>
        <w:rPr/>
      </w:r>
      <w:r>
        <w:rPr>
          <w:rFonts w:ascii="Times New Roman" w:hAnsi="Times New Roman" w:cs="Times New Roman" w:eastAsia="Times New Roman" w:hint="default"/>
        </w:rPr>
        <w:t>18</w:t>
      </w:r>
      <w:r>
        <w:rPr>
          <w:rFonts w:ascii="微软雅黑" w:hAnsi="微软雅黑" w:cs="微软雅黑" w:eastAsia="微软雅黑" w:hint="default"/>
        </w:rPr>
        <w:t>、借款费用</w:t>
      </w:r>
    </w:p>
    <w:p>
      <w:pPr>
        <w:pStyle w:val="BodyText"/>
        <w:spacing w:line="240" w:lineRule="auto" w:before="134"/>
        <w:ind w:left="1553" w:right="0"/>
        <w:jc w:val="left"/>
      </w:pPr>
      <w:r>
        <w:rPr/>
        <w:t>（</w:t>
      </w:r>
      <w:r>
        <w:rPr>
          <w:rFonts w:ascii="Times New Roman" w:hAnsi="Times New Roman" w:cs="Times New Roman" w:eastAsia="Times New Roman" w:hint="default"/>
        </w:rPr>
        <w:t>1</w:t>
      </w:r>
      <w:r>
        <w:rPr/>
        <w:t>）借款费用资本化的确认原则</w:t>
      </w:r>
    </w:p>
    <w:p>
      <w:pPr>
        <w:spacing w:line="240" w:lineRule="auto" w:before="6"/>
        <w:rPr>
          <w:rFonts w:ascii="宋体" w:hAnsi="宋体" w:cs="宋体" w:eastAsia="宋体" w:hint="default"/>
          <w:sz w:val="20"/>
          <w:szCs w:val="20"/>
        </w:rPr>
      </w:pPr>
    </w:p>
    <w:p>
      <w:pPr>
        <w:pStyle w:val="BodyText"/>
        <w:spacing w:line="297" w:lineRule="auto"/>
        <w:ind w:left="1134" w:right="1131" w:firstLine="420"/>
        <w:jc w:val="both"/>
      </w:pPr>
      <w:r>
        <w:rPr>
          <w:spacing w:val="-1"/>
        </w:rPr>
        <w:t>本集团发生的借款费用，可直接归属于符合资本化条件的资产的购建或者生产的，予以资本化，计入</w:t>
      </w:r>
      <w:r>
        <w:rPr/>
        <w:t> </w:t>
      </w:r>
      <w:r>
        <w:rPr>
          <w:spacing w:val="-1"/>
        </w:rPr>
        <w:t>相关资产成本；其他借款费用，在发生时根据其发生额确认为费用，计入当期损益。借款费用同时满足下</w:t>
      </w:r>
      <w:r>
        <w:rPr>
          <w:spacing w:val="-86"/>
        </w:rPr>
        <w:t> </w:t>
      </w:r>
      <w:r>
        <w:rPr>
          <w:spacing w:val="-86"/>
        </w:rPr>
      </w:r>
      <w:r>
        <w:rPr/>
        <w:t>列条件的，开始资本化：</w:t>
      </w:r>
    </w:p>
    <w:p>
      <w:pPr>
        <w:spacing w:line="240" w:lineRule="auto" w:before="12"/>
        <w:rPr>
          <w:rFonts w:ascii="宋体" w:hAnsi="宋体" w:cs="宋体" w:eastAsia="宋体" w:hint="default"/>
          <w:sz w:val="17"/>
          <w:szCs w:val="17"/>
        </w:rPr>
      </w:pPr>
    </w:p>
    <w:p>
      <w:pPr>
        <w:pStyle w:val="BodyText"/>
        <w:spacing w:line="297" w:lineRule="auto"/>
        <w:ind w:left="1134" w:right="0" w:firstLine="420"/>
        <w:jc w:val="left"/>
      </w:pPr>
      <w:r>
        <w:rPr>
          <w:spacing w:val="-1"/>
        </w:rPr>
        <w:t>①资产支出已经发生，资产支出包括为购建或者生产符合资本化条件的资产而以支付现金、转移非现</w:t>
      </w:r>
      <w:r>
        <w:rPr/>
        <w:t> 金资产或者承担带息债务形式发生的支出；</w:t>
      </w:r>
    </w:p>
    <w:p>
      <w:pPr>
        <w:spacing w:line="240" w:lineRule="auto" w:before="12"/>
        <w:rPr>
          <w:rFonts w:ascii="宋体" w:hAnsi="宋体" w:cs="宋体" w:eastAsia="宋体" w:hint="default"/>
          <w:sz w:val="17"/>
          <w:szCs w:val="17"/>
        </w:rPr>
      </w:pPr>
    </w:p>
    <w:p>
      <w:pPr>
        <w:pStyle w:val="BodyText"/>
        <w:spacing w:line="240" w:lineRule="auto"/>
        <w:ind w:right="0"/>
        <w:jc w:val="left"/>
      </w:pPr>
      <w:r>
        <w:rPr/>
        <w:t>②借款费用已经发生；</w:t>
      </w:r>
    </w:p>
    <w:p>
      <w:pPr>
        <w:spacing w:line="240" w:lineRule="auto" w:before="8"/>
        <w:rPr>
          <w:rFonts w:ascii="宋体" w:hAnsi="宋体" w:cs="宋体" w:eastAsia="宋体" w:hint="default"/>
          <w:sz w:val="21"/>
          <w:szCs w:val="21"/>
        </w:rPr>
      </w:pPr>
    </w:p>
    <w:p>
      <w:pPr>
        <w:pStyle w:val="BodyText"/>
        <w:spacing w:line="240" w:lineRule="auto"/>
        <w:ind w:right="0"/>
        <w:jc w:val="left"/>
      </w:pPr>
      <w:r>
        <w:rPr/>
        <w:t>③为使资产达到预定可使用或者可销售状态所必要的购建或者生产活动已经开始。</w:t>
      </w:r>
    </w:p>
    <w:p>
      <w:pPr>
        <w:pStyle w:val="BodyText"/>
        <w:spacing w:line="540" w:lineRule="atLeast" w:before="34"/>
        <w:ind w:right="0"/>
        <w:jc w:val="left"/>
      </w:pPr>
      <w:r>
        <w:rPr/>
        <w:t>（</w:t>
      </w:r>
      <w:r>
        <w:rPr>
          <w:rFonts w:ascii="Times New Roman" w:hAnsi="Times New Roman" w:cs="Times New Roman" w:eastAsia="Times New Roman" w:hint="default"/>
        </w:rPr>
        <w:t>2</w:t>
      </w:r>
      <w:r>
        <w:rPr/>
        <w:t>）借款费用资本化期间 </w:t>
      </w:r>
      <w:r>
        <w:rPr>
          <w:spacing w:val="3"/>
        </w:rPr>
        <w:t>本集团购建或者生产符合资本化条件的资产达到预定可使用或者可销售状态时，借款费用停止资本</w:t>
      </w:r>
    </w:p>
    <w:p>
      <w:pPr>
        <w:pStyle w:val="BodyText"/>
        <w:spacing w:line="297" w:lineRule="auto" w:before="64"/>
        <w:ind w:left="1134" w:right="1131"/>
        <w:jc w:val="both"/>
      </w:pPr>
      <w:r>
        <w:rPr>
          <w:spacing w:val="-1"/>
        </w:rPr>
        <w:t>化。在符合资本化条件的资产达到预定可使用或者可销售状态之后所发生的借款费用，在发生时根据其发</w:t>
      </w:r>
      <w:r>
        <w:rPr>
          <w:spacing w:val="-81"/>
        </w:rPr>
        <w:t> </w:t>
      </w:r>
      <w:r>
        <w:rPr>
          <w:spacing w:val="-81"/>
        </w:rPr>
      </w:r>
      <w:r>
        <w:rPr/>
        <w:t>生额确认为费用，计入当期损益。</w:t>
      </w:r>
    </w:p>
    <w:p>
      <w:pPr>
        <w:spacing w:line="240" w:lineRule="auto" w:before="12"/>
        <w:rPr>
          <w:rFonts w:ascii="宋体" w:hAnsi="宋体" w:cs="宋体" w:eastAsia="宋体" w:hint="default"/>
          <w:sz w:val="17"/>
          <w:szCs w:val="17"/>
        </w:rPr>
      </w:pPr>
    </w:p>
    <w:p>
      <w:pPr>
        <w:pStyle w:val="BodyText"/>
        <w:spacing w:line="280" w:lineRule="auto"/>
        <w:ind w:left="1134" w:right="1116" w:firstLine="420"/>
        <w:jc w:val="left"/>
      </w:pPr>
      <w:r>
        <w:rPr/>
        <w:t>符合资本化条件的资产在购建或者生产过程中发生非正常中断、且中断时间连续超过</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个月的，暂停 借款费用的资本化；正常中断期间的借款费用继续资本化。</w:t>
      </w:r>
    </w:p>
    <w:p>
      <w:pPr>
        <w:spacing w:after="0" w:line="28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6"/>
        <w:rPr>
          <w:rFonts w:ascii="宋体" w:hAnsi="宋体" w:cs="宋体" w:eastAsia="宋体" w:hint="default"/>
          <w:sz w:val="20"/>
          <w:szCs w:val="20"/>
        </w:rPr>
      </w:pPr>
    </w:p>
    <w:p>
      <w:pPr>
        <w:pStyle w:val="BodyText"/>
        <w:spacing w:line="297" w:lineRule="auto"/>
        <w:ind w:left="113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spacing w:line="240" w:lineRule="auto" w:before="12"/>
        <w:rPr>
          <w:rFonts w:ascii="宋体" w:hAnsi="宋体" w:cs="宋体" w:eastAsia="宋体" w:hint="default"/>
          <w:sz w:val="17"/>
          <w:szCs w:val="17"/>
        </w:rPr>
      </w:pPr>
    </w:p>
    <w:p>
      <w:pPr>
        <w:pStyle w:val="BodyText"/>
        <w:spacing w:line="240" w:lineRule="auto"/>
        <w:ind w:right="0"/>
        <w:jc w:val="left"/>
      </w:pPr>
      <w:r>
        <w:rPr/>
        <w:t>资本化期间内，外币专门借款的汇兑差额全部予以资本化；外币一般借款的汇兑差额计入当期损益。</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19、生物资产" w:id="196"/>
      <w:bookmarkEnd w:id="196"/>
      <w:r>
        <w:rPr/>
      </w:r>
      <w:r>
        <w:rPr>
          <w:rFonts w:ascii="Times New Roman" w:hAnsi="Times New Roman" w:cs="Times New Roman" w:eastAsia="Times New Roman" w:hint="default"/>
        </w:rPr>
        <w:t>19</w:t>
      </w:r>
      <w:r>
        <w:rPr>
          <w:rFonts w:ascii="微软雅黑" w:hAnsi="微软雅黑" w:cs="微软雅黑" w:eastAsia="微软雅黑" w:hint="default"/>
        </w:rPr>
        <w:t>、生物资产</w:t>
      </w:r>
    </w:p>
    <w:p>
      <w:pPr>
        <w:spacing w:line="240" w:lineRule="auto" w:before="5"/>
        <w:rPr>
          <w:rFonts w:ascii="微软雅黑" w:hAnsi="微软雅黑" w:cs="微软雅黑" w:eastAsia="微软雅黑" w:hint="default"/>
          <w:sz w:val="19"/>
          <w:szCs w:val="19"/>
        </w:rPr>
      </w:pPr>
    </w:p>
    <w:p>
      <w:pPr>
        <w:pStyle w:val="BodyText"/>
        <w:spacing w:line="240" w:lineRule="auto"/>
        <w:ind w:right="0"/>
        <w:jc w:val="left"/>
        <w:rPr>
          <w:rFonts w:ascii="微软雅黑" w:hAnsi="微软雅黑" w:cs="微软雅黑" w:eastAsia="微软雅黑" w:hint="default"/>
        </w:rPr>
      </w:pPr>
      <w:bookmarkStart w:name="20、油气资产" w:id="197"/>
      <w:bookmarkEnd w:id="197"/>
      <w:r>
        <w:rPr/>
      </w:r>
      <w:r>
        <w:rPr>
          <w:rFonts w:ascii="Times New Roman" w:hAnsi="Times New Roman" w:cs="Times New Roman" w:eastAsia="Times New Roman" w:hint="default"/>
        </w:rPr>
        <w:t>20</w:t>
      </w:r>
      <w:r>
        <w:rPr>
          <w:rFonts w:ascii="微软雅黑" w:hAnsi="微软雅黑" w:cs="微软雅黑" w:eastAsia="微软雅黑" w:hint="default"/>
        </w:rPr>
        <w:t>、油气资产</w:t>
      </w:r>
    </w:p>
    <w:p>
      <w:pPr>
        <w:spacing w:line="240" w:lineRule="auto" w:before="6"/>
        <w:rPr>
          <w:rFonts w:ascii="微软雅黑" w:hAnsi="微软雅黑" w:cs="微软雅黑" w:eastAsia="微软雅黑" w:hint="default"/>
          <w:sz w:val="19"/>
          <w:szCs w:val="19"/>
        </w:rPr>
      </w:pPr>
    </w:p>
    <w:p>
      <w:pPr>
        <w:pStyle w:val="BodyText"/>
        <w:spacing w:line="240" w:lineRule="auto"/>
        <w:ind w:right="0"/>
        <w:jc w:val="left"/>
        <w:rPr>
          <w:rFonts w:ascii="微软雅黑" w:hAnsi="微软雅黑" w:cs="微软雅黑" w:eastAsia="微软雅黑" w:hint="default"/>
        </w:rPr>
      </w:pPr>
      <w:bookmarkStart w:name="21、无形资产" w:id="198"/>
      <w:bookmarkEnd w:id="198"/>
      <w:r>
        <w:rPr/>
      </w:r>
      <w:r>
        <w:rPr>
          <w:rFonts w:ascii="Times New Roman" w:hAnsi="Times New Roman" w:cs="Times New Roman" w:eastAsia="Times New Roman" w:hint="default"/>
        </w:rPr>
        <w:t>21</w:t>
      </w:r>
      <w:r>
        <w:rPr>
          <w:rFonts w:ascii="微软雅黑" w:hAnsi="微软雅黑" w:cs="微软雅黑" w:eastAsia="微软雅黑" w:hint="default"/>
        </w:rPr>
        <w:t>、无形资产</w:t>
      </w:r>
    </w:p>
    <w:p>
      <w:pPr>
        <w:spacing w:line="240" w:lineRule="auto" w:before="6"/>
        <w:rPr>
          <w:rFonts w:ascii="微软雅黑" w:hAnsi="微软雅黑" w:cs="微软雅黑" w:eastAsia="微软雅黑" w:hint="default"/>
          <w:sz w:val="23"/>
          <w:szCs w:val="23"/>
        </w:rPr>
      </w:pPr>
    </w:p>
    <w:p>
      <w:pPr>
        <w:spacing w:line="475" w:lineRule="auto" w:before="0"/>
        <w:ind w:left="1554" w:right="6762" w:firstLine="2"/>
        <w:jc w:val="left"/>
        <w:rPr>
          <w:rFonts w:ascii="宋体" w:hAnsi="宋体" w:cs="宋体" w:eastAsia="宋体" w:hint="default"/>
          <w:sz w:val="21"/>
          <w:szCs w:val="21"/>
        </w:rPr>
      </w:pPr>
      <w:bookmarkStart w:name="（1）计价方法、使用寿命、减值测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公司是否需要遵守特殊行业的披露要求 否</w:t>
      </w:r>
    </w:p>
    <w:p>
      <w:pPr>
        <w:pStyle w:val="BodyText"/>
        <w:spacing w:line="240" w:lineRule="auto" w:before="78"/>
        <w:ind w:right="0"/>
        <w:jc w:val="left"/>
      </w:pPr>
      <w:r>
        <w:rPr/>
        <w:t>本集团无形资产包括外购软件、自有软件、合同权益及客户关系、专利技术及软件产品。</w:t>
      </w:r>
    </w:p>
    <w:p>
      <w:pPr>
        <w:spacing w:line="240" w:lineRule="auto" w:before="9"/>
        <w:rPr>
          <w:rFonts w:ascii="宋体" w:hAnsi="宋体" w:cs="宋体" w:eastAsia="宋体" w:hint="default"/>
          <w:sz w:val="21"/>
          <w:szCs w:val="21"/>
        </w:rPr>
      </w:pPr>
    </w:p>
    <w:p>
      <w:pPr>
        <w:pStyle w:val="BodyText"/>
        <w:spacing w:line="297" w:lineRule="auto"/>
        <w:ind w:left="1134" w:right="1131" w:firstLine="420"/>
        <w:jc w:val="both"/>
      </w:pPr>
      <w:r>
        <w:rPr>
          <w:spacing w:val="-1"/>
        </w:rPr>
        <w:t>无形资产按照成本进行初始计量，并于取得无形资产时分析判断其使用寿命。使用寿命为有限的，自</w:t>
      </w:r>
      <w:r>
        <w:rPr/>
        <w:t> </w:t>
      </w:r>
      <w:r>
        <w:rPr>
          <w:spacing w:val="-1"/>
        </w:rPr>
        <w:t>无形资产可供使用时起，采用能反映与该资产有关的经济利益的预期实现方式的摊销方法，在预计使用年</w:t>
      </w:r>
      <w:r>
        <w:rPr>
          <w:spacing w:val="-81"/>
        </w:rPr>
        <w:t> </w:t>
      </w:r>
      <w:r>
        <w:rPr>
          <w:spacing w:val="-81"/>
        </w:rPr>
      </w:r>
      <w:r>
        <w:rPr/>
        <w:t>限内摊销；无法可靠确定预期实现方式的，采用直线法摊销；使用寿命不确定的无形资产，不作摊销。</w:t>
      </w:r>
    </w:p>
    <w:p>
      <w:pPr>
        <w:spacing w:line="240" w:lineRule="auto" w:before="12"/>
        <w:rPr>
          <w:rFonts w:ascii="宋体" w:hAnsi="宋体" w:cs="宋体" w:eastAsia="宋体" w:hint="default"/>
          <w:sz w:val="17"/>
          <w:szCs w:val="17"/>
        </w:rPr>
      </w:pPr>
    </w:p>
    <w:p>
      <w:pPr>
        <w:pStyle w:val="BodyText"/>
        <w:spacing w:line="240" w:lineRule="auto"/>
        <w:ind w:left="1553" w:right="0"/>
        <w:jc w:val="left"/>
      </w:pPr>
      <w:r>
        <w:rPr/>
        <w:t>使用寿命有限的无形资产摊销方法如下：</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630"/>
        <w:gridCol w:w="2410"/>
        <w:gridCol w:w="3815"/>
      </w:tblGrid>
      <w:tr>
        <w:trPr>
          <w:trHeight w:val="427" w:hRule="exact"/>
        </w:trPr>
        <w:tc>
          <w:tcPr>
            <w:tcW w:w="36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使用寿命（年）</w:t>
            </w:r>
          </w:p>
        </w:tc>
        <w:tc>
          <w:tcPr>
            <w:tcW w:w="38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427" w:hRule="exact"/>
        </w:trPr>
        <w:tc>
          <w:tcPr>
            <w:tcW w:w="36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外购软件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自有软件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5</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合同权益及客户关系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5.58</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专利技术及软件产品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5.58</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4"/>
        <w:rPr>
          <w:rFonts w:ascii="宋体" w:hAnsi="宋体" w:cs="宋体" w:eastAsia="宋体" w:hint="default"/>
          <w:sz w:val="11"/>
          <w:szCs w:val="11"/>
        </w:rPr>
      </w:pPr>
    </w:p>
    <w:p>
      <w:pPr>
        <w:pStyle w:val="BodyText"/>
        <w:spacing w:line="297" w:lineRule="auto" w:before="35"/>
        <w:ind w:left="1134" w:right="0" w:firstLine="420"/>
        <w:jc w:val="left"/>
      </w:pPr>
      <w:r>
        <w:rPr>
          <w:spacing w:val="-1"/>
        </w:rPr>
        <w:t>本集团于每年年度终了，对使用寿命有限的无形资产的使用寿命及摊销方法进行复核，与以前估计不</w:t>
      </w:r>
      <w:r>
        <w:rPr/>
        <w:t> 同的，调整原先估计数，并按会计估计变更处理。</w:t>
      </w:r>
    </w:p>
    <w:p>
      <w:pPr>
        <w:spacing w:line="240" w:lineRule="auto" w:before="10"/>
        <w:rPr>
          <w:rFonts w:ascii="宋体" w:hAnsi="宋体" w:cs="宋体" w:eastAsia="宋体" w:hint="default"/>
          <w:sz w:val="17"/>
          <w:szCs w:val="17"/>
        </w:rPr>
      </w:pPr>
    </w:p>
    <w:p>
      <w:pPr>
        <w:pStyle w:val="BodyText"/>
        <w:spacing w:line="297" w:lineRule="auto"/>
        <w:ind w:left="1134" w:right="0" w:firstLine="420"/>
        <w:jc w:val="left"/>
      </w:pPr>
      <w:r>
        <w:rPr>
          <w:spacing w:val="-1"/>
        </w:rPr>
        <w:t>资产负债表日预计某项无形资产已经不能给企业带来未来经济利益的，将该项无形资产的账面价值全</w:t>
      </w:r>
      <w:r>
        <w:rPr/>
        <w:t> 部转入当期损益。</w:t>
      </w:r>
    </w:p>
    <w:p>
      <w:pPr>
        <w:spacing w:line="240" w:lineRule="auto" w:before="10"/>
        <w:rPr>
          <w:rFonts w:ascii="宋体" w:hAnsi="宋体" w:cs="宋体" w:eastAsia="宋体" w:hint="default"/>
          <w:sz w:val="17"/>
          <w:szCs w:val="17"/>
        </w:rPr>
      </w:pPr>
    </w:p>
    <w:p>
      <w:pPr>
        <w:pStyle w:val="BodyText"/>
        <w:spacing w:line="240" w:lineRule="auto"/>
        <w:ind w:right="0"/>
        <w:jc w:val="left"/>
      </w:pPr>
      <w:r>
        <w:rPr/>
        <w:t>无形资产计提资产减值方法见本报告“第十一节财务报告</w:t>
      </w:r>
      <w:r>
        <w:rPr>
          <w:spacing w:val="-22"/>
        </w:rPr>
        <w:t> </w:t>
      </w:r>
      <w:r>
        <w:rPr/>
        <w:t>五、</w:t>
      </w:r>
      <w:r>
        <w:rPr>
          <w:rFonts w:ascii="Times New Roman" w:hAnsi="Times New Roman" w:cs="Times New Roman" w:eastAsia="Times New Roman" w:hint="default"/>
        </w:rPr>
        <w:t>22</w:t>
      </w:r>
      <w:r>
        <w:rPr/>
        <w:t>”。</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b/>
          <w:bCs/>
          <w:sz w:val="19"/>
          <w:szCs w:val="19"/>
        </w:rPr>
      </w:pPr>
    </w:p>
    <w:p>
      <w:pPr>
        <w:pStyle w:val="BodyText"/>
        <w:spacing w:line="487" w:lineRule="auto" w:before="35"/>
        <w:ind w:left="1553" w:right="0"/>
        <w:jc w:val="left"/>
      </w:pPr>
      <w:r>
        <w:rPr/>
        <w:t>本集团将内部研究开发项目的支出，区分为研究阶段支出和开发阶段支出。 研究阶段的支出，于发生时计入当期损益。</w:t>
      </w:r>
    </w:p>
    <w:p>
      <w:pPr>
        <w:pStyle w:val="BodyText"/>
        <w:spacing w:line="297" w:lineRule="auto" w:before="68"/>
        <w:ind w:left="1134" w:right="1130" w:firstLine="420"/>
        <w:jc w:val="both"/>
      </w:pPr>
      <w:r>
        <w:rPr>
          <w:spacing w:val="-1"/>
        </w:rPr>
        <w:t>开发阶段的支出，同时满足下列条件的，才能予以资本化，即：完成该无形资产以使其能够使用或出</w:t>
      </w:r>
      <w:r>
        <w:rPr/>
        <w:t> </w:t>
      </w: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spacing w:val="-1"/>
        </w:rPr>
        <w:t>售该无形资产；归属于该无形资产开发阶段的支出能够可靠地计量。不满足上述条件的开发支出计入当期</w:t>
      </w:r>
      <w:r>
        <w:rPr>
          <w:spacing w:val="-81"/>
        </w:rPr>
        <w:t> </w:t>
      </w:r>
      <w:r>
        <w:rPr>
          <w:spacing w:val="-81"/>
        </w:rPr>
      </w:r>
      <w:r>
        <w:rPr/>
        <w:t>损益。</w:t>
      </w:r>
    </w:p>
    <w:p>
      <w:pPr>
        <w:spacing w:line="240" w:lineRule="auto" w:before="12"/>
        <w:rPr>
          <w:rFonts w:ascii="宋体" w:hAnsi="宋体" w:cs="宋体" w:eastAsia="宋体" w:hint="default"/>
          <w:sz w:val="17"/>
          <w:szCs w:val="17"/>
        </w:rPr>
      </w:pPr>
    </w:p>
    <w:p>
      <w:pPr>
        <w:pStyle w:val="BodyText"/>
        <w:spacing w:line="297" w:lineRule="auto"/>
        <w:ind w:left="1134" w:right="1116" w:firstLine="420"/>
        <w:jc w:val="left"/>
      </w:pPr>
      <w:r>
        <w:rPr>
          <w:spacing w:val="-1"/>
        </w:rPr>
        <w:t>本集团研究开发项目在满足上述条件，通过技术可行性及经济可行性研究，形成项目立项后，进入开</w:t>
      </w:r>
      <w:r>
        <w:rPr/>
        <w:t> 发阶段。</w:t>
      </w:r>
    </w:p>
    <w:p>
      <w:pPr>
        <w:spacing w:line="240" w:lineRule="auto" w:before="12"/>
        <w:rPr>
          <w:rFonts w:ascii="宋体" w:hAnsi="宋体" w:cs="宋体" w:eastAsia="宋体" w:hint="default"/>
          <w:sz w:val="17"/>
          <w:szCs w:val="17"/>
        </w:rPr>
      </w:pPr>
    </w:p>
    <w:p>
      <w:pPr>
        <w:pStyle w:val="BodyText"/>
        <w:spacing w:line="297" w:lineRule="auto"/>
        <w:ind w:left="1134" w:right="1116" w:firstLine="420"/>
        <w:jc w:val="left"/>
      </w:pPr>
      <w:r>
        <w:rPr>
          <w:spacing w:val="-1"/>
        </w:rPr>
        <w:t>已资本化的开发阶段的支出在资产负债表上列示为开发支出，自该项目达到预定用途之日转为无形资</w:t>
      </w:r>
      <w:r>
        <w:rPr/>
        <w:t> 产。</w:t>
      </w:r>
    </w:p>
    <w:p>
      <w:pPr>
        <w:pStyle w:val="BodyText"/>
        <w:spacing w:line="558" w:lineRule="exact" w:before="33"/>
        <w:ind w:left="1553" w:right="1111"/>
        <w:jc w:val="left"/>
      </w:pPr>
      <w:r>
        <w:rPr/>
        <w:t>具体研发项目的资本化方法： 产品项目研究阶段：由项目（产品）经理申请设立</w:t>
      </w:r>
      <w:r>
        <w:rPr>
          <w:rFonts w:ascii="Times New Roman" w:hAnsi="Times New Roman" w:cs="Times New Roman" w:eastAsia="Times New Roman" w:hint="default"/>
        </w:rPr>
        <w:t>‘</w:t>
      </w:r>
      <w:r>
        <w:rPr/>
        <w:t>预研项目</w:t>
      </w:r>
      <w:r>
        <w:rPr>
          <w:rFonts w:ascii="Times New Roman" w:hAnsi="Times New Roman" w:cs="Times New Roman" w:eastAsia="Times New Roman" w:hint="default"/>
        </w:rPr>
        <w:t>’,</w:t>
      </w:r>
      <w:r>
        <w:rPr/>
        <w:t>对未来即将正式开发的产品项目进行关</w:t>
      </w:r>
    </w:p>
    <w:p>
      <w:pPr>
        <w:pStyle w:val="BodyText"/>
        <w:spacing w:line="275" w:lineRule="exact"/>
        <w:ind w:left="1134" w:right="0"/>
        <w:jc w:val="left"/>
      </w:pPr>
      <w:r>
        <w:rPr/>
        <w:t>键技术点测试</w:t>
      </w:r>
      <w:r>
        <w:rPr>
          <w:rFonts w:ascii="Times New Roman" w:hAnsi="Times New Roman" w:cs="Times New Roman" w:eastAsia="Times New Roman" w:hint="default"/>
        </w:rPr>
        <w:t>,</w:t>
      </w:r>
      <w:r>
        <w:rPr/>
        <w:t>以确保其有技术可行性</w:t>
      </w:r>
      <w:r>
        <w:rPr>
          <w:rFonts w:ascii="Times New Roman" w:hAnsi="Times New Roman" w:cs="Times New Roman" w:eastAsia="Times New Roman" w:hint="default"/>
        </w:rPr>
        <w:t>,</w:t>
      </w:r>
      <w:r>
        <w:rPr/>
        <w:t>不产生阶段性成果</w:t>
      </w:r>
      <w:r>
        <w:rPr>
          <w:rFonts w:ascii="Times New Roman" w:hAnsi="Times New Roman" w:cs="Times New Roman" w:eastAsia="Times New Roman" w:hint="default"/>
        </w:rPr>
        <w:t>,</w:t>
      </w:r>
      <w:r>
        <w:rPr/>
        <w:t>这部分支出为费用化支出</w:t>
      </w:r>
      <w:r>
        <w:rPr>
          <w:rFonts w:ascii="Times New Roman" w:hAnsi="Times New Roman" w:cs="Times New Roman" w:eastAsia="Times New Roman" w:hint="default"/>
        </w:rPr>
        <w:t>,</w:t>
      </w:r>
      <w:r>
        <w:rPr/>
        <w:t>计入当期损益。</w:t>
      </w:r>
    </w:p>
    <w:p>
      <w:pPr>
        <w:spacing w:line="240" w:lineRule="auto" w:before="6"/>
        <w:rPr>
          <w:rFonts w:ascii="宋体" w:hAnsi="宋体" w:cs="宋体" w:eastAsia="宋体" w:hint="default"/>
          <w:sz w:val="20"/>
          <w:szCs w:val="20"/>
        </w:rPr>
      </w:pPr>
    </w:p>
    <w:p>
      <w:pPr>
        <w:pStyle w:val="BodyText"/>
        <w:spacing w:line="292" w:lineRule="auto"/>
        <w:ind w:left="1133" w:right="1018" w:firstLine="420"/>
        <w:jc w:val="left"/>
      </w:pPr>
      <w:r>
        <w:rPr>
          <w:spacing w:val="-3"/>
        </w:rPr>
        <w:t>产品项目开发阶段：在预研阶段确定了项目的技术可行性后，开始设立正式产品项目，由项目（产品）</w:t>
      </w:r>
      <w:r>
        <w:rPr/>
        <w:t> </w:t>
      </w:r>
      <w:r>
        <w:rPr>
          <w:spacing w:val="-2"/>
        </w:rPr>
        <w:t>经理提交</w:t>
      </w:r>
      <w:r>
        <w:rPr>
          <w:rFonts w:ascii="Times New Roman" w:hAnsi="Times New Roman" w:cs="Times New Roman" w:eastAsia="Times New Roman" w:hint="default"/>
          <w:spacing w:val="-2"/>
        </w:rPr>
        <w:t>‘</w:t>
      </w:r>
      <w:r>
        <w:rPr>
          <w:spacing w:val="-2"/>
        </w:rPr>
        <w:t>立项申请表</w:t>
      </w:r>
      <w:r>
        <w:rPr>
          <w:rFonts w:ascii="Times New Roman" w:hAnsi="Times New Roman" w:cs="Times New Roman" w:eastAsia="Times New Roman" w:hint="default"/>
          <w:spacing w:val="-2"/>
        </w:rPr>
        <w:t>’</w:t>
      </w:r>
      <w:r>
        <w:rPr>
          <w:spacing w:val="-2"/>
        </w:rPr>
        <w:t>以及</w:t>
      </w:r>
      <w:r>
        <w:rPr>
          <w:rFonts w:ascii="Times New Roman" w:hAnsi="Times New Roman" w:cs="Times New Roman" w:eastAsia="Times New Roman" w:hint="default"/>
          <w:spacing w:val="-2"/>
        </w:rPr>
        <w:t>‘</w:t>
      </w:r>
      <w:r>
        <w:rPr>
          <w:spacing w:val="-2"/>
        </w:rPr>
        <w:t>可行性分析报告</w:t>
      </w:r>
      <w:r>
        <w:rPr>
          <w:rFonts w:ascii="Times New Roman" w:hAnsi="Times New Roman" w:cs="Times New Roman" w:eastAsia="Times New Roman" w:hint="default"/>
          <w:spacing w:val="-2"/>
        </w:rPr>
        <w:t>’</w:t>
      </w:r>
      <w:r>
        <w:rPr>
          <w:spacing w:val="-2"/>
        </w:rPr>
        <w:t>，由项目（产品）管理委员会进行立项审核、事业群（部）负</w:t>
      </w:r>
      <w:r>
        <w:rPr/>
        <w:t> </w:t>
      </w:r>
      <w:r>
        <w:rPr>
          <w:spacing w:val="-6"/>
        </w:rPr>
        <w:t>责人负责立项终审；事业部组织完成各阶段评审，审核内容涉及：技术可行性（研究阶段结果）、项目（产</w:t>
      </w:r>
      <w:r>
        <w:rPr>
          <w:spacing w:val="-60"/>
        </w:rPr>
        <w:t> </w:t>
      </w:r>
      <w:r>
        <w:rPr>
          <w:spacing w:val="-60"/>
        </w:rPr>
      </w:r>
      <w:r>
        <w:rPr/>
        <w:t>品）未来应用空间、预期投入及收入等。此阶段支出能够可靠计量，立项审批通过后，相关支出发生时予</w:t>
      </w:r>
      <w:r>
        <w:rPr/>
        <w:t> 以资本化。</w:t>
      </w:r>
    </w:p>
    <w:p>
      <w:pPr>
        <w:spacing w:line="240" w:lineRule="auto" w:before="1"/>
        <w:rPr>
          <w:rFonts w:ascii="宋体" w:hAnsi="宋体" w:cs="宋体" w:eastAsia="宋体" w:hint="default"/>
          <w:sz w:val="18"/>
          <w:szCs w:val="18"/>
        </w:rPr>
      </w:pPr>
    </w:p>
    <w:p>
      <w:pPr>
        <w:pStyle w:val="BodyText"/>
        <w:spacing w:line="280" w:lineRule="auto"/>
        <w:ind w:left="1133" w:right="0" w:firstLine="420"/>
        <w:jc w:val="left"/>
      </w:pPr>
      <w:r>
        <w:rPr/>
        <w:t>产品项目后续阶段（如适用）：在正式产品项目结项后，由项目（产品）经理申请</w:t>
      </w:r>
      <w:r>
        <w:rPr>
          <w:rFonts w:ascii="Times New Roman" w:hAnsi="Times New Roman" w:cs="Times New Roman" w:eastAsia="Times New Roman" w:hint="default"/>
        </w:rPr>
        <w:t>‘</w:t>
      </w:r>
      <w:r>
        <w:rPr/>
        <w:t>后续项目</w:t>
      </w:r>
      <w:r>
        <w:rPr>
          <w:rFonts w:ascii="Times New Roman" w:hAnsi="Times New Roman" w:cs="Times New Roman" w:eastAsia="Times New Roman" w:hint="default"/>
        </w:rPr>
        <w:t>’</w:t>
      </w:r>
      <w:r>
        <w:rPr/>
        <w:t>对产品 进行微调及完善，此阶段不产生明显利益增值，相关支出费用化，计入当期损益。</w:t>
      </w:r>
    </w:p>
    <w:p>
      <w:pPr>
        <w:spacing w:line="240" w:lineRule="auto" w:before="12"/>
        <w:rPr>
          <w:rFonts w:ascii="宋体" w:hAnsi="宋体" w:cs="宋体" w:eastAsia="宋体" w:hint="default"/>
          <w:sz w:val="18"/>
          <w:szCs w:val="18"/>
        </w:rPr>
      </w:pPr>
    </w:p>
    <w:p>
      <w:pPr>
        <w:pStyle w:val="BodyText"/>
        <w:spacing w:line="290" w:lineRule="auto"/>
        <w:ind w:left="1133" w:right="0" w:firstLine="420"/>
        <w:jc w:val="left"/>
      </w:pPr>
      <w:r>
        <w:rPr/>
        <w:t>产品项目再开发阶段（如适用）：基于上一阶段成果进行再开发，由项目（产品）经理申请正式产品 </w:t>
      </w:r>
      <w:r>
        <w:rPr>
          <w:spacing w:val="-5"/>
        </w:rPr>
        <w:t>立项，需提交</w:t>
      </w:r>
      <w:r>
        <w:rPr>
          <w:rFonts w:ascii="Times New Roman" w:hAnsi="Times New Roman" w:cs="Times New Roman" w:eastAsia="Times New Roman" w:hint="default"/>
          <w:spacing w:val="-5"/>
        </w:rPr>
        <w:t>‘</w:t>
      </w:r>
      <w:r>
        <w:rPr>
          <w:spacing w:val="-5"/>
        </w:rPr>
        <w:t>立项申请表</w:t>
      </w:r>
      <w:r>
        <w:rPr>
          <w:rFonts w:ascii="Times New Roman" w:hAnsi="Times New Roman" w:cs="Times New Roman" w:eastAsia="Times New Roman" w:hint="default"/>
          <w:spacing w:val="-5"/>
        </w:rPr>
        <w:t>’</w:t>
      </w:r>
      <w:r>
        <w:rPr>
          <w:spacing w:val="-5"/>
        </w:rPr>
        <w:t>以及</w:t>
      </w:r>
      <w:r>
        <w:rPr>
          <w:rFonts w:ascii="Times New Roman" w:hAnsi="Times New Roman" w:cs="Times New Roman" w:eastAsia="Times New Roman" w:hint="default"/>
          <w:spacing w:val="-5"/>
        </w:rPr>
        <w:t>‘</w:t>
      </w:r>
      <w:r>
        <w:rPr>
          <w:spacing w:val="-5"/>
        </w:rPr>
        <w:t>可行性分析报告</w:t>
      </w:r>
      <w:r>
        <w:rPr>
          <w:rFonts w:ascii="Times New Roman" w:hAnsi="Times New Roman" w:cs="Times New Roman" w:eastAsia="Times New Roman" w:hint="default"/>
          <w:spacing w:val="-5"/>
        </w:rPr>
        <w:t>’</w:t>
      </w:r>
      <w:r>
        <w:rPr>
          <w:spacing w:val="-5"/>
        </w:rPr>
        <w:t>，由项目（产品）管理委员会进行立项审核、事业群（部）</w:t>
      </w:r>
      <w:r>
        <w:rPr>
          <w:spacing w:val="-58"/>
        </w:rPr>
        <w:t> </w:t>
      </w:r>
      <w:r>
        <w:rPr>
          <w:spacing w:val="-58"/>
        </w:rPr>
      </w:r>
      <w:r>
        <w:rPr/>
        <w:t>负责人负责立项终审；事业部组织完成各阶段评审，审核内容涉及：技术可行性（研究阶段结果）、项目</w:t>
      </w:r>
    </w:p>
    <w:p>
      <w:pPr>
        <w:pStyle w:val="BodyText"/>
        <w:spacing w:line="297" w:lineRule="auto" w:before="20"/>
        <w:ind w:left="1134" w:right="0"/>
        <w:jc w:val="left"/>
      </w:pPr>
      <w:r>
        <w:rPr>
          <w:spacing w:val="-1"/>
        </w:rPr>
        <w:t>（产品）未来应用空间、预期投入及收入等。此阶段支出能够可靠的计量，立项审批通过后，相关支出发</w:t>
      </w:r>
      <w:r>
        <w:rPr>
          <w:spacing w:val="-83"/>
        </w:rPr>
        <w:t> </w:t>
      </w:r>
      <w:r>
        <w:rPr>
          <w:spacing w:val="-83"/>
        </w:rPr>
      </w:r>
      <w:r>
        <w:rPr/>
        <w:t>生时予以资本化。</w:t>
      </w:r>
    </w:p>
    <w:p>
      <w:pPr>
        <w:spacing w:line="240" w:lineRule="auto" w:before="3"/>
        <w:rPr>
          <w:rFonts w:ascii="宋体" w:hAnsi="宋体" w:cs="宋体" w:eastAsia="宋体" w:hint="default"/>
          <w:sz w:val="17"/>
          <w:szCs w:val="17"/>
        </w:rPr>
      </w:pPr>
    </w:p>
    <w:p>
      <w:pPr>
        <w:pStyle w:val="BodyText"/>
        <w:spacing w:line="240" w:lineRule="auto"/>
        <w:ind w:left="1553" w:right="0"/>
        <w:jc w:val="left"/>
        <w:rPr>
          <w:rFonts w:ascii="微软雅黑" w:hAnsi="微软雅黑" w:cs="微软雅黑" w:eastAsia="微软雅黑" w:hint="default"/>
        </w:rPr>
      </w:pPr>
      <w:bookmarkStart w:name="22、长期资产减值" w:id="201"/>
      <w:bookmarkEnd w:id="201"/>
      <w:r>
        <w:rPr/>
      </w:r>
      <w:r>
        <w:rPr>
          <w:rFonts w:ascii="Times New Roman" w:hAnsi="Times New Roman" w:cs="Times New Roman" w:eastAsia="Times New Roman" w:hint="default"/>
        </w:rPr>
        <w:t>22</w:t>
      </w:r>
      <w:r>
        <w:rPr>
          <w:rFonts w:ascii="微软雅黑" w:hAnsi="微软雅黑" w:cs="微软雅黑" w:eastAsia="微软雅黑" w:hint="default"/>
        </w:rPr>
        <w:t>、长期资产减值</w:t>
      </w:r>
    </w:p>
    <w:p>
      <w:pPr>
        <w:spacing w:line="240" w:lineRule="auto" w:before="7"/>
        <w:rPr>
          <w:rFonts w:ascii="微软雅黑" w:hAnsi="微软雅黑" w:cs="微软雅黑" w:eastAsia="微软雅黑" w:hint="default"/>
          <w:sz w:val="23"/>
          <w:szCs w:val="23"/>
        </w:rPr>
      </w:pPr>
    </w:p>
    <w:p>
      <w:pPr>
        <w:pStyle w:val="BodyText"/>
        <w:spacing w:line="297" w:lineRule="auto"/>
        <w:ind w:left="1133" w:right="1131" w:firstLine="420"/>
        <w:jc w:val="both"/>
      </w:pPr>
      <w:r>
        <w:rPr>
          <w:spacing w:val="-1"/>
        </w:rPr>
        <w:t>对子公司、联营企业和合营企业的长期股权投资、采用成本模式进行后续计量的投资性房地产、固定</w:t>
      </w:r>
      <w:r>
        <w:rPr/>
        <w:t> </w:t>
      </w:r>
      <w:r>
        <w:rPr>
          <w:spacing w:val="-1"/>
        </w:rPr>
        <w:t>资产、在建工程、采用成本模式计量的生产性生物资产、无形资产、商誉、探明石油天然气矿区权益和井</w:t>
      </w:r>
      <w:r>
        <w:rPr>
          <w:spacing w:val="-82"/>
        </w:rPr>
        <w:t> </w:t>
      </w:r>
      <w:r>
        <w:rPr>
          <w:spacing w:val="-82"/>
        </w:rPr>
      </w:r>
      <w:r>
        <w:rPr>
          <w:spacing w:val="-1"/>
        </w:rPr>
        <w:t>及相关设施等（存货、按公允价值模式计量的投资性房地产、递延所得税资产、金融资产除外）的资产减</w:t>
      </w:r>
      <w:r>
        <w:rPr>
          <w:spacing w:val="-83"/>
        </w:rPr>
        <w:t> </w:t>
      </w:r>
      <w:r>
        <w:rPr>
          <w:spacing w:val="-83"/>
        </w:rPr>
      </w:r>
      <w:r>
        <w:rPr/>
        <w:t>值，按以下方法确定：</w:t>
      </w:r>
    </w:p>
    <w:p>
      <w:pPr>
        <w:spacing w:after="0" w:line="297"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1131" w:firstLine="420"/>
        <w:jc w:val="both"/>
      </w:pPr>
      <w:r>
        <w:rPr>
          <w:spacing w:val="-1"/>
        </w:rPr>
        <w:t>于资产负债表日判断资产是否存在可能发生减值的迹象，存在减值迹象的，本集团将估计其可收回金</w:t>
      </w:r>
      <w:r>
        <w:rPr/>
        <w:t> </w:t>
      </w:r>
      <w:r>
        <w:rPr>
          <w:spacing w:val="-1"/>
        </w:rPr>
        <w:t>额，进行减值测试。对因企业合并所形成的商誉、使用寿命不确定的无形资产和尚未达到可使用状态的无</w:t>
      </w:r>
      <w:r>
        <w:rPr>
          <w:spacing w:val="-83"/>
        </w:rPr>
        <w:t> </w:t>
      </w:r>
      <w:r>
        <w:rPr>
          <w:spacing w:val="-83"/>
        </w:rPr>
      </w:r>
      <w:r>
        <w:rPr/>
        <w:t>形资产无论是否存在减值迹象，每年都进行减值测试。</w:t>
      </w:r>
    </w:p>
    <w:p>
      <w:pPr>
        <w:spacing w:line="240" w:lineRule="auto" w:before="12"/>
        <w:rPr>
          <w:rFonts w:ascii="宋体" w:hAnsi="宋体" w:cs="宋体" w:eastAsia="宋体" w:hint="default"/>
          <w:sz w:val="17"/>
          <w:szCs w:val="17"/>
        </w:rPr>
      </w:pPr>
    </w:p>
    <w:p>
      <w:pPr>
        <w:pStyle w:val="BodyText"/>
        <w:spacing w:line="297" w:lineRule="auto"/>
        <w:ind w:left="1134" w:right="1130" w:firstLine="420"/>
        <w:jc w:val="both"/>
      </w:pPr>
      <w:r>
        <w:rPr>
          <w:spacing w:val="3"/>
        </w:rPr>
        <w:t>可收回金额根据资产的公允价值减去处置费用后的净额与资产预计未来现金流量的现值两者之间较</w:t>
      </w:r>
      <w:r>
        <w:rPr/>
        <w:t> </w:t>
      </w:r>
      <w:r>
        <w:rPr>
          <w:spacing w:val="-1"/>
        </w:rPr>
        <w:t>高者确定。本集团以单项资产为基础估计其可收回金额；难以对单项资产的可收回金额进行估计的，以该</w:t>
      </w:r>
      <w:r>
        <w:rPr>
          <w:spacing w:val="-83"/>
        </w:rPr>
        <w:t> </w:t>
      </w:r>
      <w:r>
        <w:rPr>
          <w:spacing w:val="-83"/>
        </w:rPr>
      </w:r>
      <w:r>
        <w:rPr>
          <w:spacing w:val="-1"/>
        </w:rPr>
        <w:t>资产所属的资产组为基础确定资产组的可收回金额。资产组的认定，以资产组产生的主要现金流入是否独</w:t>
      </w:r>
      <w:r>
        <w:rPr>
          <w:spacing w:val="-81"/>
        </w:rPr>
        <w:t> </w:t>
      </w:r>
      <w:r>
        <w:rPr>
          <w:spacing w:val="-81"/>
        </w:rPr>
      </w:r>
      <w:r>
        <w:rPr/>
        <w:t>立于其他资产或者资产组的现金流入为依据。</w:t>
      </w:r>
    </w:p>
    <w:p>
      <w:pPr>
        <w:spacing w:line="240" w:lineRule="auto" w:before="10"/>
        <w:rPr>
          <w:rFonts w:ascii="宋体" w:hAnsi="宋体" w:cs="宋体" w:eastAsia="宋体" w:hint="default"/>
          <w:sz w:val="17"/>
          <w:szCs w:val="17"/>
        </w:rPr>
      </w:pPr>
    </w:p>
    <w:p>
      <w:pPr>
        <w:pStyle w:val="BodyText"/>
        <w:spacing w:line="297" w:lineRule="auto"/>
        <w:ind w:left="1134" w:right="1131" w:firstLine="420"/>
        <w:jc w:val="both"/>
      </w:pPr>
      <w:r>
        <w:rPr>
          <w:spacing w:val="-1"/>
        </w:rPr>
        <w:t>当资产或资产组的可收回金额低于其账面价值时，本集团将其账面价值减记至可收回金额，减记的金</w:t>
      </w:r>
      <w:r>
        <w:rPr/>
        <w:t> 额计入当期损益，同时计提相应的资产减值准备。</w:t>
      </w:r>
    </w:p>
    <w:p>
      <w:pPr>
        <w:spacing w:line="240" w:lineRule="auto" w:before="10"/>
        <w:rPr>
          <w:rFonts w:ascii="宋体" w:hAnsi="宋体" w:cs="宋体" w:eastAsia="宋体" w:hint="default"/>
          <w:sz w:val="17"/>
          <w:szCs w:val="17"/>
        </w:rPr>
      </w:pPr>
    </w:p>
    <w:p>
      <w:pPr>
        <w:pStyle w:val="BodyText"/>
        <w:spacing w:line="297" w:lineRule="auto"/>
        <w:ind w:left="1134" w:right="1023" w:firstLine="420"/>
        <w:jc w:val="left"/>
      </w:pPr>
      <w:r>
        <w:rPr/>
        <w:t>就商誉的减值测试而言，对于因企业合并形成的商誉的账面价值，自购买日起按照合理的方法分摊至 </w:t>
      </w:r>
      <w:r>
        <w:rPr>
          <w:spacing w:val="-3"/>
        </w:rPr>
        <w:t>相关的资产组；难以分摊至相关的资产组的，将其分摊至相关的资产组组合。相关的资产组或资产组组合，</w:t>
      </w:r>
      <w:r>
        <w:rPr>
          <w:spacing w:val="-90"/>
        </w:rPr>
        <w:t> </w:t>
      </w:r>
      <w:r>
        <w:rPr>
          <w:spacing w:val="-90"/>
        </w:rPr>
      </w:r>
      <w:r>
        <w:rPr/>
        <w:t>是能够从企业合并的协同效应中受益的资产组或者资产组组合，且不大于本集团确定的报告分部。</w:t>
      </w:r>
    </w:p>
    <w:p>
      <w:pPr>
        <w:spacing w:line="240" w:lineRule="auto" w:before="10"/>
        <w:rPr>
          <w:rFonts w:ascii="宋体" w:hAnsi="宋体" w:cs="宋体" w:eastAsia="宋体" w:hint="default"/>
          <w:sz w:val="17"/>
          <w:szCs w:val="17"/>
        </w:rPr>
      </w:pPr>
    </w:p>
    <w:p>
      <w:pPr>
        <w:pStyle w:val="BodyText"/>
        <w:spacing w:line="297" w:lineRule="auto"/>
        <w:ind w:left="1133" w:right="1131" w:firstLine="420"/>
        <w:jc w:val="both"/>
      </w:pPr>
      <w:r>
        <w:rPr>
          <w:spacing w:val="-1"/>
        </w:rPr>
        <w:t>减值测试时，如与商誉相关的资产组或者资产组组合存在减值迹象的，首先对不包含商誉的资产组或</w:t>
      </w:r>
      <w:r>
        <w:rPr/>
        <w:t> </w:t>
      </w:r>
      <w:r>
        <w:rPr>
          <w:spacing w:val="-1"/>
        </w:rPr>
        <w:t>者资产组组合进行减值测试，计算可收回金额，确认相应的减值损失。然后对包含商誉的资产组或者资产</w:t>
      </w:r>
      <w:r>
        <w:rPr>
          <w:spacing w:val="-83"/>
        </w:rPr>
        <w:t> </w:t>
      </w:r>
      <w:r>
        <w:rPr>
          <w:spacing w:val="-83"/>
        </w:rPr>
      </w:r>
      <w:r>
        <w:rPr>
          <w:spacing w:val="-1"/>
        </w:rPr>
        <w:t>组组合进行减值测试，比较其账面价值与可收回金额，如可收回金额低于账面价值的，确认商誉的减值损</w:t>
      </w:r>
      <w:r>
        <w:rPr>
          <w:spacing w:val="-83"/>
        </w:rPr>
        <w:t> </w:t>
      </w:r>
      <w:r>
        <w:rPr>
          <w:spacing w:val="-83"/>
        </w:rPr>
      </w:r>
      <w:r>
        <w:rPr/>
        <w:t>失。</w:t>
      </w:r>
    </w:p>
    <w:p>
      <w:pPr>
        <w:spacing w:line="240" w:lineRule="auto" w:before="10"/>
        <w:rPr>
          <w:rFonts w:ascii="宋体" w:hAnsi="宋体" w:cs="宋体" w:eastAsia="宋体" w:hint="default"/>
          <w:sz w:val="17"/>
          <w:szCs w:val="17"/>
        </w:rPr>
      </w:pPr>
    </w:p>
    <w:p>
      <w:pPr>
        <w:pStyle w:val="BodyText"/>
        <w:spacing w:line="240" w:lineRule="auto"/>
        <w:ind w:right="0"/>
        <w:jc w:val="left"/>
      </w:pPr>
      <w:r>
        <w:rPr/>
        <w:t>资产减值损失一经确认，在以后会计期间不再转回。</w:t>
      </w:r>
    </w:p>
    <w:p>
      <w:pPr>
        <w:spacing w:line="240" w:lineRule="auto" w:before="3"/>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23、长期待摊费用" w:id="202"/>
      <w:bookmarkEnd w:id="202"/>
      <w:r>
        <w:rPr/>
      </w:r>
      <w:r>
        <w:rPr>
          <w:rFonts w:ascii="Times New Roman" w:hAnsi="Times New Roman" w:cs="Times New Roman" w:eastAsia="Times New Roman" w:hint="default"/>
        </w:rPr>
        <w:t>23</w:t>
      </w:r>
      <w:r>
        <w:rPr>
          <w:rFonts w:ascii="微软雅黑" w:hAnsi="微软雅黑" w:cs="微软雅黑" w:eastAsia="微软雅黑" w:hint="default"/>
        </w:rPr>
        <w:t>、长期待摊费用</w:t>
      </w:r>
    </w:p>
    <w:p>
      <w:pPr>
        <w:spacing w:line="240" w:lineRule="auto" w:before="6"/>
        <w:rPr>
          <w:rFonts w:ascii="微软雅黑" w:hAnsi="微软雅黑" w:cs="微软雅黑" w:eastAsia="微软雅黑" w:hint="default"/>
          <w:sz w:val="23"/>
          <w:szCs w:val="23"/>
        </w:rPr>
      </w:pPr>
    </w:p>
    <w:p>
      <w:pPr>
        <w:pStyle w:val="BodyText"/>
        <w:spacing w:line="297" w:lineRule="auto"/>
        <w:ind w:left="1134" w:right="1131" w:firstLine="420"/>
        <w:jc w:val="both"/>
      </w:pPr>
      <w:r>
        <w:rPr>
          <w:spacing w:val="-1"/>
        </w:rPr>
        <w:t>本集团发生的长期待摊费用按实际成本计价，并按预计受益期限平均摊销。对不能使以后会计期间受</w:t>
      </w:r>
      <w:r>
        <w:rPr/>
        <w:t> 益的长期待摊费用项目，其摊余价值全部计入当期损益。</w:t>
      </w:r>
    </w:p>
    <w:p>
      <w:pPr>
        <w:spacing w:line="240" w:lineRule="auto" w:before="4"/>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24、职工薪酬" w:id="203"/>
      <w:bookmarkEnd w:id="203"/>
      <w:r>
        <w:rPr/>
      </w:r>
      <w:r>
        <w:rPr>
          <w:rFonts w:ascii="Times New Roman" w:hAnsi="Times New Roman" w:cs="Times New Roman" w:eastAsia="Times New Roman" w:hint="default"/>
        </w:rPr>
        <w:t>24</w:t>
      </w:r>
      <w:r>
        <w:rPr>
          <w:rFonts w:ascii="微软雅黑" w:hAnsi="微软雅黑" w:cs="微软雅黑" w:eastAsia="微软雅黑" w:hint="default"/>
        </w:rPr>
        <w:t>、职工薪酬</w:t>
      </w:r>
    </w:p>
    <w:p>
      <w:pPr>
        <w:spacing w:line="540" w:lineRule="atLeast" w:before="153"/>
        <w:ind w:left="1554" w:right="0" w:firstLine="2"/>
        <w:jc w:val="left"/>
        <w:rPr>
          <w:rFonts w:ascii="宋体" w:hAnsi="宋体" w:cs="宋体" w:eastAsia="宋体" w:hint="default"/>
          <w:sz w:val="21"/>
          <w:szCs w:val="21"/>
        </w:rPr>
      </w:pPr>
      <w:bookmarkStart w:name="（1）短期薪酬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本集团在职工提供服务的会计期间，将实际发生的职工工资、奖金、按规定的基准和比例为职工缴纳</w:t>
      </w:r>
    </w:p>
    <w:p>
      <w:pPr>
        <w:pStyle w:val="BodyText"/>
        <w:spacing w:line="297" w:lineRule="auto" w:before="66"/>
        <w:ind w:left="1134" w:right="1131"/>
        <w:jc w:val="both"/>
      </w:pPr>
      <w:r>
        <w:rPr>
          <w:spacing w:val="-1"/>
        </w:rPr>
        <w:t>的医疗保险费、工伤保险费和生育保险费等社会保险费和住房公积金，确认为负债，并计入当期损益或相</w:t>
      </w:r>
      <w:r>
        <w:rPr>
          <w:spacing w:val="-83"/>
        </w:rPr>
        <w:t> </w:t>
      </w:r>
      <w:r>
        <w:rPr>
          <w:spacing w:val="-83"/>
        </w:rPr>
      </w:r>
      <w:r>
        <w:rPr>
          <w:spacing w:val="-1"/>
        </w:rPr>
        <w:t>关资产成本。如果该负债预期在职工提供相关服务的年度报告期结束后十二个月内不能完全支付，且财务</w:t>
      </w:r>
      <w:r>
        <w:rPr>
          <w:spacing w:val="-81"/>
        </w:rPr>
        <w:t> </w:t>
      </w:r>
      <w:r>
        <w:rPr>
          <w:spacing w:val="-81"/>
        </w:rPr>
      </w:r>
      <w:r>
        <w:rPr/>
        <w:t>影响重大的，则该负债将以折现后的金额计量。</w:t>
      </w:r>
    </w:p>
    <w:p>
      <w:pPr>
        <w:spacing w:line="560" w:lineRule="exact" w:before="30"/>
        <w:ind w:left="1554" w:right="0" w:firstLine="2"/>
        <w:jc w:val="left"/>
        <w:rPr>
          <w:rFonts w:ascii="宋体" w:hAnsi="宋体" w:cs="宋体" w:eastAsia="宋体" w:hint="default"/>
          <w:sz w:val="21"/>
          <w:szCs w:val="21"/>
        </w:rPr>
      </w:pPr>
      <w:bookmarkStart w:name="（2）离职后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离职后福利计划包括设定提存计划和设定受益计划。其中，设定提存计划，是指向独立的基金缴存固</w:t>
      </w:r>
    </w:p>
    <w:p>
      <w:pPr>
        <w:pStyle w:val="BodyText"/>
        <w:spacing w:line="259" w:lineRule="exact"/>
        <w:ind w:left="1134" w:right="0"/>
        <w:jc w:val="both"/>
      </w:pPr>
      <w:r>
        <w:rPr/>
        <w:t>定费用后，企业不再承担进一步支付义务的离职后福利计划；设定受益计划，是指除设定提存计划以外的</w:t>
      </w:r>
    </w:p>
    <w:p>
      <w:pPr>
        <w:pStyle w:val="BodyText"/>
        <w:spacing w:line="487" w:lineRule="auto" w:before="64"/>
        <w:ind w:right="9072" w:hanging="420"/>
        <w:jc w:val="left"/>
      </w:pPr>
      <w:r>
        <w:rPr/>
        <w:t>离职后福利计划。 设定提存计划</w:t>
      </w:r>
    </w:p>
    <w:p>
      <w:pPr>
        <w:spacing w:after="0" w:line="487"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设定提存计划包括基本养老保险、失业保险等。</w:t>
      </w:r>
    </w:p>
    <w:p>
      <w:pPr>
        <w:spacing w:line="240" w:lineRule="auto" w:before="8"/>
        <w:rPr>
          <w:rFonts w:ascii="宋体" w:hAnsi="宋体" w:cs="宋体" w:eastAsia="宋体" w:hint="default"/>
          <w:sz w:val="21"/>
          <w:szCs w:val="21"/>
        </w:rPr>
      </w:pPr>
    </w:p>
    <w:p>
      <w:pPr>
        <w:pStyle w:val="BodyText"/>
        <w:spacing w:line="297" w:lineRule="auto"/>
        <w:ind w:left="1134" w:right="1131" w:firstLine="420"/>
        <w:jc w:val="both"/>
      </w:pPr>
      <w:r>
        <w:rPr>
          <w:spacing w:val="-1"/>
        </w:rPr>
        <w:t>在职工提供服务的会计期间，根据设定提存计划计算的应缴存金额确认为负债，并计入当期损益或相</w:t>
      </w:r>
      <w:r>
        <w:rPr/>
        <w:t> 关资产成本。</w:t>
      </w:r>
    </w:p>
    <w:p>
      <w:pPr>
        <w:pStyle w:val="BodyText"/>
        <w:spacing w:line="560" w:lineRule="exact" w:before="30"/>
        <w:ind w:right="0"/>
        <w:jc w:val="left"/>
      </w:pPr>
      <w:r>
        <w:rPr/>
        <w:t>设定受益计划 </w:t>
      </w:r>
      <w:r>
        <w:rPr>
          <w:spacing w:val="-1"/>
        </w:rPr>
        <w:t>对于设定受益计划，在年度资产负债表日由独立精算师进行精算估值，以预期累积福利单位法确定提</w:t>
      </w:r>
    </w:p>
    <w:p>
      <w:pPr>
        <w:pStyle w:val="BodyText"/>
        <w:spacing w:line="257" w:lineRule="exact"/>
        <w:ind w:left="1134" w:right="0"/>
        <w:jc w:val="left"/>
      </w:pPr>
      <w:r>
        <w:rPr/>
        <w:t>供福利的成本。本集团设定受益计划导致的职工薪酬成本包括下列组成部分：</w:t>
      </w:r>
    </w:p>
    <w:p>
      <w:pPr>
        <w:spacing w:line="240" w:lineRule="auto" w:before="10"/>
        <w:rPr>
          <w:rFonts w:ascii="宋体" w:hAnsi="宋体" w:cs="宋体" w:eastAsia="宋体" w:hint="default"/>
          <w:sz w:val="21"/>
          <w:szCs w:val="21"/>
        </w:rPr>
      </w:pPr>
    </w:p>
    <w:p>
      <w:pPr>
        <w:pStyle w:val="BodyText"/>
        <w:spacing w:line="297" w:lineRule="auto"/>
        <w:ind w:left="1133" w:right="1130" w:firstLine="420"/>
        <w:jc w:val="both"/>
      </w:pPr>
      <w:r>
        <w:rPr>
          <w:spacing w:val="-1"/>
        </w:rPr>
        <w:t>①服务成本，包括当期服务成本、过去服务成本和结算利得或损失。其中，当期服务成本，是指职工</w:t>
      </w:r>
      <w:r>
        <w:rPr/>
        <w:t> </w:t>
      </w:r>
      <w:r>
        <w:rPr>
          <w:spacing w:val="-1"/>
        </w:rPr>
        <w:t>当期提供服务所导致的设定受益计划义务现值的增加额；过去服务成本，是指设定受益计划修改所导致的</w:t>
      </w:r>
      <w:r>
        <w:rPr>
          <w:spacing w:val="-81"/>
        </w:rPr>
        <w:t> </w:t>
      </w:r>
      <w:r>
        <w:rPr>
          <w:spacing w:val="-81"/>
        </w:rPr>
      </w:r>
      <w:r>
        <w:rPr/>
        <w:t>与以前期间职工服务相关的设定受益计划义务现值的增加或减少。</w:t>
      </w:r>
    </w:p>
    <w:p>
      <w:pPr>
        <w:spacing w:line="240" w:lineRule="auto" w:before="12"/>
        <w:rPr>
          <w:rFonts w:ascii="宋体" w:hAnsi="宋体" w:cs="宋体" w:eastAsia="宋体" w:hint="default"/>
          <w:sz w:val="17"/>
          <w:szCs w:val="17"/>
        </w:rPr>
      </w:pPr>
    </w:p>
    <w:p>
      <w:pPr>
        <w:pStyle w:val="BodyText"/>
        <w:spacing w:line="297" w:lineRule="auto"/>
        <w:ind w:left="1133" w:right="1131" w:firstLine="420"/>
        <w:jc w:val="both"/>
      </w:pPr>
      <w:r>
        <w:rPr>
          <w:spacing w:val="-1"/>
        </w:rPr>
        <w:t>②设定受益计划净负债或净资产的利息净额，包括计划资产的利息收益、设定受益计划义务的利息费</w:t>
      </w:r>
      <w:r>
        <w:rPr/>
        <w:t> 用以及资产上限影响的利息。</w:t>
      </w:r>
    </w:p>
    <w:p>
      <w:pPr>
        <w:pStyle w:val="BodyText"/>
        <w:spacing w:line="558" w:lineRule="exact" w:before="33"/>
        <w:ind w:left="1553" w:right="1093"/>
        <w:jc w:val="left"/>
      </w:pPr>
      <w:r>
        <w:rPr/>
        <w:t>③重新计量设定受益计划净负债或净资产所产生的变动。 除非其他会计准则要求或允许职工福利成本计入资产成本，本集团将上述第①和②项计入当期损益；</w:t>
      </w:r>
    </w:p>
    <w:p>
      <w:pPr>
        <w:pStyle w:val="BodyText"/>
        <w:spacing w:line="259" w:lineRule="exact"/>
        <w:ind w:left="1133" w:right="0"/>
        <w:jc w:val="left"/>
      </w:pPr>
      <w:r>
        <w:rPr/>
        <w:t>第③项计入其他综合收益且不会在后续会计期间转回至损益，在原设定受益计划终止时在权益范围内将原</w:t>
      </w:r>
    </w:p>
    <w:p>
      <w:pPr>
        <w:pStyle w:val="BodyText"/>
        <w:spacing w:line="240" w:lineRule="auto" w:before="64"/>
        <w:ind w:left="1133" w:right="0"/>
        <w:jc w:val="left"/>
      </w:pPr>
      <w:r>
        <w:rPr/>
        <w:t>计入其他综合收益的部分全部结转至未分配利润。</w:t>
      </w:r>
    </w:p>
    <w:p>
      <w:pPr>
        <w:spacing w:line="540" w:lineRule="atLeast" w:before="35"/>
        <w:ind w:left="1554" w:right="0" w:firstLine="2"/>
        <w:jc w:val="left"/>
        <w:rPr>
          <w:rFonts w:ascii="宋体" w:hAnsi="宋体" w:cs="宋体" w:eastAsia="宋体" w:hint="default"/>
          <w:sz w:val="21"/>
          <w:szCs w:val="21"/>
        </w:rPr>
      </w:pPr>
      <w:bookmarkStart w:name="（3）辞退福利的会计处理方法" w:id="206"/>
      <w:bookmarkEnd w:id="2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本集团向职工提供辞退福利的，在下列两者孰早日确认辞退福利产生的职工薪酬负债，并计入当期损</w:t>
      </w:r>
    </w:p>
    <w:p>
      <w:pPr>
        <w:pStyle w:val="BodyText"/>
        <w:spacing w:line="297" w:lineRule="auto" w:before="66"/>
        <w:ind w:left="1134" w:right="0"/>
        <w:jc w:val="left"/>
      </w:pPr>
      <w:r>
        <w:rPr>
          <w:spacing w:val="-1"/>
        </w:rPr>
        <w:t>益：本集团不能单方面撤回因解除劳动关系计划或裁减建议所提供的辞退福利时；本集团确认与涉及支付</w:t>
      </w:r>
      <w:r>
        <w:rPr>
          <w:spacing w:val="-80"/>
        </w:rPr>
        <w:t> </w:t>
      </w:r>
      <w:r>
        <w:rPr>
          <w:spacing w:val="-80"/>
        </w:rPr>
      </w:r>
      <w:r>
        <w:rPr/>
        <w:t>辞退福利的重组相关的成本或费用时。</w:t>
      </w:r>
    </w:p>
    <w:p>
      <w:pPr>
        <w:spacing w:line="240" w:lineRule="auto" w:before="12"/>
        <w:rPr>
          <w:rFonts w:ascii="宋体" w:hAnsi="宋体" w:cs="宋体" w:eastAsia="宋体" w:hint="default"/>
          <w:sz w:val="17"/>
          <w:szCs w:val="17"/>
        </w:rPr>
      </w:pPr>
    </w:p>
    <w:p>
      <w:pPr>
        <w:pStyle w:val="BodyText"/>
        <w:spacing w:line="297" w:lineRule="auto"/>
        <w:ind w:left="1134" w:right="1131" w:firstLine="420"/>
        <w:jc w:val="both"/>
      </w:pPr>
      <w:r>
        <w:rPr>
          <w:spacing w:val="-1"/>
        </w:rPr>
        <w:t>实行职工内部退休计划的，在正式退休日之前的经济补偿，属于辞退福利，自职工停止提供服务日至</w:t>
      </w:r>
      <w:r>
        <w:rPr/>
        <w:t> </w:t>
      </w:r>
      <w:r>
        <w:rPr>
          <w:spacing w:val="-1"/>
        </w:rPr>
        <w:t>正常退休日期间，拟支付的内退职工工资和缴纳的社会保险费等一次性计入当期损益。正式退休日期之后</w:t>
      </w:r>
      <w:r>
        <w:rPr>
          <w:spacing w:val="-81"/>
        </w:rPr>
        <w:t> </w:t>
      </w:r>
      <w:r>
        <w:rPr>
          <w:spacing w:val="-81"/>
        </w:rPr>
      </w:r>
      <w:r>
        <w:rPr/>
        <w:t>的经济补偿（如正常养老退休金），按照离职后福利处理。</w:t>
      </w:r>
    </w:p>
    <w:p>
      <w:pPr>
        <w:spacing w:line="558" w:lineRule="exact" w:before="33"/>
        <w:ind w:left="1554" w:right="0" w:firstLine="2"/>
        <w:jc w:val="left"/>
        <w:rPr>
          <w:rFonts w:ascii="宋体" w:hAnsi="宋体" w:cs="宋体" w:eastAsia="宋体" w:hint="default"/>
          <w:sz w:val="21"/>
          <w:szCs w:val="21"/>
        </w:rPr>
      </w:pPr>
      <w:bookmarkStart w:name="（4）其他长期职工福利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本集团向职工提供的其他长期职工福利，符合设定提存计划条件的，按照上述关于设定提存计划的有</w:t>
      </w:r>
    </w:p>
    <w:p>
      <w:pPr>
        <w:pStyle w:val="BodyText"/>
        <w:spacing w:line="259" w:lineRule="exact"/>
        <w:ind w:left="1134" w:right="0"/>
        <w:jc w:val="left"/>
      </w:pPr>
      <w:r>
        <w:rPr/>
        <w:t>关规定进行处理。符合设定受益计划的，按照上述关于设定受益计划的有关规定进行处理，但相关职工薪</w:t>
      </w:r>
    </w:p>
    <w:p>
      <w:pPr>
        <w:pStyle w:val="BodyText"/>
        <w:spacing w:line="240" w:lineRule="auto" w:before="64"/>
        <w:ind w:left="1134" w:right="0"/>
        <w:jc w:val="left"/>
      </w:pPr>
      <w:r>
        <w:rPr/>
        <w:t>酬成本中“重新计量设定受益计划净负债或净资产所产生的变动”部分计入当期损益或相关资产成本。</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25、预计负债" w:id="208"/>
      <w:bookmarkEnd w:id="208"/>
      <w:r>
        <w:rPr/>
      </w:r>
      <w:r>
        <w:rPr>
          <w:rFonts w:ascii="Times New Roman" w:hAnsi="Times New Roman" w:cs="Times New Roman" w:eastAsia="Times New Roman" w:hint="default"/>
        </w:rPr>
        <w:t>25</w:t>
      </w:r>
      <w:r>
        <w:rPr>
          <w:rFonts w:ascii="微软雅黑" w:hAnsi="微软雅黑" w:cs="微软雅黑" w:eastAsia="微软雅黑" w:hint="default"/>
        </w:rPr>
        <w:t>、预计负债</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t>如果与或有事项相关的义务同时符合以下条件，本集团将其确认为预计负债：</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w:t>
      </w:r>
      <w:r>
        <w:rPr>
          <w:rFonts w:ascii="Times New Roman" w:hAnsi="Times New Roman" w:cs="Times New Roman" w:eastAsia="Times New Roman" w:hint="default"/>
        </w:rPr>
        <w:t>1</w:t>
      </w:r>
      <w:r>
        <w:rPr/>
        <w:t>）该义务是本集团承担的现时义务；</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w:t>
      </w:r>
      <w:r>
        <w:rPr>
          <w:rFonts w:ascii="Times New Roman" w:hAnsi="Times New Roman" w:cs="Times New Roman" w:eastAsia="Times New Roman" w:hint="default"/>
        </w:rPr>
        <w:t>2</w:t>
      </w:r>
      <w:r>
        <w:rPr/>
        <w:t>）该义务的履行很可能导致经济利益流出本集团；</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w:t>
      </w:r>
      <w:r>
        <w:rPr>
          <w:rFonts w:ascii="Times New Roman" w:hAnsi="Times New Roman" w:cs="Times New Roman" w:eastAsia="Times New Roman" w:hint="default"/>
        </w:rPr>
        <w:t>3</w:t>
      </w:r>
      <w:r>
        <w:rPr/>
        <w:t>）该义务的金额能够可靠地计量。</w:t>
      </w:r>
    </w:p>
    <w:p>
      <w:pPr>
        <w:spacing w:line="240" w:lineRule="auto" w:before="6"/>
        <w:rPr>
          <w:rFonts w:ascii="宋体" w:hAnsi="宋体" w:cs="宋体" w:eastAsia="宋体" w:hint="default"/>
          <w:sz w:val="20"/>
          <w:szCs w:val="20"/>
        </w:rPr>
      </w:pPr>
    </w:p>
    <w:p>
      <w:pPr>
        <w:pStyle w:val="BodyText"/>
        <w:spacing w:line="297" w:lineRule="auto"/>
        <w:ind w:left="1134" w:right="1131" w:firstLine="420"/>
        <w:jc w:val="both"/>
      </w:pPr>
      <w:r>
        <w:rPr>
          <w:spacing w:val="-1"/>
        </w:rPr>
        <w:t>预计负债按照履行相关现时义务所需支出的最佳估计数进行初始计量，并综合考虑与或有事项有关的</w:t>
      </w:r>
      <w:r>
        <w:rPr/>
        <w:t> </w:t>
      </w: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确定最佳估计数。本集团于资产负债表日对预计负债的账面价值进行复核，并对账面价值进行调整以反映</w:t>
      </w:r>
      <w:r>
        <w:rPr>
          <w:spacing w:val="-81"/>
        </w:rPr>
        <w:t> </w:t>
      </w:r>
      <w:r>
        <w:rPr>
          <w:spacing w:val="-81"/>
        </w:rPr>
      </w:r>
      <w:r>
        <w:rPr/>
        <w:t>当前最佳估计数。</w:t>
      </w:r>
    </w:p>
    <w:p>
      <w:pPr>
        <w:spacing w:line="240" w:lineRule="auto" w:before="12"/>
        <w:rPr>
          <w:rFonts w:ascii="宋体" w:hAnsi="宋体" w:cs="宋体" w:eastAsia="宋体" w:hint="default"/>
          <w:sz w:val="17"/>
          <w:szCs w:val="17"/>
        </w:rPr>
      </w:pPr>
    </w:p>
    <w:p>
      <w:pPr>
        <w:pStyle w:val="BodyText"/>
        <w:spacing w:line="297" w:lineRule="auto"/>
        <w:ind w:left="1134" w:right="0" w:firstLine="420"/>
        <w:jc w:val="left"/>
      </w:pPr>
      <w:r>
        <w:rPr>
          <w:spacing w:val="-1"/>
        </w:rPr>
        <w:t>如果清偿已确认预计负债所需支出全部或部分预期由第三方或其他方补偿，则补偿金额只能在基本确</w:t>
      </w:r>
      <w:r>
        <w:rPr/>
        <w:t> 定能收到时，作为资产单独确认。确认的补偿金额不超过所确认负债的账面价值。</w:t>
      </w:r>
    </w:p>
    <w:p>
      <w:pPr>
        <w:spacing w:line="240" w:lineRule="auto" w:before="4"/>
        <w:rPr>
          <w:rFonts w:ascii="宋体" w:hAnsi="宋体" w:cs="宋体" w:eastAsia="宋体" w:hint="default"/>
          <w:sz w:val="17"/>
          <w:szCs w:val="17"/>
        </w:rPr>
      </w:pPr>
    </w:p>
    <w:p>
      <w:pPr>
        <w:pStyle w:val="BodyText"/>
        <w:spacing w:line="240" w:lineRule="auto"/>
        <w:ind w:left="1553" w:right="0"/>
        <w:jc w:val="left"/>
        <w:rPr>
          <w:rFonts w:ascii="微软雅黑" w:hAnsi="微软雅黑" w:cs="微软雅黑" w:eastAsia="微软雅黑" w:hint="default"/>
        </w:rPr>
      </w:pPr>
      <w:bookmarkStart w:name="26、股份支付" w:id="209"/>
      <w:bookmarkEnd w:id="209"/>
      <w:r>
        <w:rPr/>
      </w:r>
      <w:r>
        <w:rPr>
          <w:rFonts w:ascii="Times New Roman" w:hAnsi="Times New Roman" w:cs="Times New Roman" w:eastAsia="Times New Roman" w:hint="default"/>
        </w:rPr>
        <w:t>26</w:t>
      </w:r>
      <w:r>
        <w:rPr>
          <w:rFonts w:ascii="微软雅黑" w:hAnsi="微软雅黑" w:cs="微软雅黑" w:eastAsia="微软雅黑" w:hint="default"/>
        </w:rPr>
        <w:t>、股份支付</w:t>
      </w:r>
    </w:p>
    <w:p>
      <w:pPr>
        <w:spacing w:line="240" w:lineRule="auto" w:before="6"/>
        <w:rPr>
          <w:rFonts w:ascii="微软雅黑" w:hAnsi="微软雅黑" w:cs="微软雅黑" w:eastAsia="微软雅黑" w:hint="default"/>
          <w:sz w:val="23"/>
          <w:szCs w:val="23"/>
        </w:rPr>
      </w:pPr>
    </w:p>
    <w:p>
      <w:pPr>
        <w:pStyle w:val="BodyText"/>
        <w:spacing w:line="460" w:lineRule="auto"/>
        <w:ind w:right="3822"/>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240" w:lineRule="auto" w:before="90"/>
        <w:ind w:left="1553" w:right="0"/>
        <w:jc w:val="left"/>
      </w:pPr>
      <w:r>
        <w:rPr/>
        <w:t>（</w:t>
      </w:r>
      <w:r>
        <w:rPr>
          <w:rFonts w:ascii="Times New Roman" w:hAnsi="Times New Roman" w:cs="Times New Roman" w:eastAsia="Times New Roman" w:hint="default"/>
        </w:rPr>
        <w:t>2</w:t>
      </w:r>
      <w:r>
        <w:rPr/>
        <w:t>）权益工具公允价值的确定方法</w:t>
      </w:r>
    </w:p>
    <w:p>
      <w:pPr>
        <w:spacing w:line="240" w:lineRule="auto" w:before="7"/>
        <w:rPr>
          <w:rFonts w:ascii="宋体" w:hAnsi="宋体" w:cs="宋体" w:eastAsia="宋体" w:hint="default"/>
          <w:sz w:val="20"/>
          <w:szCs w:val="20"/>
        </w:rPr>
      </w:pPr>
    </w:p>
    <w:p>
      <w:pPr>
        <w:pStyle w:val="BodyText"/>
        <w:spacing w:line="292" w:lineRule="auto"/>
        <w:ind w:left="1133" w:right="1011" w:firstLine="420"/>
        <w:jc w:val="left"/>
      </w:pPr>
      <w:r>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 股份的预计股利；</w:t>
      </w:r>
      <w:r>
        <w:rPr>
          <w:rFonts w:ascii="Times New Roman" w:hAnsi="Times New Roman" w:cs="Times New Roman" w:eastAsia="Times New Roman" w:hint="default"/>
        </w:rPr>
        <w:t>F</w:t>
      </w:r>
      <w:r>
        <w:rPr/>
        <w:t>、期权有效期内的无风险利率。</w:t>
      </w:r>
    </w:p>
    <w:p>
      <w:pPr>
        <w:pStyle w:val="BodyText"/>
        <w:spacing w:line="560" w:lineRule="exact" w:before="14"/>
        <w:ind w:right="1092"/>
        <w:jc w:val="left"/>
      </w:pPr>
      <w:r>
        <w:rPr/>
        <w:t>（</w:t>
      </w:r>
      <w:r>
        <w:rPr>
          <w:rFonts w:ascii="Times New Roman" w:hAnsi="Times New Roman" w:cs="Times New Roman" w:eastAsia="Times New Roman" w:hint="default"/>
        </w:rPr>
        <w:t>3</w:t>
      </w:r>
      <w:r>
        <w:rPr/>
        <w:t>）确认可行权权益工具最佳估计的依据 等待期内每个资产负债表日，本集团根据最新取得的可行权职工人数变动等后续信息作出最佳估计，</w:t>
      </w:r>
    </w:p>
    <w:p>
      <w:pPr>
        <w:pStyle w:val="BodyText"/>
        <w:spacing w:line="257" w:lineRule="exact"/>
        <w:ind w:left="1134" w:right="0"/>
        <w:jc w:val="both"/>
      </w:pPr>
      <w:r>
        <w:rPr/>
        <w:t>修正预计可行权的权益工具数量。在可行权日，最终预计可行权权益工具的数量应当与实际可行权数量一</w:t>
      </w:r>
    </w:p>
    <w:p>
      <w:pPr>
        <w:pStyle w:val="BodyText"/>
        <w:spacing w:line="240" w:lineRule="auto" w:before="66"/>
        <w:ind w:left="1134" w:right="0"/>
        <w:jc w:val="both"/>
      </w:pPr>
      <w:r>
        <w:rPr/>
        <w:t>致。</w:t>
      </w:r>
    </w:p>
    <w:p>
      <w:pPr>
        <w:pStyle w:val="BodyText"/>
        <w:spacing w:line="540" w:lineRule="atLeast" w:before="34"/>
        <w:ind w:right="0"/>
        <w:jc w:val="left"/>
      </w:pPr>
      <w:r>
        <w:rPr/>
        <w:t>（</w:t>
      </w:r>
      <w:r>
        <w:rPr>
          <w:rFonts w:ascii="Times New Roman" w:hAnsi="Times New Roman" w:cs="Times New Roman" w:eastAsia="Times New Roman" w:hint="default"/>
        </w:rPr>
        <w:t>4</w:t>
      </w:r>
      <w:r>
        <w:rPr/>
        <w:t>）实施、修改、终止股份支付计划的相关会计处理 </w:t>
      </w:r>
      <w:r>
        <w:rPr>
          <w:spacing w:val="-1"/>
        </w:rPr>
        <w:t>以权益结算的股份支付，按授予职工权益工具的公允价值计量。授予后立即可行权的，在授予日按照</w:t>
      </w:r>
    </w:p>
    <w:p>
      <w:pPr>
        <w:pStyle w:val="BodyText"/>
        <w:spacing w:line="297" w:lineRule="auto" w:before="64"/>
        <w:ind w:left="1134" w:right="1131"/>
        <w:jc w:val="both"/>
      </w:pP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spacing w:line="240" w:lineRule="auto" w:before="12"/>
        <w:rPr>
          <w:rFonts w:ascii="宋体" w:hAnsi="宋体" w:cs="宋体" w:eastAsia="宋体" w:hint="default"/>
          <w:sz w:val="17"/>
          <w:szCs w:val="17"/>
        </w:rPr>
      </w:pPr>
    </w:p>
    <w:p>
      <w:pPr>
        <w:pStyle w:val="BodyText"/>
        <w:spacing w:line="297" w:lineRule="auto"/>
        <w:ind w:left="1134" w:right="1023" w:firstLine="420"/>
        <w:jc w:val="left"/>
      </w:pPr>
      <w:r>
        <w:rPr/>
        <w:t>以现金结算的股份支付，按照本集团承担的以股份或其他权益工具为基础计算确定的负债的公允价值 </w:t>
      </w:r>
      <w:r>
        <w:rPr>
          <w:spacing w:val="-3"/>
        </w:rPr>
        <w:t>计量。授予后立即可行权的，在授予日以本集团承担负债的公允价值计入相关成本或费用，相应增加负债。</w:t>
      </w:r>
      <w:r>
        <w:rPr>
          <w:spacing w:val="-90"/>
        </w:rPr>
        <w:t> </w:t>
      </w:r>
      <w:r>
        <w:rPr>
          <w:spacing w:val="-90"/>
        </w:rPr>
      </w:r>
      <w:r>
        <w:rPr/>
        <w:t>在完成等待期内的服务或达到规定业绩条件以后才可行权的以现金结算的股份支付，在等待期内的每个资</w:t>
      </w:r>
      <w:r>
        <w:rPr/>
        <w:t>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spacing w:line="240" w:lineRule="auto" w:before="12"/>
        <w:rPr>
          <w:rFonts w:ascii="宋体" w:hAnsi="宋体" w:cs="宋体" w:eastAsia="宋体" w:hint="default"/>
          <w:sz w:val="17"/>
          <w:szCs w:val="17"/>
        </w:rPr>
      </w:pPr>
    </w:p>
    <w:p>
      <w:pPr>
        <w:pStyle w:val="BodyText"/>
        <w:spacing w:line="240" w:lineRule="auto"/>
        <w:ind w:right="0"/>
        <w:jc w:val="left"/>
      </w:pPr>
      <w:r>
        <w:rPr/>
        <w:t>本集团对股份支付计划进行修改时，若修改增加了所授予权益工具的公允价值，按照权益工具公允价</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1131"/>
        <w:jc w:val="both"/>
      </w:pPr>
      <w:r>
        <w:rPr>
          <w:spacing w:val="-1"/>
        </w:rPr>
        <w:t>值的增加相应地确认取得服务的增加；若修改增加了所授予权益工具的数量，则将增加的权益工具的公允</w:t>
      </w:r>
      <w:r>
        <w:rPr>
          <w:spacing w:val="-81"/>
        </w:rPr>
        <w:t> </w:t>
      </w:r>
      <w:r>
        <w:rPr>
          <w:spacing w:val="-81"/>
        </w:rPr>
      </w:r>
      <w:r>
        <w:rPr>
          <w:spacing w:val="-1"/>
        </w:rPr>
        <w:t>价值相应地确认为取得服务的增加。权益工具公允价值的增加是指修改前后的权益工具在修改日的公允价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值之间的差额。若修改减少了股份支付公允价值总额或采用了其他不利于职工的方式修改股份支付计划的</w:t>
      </w:r>
      <w:r>
        <w:rPr>
          <w:spacing w:val="-81"/>
        </w:rPr>
        <w:t> </w:t>
      </w:r>
      <w:r>
        <w:rPr>
          <w:spacing w:val="-81"/>
        </w:rPr>
      </w:r>
      <w:r>
        <w:rPr>
          <w:spacing w:val="-1"/>
        </w:rPr>
        <w:t>条款和条件，则仍继续对取得的服务进行会计处理，视同该变更从未发生，除非本集团取消了部分或全部</w:t>
      </w:r>
      <w:r>
        <w:rPr>
          <w:spacing w:val="-83"/>
        </w:rPr>
        <w:t> </w:t>
      </w:r>
      <w:r>
        <w:rPr>
          <w:spacing w:val="-83"/>
        </w:rPr>
      </w:r>
      <w:r>
        <w:rPr/>
        <w:t>已授予的权益工具。</w:t>
      </w:r>
    </w:p>
    <w:p>
      <w:pPr>
        <w:spacing w:line="240" w:lineRule="auto" w:before="10"/>
        <w:rPr>
          <w:rFonts w:ascii="宋体" w:hAnsi="宋体" w:cs="宋体" w:eastAsia="宋体" w:hint="default"/>
          <w:sz w:val="17"/>
          <w:szCs w:val="17"/>
        </w:rPr>
      </w:pPr>
    </w:p>
    <w:p>
      <w:pPr>
        <w:pStyle w:val="BodyText"/>
        <w:spacing w:line="297" w:lineRule="auto"/>
        <w:ind w:left="1133" w:right="1131" w:firstLine="420"/>
        <w:jc w:val="both"/>
      </w:pPr>
      <w:r>
        <w:rPr>
          <w:spacing w:val="-1"/>
        </w:rPr>
        <w:t>在等待期内，如果取消了授予的权益工具（因未满足可行权条件的非市场条件而被取消的除外），本</w:t>
      </w:r>
      <w:r>
        <w:rPr>
          <w:spacing w:val="-6"/>
        </w:rPr>
        <w:t> </w:t>
      </w:r>
      <w:r>
        <w:rPr>
          <w:spacing w:val="-1"/>
        </w:rPr>
        <w:t>集团对取消所授予的权益性工具作为加速行权处理，将剩余等待期内应确认的金额立即计入当期损益，同</w:t>
      </w:r>
      <w:r>
        <w:rPr>
          <w:spacing w:val="-81"/>
        </w:rPr>
        <w:t> </w:t>
      </w:r>
      <w:r>
        <w:rPr>
          <w:spacing w:val="-81"/>
        </w:rPr>
      </w:r>
      <w:r>
        <w:rPr>
          <w:spacing w:val="-1"/>
        </w:rPr>
        <w:t>时确认资本公积。职工或其他方能够选择满足非可行权条件但在等待期内未满足的，本集团将其作为授予</w:t>
      </w:r>
      <w:r>
        <w:rPr>
          <w:spacing w:val="-81"/>
        </w:rPr>
        <w:t> </w:t>
      </w:r>
      <w:r>
        <w:rPr>
          <w:spacing w:val="-81"/>
        </w:rPr>
      </w:r>
      <w:r>
        <w:rPr/>
        <w:t>权益工具的取消处理。</w:t>
      </w:r>
    </w:p>
    <w:p>
      <w:pPr>
        <w:pStyle w:val="BodyText"/>
        <w:spacing w:line="558" w:lineRule="exact" w:before="33"/>
        <w:ind w:right="0"/>
        <w:jc w:val="left"/>
      </w:pPr>
      <w:r>
        <w:rPr/>
        <w:t>（</w:t>
      </w:r>
      <w:r>
        <w:rPr>
          <w:rFonts w:ascii="Times New Roman" w:hAnsi="Times New Roman" w:cs="Times New Roman" w:eastAsia="Times New Roman" w:hint="default"/>
        </w:rPr>
        <w:t>5</w:t>
      </w:r>
      <w:r>
        <w:rPr/>
        <w:t>）金融负债与权益工具的区分 </w:t>
      </w:r>
      <w:r>
        <w:rPr>
          <w:spacing w:val="-1"/>
        </w:rPr>
        <w:t>本集团根据所发行金融工具的合同条款及其所反映的经济实质而非仅以法律形式，结合金融资产、金</w:t>
      </w:r>
    </w:p>
    <w:p>
      <w:pPr>
        <w:pStyle w:val="BodyText"/>
        <w:spacing w:line="259" w:lineRule="exact"/>
        <w:ind w:left="1134" w:right="0"/>
        <w:jc w:val="both"/>
      </w:pPr>
      <w:r>
        <w:rPr/>
        <w:t>融负债和权益工具的定义，在初始确认时将该金融工具或其组成部分分类为金融资产、金融负债或权益工</w:t>
      </w:r>
    </w:p>
    <w:p>
      <w:pPr>
        <w:pStyle w:val="BodyText"/>
        <w:spacing w:line="240" w:lineRule="auto" w:before="64"/>
        <w:ind w:left="1134" w:right="0"/>
        <w:jc w:val="both"/>
      </w:pPr>
      <w:r>
        <w:rPr/>
        <w:t>具。</w:t>
      </w:r>
    </w:p>
    <w:p>
      <w:pPr>
        <w:spacing w:line="240" w:lineRule="auto" w:before="2"/>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27、优先股、永续债等其他金融工具" w:id="210"/>
      <w:bookmarkEnd w:id="210"/>
      <w:r>
        <w:rPr/>
      </w:r>
      <w:r>
        <w:rPr>
          <w:rFonts w:ascii="Times New Roman" w:hAnsi="Times New Roman" w:cs="Times New Roman" w:eastAsia="Times New Roman" w:hint="default"/>
        </w:rPr>
        <w:t>27</w:t>
      </w:r>
      <w:r>
        <w:rPr>
          <w:rFonts w:ascii="微软雅黑" w:hAnsi="微软雅黑" w:cs="微软雅黑" w:eastAsia="微软雅黑" w:hint="default"/>
        </w:rPr>
        <w:t>、优先股、永续债等其他金融工具</w:t>
      </w:r>
    </w:p>
    <w:p>
      <w:pPr>
        <w:spacing w:line="240" w:lineRule="auto" w:before="6"/>
        <w:rPr>
          <w:rFonts w:ascii="微软雅黑" w:hAnsi="微软雅黑" w:cs="微软雅黑" w:eastAsia="微软雅黑" w:hint="default"/>
          <w:sz w:val="23"/>
          <w:szCs w:val="23"/>
        </w:rPr>
      </w:pPr>
    </w:p>
    <w:p>
      <w:pPr>
        <w:pStyle w:val="BodyText"/>
        <w:spacing w:line="297" w:lineRule="auto"/>
        <w:ind w:left="1134" w:right="1130" w:firstLine="420"/>
        <w:jc w:val="both"/>
      </w:pPr>
      <w:r>
        <w:rPr>
          <w:spacing w:val="-1"/>
        </w:rPr>
        <w:t>本集团发行的金融工具按照金融工具准则进行初始确认和计量；其后，于每个资产负债表日计提利息</w:t>
      </w:r>
      <w:r>
        <w:rPr/>
        <w:t> </w:t>
      </w:r>
      <w:r>
        <w:rPr>
          <w:spacing w:val="-1"/>
        </w:rPr>
        <w:t>或分派股利，按照相关具体企业会计准则进行处理。即以所发行金融工具的分类为基础，确定该工具利息</w:t>
      </w:r>
      <w:r>
        <w:rPr>
          <w:spacing w:val="-83"/>
        </w:rPr>
        <w:t> </w:t>
      </w:r>
      <w:r>
        <w:rPr>
          <w:spacing w:val="-83"/>
        </w:rPr>
      </w:r>
      <w:r>
        <w:rPr>
          <w:spacing w:val="-1"/>
        </w:rPr>
        <w:t>支出或股利分配等的会计处理。对于归类为权益工具的金融工具，其利息支出或股利分配都作为本集团的</w:t>
      </w:r>
      <w:r>
        <w:rPr>
          <w:spacing w:val="-81"/>
        </w:rPr>
        <w:t> </w:t>
      </w:r>
      <w:r>
        <w:rPr>
          <w:spacing w:val="-81"/>
        </w:rPr>
      </w:r>
      <w:r>
        <w:rPr>
          <w:spacing w:val="-1"/>
        </w:rPr>
        <w:t>利润分配，其回购、注销等作为权益的变动处理；对于归类为金融负债的金融工具，其利息支出或股利分</w:t>
      </w:r>
      <w:r>
        <w:rPr>
          <w:spacing w:val="-85"/>
        </w:rPr>
        <w:t> </w:t>
      </w:r>
      <w:r>
        <w:rPr>
          <w:spacing w:val="-85"/>
        </w:rPr>
      </w:r>
      <w:r>
        <w:rPr/>
        <w:t>配原则上按照借款费用进行处理，其回购或赎回产生的利得或损失等计入当期损益。</w:t>
      </w:r>
    </w:p>
    <w:p>
      <w:pPr>
        <w:spacing w:line="240" w:lineRule="auto" w:before="12"/>
        <w:rPr>
          <w:rFonts w:ascii="宋体" w:hAnsi="宋体" w:cs="宋体" w:eastAsia="宋体" w:hint="default"/>
          <w:sz w:val="17"/>
          <w:szCs w:val="17"/>
        </w:rPr>
      </w:pPr>
    </w:p>
    <w:p>
      <w:pPr>
        <w:pStyle w:val="BodyText"/>
        <w:spacing w:line="297" w:lineRule="auto"/>
        <w:ind w:left="1133" w:right="1109" w:firstLine="420"/>
        <w:jc w:val="both"/>
      </w:pPr>
      <w:r>
        <w:rPr/>
        <w:t>本集团发行金融工具，其发生的手续费、佣金等交易费用，如分类为债务工具且以摊余成本计量的， 计入所发行工具的初始计量金额；如分类为权益工具的，从权益中扣除。</w:t>
      </w:r>
    </w:p>
    <w:p>
      <w:pPr>
        <w:spacing w:line="240" w:lineRule="auto" w:before="4"/>
        <w:rPr>
          <w:rFonts w:ascii="宋体" w:hAnsi="宋体" w:cs="宋体" w:eastAsia="宋体" w:hint="default"/>
          <w:sz w:val="17"/>
          <w:szCs w:val="17"/>
        </w:rPr>
      </w:pPr>
    </w:p>
    <w:p>
      <w:pPr>
        <w:pStyle w:val="BodyText"/>
        <w:spacing w:line="496" w:lineRule="auto"/>
        <w:ind w:left="1553" w:right="6763"/>
        <w:jc w:val="left"/>
      </w:pPr>
      <w:bookmarkStart w:name="28、收入" w:id="211"/>
      <w:bookmarkEnd w:id="211"/>
      <w:r>
        <w:rPr/>
      </w:r>
      <w:r>
        <w:rPr>
          <w:rFonts w:ascii="Times New Roman" w:hAnsi="Times New Roman" w:cs="Times New Roman" w:eastAsia="Times New Roman" w:hint="default"/>
        </w:rPr>
        <w:t>28</w:t>
      </w:r>
      <w:r>
        <w:rPr>
          <w:rFonts w:ascii="微软雅黑" w:hAnsi="微软雅黑" w:cs="微软雅黑" w:eastAsia="微软雅黑" w:hint="default"/>
        </w:rPr>
        <w:t>、收入 </w:t>
      </w:r>
      <w:r>
        <w:rPr/>
        <w:t>公司是否需要遵守特殊行业的披露要求 否</w:t>
      </w:r>
    </w:p>
    <w:p>
      <w:pPr>
        <w:pStyle w:val="BodyText"/>
        <w:spacing w:line="240" w:lineRule="auto" w:before="58"/>
        <w:ind w:right="0"/>
        <w:jc w:val="left"/>
      </w:pPr>
      <w:r>
        <w:rPr/>
        <w:t>（</w:t>
      </w:r>
      <w:r>
        <w:rPr>
          <w:rFonts w:ascii="Times New Roman" w:hAnsi="Times New Roman" w:cs="Times New Roman" w:eastAsia="Times New Roman" w:hint="default"/>
        </w:rPr>
        <w:t>1</w:t>
      </w:r>
      <w:r>
        <w:rPr/>
        <w:t>）一般原则</w:t>
      </w:r>
    </w:p>
    <w:p>
      <w:pPr>
        <w:pStyle w:val="BodyText"/>
        <w:spacing w:line="558" w:lineRule="exact" w:before="67"/>
        <w:ind w:left="1553" w:right="1116"/>
        <w:jc w:val="left"/>
      </w:pPr>
      <w:r>
        <w:rPr/>
        <w:t>①销售商品 </w:t>
      </w:r>
      <w:r>
        <w:rPr>
          <w:spacing w:val="3"/>
        </w:rPr>
        <w:t>在已将商品所有权上的主要风险和报酬转移给购货方，既没有保留通常与所有权相联系的继续管理</w:t>
      </w:r>
    </w:p>
    <w:p>
      <w:pPr>
        <w:pStyle w:val="BodyText"/>
        <w:spacing w:line="259" w:lineRule="exact"/>
        <w:ind w:left="1133" w:right="0"/>
        <w:jc w:val="both"/>
      </w:pPr>
      <w:r>
        <w:rPr/>
        <w:t>权，也没有对已售商品实施有效控制，收入的金额能够可靠地计量，相关的经济利益很可能流入企业，相</w:t>
      </w:r>
    </w:p>
    <w:p>
      <w:pPr>
        <w:pStyle w:val="BodyText"/>
        <w:spacing w:line="240" w:lineRule="auto" w:before="66"/>
        <w:ind w:left="1133" w:right="0"/>
        <w:jc w:val="both"/>
      </w:pPr>
      <w:r>
        <w:rPr/>
        <w:t>关的已发生或将发生的成本能够可靠地计量时，确认商品销售收入的实现。</w:t>
      </w:r>
    </w:p>
    <w:p>
      <w:pPr>
        <w:spacing w:line="240" w:lineRule="auto" w:before="8"/>
        <w:rPr>
          <w:rFonts w:ascii="宋体" w:hAnsi="宋体" w:cs="宋体" w:eastAsia="宋体" w:hint="default"/>
          <w:sz w:val="21"/>
          <w:szCs w:val="21"/>
        </w:rPr>
      </w:pPr>
    </w:p>
    <w:p>
      <w:pPr>
        <w:pStyle w:val="BodyText"/>
        <w:spacing w:line="487" w:lineRule="auto"/>
        <w:ind w:left="1553" w:right="1093"/>
        <w:jc w:val="left"/>
      </w:pPr>
      <w:r>
        <w:rPr/>
        <w:t>②提供劳务 对在提供劳务交易的结果能够可靠估计的情况下，本集团于资产负债表日按完工百分比法确认收入。</w:t>
      </w:r>
    </w:p>
    <w:p>
      <w:pPr>
        <w:spacing w:after="0" w:line="487"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劳务交易的完工进度按已经发生的劳务成本占估计总成本的比例确定。</w:t>
      </w:r>
    </w:p>
    <w:p>
      <w:pPr>
        <w:spacing w:line="240" w:lineRule="auto" w:before="8"/>
        <w:rPr>
          <w:rFonts w:ascii="宋体" w:hAnsi="宋体" w:cs="宋体" w:eastAsia="宋体" w:hint="default"/>
          <w:sz w:val="21"/>
          <w:szCs w:val="21"/>
        </w:rPr>
      </w:pPr>
    </w:p>
    <w:p>
      <w:pPr>
        <w:pStyle w:val="BodyText"/>
        <w:spacing w:line="280" w:lineRule="auto"/>
        <w:ind w:left="1133" w:right="1132" w:firstLine="420"/>
        <w:jc w:val="both"/>
      </w:pPr>
      <w:r>
        <w:rPr>
          <w:spacing w:val="-3"/>
        </w:rPr>
        <w:t>提供劳务交易的结果能够可靠估计是指同时满足：</w:t>
      </w:r>
      <w:r>
        <w:rPr>
          <w:rFonts w:ascii="Times New Roman" w:hAnsi="Times New Roman" w:cs="Times New Roman" w:eastAsia="Times New Roman" w:hint="default"/>
          <w:spacing w:val="-3"/>
        </w:rPr>
        <w:t>A</w:t>
      </w:r>
      <w:r>
        <w:rPr>
          <w:spacing w:val="-3"/>
        </w:rPr>
        <w:t>、收入的金额能够可靠地计量；</w:t>
      </w:r>
      <w:r>
        <w:rPr>
          <w:rFonts w:ascii="Times New Roman" w:hAnsi="Times New Roman" w:cs="Times New Roman" w:eastAsia="Times New Roman" w:hint="default"/>
          <w:spacing w:val="-3"/>
        </w:rPr>
        <w:t>B</w:t>
      </w:r>
      <w:r>
        <w:rPr>
          <w:spacing w:val="-3"/>
        </w:rPr>
        <w:t>、相关的经济利</w:t>
      </w:r>
      <w:r>
        <w:rPr/>
        <w:t> </w:t>
      </w:r>
      <w:r>
        <w:rPr>
          <w:spacing w:val="-3"/>
        </w:rPr>
        <w:t>益很可能流入企业；</w:t>
      </w:r>
      <w:r>
        <w:rPr>
          <w:rFonts w:ascii="Times New Roman" w:hAnsi="Times New Roman" w:cs="Times New Roman" w:eastAsia="Times New Roman" w:hint="default"/>
          <w:spacing w:val="-3"/>
        </w:rPr>
        <w:t>C</w:t>
      </w:r>
      <w:r>
        <w:rPr>
          <w:spacing w:val="-3"/>
        </w:rPr>
        <w:t>、交易的完工程度能够可靠地确定；</w:t>
      </w:r>
      <w:r>
        <w:rPr>
          <w:rFonts w:ascii="Times New Roman" w:hAnsi="Times New Roman" w:cs="Times New Roman" w:eastAsia="Times New Roman" w:hint="default"/>
          <w:spacing w:val="-3"/>
        </w:rPr>
        <w:t>D</w:t>
      </w:r>
      <w:r>
        <w:rPr>
          <w:spacing w:val="-3"/>
        </w:rPr>
        <w:t>、交易中已发生和将发生的成本能够可靠地计</w:t>
      </w:r>
      <w:r>
        <w:rPr>
          <w:spacing w:val="-72"/>
        </w:rPr>
        <w:t> </w:t>
      </w:r>
      <w:r>
        <w:rPr>
          <w:spacing w:val="-72"/>
        </w:rPr>
      </w:r>
      <w:r>
        <w:rPr/>
        <w:t>量。</w:t>
      </w:r>
    </w:p>
    <w:p>
      <w:pPr>
        <w:spacing w:line="240" w:lineRule="auto" w:before="12"/>
        <w:rPr>
          <w:rFonts w:ascii="宋体" w:hAnsi="宋体" w:cs="宋体" w:eastAsia="宋体" w:hint="default"/>
          <w:sz w:val="18"/>
          <w:szCs w:val="18"/>
        </w:rPr>
      </w:pPr>
    </w:p>
    <w:p>
      <w:pPr>
        <w:pStyle w:val="BodyText"/>
        <w:spacing w:line="297" w:lineRule="auto"/>
        <w:ind w:left="1134" w:right="1131" w:firstLine="420"/>
        <w:jc w:val="both"/>
      </w:pPr>
      <w:r>
        <w:rPr>
          <w:spacing w:val="-1"/>
        </w:rPr>
        <w:t>如果提供劳务交易的结果不能够可靠估计，则按已经发生并预计能够得到补偿的劳务成本金额确认提</w:t>
      </w:r>
      <w:r>
        <w:rPr/>
        <w:t> </w:t>
      </w:r>
      <w:r>
        <w:rPr>
          <w:spacing w:val="-1"/>
        </w:rPr>
        <w:t>供的劳务收入，并将已发生的劳务成本作为当期费用。已经发生的劳务成本如预计不能得到补偿的，则不</w:t>
      </w:r>
      <w:r>
        <w:rPr>
          <w:spacing w:val="-83"/>
        </w:rPr>
        <w:t> </w:t>
      </w:r>
      <w:r>
        <w:rPr>
          <w:spacing w:val="-83"/>
        </w:rPr>
      </w:r>
      <w:r>
        <w:rPr/>
        <w:t>确认收入。</w:t>
      </w:r>
    </w:p>
    <w:p>
      <w:pPr>
        <w:spacing w:line="240" w:lineRule="auto" w:before="12"/>
        <w:rPr>
          <w:rFonts w:ascii="宋体" w:hAnsi="宋体" w:cs="宋体" w:eastAsia="宋体" w:hint="default"/>
          <w:sz w:val="17"/>
          <w:szCs w:val="17"/>
        </w:rPr>
      </w:pPr>
    </w:p>
    <w:p>
      <w:pPr>
        <w:pStyle w:val="BodyText"/>
        <w:spacing w:line="487" w:lineRule="auto"/>
        <w:ind w:right="1512"/>
        <w:jc w:val="left"/>
      </w:pPr>
      <w:r>
        <w:rPr/>
        <w:t>③让渡资产使用权 与资产使用权让渡相关的经济利益能够流入及收入的金额能够可靠地计量时，本集团确认收入。</w:t>
      </w:r>
    </w:p>
    <w:p>
      <w:pPr>
        <w:pStyle w:val="BodyText"/>
        <w:spacing w:line="240" w:lineRule="auto" w:before="68"/>
        <w:ind w:left="1553" w:right="0"/>
        <w:jc w:val="left"/>
      </w:pPr>
      <w:r>
        <w:rPr/>
        <w:t>（</w:t>
      </w:r>
      <w:r>
        <w:rPr>
          <w:rFonts w:ascii="Times New Roman" w:hAnsi="Times New Roman" w:cs="Times New Roman" w:eastAsia="Times New Roman" w:hint="default"/>
        </w:rPr>
        <w:t>2</w:t>
      </w:r>
      <w:r>
        <w:rPr/>
        <w:t>）收入确认的具体方法</w:t>
      </w:r>
    </w:p>
    <w:p>
      <w:pPr>
        <w:spacing w:line="240" w:lineRule="auto" w:before="6"/>
        <w:rPr>
          <w:rFonts w:ascii="宋体" w:hAnsi="宋体" w:cs="宋体" w:eastAsia="宋体" w:hint="default"/>
          <w:sz w:val="20"/>
          <w:szCs w:val="20"/>
        </w:rPr>
      </w:pPr>
    </w:p>
    <w:p>
      <w:pPr>
        <w:pStyle w:val="BodyText"/>
        <w:spacing w:line="487" w:lineRule="auto"/>
        <w:ind w:left="1553" w:right="3823"/>
        <w:jc w:val="left"/>
      </w:pPr>
      <w:r>
        <w:rPr/>
        <w:t>①软件开发收入 软件开发是指根据客户的实际需求进行专门的软件设计与开发的服务。 软件开发收入的具体确认方法为：</w:t>
      </w:r>
    </w:p>
    <w:p>
      <w:pPr>
        <w:pStyle w:val="BodyText"/>
        <w:spacing w:line="280" w:lineRule="auto" w:before="67"/>
        <w:ind w:left="1133" w:right="1136" w:firstLine="420"/>
        <w:jc w:val="both"/>
      </w:pPr>
      <w:r>
        <w:rPr>
          <w:rFonts w:ascii="Times New Roman" w:hAnsi="Times New Roman" w:cs="Times New Roman" w:eastAsia="Times New Roman" w:hint="default"/>
        </w:rPr>
        <w:t>A</w:t>
      </w:r>
      <w:r>
        <w:rPr/>
        <w:t>、软件开发业务主要部分或全部由本集团完成的，在资产负债表日提供劳务交易的结果能够可靠估 计的，采用完工百分比法确认收入，完工百分比依据已经发生的成本占估计总成本的比例确定。</w:t>
      </w:r>
    </w:p>
    <w:p>
      <w:pPr>
        <w:spacing w:line="240" w:lineRule="auto" w:before="12"/>
        <w:rPr>
          <w:rFonts w:ascii="宋体" w:hAnsi="宋体" w:cs="宋体" w:eastAsia="宋体" w:hint="default"/>
          <w:sz w:val="18"/>
          <w:szCs w:val="18"/>
        </w:rPr>
      </w:pPr>
    </w:p>
    <w:p>
      <w:pPr>
        <w:pStyle w:val="BodyText"/>
        <w:spacing w:line="280" w:lineRule="auto"/>
        <w:ind w:left="1133" w:right="1136" w:firstLine="420"/>
        <w:jc w:val="both"/>
      </w:pPr>
      <w:r>
        <w:rPr>
          <w:rFonts w:ascii="Times New Roman" w:hAnsi="Times New Roman" w:cs="Times New Roman" w:eastAsia="Times New Roman" w:hint="default"/>
        </w:rPr>
        <w:t>B</w:t>
      </w:r>
      <w:r>
        <w:rPr/>
        <w:t>、软件开发业务主要部分或全部委托其他公司完成的，以取得客户确认的交付验收确认书确认软件 开发收入。</w:t>
      </w:r>
    </w:p>
    <w:p>
      <w:pPr>
        <w:spacing w:line="240" w:lineRule="auto" w:before="12"/>
        <w:rPr>
          <w:rFonts w:ascii="宋体" w:hAnsi="宋体" w:cs="宋体" w:eastAsia="宋体" w:hint="default"/>
          <w:sz w:val="18"/>
          <w:szCs w:val="18"/>
        </w:rPr>
      </w:pPr>
    </w:p>
    <w:p>
      <w:pPr>
        <w:pStyle w:val="BodyText"/>
        <w:spacing w:line="487" w:lineRule="auto"/>
        <w:ind w:left="1553" w:right="4033"/>
        <w:jc w:val="left"/>
      </w:pPr>
      <w:r>
        <w:rPr/>
        <w:t>②技术服务收入 技术服务是指为客户提供的技术支持、技术咨询、系统维护等服务。 技术服务收入的具体确认方法为：</w:t>
      </w:r>
    </w:p>
    <w:p>
      <w:pPr>
        <w:pStyle w:val="BodyText"/>
        <w:spacing w:line="292" w:lineRule="auto" w:before="67"/>
        <w:ind w:left="1133" w:right="1131" w:firstLine="420"/>
        <w:jc w:val="both"/>
      </w:pPr>
      <w:r>
        <w:rPr>
          <w:rFonts w:ascii="Times New Roman" w:hAnsi="Times New Roman" w:cs="Times New Roman" w:eastAsia="Times New Roman" w:hint="default"/>
        </w:rPr>
        <w:t>A</w:t>
      </w:r>
      <w:r>
        <w:rPr/>
        <w:t>、根据客户需求在一定时间内提供相应的技术人员，明确约定相应的服务期限，并明确约定每月的 </w:t>
      </w:r>
      <w:r>
        <w:rPr>
          <w:spacing w:val="-1"/>
        </w:rPr>
        <w:t>服务费用金额或者服务期限内服务费用总额。合同中未约定验收条款的，按合同约定的每月服务费用确认</w:t>
      </w:r>
      <w:r>
        <w:rPr>
          <w:spacing w:val="-81"/>
        </w:rPr>
        <w:t> </w:t>
      </w:r>
      <w:r>
        <w:rPr>
          <w:spacing w:val="-81"/>
        </w:rPr>
      </w:r>
      <w:r>
        <w:rPr>
          <w:spacing w:val="-1"/>
        </w:rPr>
        <w:t>收入或在合同约定的期限内采用直线法确认，合同中约定验收条款的，取得验收条款约定的依据确认服务</w:t>
      </w:r>
      <w:r>
        <w:rPr>
          <w:spacing w:val="-81"/>
        </w:rPr>
        <w:t> </w:t>
      </w:r>
      <w:r>
        <w:rPr>
          <w:spacing w:val="-81"/>
        </w:rPr>
      </w:r>
      <w:r>
        <w:rPr/>
        <w:t>费收入。</w:t>
      </w:r>
    </w:p>
    <w:p>
      <w:pPr>
        <w:spacing w:line="240" w:lineRule="auto" w:before="3"/>
        <w:rPr>
          <w:rFonts w:ascii="宋体" w:hAnsi="宋体" w:cs="宋体" w:eastAsia="宋体" w:hint="default"/>
          <w:sz w:val="18"/>
          <w:szCs w:val="18"/>
        </w:rPr>
      </w:pPr>
    </w:p>
    <w:p>
      <w:pPr>
        <w:pStyle w:val="BodyText"/>
        <w:spacing w:line="280" w:lineRule="auto"/>
        <w:ind w:left="1133" w:right="1136" w:firstLine="420"/>
        <w:jc w:val="both"/>
      </w:pPr>
      <w:r>
        <w:rPr>
          <w:rFonts w:ascii="Times New Roman" w:hAnsi="Times New Roman" w:cs="Times New Roman" w:eastAsia="Times New Roman" w:hint="default"/>
        </w:rPr>
        <w:t>B</w:t>
      </w:r>
      <w:r>
        <w:rPr/>
        <w:t>、根据客户需求提供相应的技术人员，但合同中明确约定验收条款，相应的实际服务期限可能会根 据客户的需求或验收进行调整，按照软件开发业务的确认方法确认。</w:t>
      </w:r>
    </w:p>
    <w:p>
      <w:pPr>
        <w:spacing w:line="240" w:lineRule="auto" w:before="0"/>
        <w:rPr>
          <w:rFonts w:ascii="宋体" w:hAnsi="宋体" w:cs="宋体" w:eastAsia="宋体" w:hint="default"/>
          <w:sz w:val="19"/>
          <w:szCs w:val="19"/>
        </w:rPr>
      </w:pPr>
    </w:p>
    <w:p>
      <w:pPr>
        <w:pStyle w:val="BodyText"/>
        <w:spacing w:line="487" w:lineRule="auto"/>
        <w:ind w:left="1553" w:right="5503"/>
        <w:jc w:val="left"/>
      </w:pPr>
      <w:r>
        <w:rPr/>
        <w:t>③软件许可收入 软件许可是指授权客户使用本集团的自有软件产品。 软件许可收入的具体确认方法为：</w:t>
      </w:r>
    </w:p>
    <w:p>
      <w:pPr>
        <w:spacing w:after="0" w:line="487"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80" w:lineRule="auto" w:before="35"/>
        <w:ind w:left="1134" w:right="0" w:firstLine="420"/>
        <w:jc w:val="left"/>
      </w:pPr>
      <w:r>
        <w:rPr>
          <w:rFonts w:ascii="Times New Roman" w:hAnsi="Times New Roman" w:cs="Times New Roman" w:eastAsia="Times New Roman" w:hint="default"/>
        </w:rPr>
        <w:t>A</w:t>
      </w:r>
      <w:r>
        <w:rPr/>
        <w:t>、合同中约定许可费按照客户产品的出货量为标准进行结算的，以收到客户确认的许可费确认单所 属期间确认软件许可收入。</w:t>
      </w:r>
    </w:p>
    <w:p>
      <w:pPr>
        <w:spacing w:line="240" w:lineRule="auto" w:before="12"/>
        <w:rPr>
          <w:rFonts w:ascii="宋体" w:hAnsi="宋体" w:cs="宋体" w:eastAsia="宋体" w:hint="default"/>
          <w:sz w:val="18"/>
          <w:szCs w:val="18"/>
        </w:rPr>
      </w:pPr>
    </w:p>
    <w:p>
      <w:pPr>
        <w:pStyle w:val="BodyText"/>
        <w:spacing w:line="280" w:lineRule="auto"/>
        <w:ind w:left="1134" w:right="0" w:firstLine="420"/>
        <w:jc w:val="left"/>
      </w:pPr>
      <w:r>
        <w:rPr>
          <w:rFonts w:ascii="Times New Roman" w:hAnsi="Times New Roman" w:cs="Times New Roman" w:eastAsia="Times New Roman" w:hint="default"/>
        </w:rPr>
        <w:t>B</w:t>
      </w:r>
      <w:r>
        <w:rPr/>
        <w:t>、合同中约定客户可以在一定有效期内享有本集团自有软件产品的使用权，在合同约定的有效期内 分期确认软件许可收入。</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C</w:t>
      </w:r>
      <w:r>
        <w:rPr/>
        <w:t>、合同中约定许可的软件需要交付验收的，以收到客户确认的交付验收单确认收入。</w:t>
      </w:r>
    </w:p>
    <w:p>
      <w:pPr>
        <w:spacing w:line="240" w:lineRule="auto" w:before="6"/>
        <w:rPr>
          <w:rFonts w:ascii="宋体" w:hAnsi="宋体" w:cs="宋体" w:eastAsia="宋体" w:hint="default"/>
          <w:sz w:val="20"/>
          <w:szCs w:val="20"/>
        </w:rPr>
      </w:pPr>
    </w:p>
    <w:p>
      <w:pPr>
        <w:pStyle w:val="BodyText"/>
        <w:spacing w:line="240" w:lineRule="auto"/>
        <w:ind w:right="0"/>
        <w:jc w:val="left"/>
      </w:pPr>
      <w:r>
        <w:rPr/>
        <w:t>④商品销售收入</w:t>
      </w:r>
    </w:p>
    <w:p>
      <w:pPr>
        <w:spacing w:line="240" w:lineRule="auto" w:before="10"/>
        <w:rPr>
          <w:rFonts w:ascii="宋体" w:hAnsi="宋体" w:cs="宋体" w:eastAsia="宋体" w:hint="default"/>
          <w:sz w:val="21"/>
          <w:szCs w:val="21"/>
        </w:rPr>
      </w:pPr>
    </w:p>
    <w:p>
      <w:pPr>
        <w:pStyle w:val="BodyText"/>
        <w:tabs>
          <w:tab w:pos="1974" w:val="left" w:leader="none"/>
        </w:tabs>
        <w:spacing w:line="280" w:lineRule="auto"/>
        <w:ind w:left="1134" w:right="1130" w:firstLine="420"/>
        <w:jc w:val="left"/>
      </w:pPr>
      <w:r>
        <w:rPr>
          <w:rFonts w:ascii="Times New Roman" w:hAnsi="Times New Roman" w:cs="Times New Roman" w:eastAsia="Times New Roman" w:hint="default"/>
          <w:spacing w:val="-1"/>
        </w:rPr>
        <w:t>A.</w:t>
        <w:tab/>
      </w:r>
      <w:r>
        <w:rPr>
          <w:spacing w:val="-1"/>
        </w:rPr>
        <w:t>合同中没有明确约定验收条款的，在商品已经发出并取得客户的签收确认单据时确认商品销售收</w:t>
      </w:r>
      <w:r>
        <w:rPr/>
        <w:t> 入。</w:t>
      </w:r>
    </w:p>
    <w:p>
      <w:pPr>
        <w:spacing w:line="240" w:lineRule="auto" w:before="12"/>
        <w:rPr>
          <w:rFonts w:ascii="宋体" w:hAnsi="宋体" w:cs="宋体" w:eastAsia="宋体" w:hint="default"/>
          <w:sz w:val="18"/>
          <w:szCs w:val="18"/>
        </w:rPr>
      </w:pPr>
    </w:p>
    <w:p>
      <w:pPr>
        <w:pStyle w:val="BodyText"/>
        <w:spacing w:line="453" w:lineRule="auto"/>
        <w:ind w:left="1553" w:right="1163"/>
        <w:jc w:val="left"/>
        <w:rPr>
          <w:rFonts w:ascii="微软雅黑" w:hAnsi="微软雅黑" w:cs="微软雅黑" w:eastAsia="微软雅黑" w:hint="default"/>
        </w:rPr>
      </w:pPr>
      <w:r>
        <w:rPr>
          <w:rFonts w:ascii="Times New Roman" w:hAnsi="Times New Roman" w:cs="Times New Roman" w:eastAsia="Times New Roman" w:hint="default"/>
        </w:rPr>
        <w:t>B</w:t>
      </w:r>
      <w:r>
        <w:rPr/>
        <w:t>、合同明确约定验收条款的，在商品已经验收通过并取得客户确认验收单据时确认商品销售收入。 </w:t>
      </w:r>
      <w:bookmarkStart w:name="29、政府补助" w:id="212"/>
      <w:bookmarkEnd w:id="212"/>
      <w:r>
        <w:rPr/>
      </w:r>
      <w:r>
        <w:rPr>
          <w:rFonts w:ascii="Times New Roman" w:hAnsi="Times New Roman" w:cs="Times New Roman" w:eastAsia="Times New Roman" w:hint="default"/>
        </w:rPr>
        <w:t>29</w:t>
      </w:r>
      <w:r>
        <w:rPr>
          <w:rFonts w:ascii="微软雅黑" w:hAnsi="微软雅黑" w:cs="微软雅黑" w:eastAsia="微软雅黑" w:hint="default"/>
        </w:rPr>
        <w:t>、政府补助</w:t>
      </w:r>
    </w:p>
    <w:p>
      <w:pPr>
        <w:pStyle w:val="Heading4"/>
        <w:spacing w:line="240" w:lineRule="auto" w:before="156"/>
        <w:ind w:right="0"/>
        <w:jc w:val="left"/>
        <w:rPr>
          <w:b w:val="0"/>
          <w:bCs w:val="0"/>
        </w:rPr>
      </w:pPr>
      <w:bookmarkStart w:name="（1）与资产相关的政府补助判断依据及会计处理方法" w:id="213"/>
      <w:bookmarkEnd w:id="21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0"/>
          <w:szCs w:val="20"/>
        </w:rPr>
      </w:pPr>
    </w:p>
    <w:p>
      <w:pPr>
        <w:pStyle w:val="BodyText"/>
        <w:spacing w:line="297" w:lineRule="auto"/>
        <w:ind w:left="1134" w:right="1130" w:firstLine="420"/>
        <w:jc w:val="both"/>
      </w:pPr>
      <w:r>
        <w:rPr>
          <w:spacing w:val="-1"/>
        </w:rPr>
        <w:t>对于政府文件未明确规定补助对象的，能够形成长期资产的，与资产价值相对应的政府补助部分作为</w:t>
      </w:r>
      <w:r>
        <w:rPr/>
        <w:t> </w:t>
      </w:r>
      <w:r>
        <w:rPr>
          <w:spacing w:val="-1"/>
        </w:rPr>
        <w:t>与资产相关的政府补助，其余部分作为与收益相关的政府补助；难以区分的，将政府补助整体作为与收益</w:t>
      </w:r>
      <w:r>
        <w:rPr>
          <w:spacing w:val="-83"/>
        </w:rPr>
        <w:t> </w:t>
      </w:r>
      <w:r>
        <w:rPr>
          <w:spacing w:val="-83"/>
        </w:rPr>
      </w:r>
      <w:r>
        <w:rPr/>
        <w:t>相关的政府补助。</w:t>
      </w:r>
    </w:p>
    <w:p>
      <w:pPr>
        <w:spacing w:line="240" w:lineRule="auto" w:before="11"/>
        <w:rPr>
          <w:rFonts w:ascii="宋体" w:hAnsi="宋体" w:cs="宋体" w:eastAsia="宋体" w:hint="default"/>
          <w:sz w:val="17"/>
          <w:szCs w:val="17"/>
        </w:rPr>
      </w:pPr>
    </w:p>
    <w:p>
      <w:pPr>
        <w:pStyle w:val="BodyText"/>
        <w:spacing w:line="240" w:lineRule="auto"/>
        <w:ind w:right="0"/>
        <w:jc w:val="left"/>
      </w:pPr>
      <w:r>
        <w:rPr>
          <w:spacing w:val="-3"/>
        </w:rPr>
        <w:t>与资产相关的政府补助，确认为递延收益在相关资产使用期限内按照合理、系统的方法分期计入损益。</w:t>
      </w:r>
    </w:p>
    <w:p>
      <w:pPr>
        <w:spacing w:line="558" w:lineRule="exact" w:before="83"/>
        <w:ind w:left="1554" w:right="0" w:firstLine="2"/>
        <w:jc w:val="left"/>
        <w:rPr>
          <w:rFonts w:ascii="宋体" w:hAnsi="宋体" w:cs="宋体" w:eastAsia="宋体" w:hint="default"/>
          <w:sz w:val="21"/>
          <w:szCs w:val="21"/>
        </w:rPr>
      </w:pPr>
      <w:bookmarkStart w:name="（2）与收益相关的政府补助判断依据及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不能作为与资产相关的政府补助的，作为与收益相关的政府补助。 </w:t>
      </w:r>
      <w:r>
        <w:rPr>
          <w:rFonts w:ascii="宋体" w:hAnsi="宋体" w:cs="宋体" w:eastAsia="宋体" w:hint="default"/>
          <w:spacing w:val="-1"/>
          <w:sz w:val="21"/>
          <w:szCs w:val="21"/>
        </w:rPr>
        <w:t>与收益相关的政府补助，如果用于补偿已发生的相关费用或损失，则计入当期损益；如果用于补偿以</w:t>
      </w:r>
    </w:p>
    <w:p>
      <w:pPr>
        <w:pStyle w:val="BodyText"/>
        <w:spacing w:line="259" w:lineRule="exact"/>
        <w:ind w:left="1134" w:right="0"/>
        <w:jc w:val="left"/>
      </w:pPr>
      <w:r>
        <w:rPr/>
        <w:t>后期间的相关费用或损失，则计入递延收益，于费用确认期间计入当期损益。按照名义金额计量的政府补</w:t>
      </w:r>
    </w:p>
    <w:p>
      <w:pPr>
        <w:pStyle w:val="BodyText"/>
        <w:spacing w:line="240" w:lineRule="auto" w:before="66"/>
        <w:ind w:left="1134" w:right="0"/>
        <w:jc w:val="left"/>
      </w:pPr>
      <w:r>
        <w:rPr/>
        <w:t>助，直接计入当期损益。</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30、递延所得税资产/递延所得税负债" w:id="215"/>
      <w:bookmarkEnd w:id="215"/>
      <w:r>
        <w:rPr/>
      </w:r>
      <w:r>
        <w:rPr>
          <w:rFonts w:ascii="Times New Roman" w:hAnsi="Times New Roman" w:cs="Times New Roman" w:eastAsia="Times New Roman" w:hint="default"/>
        </w:rPr>
        <w:t>30</w:t>
      </w:r>
      <w:r>
        <w:rPr>
          <w:rFonts w:ascii="微软雅黑" w:hAnsi="微软雅黑" w:cs="微软雅黑" w:eastAsia="微软雅黑" w:hint="default"/>
        </w:rPr>
        <w:t>、递延所得税资产</w:t>
      </w:r>
      <w:r>
        <w:rPr>
          <w:rFonts w:ascii="Times New Roman" w:hAnsi="Times New Roman" w:cs="Times New Roman" w:eastAsia="Times New Roman" w:hint="default"/>
        </w:rPr>
        <w:t>/</w:t>
      </w:r>
      <w:r>
        <w:rPr>
          <w:rFonts w:ascii="微软雅黑" w:hAnsi="微软雅黑" w:cs="微软雅黑" w:eastAsia="微软雅黑" w:hint="default"/>
        </w:rPr>
        <w:t>递延所得税负债</w:t>
      </w:r>
    </w:p>
    <w:p>
      <w:pPr>
        <w:spacing w:line="240" w:lineRule="auto" w:before="6"/>
        <w:rPr>
          <w:rFonts w:ascii="微软雅黑" w:hAnsi="微软雅黑" w:cs="微软雅黑" w:eastAsia="微软雅黑" w:hint="default"/>
          <w:sz w:val="23"/>
          <w:szCs w:val="23"/>
        </w:rPr>
      </w:pPr>
    </w:p>
    <w:p>
      <w:pPr>
        <w:pStyle w:val="BodyText"/>
        <w:spacing w:line="297" w:lineRule="auto"/>
        <w:ind w:left="1134" w:right="0" w:firstLine="420"/>
        <w:jc w:val="left"/>
      </w:pPr>
      <w:r>
        <w:rPr>
          <w:spacing w:val="-1"/>
        </w:rPr>
        <w:t>所得税包括当期所得税和递延所得税。除由于企业合并产生的调整商誉，或与直接计入所有者权益的</w:t>
      </w:r>
      <w:r>
        <w:rPr/>
        <w:t> 交易或者事项相关的递延所得税计入所有者权益外，均作为所得税费用计入当期损益。</w:t>
      </w:r>
    </w:p>
    <w:p>
      <w:pPr>
        <w:spacing w:line="240" w:lineRule="auto" w:before="10"/>
        <w:rPr>
          <w:rFonts w:ascii="宋体" w:hAnsi="宋体" w:cs="宋体" w:eastAsia="宋体" w:hint="default"/>
          <w:sz w:val="17"/>
          <w:szCs w:val="17"/>
        </w:rPr>
      </w:pPr>
    </w:p>
    <w:p>
      <w:pPr>
        <w:pStyle w:val="BodyText"/>
        <w:spacing w:line="297" w:lineRule="auto"/>
        <w:ind w:left="1134" w:right="0" w:firstLine="420"/>
        <w:jc w:val="left"/>
      </w:pPr>
      <w:r>
        <w:rPr>
          <w:spacing w:val="-1"/>
        </w:rPr>
        <w:t>本集团根据资产、负债于资产负债表日的账面价值与计税基础之间的暂时性差异，采用资产负债表债</w:t>
      </w:r>
      <w:r>
        <w:rPr/>
        <w:t> 务法确认递延所得税。</w:t>
      </w:r>
    </w:p>
    <w:p>
      <w:pPr>
        <w:spacing w:line="240" w:lineRule="auto" w:before="11"/>
        <w:rPr>
          <w:rFonts w:ascii="宋体" w:hAnsi="宋体" w:cs="宋体" w:eastAsia="宋体" w:hint="default"/>
          <w:sz w:val="17"/>
          <w:szCs w:val="17"/>
        </w:rPr>
      </w:pPr>
    </w:p>
    <w:p>
      <w:pPr>
        <w:pStyle w:val="BodyText"/>
        <w:spacing w:line="297" w:lineRule="auto"/>
        <w:ind w:left="1134" w:right="1116" w:firstLine="420"/>
        <w:jc w:val="left"/>
      </w:pPr>
      <w:r>
        <w:rPr>
          <w:spacing w:val="-1"/>
        </w:rPr>
        <w:t>各项应纳税暂时性差异均确认相关的递延所得税负债，除非该应纳税暂时性差异是在以下交易中产生</w:t>
      </w:r>
      <w:r>
        <w:rPr/>
        <w:t> 的：</w:t>
      </w:r>
    </w:p>
    <w:p>
      <w:pPr>
        <w:spacing w:line="240" w:lineRule="auto" w:before="10"/>
        <w:rPr>
          <w:rFonts w:ascii="宋体" w:hAnsi="宋体" w:cs="宋体" w:eastAsia="宋体" w:hint="default"/>
          <w:sz w:val="17"/>
          <w:szCs w:val="17"/>
        </w:rPr>
      </w:pPr>
    </w:p>
    <w:p>
      <w:pPr>
        <w:pStyle w:val="BodyText"/>
        <w:spacing w:line="280" w:lineRule="auto"/>
        <w:ind w:left="1134" w:right="0" w:firstLine="42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 合并，并且交易发生时既不影响会计利润也不影响应纳税所得额；</w:t>
      </w:r>
    </w:p>
    <w:p>
      <w:pPr>
        <w:spacing w:after="0" w:line="28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80" w:lineRule="auto" w:before="35"/>
        <w:ind w:left="1134" w:right="1141" w:firstLine="420"/>
        <w:jc w:val="both"/>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 能够控制并且该暂时性差异在可预见的未来很可能不会转回。</w:t>
      </w:r>
    </w:p>
    <w:p>
      <w:pPr>
        <w:spacing w:line="240" w:lineRule="auto" w:before="12"/>
        <w:rPr>
          <w:rFonts w:ascii="宋体" w:hAnsi="宋体" w:cs="宋体" w:eastAsia="宋体" w:hint="default"/>
          <w:sz w:val="18"/>
          <w:szCs w:val="18"/>
        </w:rPr>
      </w:pPr>
    </w:p>
    <w:p>
      <w:pPr>
        <w:pStyle w:val="BodyText"/>
        <w:spacing w:line="297" w:lineRule="auto"/>
        <w:ind w:left="1134" w:right="1110" w:firstLine="420"/>
        <w:jc w:val="both"/>
      </w:pPr>
      <w:r>
        <w:rPr>
          <w:spacing w:val="-1"/>
        </w:rPr>
        <w:t>对于可抵扣暂时性差异、能够结转以后年度的可抵扣亏损和税款抵减，本集团以很可能取得用来抵扣</w:t>
      </w:r>
      <w:r>
        <w:rPr/>
        <w:t> 可抵扣暂时性差异、可抵扣亏损和税款抵减的未来应纳税所得额为限，确认由此产生的递延所得税资产， 除非该可抵扣暂时性差异是在以下交易中产生的：</w:t>
      </w:r>
    </w:p>
    <w:p>
      <w:pPr>
        <w:spacing w:line="240" w:lineRule="auto" w:before="12"/>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6"/>
        <w:rPr>
          <w:rFonts w:ascii="宋体" w:hAnsi="宋体" w:cs="宋体" w:eastAsia="宋体" w:hint="default"/>
          <w:sz w:val="20"/>
          <w:szCs w:val="20"/>
        </w:rPr>
      </w:pPr>
    </w:p>
    <w:p>
      <w:pPr>
        <w:pStyle w:val="BodyText"/>
        <w:spacing w:line="290" w:lineRule="auto"/>
        <w:ind w:left="1134" w:right="1131" w:firstLine="420"/>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 </w:t>
      </w:r>
      <w:r>
        <w:rPr>
          <w:spacing w:val="-1"/>
        </w:rPr>
        <w:t>认相应的递延所得税资产：暂时性差异在可预见的未来很可能转回，且未来很可能获得用来抵扣可抵扣暂</w:t>
      </w:r>
      <w:r>
        <w:rPr>
          <w:spacing w:val="-81"/>
        </w:rPr>
        <w:t> </w:t>
      </w:r>
      <w:r>
        <w:rPr>
          <w:spacing w:val="-81"/>
        </w:rPr>
      </w:r>
      <w:r>
        <w:rPr/>
        <w:t>时性差异的应纳税所得额。</w:t>
      </w:r>
    </w:p>
    <w:p>
      <w:pPr>
        <w:spacing w:line="240" w:lineRule="auto" w:before="4"/>
        <w:rPr>
          <w:rFonts w:ascii="宋体" w:hAnsi="宋体" w:cs="宋体" w:eastAsia="宋体" w:hint="default"/>
          <w:sz w:val="18"/>
          <w:szCs w:val="18"/>
        </w:rPr>
      </w:pPr>
    </w:p>
    <w:p>
      <w:pPr>
        <w:pStyle w:val="BodyText"/>
        <w:spacing w:line="297" w:lineRule="auto"/>
        <w:ind w:left="1134" w:right="1131" w:firstLine="420"/>
        <w:jc w:val="both"/>
      </w:pPr>
      <w:r>
        <w:rPr>
          <w:spacing w:val="-1"/>
        </w:rPr>
        <w:t>于资产负债表日，本集团对递延所得税资产和递延所得税负债，按照预期收回该资产或清偿该负债期</w:t>
      </w:r>
      <w:r>
        <w:rPr/>
        <w:t> 间的适用税率计量，并反映资产负债表日预期收回资产或清偿负债方式的所得税影响。</w:t>
      </w:r>
    </w:p>
    <w:p>
      <w:pPr>
        <w:spacing w:line="240" w:lineRule="auto" w:before="10"/>
        <w:rPr>
          <w:rFonts w:ascii="宋体" w:hAnsi="宋体" w:cs="宋体" w:eastAsia="宋体" w:hint="default"/>
          <w:sz w:val="17"/>
          <w:szCs w:val="17"/>
        </w:rPr>
      </w:pPr>
    </w:p>
    <w:p>
      <w:pPr>
        <w:pStyle w:val="BodyText"/>
        <w:spacing w:line="297" w:lineRule="auto"/>
        <w:ind w:left="1134" w:right="1131" w:firstLine="420"/>
        <w:jc w:val="both"/>
      </w:pPr>
      <w:r>
        <w:rPr>
          <w:spacing w:val="-1"/>
        </w:rPr>
        <w:t>于资产负债表日，本集团对递延所得税资产的账面价值进行复核。如果未来期间很可能无法获得足够</w:t>
      </w:r>
      <w:r>
        <w:rPr/>
        <w:t> </w:t>
      </w:r>
      <w:r>
        <w:rPr>
          <w:spacing w:val="-1"/>
        </w:rPr>
        <w:t>的应纳税所得额用以抵扣递延所得税资产的利益，减记递延所得税资产的账面价值。在很可能获得足够的</w:t>
      </w:r>
      <w:r>
        <w:rPr>
          <w:spacing w:val="-81"/>
        </w:rPr>
        <w:t> </w:t>
      </w:r>
      <w:r>
        <w:rPr>
          <w:spacing w:val="-81"/>
        </w:rPr>
      </w:r>
      <w:r>
        <w:rPr/>
        <w:t>应纳税所得额时，减记的金额予以转回。</w:t>
      </w:r>
    </w:p>
    <w:p>
      <w:pPr>
        <w:spacing w:line="240" w:lineRule="auto" w:before="4"/>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31、租赁" w:id="216"/>
      <w:bookmarkEnd w:id="216"/>
      <w:r>
        <w:rPr/>
      </w:r>
      <w:r>
        <w:rPr>
          <w:rFonts w:ascii="Times New Roman" w:hAnsi="Times New Roman" w:cs="Times New Roman" w:eastAsia="Times New Roman" w:hint="default"/>
        </w:rPr>
        <w:t>31</w:t>
      </w:r>
      <w:r>
        <w:rPr>
          <w:rFonts w:ascii="微软雅黑" w:hAnsi="微软雅黑" w:cs="微软雅黑" w:eastAsia="微软雅黑" w:hint="default"/>
        </w:rPr>
        <w:t>、租赁</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经营租赁的会计处理方法" w:id="217"/>
      <w:bookmarkEnd w:id="21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540" w:lineRule="atLeast" w:before="18"/>
        <w:ind w:right="0"/>
        <w:jc w:val="left"/>
      </w:pPr>
      <w:r>
        <w:rPr/>
        <w:t>（</w:t>
      </w:r>
      <w:r>
        <w:rPr>
          <w:rFonts w:ascii="Times New Roman" w:hAnsi="Times New Roman" w:cs="Times New Roman" w:eastAsia="Times New Roman" w:hint="default"/>
        </w:rPr>
        <w:t>1</w:t>
      </w:r>
      <w:r>
        <w:rPr/>
        <w:t>）本集团作为出租人 </w:t>
      </w:r>
      <w:r>
        <w:rPr>
          <w:spacing w:val="-1"/>
        </w:rPr>
        <w:t>经营租赁中的租金，本集团在租赁期内各个期间按照直线法确认当期损益。发生的初始直接费用，计</w:t>
      </w:r>
    </w:p>
    <w:p>
      <w:pPr>
        <w:pStyle w:val="BodyText"/>
        <w:spacing w:line="240" w:lineRule="auto" w:before="66"/>
        <w:ind w:left="1134" w:right="0"/>
        <w:jc w:val="left"/>
      </w:pPr>
      <w:r>
        <w:rPr/>
        <w:t>入当期损益。</w:t>
      </w:r>
    </w:p>
    <w:p>
      <w:pPr>
        <w:pStyle w:val="BodyText"/>
        <w:spacing w:line="540" w:lineRule="atLeast" w:before="34"/>
        <w:ind w:right="0"/>
        <w:jc w:val="left"/>
      </w:pPr>
      <w:r>
        <w:rPr/>
        <w:t>（</w:t>
      </w:r>
      <w:r>
        <w:rPr>
          <w:rFonts w:ascii="Times New Roman" w:hAnsi="Times New Roman" w:cs="Times New Roman" w:eastAsia="Times New Roman" w:hint="default"/>
        </w:rPr>
        <w:t>2</w:t>
      </w:r>
      <w:r>
        <w:rPr/>
        <w:t>）本集团作为承租人 </w:t>
      </w:r>
      <w:r>
        <w:rPr>
          <w:spacing w:val="-1"/>
        </w:rPr>
        <w:t>经营租赁中的租金，本集团在租赁期内各个期间按照直线法计入相关资产成本或当期损益；发生的初</w:t>
      </w:r>
    </w:p>
    <w:p>
      <w:pPr>
        <w:pStyle w:val="BodyText"/>
        <w:spacing w:line="240" w:lineRule="auto" w:before="64"/>
        <w:ind w:left="1134" w:right="0"/>
        <w:jc w:val="left"/>
      </w:pPr>
      <w:r>
        <w:rPr/>
        <w:t>始直接费用，计入当期损益。</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2）融资租赁的会计处理方法" w:id="218"/>
      <w:bookmarkEnd w:id="21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540" w:lineRule="atLeast" w:before="18"/>
        <w:ind w:right="0"/>
        <w:jc w:val="left"/>
      </w:pPr>
      <w:r>
        <w:rPr/>
        <w:t>（</w:t>
      </w:r>
      <w:r>
        <w:rPr>
          <w:rFonts w:ascii="Times New Roman" w:hAnsi="Times New Roman" w:cs="Times New Roman" w:eastAsia="Times New Roman" w:hint="default"/>
        </w:rPr>
        <w:t>1</w:t>
      </w:r>
      <w:r>
        <w:rPr/>
        <w:t>）本集团作为出租人 </w:t>
      </w:r>
      <w:r>
        <w:rPr>
          <w:spacing w:val="-1"/>
        </w:rPr>
        <w:t>融资租赁中，在租赁期开始日本集团按最低租赁收款额与初始直接费用之和作为应收融资租赁款的入</w:t>
      </w:r>
    </w:p>
    <w:p>
      <w:pPr>
        <w:pStyle w:val="BodyText"/>
        <w:spacing w:line="297" w:lineRule="auto" w:before="66"/>
        <w:ind w:left="1134" w:right="1092"/>
        <w:jc w:val="left"/>
      </w:pPr>
      <w:r>
        <w:rPr>
          <w:spacing w:val="-1"/>
        </w:rPr>
        <w:t>账价值，同时记录未担保余值；将最低租赁收款额、初始直接费用及未担保余值之和与其现值之和的差额</w:t>
      </w:r>
      <w:r>
        <w:rPr>
          <w:spacing w:val="-83"/>
        </w:rPr>
        <w:t> </w:t>
      </w:r>
      <w:r>
        <w:rPr>
          <w:spacing w:val="-83"/>
        </w:rPr>
      </w:r>
      <w:r>
        <w:rPr/>
        <w:t>确认为未实现融资收益。未实现融资收益在租赁期内各个期间采用实际利率法计算确认当期的融资收入。</w:t>
      </w:r>
    </w:p>
    <w:p>
      <w:pPr>
        <w:pStyle w:val="BodyText"/>
        <w:spacing w:line="560" w:lineRule="exact" w:before="30"/>
        <w:ind w:right="0"/>
        <w:jc w:val="left"/>
      </w:pPr>
      <w:r>
        <w:rPr/>
        <w:t>（</w:t>
      </w:r>
      <w:r>
        <w:rPr>
          <w:rFonts w:ascii="Times New Roman" w:hAnsi="Times New Roman" w:cs="Times New Roman" w:eastAsia="Times New Roman" w:hint="default"/>
        </w:rPr>
        <w:t>2</w:t>
      </w:r>
      <w:r>
        <w:rPr/>
        <w:t>）本集团作为承租人 </w:t>
      </w:r>
      <w:r>
        <w:rPr>
          <w:spacing w:val="-1"/>
        </w:rPr>
        <w:t>融资租赁中，在租赁期开始日本集团将租赁资产公允价值与最低租赁付款额现值两者中较低者作为租</w:t>
      </w:r>
    </w:p>
    <w:p>
      <w:pPr>
        <w:pStyle w:val="BodyText"/>
        <w:spacing w:line="257" w:lineRule="exact"/>
        <w:ind w:left="1134" w:right="0"/>
        <w:jc w:val="left"/>
      </w:pPr>
      <w:r>
        <w:rPr/>
        <w:t>入资产的入账价值，将最低租赁付款额作为长期应付款的入账价值，其差额作为未确认融资费用。初始直</w:t>
      </w:r>
    </w:p>
    <w:p>
      <w:pPr>
        <w:spacing w:after="0" w:line="257" w:lineRule="exact"/>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0"/>
        <w:jc w:val="left"/>
      </w:pPr>
      <w:r>
        <w:rPr>
          <w:spacing w:val="3"/>
        </w:rPr>
        <w:t>接费用计入租入资产价值。未确认融资费用在租赁期内各个期间采用实际利率法计算确认当期的融资费</w:t>
      </w:r>
      <w:r>
        <w:rPr>
          <w:spacing w:val="-82"/>
        </w:rPr>
        <w:t> </w:t>
      </w:r>
      <w:r>
        <w:rPr>
          <w:spacing w:val="-82"/>
        </w:rPr>
      </w:r>
      <w:r>
        <w:rPr/>
        <w:t>用。本集团采用与自有固定资产相一致的折旧政策计提租赁资产折旧。</w:t>
      </w:r>
    </w:p>
    <w:p>
      <w:pPr>
        <w:spacing w:line="240" w:lineRule="auto" w:before="3"/>
        <w:rPr>
          <w:rFonts w:ascii="宋体" w:hAnsi="宋体" w:cs="宋体" w:eastAsia="宋体" w:hint="default"/>
          <w:sz w:val="17"/>
          <w:szCs w:val="17"/>
        </w:rPr>
      </w:pPr>
    </w:p>
    <w:p>
      <w:pPr>
        <w:pStyle w:val="BodyText"/>
        <w:spacing w:line="240" w:lineRule="auto"/>
        <w:ind w:left="1553" w:right="0"/>
        <w:jc w:val="left"/>
        <w:rPr>
          <w:rFonts w:ascii="微软雅黑" w:hAnsi="微软雅黑" w:cs="微软雅黑" w:eastAsia="微软雅黑" w:hint="default"/>
        </w:rPr>
      </w:pPr>
      <w:bookmarkStart w:name="32、其他重要的会计政策和会计估计" w:id="219"/>
      <w:bookmarkEnd w:id="219"/>
      <w:r>
        <w:rPr/>
      </w:r>
      <w:r>
        <w:rPr>
          <w:rFonts w:ascii="Times New Roman" w:hAnsi="Times New Roman" w:cs="Times New Roman" w:eastAsia="Times New Roman" w:hint="default"/>
        </w:rPr>
        <w:t>32</w:t>
      </w:r>
      <w:r>
        <w:rPr>
          <w:rFonts w:ascii="微软雅黑" w:hAnsi="微软雅黑" w:cs="微软雅黑" w:eastAsia="微软雅黑" w:hint="default"/>
        </w:rPr>
        <w:t>、其他重要的会计政策和会计估计</w:t>
      </w:r>
    </w:p>
    <w:p>
      <w:pPr>
        <w:pStyle w:val="BodyText"/>
        <w:spacing w:line="540" w:lineRule="atLeast" w:before="154"/>
        <w:ind w:right="0"/>
        <w:jc w:val="left"/>
      </w:pPr>
      <w:r>
        <w:rPr/>
        <w:t>（</w:t>
      </w:r>
      <w:r>
        <w:rPr>
          <w:rFonts w:ascii="Times New Roman" w:hAnsi="Times New Roman" w:cs="Times New Roman" w:eastAsia="Times New Roman" w:hint="default"/>
        </w:rPr>
        <w:t>1</w:t>
      </w:r>
      <w:r>
        <w:rPr/>
        <w:t>）公允价值计量 </w:t>
      </w:r>
      <w:r>
        <w:rPr>
          <w:spacing w:val="-1"/>
        </w:rPr>
        <w:t>公允价值是指市场参与者在计量日发生的有序交易中，出售一项资产所能收到或者转移一项负债所需</w:t>
      </w:r>
    </w:p>
    <w:p>
      <w:pPr>
        <w:pStyle w:val="BodyText"/>
        <w:spacing w:line="240" w:lineRule="auto" w:before="66"/>
        <w:ind w:left="1134" w:right="0"/>
        <w:jc w:val="left"/>
      </w:pPr>
      <w:r>
        <w:rPr/>
        <w:t>支付的价格。</w:t>
      </w:r>
    </w:p>
    <w:p>
      <w:pPr>
        <w:spacing w:line="240" w:lineRule="auto" w:before="8"/>
        <w:rPr>
          <w:rFonts w:ascii="宋体" w:hAnsi="宋体" w:cs="宋体" w:eastAsia="宋体" w:hint="default"/>
          <w:sz w:val="21"/>
          <w:szCs w:val="21"/>
        </w:rPr>
      </w:pPr>
    </w:p>
    <w:p>
      <w:pPr>
        <w:pStyle w:val="BodyText"/>
        <w:spacing w:line="297" w:lineRule="auto"/>
        <w:ind w:left="1133" w:right="1129" w:firstLine="420"/>
        <w:jc w:val="both"/>
      </w:pPr>
      <w:r>
        <w:rPr>
          <w:spacing w:val="-1"/>
        </w:rPr>
        <w:t>本集团以公允价值计量相关资产或负债，假定出售资产或者转移负债的有序交易在相关资产或负债的</w:t>
      </w:r>
      <w:r>
        <w:rPr/>
        <w:t> </w:t>
      </w:r>
      <w:r>
        <w:rPr>
          <w:spacing w:val="-5"/>
        </w:rPr>
        <w:t>主要市场进行；不存在主要市场的，本集团假定该交易在相关资产或负债的最有利市场进行。主要市场（或</w:t>
      </w:r>
      <w:r>
        <w:rPr>
          <w:spacing w:val="-102"/>
        </w:rPr>
        <w:t> </w:t>
      </w:r>
      <w:r>
        <w:rPr>
          <w:spacing w:val="-102"/>
        </w:rPr>
      </w:r>
      <w:r>
        <w:rPr>
          <w:spacing w:val="-1"/>
        </w:rPr>
        <w:t>最有利市场）是本集团在计量日能够进入的交易市场。本集团采用市场参与者在对该资产或负债定价时为</w:t>
      </w:r>
      <w:r>
        <w:rPr>
          <w:spacing w:val="-81"/>
        </w:rPr>
        <w:t> </w:t>
      </w:r>
      <w:r>
        <w:rPr>
          <w:spacing w:val="-81"/>
        </w:rPr>
      </w:r>
      <w:r>
        <w:rPr/>
        <w:t>实现其经济利益最大化所使用的假设。</w:t>
      </w:r>
    </w:p>
    <w:p>
      <w:pPr>
        <w:spacing w:line="240" w:lineRule="auto" w:before="12"/>
        <w:rPr>
          <w:rFonts w:ascii="宋体" w:hAnsi="宋体" w:cs="宋体" w:eastAsia="宋体" w:hint="default"/>
          <w:sz w:val="17"/>
          <w:szCs w:val="17"/>
        </w:rPr>
      </w:pPr>
    </w:p>
    <w:p>
      <w:pPr>
        <w:pStyle w:val="BodyText"/>
        <w:spacing w:line="297" w:lineRule="auto"/>
        <w:ind w:left="1133" w:right="1131" w:firstLine="420"/>
        <w:jc w:val="both"/>
      </w:pPr>
      <w:r>
        <w:rPr>
          <w:spacing w:val="-1"/>
        </w:rPr>
        <w:t>存在活跃市场的金融资产或金融负债，本集团采用活跃市场中的报价确定其公允价值。金融工具不存</w:t>
      </w:r>
      <w:r>
        <w:rPr/>
        <w:t> 在活跃市场的，本集团采用估值技术确定其公允价值。</w:t>
      </w:r>
    </w:p>
    <w:p>
      <w:pPr>
        <w:spacing w:line="240" w:lineRule="auto" w:before="10"/>
        <w:rPr>
          <w:rFonts w:ascii="宋体" w:hAnsi="宋体" w:cs="宋体" w:eastAsia="宋体" w:hint="default"/>
          <w:sz w:val="17"/>
          <w:szCs w:val="17"/>
        </w:rPr>
      </w:pPr>
    </w:p>
    <w:p>
      <w:pPr>
        <w:pStyle w:val="BodyText"/>
        <w:spacing w:line="297" w:lineRule="auto"/>
        <w:ind w:left="1134" w:right="1131" w:firstLine="420"/>
        <w:jc w:val="both"/>
      </w:pPr>
      <w:r>
        <w:rPr>
          <w:spacing w:val="-1"/>
        </w:rPr>
        <w:t>以公允价值计量非金融资产的，考虑市场参与者将该资产用于最佳用途产生经济利益的能力，或者将</w:t>
      </w:r>
      <w:r>
        <w:rPr/>
        <w:t> 该资产出售给能够用于最佳用途的其他市场参与者产生经济利益的能力。</w:t>
      </w:r>
    </w:p>
    <w:p>
      <w:pPr>
        <w:spacing w:line="240" w:lineRule="auto" w:before="10"/>
        <w:rPr>
          <w:rFonts w:ascii="宋体" w:hAnsi="宋体" w:cs="宋体" w:eastAsia="宋体" w:hint="default"/>
          <w:sz w:val="17"/>
          <w:szCs w:val="17"/>
        </w:rPr>
      </w:pPr>
    </w:p>
    <w:p>
      <w:pPr>
        <w:pStyle w:val="BodyText"/>
        <w:spacing w:line="297" w:lineRule="auto"/>
        <w:ind w:left="1133" w:right="1132" w:firstLine="420"/>
        <w:jc w:val="both"/>
      </w:pPr>
      <w:r>
        <w:rPr>
          <w:spacing w:val="-1"/>
        </w:rPr>
        <w:t>本集团采用在当前情况下适用并且有足够可利用数据和其他信息支持的估值技术，优先使用相关可观</w:t>
      </w:r>
      <w:r>
        <w:rPr/>
        <w:t> 察输入值，只有在可观察输入值无法取得或取得不切实可行的情况下，才使用不可观察输入值。</w:t>
      </w:r>
    </w:p>
    <w:p>
      <w:pPr>
        <w:spacing w:line="240" w:lineRule="auto" w:before="10"/>
        <w:rPr>
          <w:rFonts w:ascii="宋体" w:hAnsi="宋体" w:cs="宋体" w:eastAsia="宋体" w:hint="default"/>
          <w:sz w:val="17"/>
          <w:szCs w:val="17"/>
        </w:rPr>
      </w:pPr>
    </w:p>
    <w:p>
      <w:pPr>
        <w:pStyle w:val="BodyText"/>
        <w:spacing w:line="297" w:lineRule="auto"/>
        <w:ind w:left="1133" w:right="1130" w:firstLine="420"/>
        <w:jc w:val="both"/>
      </w:pPr>
      <w:r>
        <w:rPr>
          <w:spacing w:val="-1"/>
        </w:rPr>
        <w:t>在财务报表中以公允价值计量或披露的资产和负债，根据对公允价值计量整体而言具有重要意义的最</w:t>
      </w:r>
      <w:r>
        <w:rPr/>
        <w:t> </w:t>
      </w:r>
      <w:r>
        <w:rPr>
          <w:spacing w:val="-1"/>
        </w:rPr>
        <w:t>低层次输入值，确定所属的公允价值层次：第一层次输入值，是在计量日能够取得的相同资产或负债在活</w:t>
      </w:r>
      <w:r>
        <w:rPr>
          <w:spacing w:val="-83"/>
        </w:rPr>
        <w:t> </w:t>
      </w:r>
      <w:r>
        <w:rPr>
          <w:spacing w:val="-83"/>
        </w:rPr>
      </w:r>
      <w:r>
        <w:rPr>
          <w:spacing w:val="-1"/>
        </w:rPr>
        <w:t>跃市场上未经调整的报价；第二层次输入值，是除第一层次输入值外相关资产或负债直接或间接可观察的</w:t>
      </w:r>
      <w:r>
        <w:rPr>
          <w:spacing w:val="-81"/>
        </w:rPr>
        <w:t> </w:t>
      </w:r>
      <w:r>
        <w:rPr>
          <w:spacing w:val="-81"/>
        </w:rPr>
      </w:r>
      <w:r>
        <w:rPr/>
        <w:t>输入值；第三层次输入值，是相关资产或负债的不可观察输入值。</w:t>
      </w:r>
    </w:p>
    <w:p>
      <w:pPr>
        <w:spacing w:line="240" w:lineRule="auto" w:before="10"/>
        <w:rPr>
          <w:rFonts w:ascii="宋体" w:hAnsi="宋体" w:cs="宋体" w:eastAsia="宋体" w:hint="default"/>
          <w:sz w:val="17"/>
          <w:szCs w:val="17"/>
        </w:rPr>
      </w:pPr>
    </w:p>
    <w:p>
      <w:pPr>
        <w:pStyle w:val="BodyText"/>
        <w:spacing w:line="297" w:lineRule="auto"/>
        <w:ind w:left="1133" w:right="1110" w:firstLine="420"/>
        <w:jc w:val="both"/>
      </w:pPr>
      <w:r>
        <w:rPr/>
        <w:t>每个资产负债表日，本集团对在财务报表中确认的持续以公允价值计量的资产和负债进行重新评估， 以确定是否在公允价值计量层次之间发生转换。</w:t>
      </w:r>
    </w:p>
    <w:p>
      <w:pPr>
        <w:pStyle w:val="BodyText"/>
        <w:spacing w:line="560" w:lineRule="exact" w:before="30"/>
        <w:ind w:right="0"/>
        <w:jc w:val="left"/>
      </w:pPr>
      <w:r>
        <w:rPr/>
        <w:t>（</w:t>
      </w:r>
      <w:r>
        <w:rPr>
          <w:rFonts w:ascii="Times New Roman" w:hAnsi="Times New Roman" w:cs="Times New Roman" w:eastAsia="Times New Roman" w:hint="default"/>
        </w:rPr>
        <w:t>2</w:t>
      </w:r>
      <w:r>
        <w:rPr/>
        <w:t>）回购股份 </w:t>
      </w:r>
      <w:r>
        <w:rPr>
          <w:spacing w:val="-1"/>
        </w:rPr>
        <w:t>本公司回购的股份在注销或者转让之前，作为库存股管理，回购股份的全部支出转作库存股成本。股</w:t>
      </w:r>
    </w:p>
    <w:p>
      <w:pPr>
        <w:pStyle w:val="BodyText"/>
        <w:spacing w:line="257" w:lineRule="exact"/>
        <w:ind w:right="0" w:hanging="420"/>
        <w:jc w:val="left"/>
      </w:pPr>
      <w:r>
        <w:rPr/>
        <w:t>份回购中支付的对价和交易费用减少所有者权益，回购、转让或注销本公司股份时，不确认利得或损失。</w:t>
      </w:r>
    </w:p>
    <w:p>
      <w:pPr>
        <w:spacing w:line="240" w:lineRule="auto" w:before="10"/>
        <w:rPr>
          <w:rFonts w:ascii="宋体" w:hAnsi="宋体" w:cs="宋体" w:eastAsia="宋体" w:hint="default"/>
          <w:sz w:val="21"/>
          <w:szCs w:val="21"/>
        </w:rPr>
      </w:pPr>
    </w:p>
    <w:p>
      <w:pPr>
        <w:pStyle w:val="BodyText"/>
        <w:spacing w:line="297" w:lineRule="auto"/>
        <w:ind w:left="1134" w:right="1131" w:firstLine="420"/>
        <w:jc w:val="both"/>
      </w:pPr>
      <w:r>
        <w:rPr>
          <w:spacing w:val="-1"/>
        </w:rPr>
        <w:t>转让库存股，按实际收到的金额与库存股账面金额的差额，计入资本公积，资本公积不足冲减的，冲</w:t>
      </w:r>
      <w:r>
        <w:rPr/>
        <w:t> </w:t>
      </w:r>
      <w:r>
        <w:rPr>
          <w:spacing w:val="-1"/>
        </w:rPr>
        <w:t>减盈余公积和未分配利润。注销库存股，按股票面值和注销股数减少股本，按注销库存股的账面余额与面</w:t>
      </w:r>
      <w:r>
        <w:rPr>
          <w:spacing w:val="-83"/>
        </w:rPr>
        <w:t> </w:t>
      </w:r>
      <w:r>
        <w:rPr>
          <w:spacing w:val="-83"/>
        </w:rPr>
      </w:r>
      <w:r>
        <w:rPr/>
        <w:t>值的差额，冲减资本公积，资本公积不足冲减的，冲减盈余公积和未分配利润。</w:t>
      </w:r>
    </w:p>
    <w:p>
      <w:pPr>
        <w:pStyle w:val="BodyText"/>
        <w:spacing w:line="558" w:lineRule="exact" w:before="33"/>
        <w:ind w:right="0"/>
        <w:jc w:val="left"/>
      </w:pPr>
      <w:r>
        <w:rPr/>
        <w:t>（</w:t>
      </w:r>
      <w:r>
        <w:rPr>
          <w:rFonts w:ascii="Times New Roman" w:hAnsi="Times New Roman" w:cs="Times New Roman" w:eastAsia="Times New Roman" w:hint="default"/>
        </w:rPr>
        <w:t>3</w:t>
      </w:r>
      <w:r>
        <w:rPr/>
        <w:t>）限制性股票 </w:t>
      </w:r>
      <w:r>
        <w:rPr>
          <w:spacing w:val="-1"/>
        </w:rPr>
        <w:t>股权激励计划中，本公司授予被激励对象限制性股票，被激励对象先认购股票，如果后续未达到股权</w:t>
      </w:r>
    </w:p>
    <w:p>
      <w:pPr>
        <w:pStyle w:val="BodyText"/>
        <w:spacing w:line="259" w:lineRule="exact"/>
        <w:ind w:left="1134" w:right="0"/>
        <w:jc w:val="left"/>
      </w:pPr>
      <w:r>
        <w:rPr/>
        <w:t>激励计划规定的解锁条件，则本公司按照事先约定的价格回购股票。向职工发行的限制性股票按有关规定</w:t>
      </w:r>
    </w:p>
    <w:p>
      <w:pPr>
        <w:spacing w:after="0" w:line="259" w:lineRule="exact"/>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3" w:right="0"/>
        <w:jc w:val="left"/>
      </w:pPr>
      <w:r>
        <w:rPr>
          <w:spacing w:val="-1"/>
        </w:rPr>
        <w:t>履行了注册登记等增资手续的，在授予日，本公司根据收到的职工缴纳的认股款确认股本和资本公积（股</w:t>
      </w:r>
      <w:r>
        <w:rPr>
          <w:spacing w:val="-83"/>
        </w:rPr>
        <w:t> </w:t>
      </w:r>
      <w:r>
        <w:rPr>
          <w:spacing w:val="-83"/>
        </w:rPr>
      </w:r>
      <w:r>
        <w:rPr/>
        <w:t>本溢价）；同时就回购义务确认库存股和其他应付款。</w:t>
      </w:r>
    </w:p>
    <w:p>
      <w:pPr>
        <w:pStyle w:val="BodyText"/>
        <w:spacing w:line="558" w:lineRule="exact" w:before="31"/>
        <w:ind w:right="0"/>
        <w:jc w:val="left"/>
      </w:pPr>
      <w:r>
        <w:rPr/>
        <w:t>（</w:t>
      </w:r>
      <w:r>
        <w:rPr>
          <w:rFonts w:ascii="Times New Roman" w:hAnsi="Times New Roman" w:cs="Times New Roman" w:eastAsia="Times New Roman" w:hint="default"/>
        </w:rPr>
        <w:t>4</w:t>
      </w:r>
      <w:r>
        <w:rPr/>
        <w:t>）重大会计判断和估计 </w:t>
      </w:r>
      <w:r>
        <w:rPr>
          <w:spacing w:val="-1"/>
        </w:rPr>
        <w:t>本集团根据历史经验和其它因素，包括对未来事项的合理预期，对所采用的重要会计估计和关键假设</w:t>
      </w:r>
    </w:p>
    <w:p>
      <w:pPr>
        <w:pStyle w:val="BodyText"/>
        <w:spacing w:line="259" w:lineRule="exact"/>
        <w:ind w:left="1134" w:right="0"/>
        <w:jc w:val="left"/>
      </w:pPr>
      <w:r>
        <w:rPr/>
        <w:t>进行持续的评价。</w:t>
      </w:r>
    </w:p>
    <w:p>
      <w:pPr>
        <w:spacing w:line="240" w:lineRule="auto" w:before="8"/>
        <w:rPr>
          <w:rFonts w:ascii="宋体" w:hAnsi="宋体" w:cs="宋体" w:eastAsia="宋体" w:hint="default"/>
          <w:sz w:val="21"/>
          <w:szCs w:val="21"/>
        </w:rPr>
      </w:pPr>
    </w:p>
    <w:p>
      <w:pPr>
        <w:pStyle w:val="BodyText"/>
        <w:spacing w:line="297" w:lineRule="auto"/>
        <w:ind w:left="1133" w:right="1137" w:firstLine="420"/>
        <w:jc w:val="both"/>
      </w:pPr>
      <w:r>
        <w:rPr>
          <w:spacing w:val="3"/>
        </w:rPr>
        <w:t>很可能导致下一会计年度资产和负债的账面价值出现重大调整风险的重要会计估计和关键假设列示</w:t>
      </w:r>
      <w:r>
        <w:rPr/>
        <w:t> 如下：</w:t>
      </w:r>
    </w:p>
    <w:p>
      <w:pPr>
        <w:pStyle w:val="BodyText"/>
        <w:spacing w:line="558" w:lineRule="exact" w:before="33"/>
        <w:ind w:left="1553" w:right="1116"/>
        <w:jc w:val="left"/>
      </w:pPr>
      <w:r>
        <w:rPr/>
        <w:t>商誉减值 </w:t>
      </w:r>
      <w:r>
        <w:rPr>
          <w:spacing w:val="-1"/>
        </w:rPr>
        <w:t>本集团至少每年评估商誉是否发生减值。这要求对分配了商誉的资产组的使用价值进行估计。估计使</w:t>
      </w:r>
    </w:p>
    <w:p>
      <w:pPr>
        <w:pStyle w:val="BodyText"/>
        <w:spacing w:line="259" w:lineRule="exact"/>
        <w:ind w:left="1133" w:right="0"/>
        <w:jc w:val="left"/>
      </w:pPr>
      <w:r>
        <w:rPr>
          <w:spacing w:val="-3"/>
        </w:rPr>
        <w:t>用价值时，本集团需要估计未来来自资产组的现金流量，同时选择恰当的折现率计算未来现金流量的现值。</w:t>
      </w:r>
    </w:p>
    <w:p>
      <w:pPr>
        <w:pStyle w:val="BodyText"/>
        <w:spacing w:line="560" w:lineRule="atLeast"/>
        <w:ind w:right="1116"/>
        <w:jc w:val="left"/>
      </w:pPr>
      <w:r>
        <w:rPr/>
        <w:t>开发支出 </w:t>
      </w:r>
      <w:r>
        <w:rPr>
          <w:spacing w:val="-1"/>
        </w:rPr>
        <w:t>确定资本化的金额时，管理层必须做出有关资产的预期未来现金的产生、应采用的折现率以及预计受</w:t>
      </w:r>
    </w:p>
    <w:p>
      <w:pPr>
        <w:pStyle w:val="BodyText"/>
        <w:spacing w:line="487" w:lineRule="auto" w:before="66"/>
        <w:ind w:right="8862" w:hanging="420"/>
        <w:jc w:val="left"/>
      </w:pPr>
      <w:r>
        <w:rPr/>
        <w:t>益期间的假设。 递延所得税资产</w:t>
      </w:r>
    </w:p>
    <w:p>
      <w:pPr>
        <w:pStyle w:val="BodyText"/>
        <w:spacing w:line="297" w:lineRule="auto" w:before="68"/>
        <w:ind w:left="1134" w:right="1131" w:firstLine="420"/>
        <w:jc w:val="both"/>
      </w:pPr>
      <w:r>
        <w:rPr>
          <w:spacing w:val="-1"/>
        </w:rPr>
        <w:t>在很有可能有足够的应纳税利润来抵扣亏损的限度内，应就所有未利用的税务亏损确认递延所得税资</w:t>
      </w:r>
      <w:r>
        <w:rPr/>
        <w:t> </w:t>
      </w:r>
      <w:r>
        <w:rPr>
          <w:spacing w:val="-1"/>
        </w:rPr>
        <w:t>产。这需要管理层运用大量的判断来估计未来应纳税利润发生的时间和金额，结合纳税筹划策略，以决定</w:t>
      </w:r>
      <w:r>
        <w:rPr>
          <w:spacing w:val="-83"/>
        </w:rPr>
        <w:t> </w:t>
      </w:r>
      <w:r>
        <w:rPr>
          <w:spacing w:val="-83"/>
        </w:rPr>
      </w:r>
      <w:r>
        <w:rPr/>
        <w:t>应确认的递延所得税资产的金额。</w:t>
      </w:r>
    </w:p>
    <w:p>
      <w:pPr>
        <w:spacing w:line="240" w:lineRule="auto" w:before="3"/>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33、重要会计政策和会计估计变更" w:id="220"/>
      <w:bookmarkEnd w:id="220"/>
      <w:r>
        <w:rPr/>
      </w:r>
      <w:r>
        <w:rPr>
          <w:rFonts w:ascii="Times New Roman" w:hAnsi="Times New Roman" w:cs="Times New Roman" w:eastAsia="Times New Roman" w:hint="default"/>
        </w:rPr>
        <w:t>33</w:t>
      </w:r>
      <w:r>
        <w:rPr>
          <w:rFonts w:ascii="微软雅黑" w:hAnsi="微软雅黑" w:cs="微软雅黑" w:eastAsia="微软雅黑" w:hint="default"/>
        </w:rPr>
        <w:t>、重要会计政策和会计估计变更</w:t>
      </w:r>
    </w:p>
    <w:p>
      <w:pPr>
        <w:spacing w:line="240" w:lineRule="auto" w:before="7"/>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重要会计政策变更" w:id="221"/>
      <w:bookmarkEnd w:id="22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286"/>
        <w:gridCol w:w="3285"/>
        <w:gridCol w:w="3285"/>
      </w:tblGrid>
      <w:tr>
        <w:trPr>
          <w:trHeight w:val="407"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535"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7"/>
              <w:ind w:left="103" w:right="101"/>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 流动资产、处置组和终止经营》对持有 待售的非流动资产或处置组的分类、计 量和列报作出了规定，在利润表中分别 列示持续经营损益和终止经营损益，并 采用未来适用法进行处理。</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9"/>
              <w:ind w:left="103" w:right="111"/>
              <w:jc w:val="left"/>
              <w:rPr>
                <w:rFonts w:ascii="宋体" w:hAnsi="宋体" w:cs="宋体" w:eastAsia="宋体" w:hint="default"/>
                <w:sz w:val="18"/>
                <w:szCs w:val="18"/>
              </w:rPr>
            </w:pPr>
            <w:r>
              <w:rPr>
                <w:rFonts w:ascii="宋体" w:hAnsi="宋体" w:cs="宋体" w:eastAsia="宋体" w:hint="default"/>
                <w:sz w:val="18"/>
                <w:szCs w:val="18"/>
              </w:rPr>
              <w:t>该会计政策变更未对比较报表产生影 响。报告期内，本公司不存在终止经营 事项。</w:t>
            </w:r>
          </w:p>
        </w:tc>
      </w:tr>
      <w:tr>
        <w:trPr>
          <w:trHeight w:val="1941"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03" w:right="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p>
            <w:pPr>
              <w:pStyle w:val="TableParagraph"/>
              <w:spacing w:line="235" w:lineRule="auto"/>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日存在的政府补助和</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年新增的政府补助适用该准则。根据该 准则，对于与企业日常活动相关的政府 补助，在计入利润表时，按照经济业务 实质，由原计入营业外收入改为计入其 他收益；与企业日常经营活动无关的政</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0" w:lineRule="auto" w:before="123"/>
              <w:ind w:left="103" w:right="101"/>
              <w:jc w:val="left"/>
              <w:rPr>
                <w:rFonts w:ascii="宋体" w:hAnsi="宋体" w:cs="宋体" w:eastAsia="宋体" w:hint="default"/>
                <w:sz w:val="18"/>
                <w:szCs w:val="18"/>
              </w:rPr>
            </w:pPr>
            <w:r>
              <w:rPr>
                <w:rFonts w:ascii="宋体" w:hAnsi="宋体" w:cs="宋体" w:eastAsia="宋体" w:hint="default"/>
                <w:sz w:val="18"/>
                <w:szCs w:val="18"/>
              </w:rPr>
              <w:t>该会计政策变更未对比较报表产生影 </w:t>
            </w:r>
            <w:r>
              <w:rPr>
                <w:rFonts w:ascii="宋体" w:hAnsi="宋体" w:cs="宋体" w:eastAsia="宋体" w:hint="default"/>
                <w:spacing w:val="-7"/>
                <w:sz w:val="18"/>
                <w:szCs w:val="18"/>
              </w:rPr>
              <w:t>响。</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年度计入其他收益的政府补助 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30,494,989.50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after="0" w:line="23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286"/>
        <w:gridCol w:w="3285"/>
        <w:gridCol w:w="3285"/>
      </w:tblGrid>
      <w:tr>
        <w:trPr>
          <w:trHeight w:val="407"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府补助，计入营业外收入。</w:t>
            </w:r>
          </w:p>
        </w:tc>
        <w:tc>
          <w:tcPr>
            <w:tcW w:w="3285"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1536"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44"/>
              <w:ind w:left="103" w:right="101"/>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 </w:t>
            </w:r>
            <w:r>
              <w:rPr>
                <w:rFonts w:ascii="宋体" w:hAnsi="宋体" w:cs="宋体" w:eastAsia="宋体" w:hint="default"/>
                <w:spacing w:val="-6"/>
                <w:sz w:val="18"/>
                <w:szCs w:val="18"/>
              </w:rPr>
              <w:t>格式的通知》（财会</w:t>
            </w:r>
            <w:r>
              <w:rPr>
                <w:rFonts w:ascii="Times New Roman" w:hAnsi="Times New Roman" w:cs="Times New Roman" w:eastAsia="Times New Roman" w:hint="default"/>
                <w:spacing w:val="-6"/>
                <w:sz w:val="18"/>
                <w:szCs w:val="18"/>
              </w:rPr>
              <w:t>[2017]30</w:t>
            </w:r>
            <w:r>
              <w:rPr>
                <w:rFonts w:ascii="Times New Roman" w:hAnsi="Times New Roman" w:cs="Times New Roman" w:eastAsia="Times New Roman" w:hint="default"/>
                <w:sz w:val="18"/>
                <w:szCs w:val="18"/>
              </w:rPr>
              <w:t> </w:t>
            </w:r>
            <w:r>
              <w:rPr>
                <w:rFonts w:ascii="宋体" w:hAnsi="宋体" w:cs="宋体" w:eastAsia="宋体" w:hint="default"/>
                <w:spacing w:val="-18"/>
                <w:sz w:val="18"/>
                <w:szCs w:val="18"/>
              </w:rPr>
              <w:t>号），在利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行项目，相 应删除</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项 </w:t>
            </w:r>
            <w:r>
              <w:rPr>
                <w:rFonts w:ascii="宋体" w:hAnsi="宋体" w:cs="宋体" w:eastAsia="宋体" w:hint="default"/>
                <w:spacing w:val="-2"/>
                <w:sz w:val="18"/>
                <w:szCs w:val="18"/>
              </w:rPr>
              <w:t>下的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其中：非流动资产处置利得</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w:t>
            </w:r>
            <w:r>
              <w:rPr>
                <w:rFonts w:ascii="宋体" w:hAnsi="宋体" w:cs="宋体" w:eastAsia="宋体" w:hint="default"/>
                <w:spacing w:val="-86"/>
                <w:sz w:val="18"/>
                <w:szCs w:val="18"/>
              </w:rPr>
              <w:t> </w:t>
            </w:r>
            <w:r>
              <w:rPr>
                <w:rFonts w:ascii="宋体" w:hAnsi="宋体" w:cs="宋体" w:eastAsia="宋体" w:hint="default"/>
                <w:sz w:val="18"/>
                <w:szCs w:val="18"/>
              </w:rPr>
              <w:t>中：非流动资产处置损失</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3"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3"/>
              <w:ind w:left="103" w:right="0"/>
              <w:jc w:val="left"/>
              <w:rPr>
                <w:rFonts w:ascii="宋体" w:hAnsi="宋体" w:cs="宋体" w:eastAsia="宋体" w:hint="default"/>
                <w:sz w:val="18"/>
                <w:szCs w:val="18"/>
              </w:rPr>
            </w:pPr>
            <w:r>
              <w:rPr>
                <w:rFonts w:ascii="宋体" w:hAnsi="宋体" w:cs="宋体" w:eastAsia="宋体" w:hint="default"/>
                <w:sz w:val="18"/>
                <w:szCs w:val="18"/>
              </w:rPr>
              <w:t>对比较报表的列报进行了相应调整。</w:t>
            </w:r>
          </w:p>
          <w:p>
            <w:pPr>
              <w:pStyle w:val="TableParagraph"/>
              <w:spacing w:line="24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年度计入资产处置收益金额</w:t>
            </w:r>
          </w:p>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-54,582.66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年度减少营业外收</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入金额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110,822.93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元，减少营业外支出</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85,523.08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增加资产处置收益金</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25,299.85 </w:t>
            </w:r>
            <w:r>
              <w:rPr>
                <w:rFonts w:ascii="宋体" w:hAnsi="宋体" w:cs="宋体" w:eastAsia="宋体" w:hint="default"/>
                <w:sz w:val="18"/>
                <w:szCs w:val="18"/>
              </w:rPr>
              <w:t>元。</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本次会计政策变更对中科创达公司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年度净利润、截至</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日的总资产、净资产均不</w:t>
      </w:r>
    </w:p>
    <w:p>
      <w:pPr>
        <w:pStyle w:val="BodyText"/>
        <w:spacing w:line="280" w:lineRule="auto" w:before="49"/>
        <w:ind w:left="1134" w:right="1127"/>
        <w:jc w:val="left"/>
      </w:pPr>
      <w:r>
        <w:rPr/>
        <w:t>产生影响。“资产处置收益”科目的追溯调整对</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年度净利润、截至</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日的总资产、净</w:t>
      </w:r>
      <w:r>
        <w:rPr>
          <w:spacing w:val="-2"/>
        </w:rPr>
        <w:t> </w:t>
      </w:r>
      <w:r>
        <w:rPr/>
        <w:t>资产均不产生影响。</w:t>
      </w:r>
    </w:p>
    <w:p>
      <w:pPr>
        <w:spacing w:line="240" w:lineRule="auto" w:before="12"/>
        <w:rPr>
          <w:rFonts w:ascii="宋体" w:hAnsi="宋体" w:cs="宋体" w:eastAsia="宋体" w:hint="default"/>
          <w:sz w:val="18"/>
          <w:szCs w:val="18"/>
        </w:rPr>
      </w:pPr>
    </w:p>
    <w:p>
      <w:pPr>
        <w:pStyle w:val="Heading4"/>
        <w:spacing w:line="240" w:lineRule="auto"/>
        <w:ind w:right="0"/>
        <w:jc w:val="left"/>
        <w:rPr>
          <w:b w:val="0"/>
          <w:bCs w:val="0"/>
        </w:rPr>
      </w:pPr>
      <w:bookmarkStart w:name="（2）重要会计估计变更" w:id="222"/>
      <w:bookmarkEnd w:id="22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3"/>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34、其他" w:id="223"/>
      <w:bookmarkEnd w:id="223"/>
      <w:r>
        <w:rPr/>
      </w:r>
      <w:r>
        <w:rPr>
          <w:rFonts w:ascii="Times New Roman" w:hAnsi="Times New Roman" w:cs="Times New Roman" w:eastAsia="Times New Roman" w:hint="default"/>
        </w:rPr>
        <w:t>34</w:t>
      </w:r>
      <w:r>
        <w:rPr>
          <w:rFonts w:ascii="微软雅黑" w:hAnsi="微软雅黑" w:cs="微软雅黑" w:eastAsia="微软雅黑" w:hint="default"/>
        </w:rPr>
        <w:t>、其他</w:t>
      </w:r>
    </w:p>
    <w:p>
      <w:pPr>
        <w:spacing w:line="240" w:lineRule="auto" w:before="8"/>
        <w:rPr>
          <w:rFonts w:ascii="微软雅黑" w:hAnsi="微软雅黑" w:cs="微软雅黑" w:eastAsia="微软雅黑" w:hint="default"/>
          <w:sz w:val="27"/>
          <w:szCs w:val="27"/>
        </w:rPr>
      </w:pPr>
    </w:p>
    <w:p>
      <w:pPr>
        <w:pStyle w:val="Heading2"/>
        <w:spacing w:line="240" w:lineRule="auto"/>
        <w:ind w:left="1133" w:right="0"/>
        <w:jc w:val="left"/>
      </w:pPr>
      <w:bookmarkStart w:name="六、税项" w:id="224"/>
      <w:bookmarkEnd w:id="224"/>
      <w:r>
        <w:rPr/>
      </w:r>
      <w:r>
        <w:rPr/>
        <w:t>六、税项</w:t>
      </w:r>
    </w:p>
    <w:p>
      <w:pPr>
        <w:spacing w:line="240" w:lineRule="auto" w:before="10"/>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主要税种及税率" w:id="225"/>
      <w:bookmarkEnd w:id="225"/>
      <w:r>
        <w:rPr/>
      </w:r>
      <w:r>
        <w:rPr>
          <w:rFonts w:ascii="Times New Roman" w:hAnsi="Times New Roman" w:cs="Times New Roman" w:eastAsia="Times New Roman" w:hint="default"/>
        </w:rPr>
        <w:t>1</w:t>
      </w:r>
      <w:r>
        <w:rPr>
          <w:rFonts w:ascii="微软雅黑" w:hAnsi="微软雅黑" w:cs="微软雅黑" w:eastAsia="微软雅黑" w:hint="default"/>
        </w:rPr>
        <w:t>、主要税种及税率</w:t>
      </w:r>
    </w:p>
    <w:p>
      <w:pPr>
        <w:spacing w:line="240" w:lineRule="auto" w:before="7"/>
        <w:rPr>
          <w:rFonts w:ascii="微软雅黑" w:hAnsi="微软雅黑" w:cs="微软雅黑" w:eastAsia="微软雅黑" w:hint="default"/>
          <w:sz w:val="22"/>
          <w:szCs w:val="22"/>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38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1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增值税</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应税收入</w:t>
            </w:r>
          </w:p>
        </w:tc>
        <w:tc>
          <w:tcPr>
            <w:tcW w:w="328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应纳流转税额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企业所得税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应纳税所得额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微软雅黑" w:hAnsi="微软雅黑" w:cs="微软雅黑" w:eastAsia="微软雅黑" w:hint="default"/>
          <w:sz w:val="8"/>
          <w:szCs w:val="8"/>
        </w:rPr>
      </w:pPr>
    </w:p>
    <w:p>
      <w:pPr>
        <w:pStyle w:val="BodyText"/>
        <w:spacing w:line="240" w:lineRule="auto" w:before="35"/>
        <w:ind w:right="0"/>
        <w:jc w:val="left"/>
      </w:pPr>
      <w:r>
        <w:rPr/>
        <w:t>存在不同企业所得税税率纳税主体的，披露情况说明</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926"/>
        <w:gridCol w:w="4930"/>
      </w:tblGrid>
      <w:tr>
        <w:trPr>
          <w:trHeight w:val="382" w:hRule="exact"/>
        </w:trPr>
        <w:tc>
          <w:tcPr>
            <w:tcW w:w="4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32" w:hRule="exact"/>
        </w:trPr>
        <w:tc>
          <w:tcPr>
            <w:tcW w:w="492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本公司控股的境外子公司</w:t>
            </w:r>
          </w:p>
        </w:tc>
        <w:tc>
          <w:tcPr>
            <w:tcW w:w="493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根据其所在地相关法律、法规缴纳相关的税金</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2、税收优惠" w:id="226"/>
      <w:bookmarkEnd w:id="226"/>
      <w:r>
        <w:rPr/>
      </w:r>
      <w:r>
        <w:rPr>
          <w:rFonts w:ascii="Times New Roman" w:hAnsi="Times New Roman" w:cs="Times New Roman" w:eastAsia="Times New Roman" w:hint="default"/>
        </w:rPr>
        <w:t>2</w:t>
      </w:r>
      <w:r>
        <w:rPr>
          <w:rFonts w:ascii="微软雅黑" w:hAnsi="微软雅黑" w:cs="微软雅黑" w:eastAsia="微软雅黑" w:hint="default"/>
        </w:rPr>
        <w:t>、税收优惠</w:t>
      </w:r>
    </w:p>
    <w:p>
      <w:pPr>
        <w:spacing w:line="240" w:lineRule="auto" w:before="7"/>
        <w:rPr>
          <w:rFonts w:ascii="微软雅黑" w:hAnsi="微软雅黑" w:cs="微软雅黑" w:eastAsia="微软雅黑" w:hint="default"/>
          <w:sz w:val="23"/>
          <w:szCs w:val="23"/>
        </w:rPr>
      </w:pPr>
    </w:p>
    <w:p>
      <w:pPr>
        <w:pStyle w:val="BodyText"/>
        <w:spacing w:line="280" w:lineRule="auto"/>
        <w:ind w:left="1133" w:right="1129" w:firstLine="420"/>
        <w:jc w:val="both"/>
      </w:pPr>
      <w:r>
        <w:rPr>
          <w:rFonts w:ascii="Times New Roman" w:hAnsi="Times New Roman" w:cs="Times New Roman" w:eastAsia="Times New Roman" w:hint="default"/>
        </w:rPr>
        <w:t>1.</w:t>
      </w:r>
      <w:r>
        <w:rPr/>
        <w:t>本公司符合《关于软件和集成电路产业企业所得税优惠政策有关问题的通知》（财税</w:t>
      </w:r>
      <w:r>
        <w:rPr>
          <w:rFonts w:ascii="Times New Roman" w:hAnsi="Times New Roman" w:cs="Times New Roman" w:eastAsia="Times New Roman" w:hint="default"/>
        </w:rPr>
        <w:t>[2016]49</w:t>
      </w:r>
      <w:r>
        <w:rPr>
          <w:rFonts w:ascii="Times New Roman" w:hAnsi="Times New Roman" w:cs="Times New Roman" w:eastAsia="Times New Roman" w:hint="default"/>
          <w:spacing w:val="44"/>
        </w:rPr>
        <w:t> </w:t>
      </w:r>
      <w:r>
        <w:rPr/>
        <w:t>号） 关于“国家规划布局内的重点软件企业”的相关条件，于</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年按相关程序备案完成</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年度重点软件 </w:t>
      </w:r>
      <w:r>
        <w:rPr>
          <w:spacing w:val="-2"/>
        </w:rPr>
        <w:t>企业，享受“国家规划布局内的重点软件企业”的企业所得税收优惠政策，</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1"/>
        </w:rPr>
        <w:t>年度重点软件企业备案尚</w:t>
      </w:r>
      <w:r>
        <w:rPr>
          <w:spacing w:val="-97"/>
        </w:rPr>
        <w:t> </w:t>
      </w:r>
      <w:r>
        <w:rPr>
          <w:spacing w:val="-97"/>
        </w:rPr>
      </w:r>
      <w:r>
        <w:rPr/>
        <w:t>未开始，预计很有可能备案完成，本期按照</w:t>
      </w:r>
      <w:r>
        <w:rPr>
          <w:spacing w:val="-52"/>
        </w:rPr>
        <w:t> </w:t>
      </w:r>
      <w:r>
        <w:rPr>
          <w:rFonts w:ascii="Times New Roman" w:hAnsi="Times New Roman" w:cs="Times New Roman" w:eastAsia="Times New Roman" w:hint="default"/>
        </w:rPr>
        <w:t>10%</w:t>
      </w:r>
      <w:r>
        <w:rPr/>
        <w:t>计缴当期所得税。</w:t>
      </w:r>
    </w:p>
    <w:p>
      <w:pPr>
        <w:spacing w:line="240" w:lineRule="auto" w:before="7"/>
        <w:rPr>
          <w:rFonts w:ascii="宋体" w:hAnsi="宋体" w:cs="宋体" w:eastAsia="宋体" w:hint="default"/>
          <w:sz w:val="17"/>
          <w:szCs w:val="17"/>
        </w:rPr>
      </w:pPr>
    </w:p>
    <w:p>
      <w:pPr>
        <w:pStyle w:val="BodyText"/>
        <w:spacing w:line="240" w:lineRule="auto"/>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本公司之子公司南京中科创达软件科技有限公司获得江苏省经济和信息化委员会于</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55"/>
        </w:rPr>
        <w:t> </w:t>
      </w:r>
      <w:r>
        <w:rPr>
          <w:rFonts w:ascii="Times New Roman" w:hAnsi="Times New Roman" w:cs="Times New Roman" w:eastAsia="Times New Roman" w:hint="default"/>
        </w:rPr>
        <w:t>28</w:t>
      </w:r>
    </w:p>
    <w:p>
      <w:pPr>
        <w:pStyle w:val="BodyText"/>
        <w:spacing w:line="240" w:lineRule="auto" w:before="49"/>
        <w:ind w:left="1133" w:right="0"/>
        <w:jc w:val="left"/>
        <w:rPr>
          <w:rFonts w:ascii="Times New Roman" w:hAnsi="Times New Roman" w:cs="Times New Roman" w:eastAsia="Times New Roman" w:hint="default"/>
        </w:rPr>
      </w:pPr>
      <w:r>
        <w:rPr/>
        <w:t>日颁发的《软件企业认定证书》，证书编号：苏</w:t>
      </w:r>
      <w:r>
        <w:rPr>
          <w:spacing w:val="-50"/>
        </w:rPr>
        <w:t> </w:t>
      </w:r>
      <w:r>
        <w:rPr>
          <w:rFonts w:ascii="Times New Roman" w:hAnsi="Times New Roman" w:cs="Times New Roman" w:eastAsia="Times New Roman" w:hint="default"/>
        </w:rPr>
        <w:t>R-2013-A0111</w:t>
      </w:r>
      <w:r>
        <w:rPr/>
        <w:t>，自</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日起至</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1"/>
        </w:rPr>
        <w:t> </w:t>
      </w:r>
      <w:r>
        <w:rPr>
          <w:rFonts w:ascii="Times New Roman" w:hAnsi="Times New Roman" w:cs="Times New Roman" w:eastAsia="Times New Roman" w:hint="default"/>
        </w:rPr>
        <w:t>31</w:t>
      </w:r>
    </w:p>
    <w:p>
      <w:pPr>
        <w:spacing w:after="0" w:line="240" w:lineRule="auto"/>
        <w:jc w:val="left"/>
        <w:rPr>
          <w:rFonts w:ascii="Times New Roman" w:hAnsi="Times New Roman" w:cs="Times New Roman" w:eastAsia="Times New Roman" w:hint="default"/>
        </w:rPr>
        <w:sectPr>
          <w:pgSz w:w="11910" w:h="16840"/>
          <w:pgMar w:header="877" w:footer="979" w:top="1100" w:bottom="1160" w:left="0" w:right="0"/>
        </w:sectPr>
      </w:pPr>
    </w:p>
    <w:p>
      <w:pPr>
        <w:spacing w:line="240" w:lineRule="auto" w:before="8"/>
        <w:rPr>
          <w:rFonts w:ascii="Times New Roman" w:hAnsi="Times New Roman" w:cs="Times New Roman" w:eastAsia="Times New Roman" w:hint="default"/>
          <w:sz w:val="21"/>
          <w:szCs w:val="21"/>
        </w:rPr>
      </w:pPr>
    </w:p>
    <w:p>
      <w:pPr>
        <w:pStyle w:val="BodyText"/>
        <w:spacing w:line="240" w:lineRule="auto" w:before="35"/>
        <w:ind w:left="1134" w:right="0"/>
        <w:jc w:val="left"/>
      </w:pPr>
      <w:r>
        <w:rPr/>
        <w:t>日止免缴企业所得税，自</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日止减半计缴企业所得税。</w:t>
      </w:r>
    </w:p>
    <w:p>
      <w:pPr>
        <w:spacing w:line="240" w:lineRule="auto" w:before="6"/>
        <w:rPr>
          <w:rFonts w:ascii="宋体" w:hAnsi="宋体" w:cs="宋体" w:eastAsia="宋体" w:hint="default"/>
          <w:sz w:val="20"/>
          <w:szCs w:val="20"/>
        </w:rPr>
      </w:pPr>
    </w:p>
    <w:p>
      <w:pPr>
        <w:pStyle w:val="BodyText"/>
        <w:spacing w:line="285" w:lineRule="auto"/>
        <w:ind w:left="1134" w:right="1027" w:firstLine="420"/>
        <w:jc w:val="both"/>
      </w:pPr>
      <w:r>
        <w:rPr>
          <w:rFonts w:ascii="Times New Roman" w:hAnsi="Times New Roman" w:cs="Times New Roman" w:eastAsia="Times New Roman" w:hint="default"/>
        </w:rPr>
        <w:t>3.</w:t>
      </w:r>
      <w:r>
        <w:rPr/>
        <w:t>本公司之子公司畅索软件科技（上海）有限公司于</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日获得上海市科学技术委员会、 </w:t>
      </w:r>
      <w:r>
        <w:rPr>
          <w:spacing w:val="13"/>
        </w:rPr>
        <w:t>上海市财政局、上海市国家税务局、上海市地方税务局颁发的《高新技术企业证书》（证书编号：</w:t>
      </w:r>
      <w:r>
        <w:rPr>
          <w:spacing w:val="-73"/>
        </w:rPr>
        <w:t> </w:t>
      </w:r>
      <w:r>
        <w:rPr>
          <w:spacing w:val="-73"/>
        </w:rPr>
      </w:r>
      <w:r>
        <w:rPr>
          <w:rFonts w:ascii="Times New Roman" w:hAnsi="Times New Roman" w:cs="Times New Roman" w:eastAsia="Times New Roman" w:hint="default"/>
          <w:spacing w:val="-4"/>
        </w:rPr>
        <w:t>GR201631001963</w:t>
      </w:r>
      <w:r>
        <w:rPr>
          <w:spacing w:val="-4"/>
        </w:rPr>
        <w:t>），根据《高新技术企业认定管理办法》及《中华人民共和国企业所得税法》等有关规定，</w:t>
      </w:r>
      <w:r>
        <w:rPr>
          <w:spacing w:val="-101"/>
        </w:rPr>
        <w:t> </w:t>
      </w:r>
      <w:r>
        <w:rPr>
          <w:spacing w:val="-101"/>
        </w:rPr>
      </w:r>
      <w:r>
        <w:rPr/>
        <w:t>本公司自获得高新技术企业认定后三年内即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年企业所得税按</w:t>
      </w:r>
      <w:r>
        <w:rPr>
          <w:spacing w:val="-54"/>
        </w:rPr>
        <w:t> </w:t>
      </w:r>
      <w:r>
        <w:rPr>
          <w:rFonts w:ascii="Times New Roman" w:hAnsi="Times New Roman" w:cs="Times New Roman" w:eastAsia="Times New Roman" w:hint="default"/>
        </w:rPr>
        <w:t>15%</w:t>
      </w:r>
      <w:r>
        <w:rPr/>
        <w:t>计缴。</w:t>
      </w:r>
    </w:p>
    <w:p>
      <w:pPr>
        <w:spacing w:line="240" w:lineRule="auto" w:before="2"/>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4.</w:t>
      </w:r>
      <w:r>
        <w:rPr/>
        <w:t>本公司之子公司成都中科创达软件有限公司获得四川省经济和信息化委员会于</w:t>
      </w:r>
      <w:r>
        <w:rPr>
          <w:spacing w:val="-6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7"/>
        </w:rPr>
        <w:t> </w:t>
      </w:r>
      <w:r>
        <w:rPr/>
        <w:t>年</w:t>
      </w:r>
      <w:r>
        <w:rPr>
          <w:spacing w:val="-63"/>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t>日颁</w:t>
      </w:r>
    </w:p>
    <w:p>
      <w:pPr>
        <w:pStyle w:val="BodyText"/>
        <w:spacing w:line="240" w:lineRule="auto" w:before="49"/>
        <w:ind w:left="1134" w:right="0"/>
        <w:jc w:val="left"/>
      </w:pPr>
      <w:r>
        <w:rPr>
          <w:spacing w:val="-4"/>
        </w:rPr>
        <w:t>发的《软件企业认定证书》，证书编号：川</w:t>
      </w:r>
      <w:r>
        <w:rPr>
          <w:spacing w:val="-53"/>
        </w:rPr>
        <w:t> </w:t>
      </w:r>
      <w:r>
        <w:rPr>
          <w:rFonts w:ascii="Times New Roman" w:hAnsi="Times New Roman" w:cs="Times New Roman" w:eastAsia="Times New Roman" w:hint="default"/>
        </w:rPr>
        <w:t>R-2013-0486</w:t>
      </w:r>
      <w:r>
        <w:rPr/>
        <w:t>，自</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日起至</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日止免</w:t>
      </w:r>
    </w:p>
    <w:p>
      <w:pPr>
        <w:pStyle w:val="BodyText"/>
        <w:spacing w:line="240" w:lineRule="auto" w:before="50"/>
        <w:ind w:left="1134" w:right="0"/>
        <w:jc w:val="left"/>
      </w:pPr>
      <w:r>
        <w:rPr/>
        <w:t>缴企业所得税，自</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日止减半计缴企业所得税。</w:t>
      </w:r>
    </w:p>
    <w:p>
      <w:pPr>
        <w:spacing w:line="240" w:lineRule="auto" w:before="7"/>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5.</w:t>
      </w:r>
      <w:r>
        <w:rPr/>
        <w:t>本公司之子公司北京慧驰科技有限公司获得北京市经济和信息化委员会于</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w:t>
      </w:r>
      <w:r>
        <w:rPr>
          <w:spacing w:val="-64"/>
        </w:rPr>
        <w:t> </w:t>
      </w:r>
      <w:r>
        <w:rPr>
          <w:rFonts w:ascii="Times New Roman" w:hAnsi="Times New Roman" w:cs="Times New Roman" w:eastAsia="Times New Roman" w:hint="default"/>
        </w:rPr>
        <w:t>06</w:t>
      </w:r>
      <w:r>
        <w:rPr>
          <w:rFonts w:ascii="Times New Roman" w:hAnsi="Times New Roman" w:cs="Times New Roman" w:eastAsia="Times New Roman" w:hint="default"/>
          <w:spacing w:val="-16"/>
        </w:rPr>
        <w:t> </w:t>
      </w:r>
      <w:r>
        <w:rPr/>
        <w:t>月</w:t>
      </w:r>
      <w:r>
        <w:rPr>
          <w:spacing w:val="-64"/>
        </w:rPr>
        <w:t> </w:t>
      </w:r>
      <w:r>
        <w:rPr>
          <w:rFonts w:ascii="Times New Roman" w:hAnsi="Times New Roman" w:cs="Times New Roman" w:eastAsia="Times New Roman" w:hint="default"/>
        </w:rPr>
        <w:t>16</w:t>
      </w:r>
      <w:r>
        <w:rPr>
          <w:rFonts w:ascii="Times New Roman" w:hAnsi="Times New Roman" w:cs="Times New Roman" w:eastAsia="Times New Roman" w:hint="default"/>
          <w:spacing w:val="-16"/>
        </w:rPr>
        <w:t> </w:t>
      </w:r>
      <w:r>
        <w:rPr/>
        <w:t>日颁发的</w:t>
      </w:r>
    </w:p>
    <w:p>
      <w:pPr>
        <w:pStyle w:val="BodyText"/>
        <w:spacing w:line="240" w:lineRule="auto" w:before="49"/>
        <w:ind w:left="1134" w:right="0"/>
        <w:jc w:val="left"/>
      </w:pPr>
      <w:r>
        <w:rPr>
          <w:spacing w:val="-4"/>
        </w:rPr>
        <w:t>《软件企业认定证书》，证书编号：京</w:t>
      </w:r>
      <w:r>
        <w:rPr>
          <w:spacing w:val="-55"/>
        </w:rPr>
        <w:t> </w:t>
      </w:r>
      <w:r>
        <w:rPr>
          <w:rFonts w:ascii="Times New Roman" w:hAnsi="Times New Roman" w:cs="Times New Roman" w:eastAsia="Times New Roman" w:hint="default"/>
        </w:rPr>
        <w:t>R-2014-0413</w:t>
      </w:r>
      <w:r>
        <w:rPr/>
        <w:t>，自</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日起至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日止免缴企</w:t>
      </w:r>
    </w:p>
    <w:p>
      <w:pPr>
        <w:pStyle w:val="BodyText"/>
        <w:spacing w:line="240" w:lineRule="auto" w:before="50"/>
        <w:ind w:left="1134" w:right="0"/>
        <w:jc w:val="left"/>
      </w:pPr>
      <w:r>
        <w:rPr/>
        <w:t>业所得税，自</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日止减半计缴企业所得税。</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6.</w:t>
      </w:r>
      <w:r>
        <w:rPr/>
        <w:t>本公司之子公司北京信恒创科技发展有限公司获得北京市经济和信息化委员会于</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w:t>
      </w:r>
      <w:r>
        <w:rPr>
          <w:spacing w:val="-63"/>
        </w:rPr>
        <w:t> </w:t>
      </w:r>
      <w:r>
        <w:rPr>
          <w:rFonts w:ascii="Times New Roman" w:hAnsi="Times New Roman" w:cs="Times New Roman" w:eastAsia="Times New Roman" w:hint="default"/>
        </w:rPr>
        <w:t>06</w:t>
      </w:r>
      <w:r>
        <w:rPr>
          <w:rFonts w:ascii="Times New Roman" w:hAnsi="Times New Roman" w:cs="Times New Roman" w:eastAsia="Times New Roman" w:hint="default"/>
          <w:spacing w:val="-17"/>
        </w:rPr>
        <w:t> </w:t>
      </w:r>
      <w:r>
        <w:rPr/>
        <w:t>月</w:t>
      </w:r>
      <w:r>
        <w:rPr>
          <w:spacing w:val="-63"/>
        </w:rPr>
        <w:t> </w:t>
      </w:r>
      <w:r>
        <w:rPr>
          <w:rFonts w:ascii="Times New Roman" w:hAnsi="Times New Roman" w:cs="Times New Roman" w:eastAsia="Times New Roman" w:hint="default"/>
        </w:rPr>
        <w:t>27</w:t>
      </w:r>
      <w:r>
        <w:rPr>
          <w:rFonts w:ascii="Times New Roman" w:hAnsi="Times New Roman" w:cs="Times New Roman" w:eastAsia="Times New Roman" w:hint="default"/>
          <w:spacing w:val="-16"/>
        </w:rPr>
        <w:t> </w:t>
      </w:r>
      <w:r>
        <w:rPr/>
        <w:t>日</w:t>
      </w:r>
    </w:p>
    <w:p>
      <w:pPr>
        <w:pStyle w:val="BodyText"/>
        <w:spacing w:line="240" w:lineRule="auto" w:before="50"/>
        <w:ind w:left="1134" w:right="0"/>
        <w:jc w:val="left"/>
      </w:pPr>
      <w:r>
        <w:rPr>
          <w:spacing w:val="-4"/>
        </w:rPr>
        <w:t>颁发的《软件企业认定证书》，证书编号：京</w:t>
      </w:r>
      <w:r>
        <w:rPr>
          <w:spacing w:val="-54"/>
        </w:rPr>
        <w:t> </w:t>
      </w:r>
      <w:r>
        <w:rPr>
          <w:rFonts w:ascii="Times New Roman" w:hAnsi="Times New Roman" w:cs="Times New Roman" w:eastAsia="Times New Roman" w:hint="default"/>
        </w:rPr>
        <w:t>R-2014-0538</w:t>
      </w:r>
      <w:r>
        <w:rPr/>
        <w:t>，自</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w:t>
      </w:r>
    </w:p>
    <w:p>
      <w:pPr>
        <w:pStyle w:val="BodyText"/>
        <w:spacing w:line="240" w:lineRule="auto" w:before="50"/>
        <w:ind w:left="1134" w:right="0"/>
        <w:jc w:val="left"/>
      </w:pPr>
      <w:r>
        <w:rPr/>
        <w:t>免缴企业所得税，自</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日止减半计缴企业所得税。</w:t>
      </w:r>
    </w:p>
    <w:p>
      <w:pPr>
        <w:spacing w:line="240" w:lineRule="auto" w:before="6"/>
        <w:rPr>
          <w:rFonts w:ascii="宋体" w:hAnsi="宋体" w:cs="宋体" w:eastAsia="宋体" w:hint="default"/>
          <w:sz w:val="20"/>
          <w:szCs w:val="20"/>
        </w:rPr>
      </w:pPr>
    </w:p>
    <w:p>
      <w:pPr>
        <w:pStyle w:val="BodyText"/>
        <w:spacing w:line="285" w:lineRule="auto"/>
        <w:ind w:left="1133" w:right="1024" w:firstLine="420"/>
        <w:jc w:val="left"/>
      </w:pPr>
      <w:r>
        <w:rPr>
          <w:rFonts w:ascii="Times New Roman" w:hAnsi="Times New Roman" w:cs="Times New Roman" w:eastAsia="Times New Roman" w:hint="default"/>
        </w:rPr>
        <w:t>7.</w:t>
      </w:r>
      <w:r>
        <w:rPr/>
        <w:t>本公司之子公司青柠优视科技（北京）有限公司符合《国家税务总局关于进一步鼓励软件产业和集 </w:t>
      </w:r>
      <w:r>
        <w:rPr>
          <w:spacing w:val="-3"/>
        </w:rPr>
        <w:t>成电路产业发展企业所得税政策的通知》享受“国家境内新办的集成电路设计企业和符合条件的软件企业”</w:t>
      </w:r>
      <w:r>
        <w:rPr>
          <w:spacing w:val="-92"/>
        </w:rPr>
        <w:t> </w:t>
      </w:r>
      <w:r>
        <w:rPr>
          <w:spacing w:val="-92"/>
        </w:rPr>
      </w:r>
      <w:r>
        <w:rPr/>
        <w:t>的企业所得税收优惠政策，</w:t>
      </w:r>
      <w:r>
        <w:rPr>
          <w:rFonts w:ascii="Times New Roman" w:hAnsi="Times New Roman" w:cs="Times New Roman" w:eastAsia="Times New Roman" w:hint="default"/>
        </w:rPr>
        <w:t>2017</w:t>
      </w:r>
      <w:r>
        <w:rPr>
          <w:rFonts w:ascii="Times New Roman" w:hAnsi="Times New Roman" w:cs="Times New Roman" w:eastAsia="Times New Roman" w:hint="default"/>
          <w:spacing w:val="-29"/>
        </w:rPr>
        <w:t> </w:t>
      </w:r>
      <w:r>
        <w:rPr/>
        <w:t>年度集成电路设计企业和符合条件的软件企业备案尚未开始，预计很有可 能备案完成，本期按照</w:t>
      </w:r>
      <w:r>
        <w:rPr>
          <w:spacing w:val="-53"/>
        </w:rPr>
        <w:t> </w:t>
      </w:r>
      <w:r>
        <w:rPr>
          <w:rFonts w:ascii="Times New Roman" w:hAnsi="Times New Roman" w:cs="Times New Roman" w:eastAsia="Times New Roman" w:hint="default"/>
        </w:rPr>
        <w:t>0%</w:t>
      </w:r>
      <w:r>
        <w:rPr/>
        <w:t>计缴当期所得税。</w:t>
      </w:r>
    </w:p>
    <w:p>
      <w:pPr>
        <w:spacing w:line="240" w:lineRule="auto" w:before="1"/>
        <w:rPr>
          <w:rFonts w:ascii="宋体" w:hAnsi="宋体" w:cs="宋体" w:eastAsia="宋体" w:hint="default"/>
          <w:sz w:val="17"/>
          <w:szCs w:val="17"/>
        </w:rPr>
      </w:pPr>
    </w:p>
    <w:p>
      <w:pPr>
        <w:pStyle w:val="BodyText"/>
        <w:spacing w:line="240" w:lineRule="auto"/>
        <w:ind w:left="1553" w:right="0"/>
        <w:jc w:val="left"/>
      </w:pPr>
      <w:r>
        <w:rPr>
          <w:rFonts w:ascii="Times New Roman" w:hAnsi="Times New Roman" w:cs="Times New Roman" w:eastAsia="Times New Roman" w:hint="default"/>
          <w:spacing w:val="-2"/>
        </w:rPr>
        <w:t>8.</w:t>
      </w:r>
      <w:r>
        <w:rPr>
          <w:spacing w:val="-2"/>
        </w:rPr>
        <w:t>本公司之子公司中科创达软件科技（深圳）有限公司获得深圳市经济贸易和信息化委员会于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p>
    <w:p>
      <w:pPr>
        <w:pStyle w:val="BodyText"/>
        <w:spacing w:line="280" w:lineRule="auto" w:before="50"/>
        <w:ind w:left="1133" w:right="1121"/>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spacing w:val="-3"/>
        </w:rPr>
        <w:t>日颁发的《软件企业认定证书》，证书编号：深</w:t>
      </w:r>
      <w:r>
        <w:rPr>
          <w:spacing w:val="-57"/>
        </w:rPr>
        <w:t> </w:t>
      </w:r>
      <w:r>
        <w:rPr>
          <w:rFonts w:ascii="Times New Roman" w:hAnsi="Times New Roman" w:cs="Times New Roman" w:eastAsia="Times New Roman" w:hint="default"/>
        </w:rPr>
        <w:t>R-2012-0475</w:t>
      </w:r>
      <w:r>
        <w:rPr/>
        <w:t>。自开始获利年度起，两年免征企业 所得税，三年减半征收企业所得税。</w:t>
      </w:r>
    </w:p>
    <w:p>
      <w:pPr>
        <w:spacing w:line="240" w:lineRule="auto" w:before="12"/>
        <w:rPr>
          <w:rFonts w:ascii="宋体" w:hAnsi="宋体" w:cs="宋体" w:eastAsia="宋体" w:hint="default"/>
          <w:sz w:val="18"/>
          <w:szCs w:val="18"/>
        </w:rPr>
      </w:pPr>
    </w:p>
    <w:p>
      <w:pPr>
        <w:pStyle w:val="BodyText"/>
        <w:spacing w:line="280" w:lineRule="auto"/>
        <w:ind w:left="1133" w:right="1128" w:firstLine="420"/>
        <w:jc w:val="left"/>
      </w:pPr>
      <w:r>
        <w:rPr>
          <w:rFonts w:ascii="Times New Roman" w:hAnsi="Times New Roman" w:cs="Times New Roman" w:eastAsia="Times New Roman" w:hint="default"/>
          <w:spacing w:val="-1"/>
        </w:rPr>
        <w:t>9.</w:t>
      </w:r>
      <w:r>
        <w:rPr>
          <w:spacing w:val="-1"/>
        </w:rPr>
        <w:t>根据财税</w:t>
      </w:r>
      <w:r>
        <w:rPr>
          <w:rFonts w:ascii="Times New Roman" w:hAnsi="Times New Roman" w:cs="Times New Roman" w:eastAsia="Times New Roman" w:hint="default"/>
          <w:spacing w:val="-1"/>
        </w:rPr>
        <w:t>[2015]119</w:t>
      </w:r>
      <w:r>
        <w:rPr>
          <w:rFonts w:ascii="Times New Roman" w:hAnsi="Times New Roman" w:cs="Times New Roman" w:eastAsia="Times New Roman" w:hint="default"/>
          <w:spacing w:val="15"/>
        </w:rPr>
        <w:t> </w:t>
      </w:r>
      <w:r>
        <w:rPr>
          <w:spacing w:val="-2"/>
        </w:rPr>
        <w:t>号《财政部、国家税务总局、科学技术部关于完善研究开发费用税前加计扣除政</w:t>
      </w:r>
      <w:r>
        <w:rPr/>
        <w:t> 策的通知》本公司享受研究开发费用企业所得税前加计扣除优惠政策。</w:t>
      </w:r>
    </w:p>
    <w:p>
      <w:pPr>
        <w:spacing w:line="240" w:lineRule="auto" w:before="12"/>
        <w:rPr>
          <w:rFonts w:ascii="宋体" w:hAnsi="宋体" w:cs="宋体" w:eastAsia="宋体" w:hint="default"/>
          <w:sz w:val="18"/>
          <w:szCs w:val="18"/>
        </w:rPr>
      </w:pPr>
    </w:p>
    <w:p>
      <w:pPr>
        <w:pStyle w:val="BodyText"/>
        <w:spacing w:line="280" w:lineRule="auto"/>
        <w:ind w:left="1133" w:right="1129" w:firstLine="420"/>
        <w:jc w:val="both"/>
      </w:pPr>
      <w:r>
        <w:rPr>
          <w:rFonts w:ascii="Times New Roman" w:hAnsi="Times New Roman" w:cs="Times New Roman" w:eastAsia="Times New Roman" w:hint="default"/>
        </w:rPr>
        <w:t>10.</w:t>
      </w:r>
      <w:r>
        <w:rPr/>
        <w:t>根据财税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40"/>
        </w:rPr>
        <w:t> </w:t>
      </w:r>
      <w:r>
        <w:rPr/>
        <w:t>号文件《财政部、国家税务总局关于软件产品增值税政策的通知》规定，增值 税一般纳税人销售其自行开发生产的软件产品，按 </w:t>
      </w:r>
      <w:r>
        <w:rPr>
          <w:rFonts w:ascii="Times New Roman" w:hAnsi="Times New Roman" w:cs="Times New Roman" w:eastAsia="Times New Roman" w:hint="default"/>
        </w:rPr>
        <w:t>17%</w:t>
      </w:r>
      <w:r>
        <w:rPr/>
        <w:t>税率征收增值税后，对其增值税实际税负超过</w:t>
      </w:r>
      <w:r>
        <w:rPr>
          <w:spacing w:val="-58"/>
        </w:rPr>
        <w:t> </w:t>
      </w:r>
      <w:r>
        <w:rPr>
          <w:rFonts w:ascii="Times New Roman" w:hAnsi="Times New Roman" w:cs="Times New Roman" w:eastAsia="Times New Roman" w:hint="default"/>
        </w:rPr>
        <w:t>3% </w:t>
      </w:r>
      <w:r>
        <w:rPr/>
        <w:t>的部分实行即征即退政策。</w:t>
      </w:r>
    </w:p>
    <w:p>
      <w:pPr>
        <w:spacing w:line="240" w:lineRule="auto" w:before="12"/>
        <w:rPr>
          <w:rFonts w:ascii="宋体" w:hAnsi="宋体" w:cs="宋体" w:eastAsia="宋体" w:hint="default"/>
          <w:sz w:val="18"/>
          <w:szCs w:val="18"/>
        </w:rPr>
      </w:pPr>
    </w:p>
    <w:p>
      <w:pPr>
        <w:pStyle w:val="BodyText"/>
        <w:spacing w:line="290" w:lineRule="auto"/>
        <w:ind w:left="1133" w:right="1110" w:firstLine="420"/>
        <w:jc w:val="both"/>
      </w:pPr>
      <w:r>
        <w:rPr>
          <w:rFonts w:ascii="Times New Roman" w:hAnsi="Times New Roman" w:cs="Times New Roman" w:eastAsia="Times New Roman" w:hint="default"/>
        </w:rPr>
        <w:t>11.</w:t>
      </w:r>
      <w:r>
        <w:rPr/>
        <w:t>根据财税〔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118</w:t>
      </w:r>
      <w:r>
        <w:rPr>
          <w:rFonts w:ascii="Times New Roman" w:hAnsi="Times New Roman" w:cs="Times New Roman" w:eastAsia="Times New Roman" w:hint="default"/>
          <w:spacing w:val="-21"/>
        </w:rPr>
        <w:t> </w:t>
      </w:r>
      <w:r>
        <w:rPr/>
        <w:t>号《关于影视等出口服务适用增值税零税率政策的通知》的规定，境内单位 </w:t>
      </w:r>
      <w:r>
        <w:rPr>
          <w:spacing w:val="-1"/>
        </w:rPr>
        <w:t>和个人向境外单位提供的软件服务、信息系统服务、离岸服务外包业务，适用增值税零税率政策；根据财</w:t>
      </w:r>
      <w:r>
        <w:rPr>
          <w:spacing w:val="-84"/>
        </w:rPr>
        <w:t> </w:t>
      </w:r>
      <w:r>
        <w:rPr>
          <w:spacing w:val="-84"/>
        </w:rPr>
      </w:r>
      <w:r>
        <w:rPr>
          <w:spacing w:val="-4"/>
        </w:rPr>
        <w:t>税〔</w:t>
      </w:r>
      <w:r>
        <w:rPr>
          <w:rFonts w:ascii="Times New Roman" w:hAnsi="Times New Roman" w:cs="Times New Roman" w:eastAsia="Times New Roman" w:hint="default"/>
          <w:spacing w:val="-4"/>
        </w:rPr>
        <w:t>2016</w:t>
      </w:r>
      <w:r>
        <w:rPr>
          <w:spacing w:val="-4"/>
        </w:rPr>
        <w:t>〕</w:t>
      </w:r>
      <w:r>
        <w:rPr>
          <w:rFonts w:ascii="Times New Roman" w:hAnsi="Times New Roman" w:cs="Times New Roman" w:eastAsia="Times New Roman" w:hint="default"/>
          <w:spacing w:val="-4"/>
        </w:rPr>
        <w:t>36</w:t>
      </w:r>
      <w:r>
        <w:rPr>
          <w:rFonts w:ascii="Times New Roman" w:hAnsi="Times New Roman" w:cs="Times New Roman" w:eastAsia="Times New Roman" w:hint="default"/>
          <w:spacing w:val="-29"/>
        </w:rPr>
        <w:t> </w:t>
      </w:r>
      <w:r>
        <w:rPr/>
        <w:t>号《关于全面推开营业税改征增值税试点的通知》的规定，中华人民共和国境内的单位和个 </w:t>
      </w:r>
      <w:r>
        <w:rPr>
          <w:spacing w:val="-1"/>
        </w:rPr>
        <w:t>人向境外单位提供的完全在境外消费的研发服务、软件服务、信息系统服务和离岸服务外包业务适用增值</w:t>
      </w:r>
      <w:r>
        <w:rPr>
          <w:spacing w:val="-81"/>
        </w:rPr>
        <w:t> </w:t>
      </w:r>
      <w:r>
        <w:rPr>
          <w:spacing w:val="-81"/>
        </w:rPr>
      </w:r>
      <w:r>
        <w:rPr/>
        <w:t>税零税率；根据国家税务总局公告</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年第</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号《关于发布《适用增值税零税率应税服务退（免）税管 理办法》的公告》的规定，中华人民共和国境内的增值税一般纳税人提供适用增值税零税率的应税服务， 实行增值税退（免）税办法。包括免抵退税或免退税办法，相应的进项税额可以全额抵扣。</w:t>
      </w:r>
    </w:p>
    <w:p>
      <w:pPr>
        <w:spacing w:line="240" w:lineRule="auto" w:before="4"/>
        <w:rPr>
          <w:rFonts w:ascii="宋体" w:hAnsi="宋体" w:cs="宋体" w:eastAsia="宋体" w:hint="default"/>
          <w:sz w:val="18"/>
          <w:szCs w:val="18"/>
        </w:rPr>
      </w:pPr>
    </w:p>
    <w:p>
      <w:pPr>
        <w:pStyle w:val="BodyText"/>
        <w:spacing w:line="240" w:lineRule="auto"/>
        <w:ind w:left="1553" w:right="0"/>
        <w:jc w:val="left"/>
      </w:pPr>
      <w:r>
        <w:rPr>
          <w:rFonts w:ascii="Times New Roman" w:hAnsi="Times New Roman" w:cs="Times New Roman" w:eastAsia="Times New Roman" w:hint="default"/>
        </w:rPr>
        <w:t>12.</w:t>
      </w:r>
      <w:r>
        <w:rPr/>
        <w:t>根据财税</w:t>
      </w:r>
      <w:r>
        <w:rPr>
          <w:rFonts w:ascii="Times New Roman" w:hAnsi="Times New Roman" w:cs="Times New Roman" w:eastAsia="Times New Roman" w:hint="default"/>
        </w:rPr>
        <w:t>[2016]36</w:t>
      </w:r>
      <w:r>
        <w:rPr>
          <w:rFonts w:ascii="Times New Roman" w:hAnsi="Times New Roman" w:cs="Times New Roman" w:eastAsia="Times New Roman" w:hint="default"/>
          <w:spacing w:val="13"/>
        </w:rPr>
        <w:t> </w:t>
      </w:r>
      <w:r>
        <w:rPr>
          <w:spacing w:val="-5"/>
        </w:rPr>
        <w:t>号《财政部国家税务总局关于全面推开营业税改征增值税试点的通知》文件规定，</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4" w:right="0"/>
        <w:jc w:val="left"/>
      </w:pPr>
      <w:r>
        <w:rPr/>
        <w:t>试点纳税人提供技术转让、技术开发和与之相关的技术咨询、技术服务免征增值税。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13.</w:t>
      </w:r>
      <w:r>
        <w:rPr/>
        <w:t>根据《财政部、国家税务总局关于进一步推进出口货物实行免抵退税办法的通知》（财税〔</w:t>
      </w:r>
      <w:r>
        <w:rPr>
          <w:rFonts w:ascii="Times New Roman" w:hAnsi="Times New Roman" w:cs="Times New Roman" w:eastAsia="Times New Roman" w:hint="default"/>
        </w:rPr>
        <w:t>2002</w:t>
      </w:r>
      <w:r>
        <w:rPr/>
        <w:t>〕</w:t>
      </w:r>
    </w:p>
    <w:p>
      <w:pPr>
        <w:pStyle w:val="BodyText"/>
        <w:spacing w:line="280" w:lineRule="auto" w:before="50"/>
        <w:ind w:left="1134" w:right="1115"/>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29"/>
        </w:rPr>
        <w:t> </w:t>
      </w:r>
      <w:r>
        <w:rPr/>
        <w:t>号）规定：生产企业自营或委托外贸企业代理出口自产货物，除另行规定外，增值税一律实行免、抵、 退税管理办法。</w:t>
      </w:r>
    </w:p>
    <w:p>
      <w:pPr>
        <w:spacing w:line="240" w:lineRule="auto" w:before="5"/>
        <w:rPr>
          <w:rFonts w:ascii="宋体" w:hAnsi="宋体" w:cs="宋体" w:eastAsia="宋体" w:hint="default"/>
          <w:sz w:val="18"/>
          <w:szCs w:val="18"/>
        </w:rPr>
      </w:pPr>
    </w:p>
    <w:p>
      <w:pPr>
        <w:pStyle w:val="BodyText"/>
        <w:spacing w:line="240" w:lineRule="auto"/>
        <w:ind w:left="1553" w:right="0"/>
        <w:jc w:val="left"/>
        <w:rPr>
          <w:rFonts w:ascii="微软雅黑" w:hAnsi="微软雅黑" w:cs="微软雅黑" w:eastAsia="微软雅黑" w:hint="default"/>
        </w:rPr>
      </w:pPr>
      <w:bookmarkStart w:name="3、其他" w:id="227"/>
      <w:bookmarkEnd w:id="227"/>
      <w:r>
        <w:rPr/>
      </w:r>
      <w:r>
        <w:rPr>
          <w:rFonts w:ascii="Times New Roman" w:hAnsi="Times New Roman" w:cs="Times New Roman" w:eastAsia="Times New Roman" w:hint="default"/>
        </w:rPr>
        <w:t>3</w:t>
      </w:r>
      <w:r>
        <w:rPr>
          <w:rFonts w:ascii="微软雅黑" w:hAnsi="微软雅黑" w:cs="微软雅黑" w:eastAsia="微软雅黑" w:hint="default"/>
        </w:rPr>
        <w:t>、其他</w:t>
      </w:r>
    </w:p>
    <w:p>
      <w:pPr>
        <w:spacing w:line="240" w:lineRule="auto" w:before="8"/>
        <w:rPr>
          <w:rFonts w:ascii="微软雅黑" w:hAnsi="微软雅黑" w:cs="微软雅黑" w:eastAsia="微软雅黑" w:hint="default"/>
          <w:sz w:val="27"/>
          <w:szCs w:val="27"/>
        </w:rPr>
      </w:pPr>
    </w:p>
    <w:p>
      <w:pPr>
        <w:pStyle w:val="Heading2"/>
        <w:spacing w:line="240" w:lineRule="auto"/>
        <w:ind w:left="1133" w:right="0"/>
        <w:jc w:val="left"/>
      </w:pPr>
      <w:bookmarkStart w:name="七、合并财务报表项目注释" w:id="228"/>
      <w:bookmarkEnd w:id="228"/>
      <w:r>
        <w:rPr/>
      </w:r>
      <w:r>
        <w:rPr/>
        <w:t>七、合并财务报表项目注释</w:t>
      </w:r>
    </w:p>
    <w:p>
      <w:pPr>
        <w:spacing w:line="240" w:lineRule="auto" w:before="11"/>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货币资金" w:id="229"/>
      <w:bookmarkEnd w:id="229"/>
      <w:r>
        <w:rPr/>
      </w:r>
      <w:r>
        <w:rPr>
          <w:rFonts w:ascii="Times New Roman" w:hAnsi="Times New Roman" w:cs="Times New Roman" w:eastAsia="Times New Roman" w:hint="default"/>
        </w:rPr>
        <w:t>1</w:t>
      </w:r>
      <w:r>
        <w:rPr>
          <w:rFonts w:ascii="微软雅黑" w:hAnsi="微软雅黑" w:cs="微软雅黑" w:eastAsia="微软雅黑" w:hint="default"/>
        </w:rPr>
        <w:t>、货币资金</w:t>
      </w:r>
    </w:p>
    <w:p>
      <w:pPr>
        <w:spacing w:line="240" w:lineRule="auto" w:before="0"/>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38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217,876.94</w:t>
            </w:r>
          </w:p>
        </w:tc>
        <w:tc>
          <w:tcPr>
            <w:tcW w:w="328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251,200.68</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18"/>
                <w:szCs w:val="18"/>
              </w:rPr>
            </w:pPr>
            <w:r>
              <w:rPr>
                <w:rFonts w:ascii="Times New Roman"/>
                <w:spacing w:val="-1"/>
                <w:sz w:val="18"/>
              </w:rPr>
              <w:t>1,273,566,990.26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Times New Roman" w:hAnsi="Times New Roman" w:cs="Times New Roman" w:eastAsia="Times New Roman" w:hint="default"/>
                <w:sz w:val="18"/>
                <w:szCs w:val="18"/>
              </w:rPr>
            </w:pPr>
            <w:r>
              <w:rPr>
                <w:rFonts w:ascii="Times New Roman"/>
                <w:spacing w:val="-1"/>
                <w:sz w:val="18"/>
              </w:rPr>
              <w:t>1,125,545,177.09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818,129.60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914,037.73</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1,274,602,996.80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1,126,710,415.50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117,682,964.46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57,100,038.96</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80" w:lineRule="auto"/>
        <w:ind w:left="1133" w:right="1117" w:firstLine="420"/>
        <w:jc w:val="left"/>
      </w:pPr>
      <w:r>
        <w:rPr/>
        <w:t>期末使用受限的银行存款</w:t>
      </w:r>
      <w:r>
        <w:rPr>
          <w:spacing w:val="-66"/>
        </w:rPr>
        <w:t> </w:t>
      </w:r>
      <w:r>
        <w:rPr>
          <w:rFonts w:ascii="Times New Roman" w:hAnsi="Times New Roman" w:cs="Times New Roman" w:eastAsia="Times New Roman" w:hint="default"/>
        </w:rPr>
        <w:t>459,404,395.90</w:t>
      </w:r>
      <w:r>
        <w:rPr>
          <w:rFonts w:ascii="Times New Roman" w:hAnsi="Times New Roman" w:cs="Times New Roman" w:eastAsia="Times New Roman" w:hint="default"/>
          <w:spacing w:val="-21"/>
        </w:rPr>
        <w:t> </w:t>
      </w:r>
      <w:r>
        <w:rPr/>
        <w:t>元，系开立备用信用证质押所致，详见附注七、</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短期借款 及附注七、</w:t>
      </w:r>
      <w:r>
        <w:rPr>
          <w:rFonts w:ascii="Times New Roman" w:hAnsi="Times New Roman" w:cs="Times New Roman" w:eastAsia="Times New Roman" w:hint="default"/>
        </w:rPr>
        <w:t>45</w:t>
      </w:r>
      <w:r>
        <w:rPr>
          <w:rFonts w:ascii="Times New Roman" w:hAnsi="Times New Roman" w:cs="Times New Roman" w:eastAsia="Times New Roman" w:hint="default"/>
          <w:spacing w:val="31"/>
        </w:rPr>
        <w:t> </w:t>
      </w:r>
      <w:r>
        <w:rPr/>
        <w:t>长期借款。</w:t>
      </w:r>
    </w:p>
    <w:p>
      <w:pPr>
        <w:spacing w:line="240" w:lineRule="auto" w:before="12"/>
        <w:rPr>
          <w:rFonts w:ascii="宋体" w:hAnsi="宋体" w:cs="宋体" w:eastAsia="宋体" w:hint="default"/>
          <w:sz w:val="16"/>
          <w:szCs w:val="16"/>
        </w:rPr>
      </w:pPr>
    </w:p>
    <w:p>
      <w:pPr>
        <w:pStyle w:val="BodyText"/>
        <w:spacing w:line="240" w:lineRule="auto"/>
        <w:ind w:left="1553" w:right="0"/>
        <w:jc w:val="left"/>
        <w:rPr>
          <w:rFonts w:ascii="微软雅黑" w:hAnsi="微软雅黑" w:cs="微软雅黑" w:eastAsia="微软雅黑" w:hint="default"/>
        </w:rPr>
      </w:pPr>
      <w:bookmarkStart w:name="2、以公允价值计量且其变动计入当期损益的金融资产" w:id="230"/>
      <w:bookmarkEnd w:id="230"/>
      <w:r>
        <w:rPr/>
      </w:r>
      <w:r>
        <w:rPr>
          <w:rFonts w:ascii="Times New Roman" w:hAnsi="Times New Roman" w:cs="Times New Roman" w:eastAsia="Times New Roman" w:hint="default"/>
        </w:rPr>
        <w:t>2</w:t>
      </w:r>
      <w:r>
        <w:rPr>
          <w:rFonts w:ascii="微软雅黑" w:hAnsi="微软雅黑" w:cs="微软雅黑" w:eastAsia="微软雅黑" w:hint="default"/>
        </w:rPr>
        <w:t>、以公允价值计量且其变动计入当期损益的金融资产</w:t>
      </w:r>
    </w:p>
    <w:p>
      <w:pPr>
        <w:spacing w:line="240" w:lineRule="auto" w:before="0"/>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5"/>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3、衍生金融资产" w:id="231"/>
      <w:bookmarkEnd w:id="231"/>
      <w:r>
        <w:rPr/>
      </w:r>
      <w:r>
        <w:rPr>
          <w:rFonts w:ascii="Times New Roman" w:hAnsi="Times New Roman" w:cs="Times New Roman" w:eastAsia="Times New Roman" w:hint="default"/>
        </w:rPr>
        <w:t>3</w:t>
      </w:r>
      <w:r>
        <w:rPr>
          <w:rFonts w:ascii="微软雅黑" w:hAnsi="微软雅黑" w:cs="微软雅黑" w:eastAsia="微软雅黑" w:hint="default"/>
        </w:rPr>
        <w:t>、衍生金融资产</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4、应收票据" w:id="232"/>
      <w:bookmarkEnd w:id="232"/>
      <w:r>
        <w:rPr/>
      </w:r>
      <w:r>
        <w:rPr>
          <w:rFonts w:ascii="Times New Roman" w:hAnsi="Times New Roman" w:cs="Times New Roman" w:eastAsia="Times New Roman" w:hint="default"/>
        </w:rPr>
        <w:t>4</w:t>
      </w:r>
      <w:r>
        <w:rPr>
          <w:rFonts w:ascii="微软雅黑" w:hAnsi="微软雅黑" w:cs="微软雅黑" w:eastAsia="微软雅黑" w:hint="default"/>
        </w:rPr>
        <w:t>、应收票据</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应收票据分类列示" w:id="233"/>
      <w:bookmarkEnd w:id="23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38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2,466,088.51</w:t>
            </w:r>
          </w:p>
        </w:tc>
        <w:tc>
          <w:tcPr>
            <w:tcW w:w="328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3,543,536.03</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pacing w:val="-1"/>
                <w:sz w:val="18"/>
              </w:rPr>
              <w:t>2,466,088.51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3,543,536.03</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期末公司已质押的应收票据" w:id="234"/>
      <w:bookmarkEnd w:id="23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5"/>
        <w:rPr>
          <w:rFonts w:ascii="宋体" w:hAnsi="宋体" w:cs="宋体" w:eastAsia="宋体" w:hint="default"/>
          <w:sz w:val="11"/>
          <w:szCs w:val="11"/>
        </w:rPr>
      </w:pPr>
    </w:p>
    <w:p>
      <w:pPr>
        <w:pStyle w:val="Heading4"/>
        <w:spacing w:line="240" w:lineRule="auto" w:before="35"/>
        <w:ind w:right="0"/>
        <w:jc w:val="left"/>
        <w:rPr>
          <w:b w:val="0"/>
          <w:bCs w:val="0"/>
        </w:rPr>
      </w:pPr>
      <w:bookmarkStart w:name="（3）期末公司已背书或贴现且在资产负债表日尚未到期的应收票据" w:id="235"/>
      <w:bookmarkEnd w:id="23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4）期末公司因出票人未履约而将其转应收账款的票据" w:id="236"/>
      <w:bookmarkEnd w:id="23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404"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240" w:lineRule="auto" w:before="5"/>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9"/>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1.</w:t>
      </w:r>
      <w:r>
        <w:rPr/>
        <w:t>截至期末本集团不存在已质押的应收票据。</w:t>
      </w:r>
    </w:p>
    <w:p>
      <w:pPr>
        <w:spacing w:line="240" w:lineRule="auto" w:before="7"/>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2.</w:t>
      </w:r>
      <w:r>
        <w:rPr/>
        <w:t>截至期末本集团不存在已背书或贴现但尚未到期的应收票据。</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3.</w:t>
      </w:r>
      <w:r>
        <w:rPr/>
        <w:t>截至期末本集团不存在因出票人未履约而其转应收账款的票据。</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5、应收账款" w:id="237"/>
      <w:bookmarkEnd w:id="237"/>
      <w:r>
        <w:rPr/>
      </w:r>
      <w:r>
        <w:rPr>
          <w:rFonts w:ascii="Times New Roman" w:hAnsi="Times New Roman" w:cs="Times New Roman" w:eastAsia="Times New Roman" w:hint="default"/>
        </w:rPr>
        <w:t>5</w:t>
      </w:r>
      <w:r>
        <w:rPr>
          <w:rFonts w:ascii="微软雅黑" w:hAnsi="微软雅黑" w:cs="微软雅黑" w:eastAsia="微软雅黑" w:hint="default"/>
        </w:rPr>
        <w:t>、应收账款</w:t>
      </w:r>
    </w:p>
    <w:p>
      <w:pPr>
        <w:spacing w:line="240" w:lineRule="auto" w:before="7"/>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应收账款分类披露" w:id="238"/>
      <w:bookmarkEnd w:id="2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71" w:type="dxa"/>
        <w:tblLayout w:type="fixed"/>
        <w:tblCellMar>
          <w:top w:w="0" w:type="dxa"/>
          <w:left w:w="0" w:type="dxa"/>
          <w:bottom w:w="0" w:type="dxa"/>
          <w:right w:w="0" w:type="dxa"/>
        </w:tblCellMar>
        <w:tblLook w:val="01E0"/>
      </w:tblPr>
      <w:tblGrid>
        <w:gridCol w:w="1359"/>
        <w:gridCol w:w="1031"/>
        <w:gridCol w:w="646"/>
        <w:gridCol w:w="957"/>
        <w:gridCol w:w="646"/>
        <w:gridCol w:w="1030"/>
        <w:gridCol w:w="1031"/>
        <w:gridCol w:w="646"/>
        <w:gridCol w:w="882"/>
        <w:gridCol w:w="498"/>
        <w:gridCol w:w="1030"/>
      </w:tblGrid>
      <w:tr>
        <w:trPr>
          <w:trHeight w:val="391" w:hRule="exact"/>
        </w:trPr>
        <w:tc>
          <w:tcPr>
            <w:tcW w:w="13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right="0"/>
              <w:jc w:val="center"/>
              <w:rPr>
                <w:rFonts w:ascii="宋体" w:hAnsi="宋体" w:cs="宋体" w:eastAsia="宋体" w:hint="default"/>
                <w:sz w:val="16"/>
                <w:szCs w:val="16"/>
              </w:rPr>
            </w:pPr>
            <w:r>
              <w:rPr>
                <w:rFonts w:ascii="宋体" w:hAnsi="宋体" w:cs="宋体" w:eastAsia="宋体" w:hint="default"/>
                <w:spacing w:val="-13"/>
                <w:sz w:val="16"/>
                <w:szCs w:val="16"/>
              </w:rPr>
              <w:t>类别</w:t>
            </w:r>
            <w:r>
              <w:rPr>
                <w:rFonts w:ascii="宋体" w:hAnsi="宋体" w:cs="宋体" w:eastAsia="宋体" w:hint="default"/>
                <w:sz w:val="16"/>
                <w:szCs w:val="16"/>
              </w:rPr>
            </w:r>
          </w:p>
        </w:tc>
        <w:tc>
          <w:tcPr>
            <w:tcW w:w="430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pacing w:val="-13"/>
                <w:sz w:val="16"/>
                <w:szCs w:val="16"/>
              </w:rPr>
              <w:t>期末余额</w:t>
            </w:r>
            <w:r>
              <w:rPr>
                <w:rFonts w:ascii="宋体" w:hAnsi="宋体" w:cs="宋体" w:eastAsia="宋体" w:hint="default"/>
                <w:sz w:val="16"/>
                <w:szCs w:val="16"/>
              </w:rPr>
            </w:r>
          </w:p>
        </w:tc>
        <w:tc>
          <w:tcPr>
            <w:tcW w:w="40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pacing w:val="-13"/>
                <w:sz w:val="16"/>
                <w:szCs w:val="16"/>
              </w:rPr>
              <w:t>期初余额</w:t>
            </w:r>
            <w:r>
              <w:rPr>
                <w:rFonts w:ascii="宋体" w:hAnsi="宋体" w:cs="宋体" w:eastAsia="宋体" w:hint="default"/>
                <w:sz w:val="16"/>
                <w:szCs w:val="16"/>
              </w:rPr>
            </w:r>
          </w:p>
        </w:tc>
      </w:tr>
      <w:tr>
        <w:trPr>
          <w:trHeight w:val="390" w:hRule="exact"/>
        </w:trPr>
        <w:tc>
          <w:tcPr>
            <w:tcW w:w="1359" w:type="dxa"/>
            <w:vMerge/>
            <w:tcBorders>
              <w:left w:val="single" w:sz="4" w:space="0" w:color="000000"/>
              <w:right w:val="single" w:sz="4" w:space="0" w:color="000000"/>
            </w:tcBorders>
            <w:shd w:val="clear" w:color="auto" w:fill="D2D2D2"/>
          </w:tcPr>
          <w:p>
            <w:pPr/>
          </w:p>
        </w:tc>
        <w:tc>
          <w:tcPr>
            <w:tcW w:w="16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7" w:right="0"/>
              <w:jc w:val="left"/>
              <w:rPr>
                <w:rFonts w:ascii="宋体" w:hAnsi="宋体" w:cs="宋体" w:eastAsia="宋体" w:hint="default"/>
                <w:sz w:val="16"/>
                <w:szCs w:val="16"/>
              </w:rPr>
            </w:pPr>
            <w:r>
              <w:rPr>
                <w:rFonts w:ascii="宋体" w:hAnsi="宋体" w:cs="宋体" w:eastAsia="宋体" w:hint="default"/>
                <w:spacing w:val="-13"/>
                <w:sz w:val="16"/>
                <w:szCs w:val="16"/>
              </w:rPr>
              <w:t>账面余额</w:t>
            </w:r>
            <w:r>
              <w:rPr>
                <w:rFonts w:ascii="宋体" w:hAnsi="宋体" w:cs="宋体" w:eastAsia="宋体" w:hint="default"/>
                <w:sz w:val="16"/>
                <w:szCs w:val="16"/>
              </w:rPr>
            </w:r>
          </w:p>
        </w:tc>
        <w:tc>
          <w:tcPr>
            <w:tcW w:w="16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99" w:right="0"/>
              <w:jc w:val="left"/>
              <w:rPr>
                <w:rFonts w:ascii="宋体" w:hAnsi="宋体" w:cs="宋体" w:eastAsia="宋体" w:hint="default"/>
                <w:sz w:val="16"/>
                <w:szCs w:val="16"/>
              </w:rPr>
            </w:pPr>
            <w:r>
              <w:rPr>
                <w:rFonts w:ascii="宋体" w:hAnsi="宋体" w:cs="宋体" w:eastAsia="宋体" w:hint="default"/>
                <w:spacing w:val="-13"/>
                <w:sz w:val="16"/>
                <w:szCs w:val="16"/>
              </w:rPr>
              <w:t>坏账准备</w:t>
            </w:r>
            <w:r>
              <w:rPr>
                <w:rFonts w:ascii="宋体" w:hAnsi="宋体" w:cs="宋体" w:eastAsia="宋体" w:hint="default"/>
                <w:sz w:val="16"/>
                <w:szCs w:val="16"/>
              </w:rPr>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pacing w:val="-13"/>
                <w:sz w:val="16"/>
                <w:szCs w:val="16"/>
              </w:rPr>
              <w:t>账面价值</w:t>
            </w:r>
            <w:r>
              <w:rPr>
                <w:rFonts w:ascii="宋体" w:hAnsi="宋体" w:cs="宋体" w:eastAsia="宋体" w:hint="default"/>
                <w:sz w:val="16"/>
                <w:szCs w:val="16"/>
              </w:rPr>
            </w:r>
          </w:p>
        </w:tc>
        <w:tc>
          <w:tcPr>
            <w:tcW w:w="1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7" w:right="0"/>
              <w:jc w:val="left"/>
              <w:rPr>
                <w:rFonts w:ascii="宋体" w:hAnsi="宋体" w:cs="宋体" w:eastAsia="宋体" w:hint="default"/>
                <w:sz w:val="16"/>
                <w:szCs w:val="16"/>
              </w:rPr>
            </w:pPr>
            <w:r>
              <w:rPr>
                <w:rFonts w:ascii="宋体" w:hAnsi="宋体" w:cs="宋体" w:eastAsia="宋体" w:hint="default"/>
                <w:spacing w:val="-13"/>
                <w:sz w:val="16"/>
                <w:szCs w:val="16"/>
              </w:rPr>
              <w:t>账面余额</w:t>
            </w:r>
            <w:r>
              <w:rPr>
                <w:rFonts w:ascii="宋体" w:hAnsi="宋体" w:cs="宋体" w:eastAsia="宋体" w:hint="default"/>
                <w:sz w:val="16"/>
                <w:szCs w:val="16"/>
              </w:rPr>
            </w:r>
          </w:p>
        </w:tc>
        <w:tc>
          <w:tcPr>
            <w:tcW w:w="13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8" w:right="0"/>
              <w:jc w:val="left"/>
              <w:rPr>
                <w:rFonts w:ascii="宋体" w:hAnsi="宋体" w:cs="宋体" w:eastAsia="宋体" w:hint="default"/>
                <w:sz w:val="16"/>
                <w:szCs w:val="16"/>
              </w:rPr>
            </w:pPr>
            <w:r>
              <w:rPr>
                <w:rFonts w:ascii="宋体" w:hAnsi="宋体" w:cs="宋体" w:eastAsia="宋体" w:hint="default"/>
                <w:spacing w:val="-13"/>
                <w:sz w:val="16"/>
                <w:szCs w:val="16"/>
              </w:rPr>
              <w:t>坏账准备</w:t>
            </w:r>
            <w:r>
              <w:rPr>
                <w:rFonts w:ascii="宋体" w:hAnsi="宋体" w:cs="宋体" w:eastAsia="宋体" w:hint="default"/>
                <w:sz w:val="16"/>
                <w:szCs w:val="16"/>
              </w:rPr>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pacing w:val="-13"/>
                <w:sz w:val="16"/>
                <w:szCs w:val="16"/>
              </w:rPr>
              <w:t>账面价值</w:t>
            </w:r>
            <w:r>
              <w:rPr>
                <w:rFonts w:ascii="宋体" w:hAnsi="宋体" w:cs="宋体" w:eastAsia="宋体" w:hint="default"/>
                <w:sz w:val="16"/>
                <w:szCs w:val="16"/>
              </w:rPr>
            </w:r>
          </w:p>
        </w:tc>
      </w:tr>
      <w:tr>
        <w:trPr>
          <w:trHeight w:val="627" w:hRule="exact"/>
        </w:trPr>
        <w:tc>
          <w:tcPr>
            <w:tcW w:w="1359" w:type="dxa"/>
            <w:vMerge/>
            <w:tcBorders>
              <w:left w:val="single" w:sz="4" w:space="0" w:color="000000"/>
              <w:bottom w:val="single" w:sz="4" w:space="0" w:color="000000"/>
              <w:right w:val="single" w:sz="4" w:space="0" w:color="000000"/>
            </w:tcBorders>
            <w:shd w:val="clear" w:color="auto" w:fill="D2D2D2"/>
          </w:tcPr>
          <w:p>
            <w:pP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9" w:right="0"/>
              <w:jc w:val="left"/>
              <w:rPr>
                <w:rFonts w:ascii="宋体" w:hAnsi="宋体" w:cs="宋体" w:eastAsia="宋体" w:hint="default"/>
                <w:sz w:val="16"/>
                <w:szCs w:val="16"/>
              </w:rPr>
            </w:pPr>
            <w:r>
              <w:rPr>
                <w:rFonts w:ascii="宋体" w:hAnsi="宋体" w:cs="宋体" w:eastAsia="宋体" w:hint="default"/>
                <w:spacing w:val="-13"/>
                <w:sz w:val="16"/>
                <w:szCs w:val="16"/>
              </w:rPr>
              <w:t>比例</w:t>
            </w:r>
            <w:r>
              <w:rPr>
                <w:rFonts w:ascii="宋体" w:hAnsi="宋体" w:cs="宋体" w:eastAsia="宋体" w:hint="default"/>
                <w:sz w:val="16"/>
                <w:szCs w:val="16"/>
              </w:rPr>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69" w:right="169"/>
              <w:jc w:val="left"/>
              <w:rPr>
                <w:rFonts w:ascii="宋体" w:hAnsi="宋体" w:cs="宋体" w:eastAsia="宋体" w:hint="default"/>
                <w:sz w:val="16"/>
                <w:szCs w:val="16"/>
              </w:rPr>
            </w:pPr>
            <w:r>
              <w:rPr>
                <w:rFonts w:ascii="宋体" w:hAnsi="宋体" w:cs="宋体" w:eastAsia="宋体" w:hint="default"/>
                <w:spacing w:val="-13"/>
                <w:sz w:val="16"/>
                <w:szCs w:val="16"/>
              </w:rPr>
              <w:t>计提</w:t>
            </w:r>
            <w:r>
              <w:rPr>
                <w:rFonts w:ascii="宋体" w:hAnsi="宋体" w:cs="宋体" w:eastAsia="宋体" w:hint="default"/>
                <w:spacing w:val="-12"/>
                <w:w w:val="99"/>
                <w:sz w:val="16"/>
                <w:szCs w:val="16"/>
              </w:rPr>
              <w:t> </w:t>
            </w:r>
            <w:r>
              <w:rPr>
                <w:rFonts w:ascii="宋体" w:hAnsi="宋体" w:cs="宋体" w:eastAsia="宋体" w:hint="default"/>
                <w:spacing w:val="-13"/>
                <w:sz w:val="16"/>
                <w:szCs w:val="16"/>
              </w:rPr>
              <w:t>比例</w:t>
            </w:r>
            <w:r>
              <w:rPr>
                <w:rFonts w:ascii="宋体" w:hAnsi="宋体" w:cs="宋体" w:eastAsia="宋体" w:hint="default"/>
                <w:sz w:val="16"/>
                <w:szCs w:val="16"/>
              </w:rPr>
            </w:r>
          </w:p>
        </w:tc>
        <w:tc>
          <w:tcPr>
            <w:tcW w:w="1030" w:type="dxa"/>
            <w:vMerge/>
            <w:tcBorders>
              <w:left w:val="single" w:sz="4" w:space="0" w:color="000000"/>
              <w:bottom w:val="single" w:sz="4" w:space="0" w:color="000000"/>
              <w:right w:val="single" w:sz="4" w:space="0" w:color="000000"/>
            </w:tcBorders>
            <w:shd w:val="clear" w:color="auto" w:fill="D2D2D2"/>
          </w:tcPr>
          <w:p>
            <w:pP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pacing w:val="-13"/>
                <w:sz w:val="16"/>
                <w:szCs w:val="16"/>
              </w:rPr>
              <w:t>比例</w:t>
            </w:r>
            <w:r>
              <w:rPr>
                <w:rFonts w:ascii="宋体" w:hAnsi="宋体" w:cs="宋体" w:eastAsia="宋体" w:hint="default"/>
                <w:sz w:val="16"/>
                <w:szCs w:val="16"/>
              </w:rPr>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94" w:right="96"/>
              <w:jc w:val="left"/>
              <w:rPr>
                <w:rFonts w:ascii="宋体" w:hAnsi="宋体" w:cs="宋体" w:eastAsia="宋体" w:hint="default"/>
                <w:sz w:val="16"/>
                <w:szCs w:val="16"/>
              </w:rPr>
            </w:pPr>
            <w:r>
              <w:rPr>
                <w:rFonts w:ascii="宋体" w:hAnsi="宋体" w:cs="宋体" w:eastAsia="宋体" w:hint="default"/>
                <w:spacing w:val="-13"/>
                <w:sz w:val="16"/>
                <w:szCs w:val="16"/>
              </w:rPr>
              <w:t>计提</w:t>
            </w:r>
            <w:r>
              <w:rPr>
                <w:rFonts w:ascii="宋体" w:hAnsi="宋体" w:cs="宋体" w:eastAsia="宋体" w:hint="default"/>
                <w:spacing w:val="-12"/>
                <w:w w:val="99"/>
                <w:sz w:val="16"/>
                <w:szCs w:val="16"/>
              </w:rPr>
              <w:t> </w:t>
            </w:r>
            <w:r>
              <w:rPr>
                <w:rFonts w:ascii="宋体" w:hAnsi="宋体" w:cs="宋体" w:eastAsia="宋体" w:hint="default"/>
                <w:spacing w:val="-13"/>
                <w:sz w:val="16"/>
                <w:szCs w:val="16"/>
              </w:rPr>
              <w:t>比例</w:t>
            </w:r>
            <w:r>
              <w:rPr>
                <w:rFonts w:ascii="宋体" w:hAnsi="宋体" w:cs="宋体" w:eastAsia="宋体" w:hint="default"/>
                <w:sz w:val="16"/>
                <w:szCs w:val="16"/>
              </w:rPr>
            </w:r>
          </w:p>
        </w:tc>
        <w:tc>
          <w:tcPr>
            <w:tcW w:w="1030" w:type="dxa"/>
            <w:vMerge/>
            <w:tcBorders>
              <w:left w:val="single" w:sz="4" w:space="0" w:color="000000"/>
              <w:bottom w:val="single" w:sz="4" w:space="0" w:color="000000"/>
              <w:right w:val="single" w:sz="4" w:space="0" w:color="000000"/>
            </w:tcBorders>
            <w:shd w:val="clear" w:color="auto" w:fill="D2D2D2"/>
          </w:tcPr>
          <w:p>
            <w:pPr/>
          </w:p>
        </w:tc>
      </w:tr>
      <w:tr>
        <w:trPr>
          <w:trHeight w:val="757"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8"/>
              <w:ind w:left="52" w:right="99"/>
              <w:jc w:val="both"/>
              <w:rPr>
                <w:rFonts w:ascii="宋体" w:hAnsi="宋体" w:cs="宋体" w:eastAsia="宋体" w:hint="default"/>
                <w:sz w:val="16"/>
                <w:szCs w:val="16"/>
              </w:rPr>
            </w:pPr>
            <w:r>
              <w:rPr>
                <w:rFonts w:ascii="宋体" w:hAnsi="宋体" w:cs="宋体" w:eastAsia="宋体" w:hint="default"/>
                <w:spacing w:val="-12"/>
                <w:sz w:val="16"/>
                <w:szCs w:val="16"/>
              </w:rPr>
              <w:t>按信用风险特征组</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2"/>
                <w:sz w:val="16"/>
                <w:szCs w:val="16"/>
              </w:rPr>
              <w:t>合计提坏账准备的</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3"/>
                <w:sz w:val="16"/>
                <w:szCs w:val="16"/>
              </w:rPr>
              <w:t>应收账款</w:t>
            </w:r>
            <w:r>
              <w:rPr>
                <w:rFonts w:ascii="宋体" w:hAnsi="宋体" w:cs="宋体" w:eastAsia="宋体" w:hint="default"/>
                <w:sz w:val="16"/>
                <w:szCs w:val="16"/>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413,962,556.38</w:t>
            </w:r>
            <w:r>
              <w:rPr>
                <w:rFonts w:ascii="Times New Roman"/>
                <w:spacing w:val="-6"/>
                <w:sz w:val="16"/>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99.54%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8,295,547.36</w:t>
            </w:r>
            <w:r>
              <w:rPr>
                <w:rFonts w:ascii="Times New Roman"/>
                <w:spacing w:val="-6"/>
                <w:sz w:val="16"/>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5"/>
                <w:w w:val="95"/>
                <w:sz w:val="16"/>
              </w:rPr>
              <w:t>2.00%</w:t>
            </w:r>
            <w:r>
              <w:rPr>
                <w:rFonts w:ascii="Times New Roman"/>
                <w:spacing w:val="-5"/>
                <w:sz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405,667,009.02</w:t>
            </w:r>
            <w:r>
              <w:rPr>
                <w:rFonts w:ascii="Times New Roman"/>
                <w:spacing w:val="-6"/>
                <w:sz w:val="16"/>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 w:right="0"/>
              <w:jc w:val="center"/>
              <w:rPr>
                <w:rFonts w:ascii="Times New Roman" w:hAnsi="Times New Roman" w:cs="Times New Roman" w:eastAsia="Times New Roman" w:hint="default"/>
                <w:sz w:val="16"/>
                <w:szCs w:val="16"/>
              </w:rPr>
            </w:pPr>
            <w:r>
              <w:rPr>
                <w:rFonts w:ascii="Times New Roman"/>
                <w:spacing w:val="-6"/>
                <w:sz w:val="16"/>
              </w:rPr>
              <w:t>340,440,566.29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100.00%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5,214,314.42</w:t>
            </w:r>
          </w:p>
        </w:tc>
        <w:tc>
          <w:tcPr>
            <w:tcW w:w="49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6"/>
                <w:szCs w:val="16"/>
              </w:rPr>
            </w:pPr>
            <w:r>
              <w:rPr>
                <w:rFonts w:ascii="Times New Roman"/>
                <w:spacing w:val="-5"/>
                <w:sz w:val="16"/>
              </w:rPr>
              <w:t>1.53%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335,226,251.87</w:t>
            </w:r>
          </w:p>
        </w:tc>
      </w:tr>
      <w:tr>
        <w:trPr>
          <w:trHeight w:val="756"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52" w:right="99"/>
              <w:jc w:val="both"/>
              <w:rPr>
                <w:rFonts w:ascii="宋体" w:hAnsi="宋体" w:cs="宋体" w:eastAsia="宋体" w:hint="default"/>
                <w:sz w:val="16"/>
                <w:szCs w:val="16"/>
              </w:rPr>
            </w:pPr>
            <w:r>
              <w:rPr>
                <w:rFonts w:ascii="宋体" w:hAnsi="宋体" w:cs="宋体" w:eastAsia="宋体" w:hint="default"/>
                <w:spacing w:val="-12"/>
                <w:sz w:val="16"/>
                <w:szCs w:val="16"/>
              </w:rPr>
              <w:t>单项金额不重大但</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2"/>
                <w:sz w:val="16"/>
                <w:szCs w:val="16"/>
              </w:rPr>
              <w:t>单独计提坏账准备</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1"/>
                <w:sz w:val="16"/>
                <w:szCs w:val="16"/>
              </w:rPr>
              <w:t>的应收账款</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1,893,215.73</w:t>
            </w:r>
            <w:r>
              <w:rPr>
                <w:rFonts w:ascii="Times New Roman"/>
                <w:spacing w:val="-6"/>
                <w:sz w:val="16"/>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5"/>
                <w:w w:val="95"/>
                <w:sz w:val="16"/>
              </w:rPr>
              <w:t>0.46%</w:t>
            </w:r>
            <w:r>
              <w:rPr>
                <w:rFonts w:ascii="Times New Roman"/>
                <w:spacing w:val="-5"/>
                <w:sz w:val="16"/>
              </w:rPr>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1,893,215.73</w:t>
            </w:r>
            <w:r>
              <w:rPr>
                <w:rFonts w:ascii="Times New Roman"/>
                <w:spacing w:val="-6"/>
                <w:sz w:val="16"/>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宋体" w:hAnsi="宋体" w:cs="宋体" w:eastAsia="宋体" w:hint="default"/>
                <w:sz w:val="16"/>
                <w:szCs w:val="16"/>
              </w:rPr>
            </w:pPr>
            <w:r>
              <w:rPr>
                <w:rFonts w:ascii="宋体" w:hAnsi="宋体" w:cs="宋体" w:eastAsia="宋体" w:hint="default"/>
                <w:spacing w:val="-13"/>
                <w:sz w:val="16"/>
                <w:szCs w:val="16"/>
              </w:rPr>
              <w:t>合计</w:t>
            </w:r>
            <w:r>
              <w:rPr>
                <w:rFonts w:ascii="宋体" w:hAnsi="宋体" w:cs="宋体" w:eastAsia="宋体" w:hint="default"/>
                <w:sz w:val="16"/>
                <w:szCs w:val="16"/>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
              <w:jc w:val="right"/>
              <w:rPr>
                <w:rFonts w:ascii="Times New Roman" w:hAnsi="Times New Roman" w:cs="Times New Roman" w:eastAsia="Times New Roman" w:hint="default"/>
                <w:sz w:val="16"/>
                <w:szCs w:val="16"/>
              </w:rPr>
            </w:pPr>
            <w:r>
              <w:rPr>
                <w:rFonts w:ascii="Times New Roman"/>
                <w:spacing w:val="-7"/>
                <w:sz w:val="16"/>
              </w:rPr>
              <w:t>415,855,772.11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
              <w:jc w:val="right"/>
              <w:rPr>
                <w:rFonts w:ascii="Times New Roman" w:hAnsi="Times New Roman" w:cs="Times New Roman" w:eastAsia="Times New Roman" w:hint="default"/>
                <w:sz w:val="16"/>
                <w:szCs w:val="16"/>
              </w:rPr>
            </w:pPr>
            <w:r>
              <w:rPr>
                <w:rFonts w:ascii="Times New Roman"/>
                <w:spacing w:val="-6"/>
                <w:sz w:val="16"/>
              </w:rPr>
              <w:t>100.00%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
              <w:jc w:val="right"/>
              <w:rPr>
                <w:rFonts w:ascii="Times New Roman" w:hAnsi="Times New Roman" w:cs="Times New Roman" w:eastAsia="Times New Roman" w:hint="default"/>
                <w:sz w:val="16"/>
                <w:szCs w:val="16"/>
              </w:rPr>
            </w:pPr>
            <w:r>
              <w:rPr>
                <w:rFonts w:ascii="Times New Roman"/>
                <w:spacing w:val="-6"/>
                <w:w w:val="95"/>
                <w:sz w:val="16"/>
              </w:rPr>
              <w:t>10,188,763.09</w:t>
            </w:r>
            <w:r>
              <w:rPr>
                <w:rFonts w:ascii="Times New Roman"/>
                <w:spacing w:val="-6"/>
                <w:sz w:val="16"/>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3"/>
              <w:jc w:val="right"/>
              <w:rPr>
                <w:rFonts w:ascii="Times New Roman" w:hAnsi="Times New Roman" w:cs="Times New Roman" w:eastAsia="Times New Roman" w:hint="default"/>
                <w:sz w:val="16"/>
                <w:szCs w:val="16"/>
              </w:rPr>
            </w:pPr>
            <w:r>
              <w:rPr>
                <w:rFonts w:ascii="Times New Roman"/>
                <w:spacing w:val="-5"/>
                <w:w w:val="95"/>
                <w:sz w:val="16"/>
              </w:rPr>
              <w:t>2.45%</w:t>
            </w:r>
            <w:r>
              <w:rPr>
                <w:rFonts w:ascii="Times New Roman"/>
                <w:spacing w:val="-5"/>
                <w:sz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
              <w:jc w:val="right"/>
              <w:rPr>
                <w:rFonts w:ascii="Times New Roman" w:hAnsi="Times New Roman" w:cs="Times New Roman" w:eastAsia="Times New Roman" w:hint="default"/>
                <w:sz w:val="16"/>
                <w:szCs w:val="16"/>
              </w:rPr>
            </w:pPr>
            <w:r>
              <w:rPr>
                <w:rFonts w:ascii="Times New Roman"/>
                <w:spacing w:val="-6"/>
                <w:w w:val="95"/>
                <w:sz w:val="16"/>
              </w:rPr>
              <w:t>405,667,009.02</w:t>
            </w:r>
            <w:r>
              <w:rPr>
                <w:rFonts w:ascii="Times New Roman"/>
                <w:spacing w:val="-6"/>
                <w:sz w:val="16"/>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Times New Roman" w:hAnsi="Times New Roman" w:cs="Times New Roman" w:eastAsia="Times New Roman" w:hint="default"/>
                <w:sz w:val="16"/>
                <w:szCs w:val="16"/>
              </w:rPr>
            </w:pPr>
            <w:r>
              <w:rPr>
                <w:rFonts w:ascii="Times New Roman"/>
                <w:spacing w:val="-6"/>
                <w:sz w:val="16"/>
              </w:rPr>
              <w:t>340,440,566.29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16"/>
                <w:szCs w:val="16"/>
              </w:rPr>
            </w:pPr>
            <w:r>
              <w:rPr>
                <w:rFonts w:ascii="Times New Roman"/>
                <w:spacing w:val="-6"/>
                <w:sz w:val="16"/>
              </w:rPr>
              <w:t>100.00%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16"/>
                <w:szCs w:val="16"/>
              </w:rPr>
            </w:pPr>
            <w:r>
              <w:rPr>
                <w:rFonts w:ascii="Times New Roman"/>
                <w:spacing w:val="-6"/>
                <w:sz w:val="16"/>
              </w:rPr>
              <w:t>5,214,314.42</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 w:right="0"/>
              <w:jc w:val="center"/>
              <w:rPr>
                <w:rFonts w:ascii="Times New Roman" w:hAnsi="Times New Roman" w:cs="Times New Roman" w:eastAsia="Times New Roman" w:hint="default"/>
                <w:sz w:val="16"/>
                <w:szCs w:val="16"/>
              </w:rPr>
            </w:pPr>
            <w:r>
              <w:rPr>
                <w:rFonts w:ascii="Times New Roman"/>
                <w:spacing w:val="-5"/>
                <w:sz w:val="16"/>
              </w:rPr>
              <w:t>1.53%</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16"/>
                <w:szCs w:val="16"/>
              </w:rPr>
            </w:pPr>
            <w:r>
              <w:rPr>
                <w:rFonts w:ascii="Times New Roman"/>
                <w:spacing w:val="-6"/>
                <w:sz w:val="16"/>
              </w:rPr>
              <w:t>335,226,251.87</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期末单项金额重大并单项计提坏账准备的应收账款：</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460" w:lineRule="auto" w:before="35"/>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组合中，按账龄分析法计提坏账准备的应收账款：</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464"/>
        <w:gridCol w:w="2463"/>
        <w:gridCol w:w="2464"/>
        <w:gridCol w:w="2465"/>
      </w:tblGrid>
      <w:tr>
        <w:trPr>
          <w:trHeight w:val="406" w:hRule="exact"/>
        </w:trPr>
        <w:tc>
          <w:tcPr>
            <w:tcW w:w="2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3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464" w:type="dxa"/>
            <w:vMerge/>
            <w:tcBorders>
              <w:left w:val="single" w:sz="4" w:space="0" w:color="000000"/>
              <w:bottom w:val="single" w:sz="4" w:space="0" w:color="000000"/>
              <w:right w:val="single" w:sz="4" w:space="0" w:color="000000"/>
            </w:tcBorders>
            <w:shd w:val="clear" w:color="auto" w:fill="D2D2D2"/>
          </w:tcPr>
          <w:p>
            <w:pP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374,542,479.64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3,745,445.02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374,542,479.64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3,745,445.02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35,649,707.42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3,564,970.74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3,078,926.86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615,785.37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644,192.46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322,096.23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47,250.00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47,250.00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413,962,556.38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8,295,547.36</w:t>
            </w:r>
          </w:p>
        </w:tc>
        <w:tc>
          <w:tcPr>
            <w:tcW w:w="24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487" w:lineRule="auto" w:before="35"/>
        <w:ind w:right="5292"/>
        <w:jc w:val="left"/>
      </w:pPr>
      <w:r>
        <w:rPr/>
        <w:t>确定该组合依据的说明： 账龄组合，按账龄分析法计提坏账准备。 组合中，采用余额百分比法计提坏账准备的应收账款：</w:t>
      </w:r>
    </w:p>
    <w:p>
      <w:pPr>
        <w:pStyle w:val="BodyText"/>
        <w:spacing w:line="475" w:lineRule="auto" w:before="6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组合中，采用其他方法计提坏账准备的应收账款： 无。</w:t>
      </w:r>
    </w:p>
    <w:p>
      <w:pPr>
        <w:pStyle w:val="Heading4"/>
        <w:spacing w:line="240" w:lineRule="auto" w:before="77"/>
        <w:ind w:right="0"/>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0"/>
          <w:szCs w:val="20"/>
        </w:rPr>
      </w:pPr>
    </w:p>
    <w:p>
      <w:pPr>
        <w:pStyle w:val="BodyText"/>
        <w:spacing w:line="460" w:lineRule="auto"/>
        <w:ind w:left="1553" w:right="2987"/>
        <w:jc w:val="left"/>
      </w:pPr>
      <w:r>
        <w:rPr/>
        <w:t>本期计提坏账准备金额</w:t>
      </w:r>
      <w:r>
        <w:rPr>
          <w:spacing w:val="-53"/>
        </w:rPr>
        <w:t> </w:t>
      </w:r>
      <w:r>
        <w:rPr>
          <w:rFonts w:ascii="Times New Roman" w:hAnsi="Times New Roman" w:cs="Times New Roman" w:eastAsia="Times New Roman" w:hint="default"/>
        </w:rPr>
        <w:t>9,588,040.16</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0.00 </w:t>
      </w:r>
      <w:r>
        <w:rPr/>
        <w:t>元。 其中本期坏账准备收回或转回金额重要的：</w:t>
      </w:r>
    </w:p>
    <w:p>
      <w:pPr>
        <w:spacing w:before="95"/>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39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7"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
        <w:rPr>
          <w:rFonts w:ascii="宋体" w:hAnsi="宋体" w:cs="宋体" w:eastAsia="宋体" w:hint="default"/>
          <w:sz w:val="12"/>
          <w:szCs w:val="12"/>
        </w:rPr>
      </w:pPr>
    </w:p>
    <w:p>
      <w:pPr>
        <w:pStyle w:val="BodyText"/>
        <w:spacing w:line="240" w:lineRule="auto" w:before="35"/>
        <w:ind w:right="0"/>
        <w:jc w:val="left"/>
      </w:pPr>
      <w:r>
        <w:rPr>
          <w:spacing w:val="9"/>
        </w:rPr>
        <w:t>本期坏账准备变动金额 </w:t>
      </w:r>
      <w:r>
        <w:rPr>
          <w:rFonts w:ascii="Times New Roman" w:hAnsi="Times New Roman" w:cs="Times New Roman" w:eastAsia="Times New Roman" w:hint="default"/>
        </w:rPr>
        <w:t>4,974,448.67  </w:t>
      </w:r>
      <w:r>
        <w:rPr>
          <w:spacing w:val="9"/>
        </w:rPr>
        <w:t>元，其中计提坏账准备金额 </w:t>
      </w:r>
      <w:r>
        <w:rPr>
          <w:rFonts w:ascii="Times New Roman" w:hAnsi="Times New Roman" w:cs="Times New Roman" w:eastAsia="Times New Roman" w:hint="default"/>
        </w:rPr>
        <w:t>9,588,040.16</w:t>
      </w:r>
      <w:r>
        <w:rPr>
          <w:rFonts w:ascii="Times New Roman" w:hAnsi="Times New Roman" w:cs="Times New Roman" w:eastAsia="Times New Roman" w:hint="default"/>
          <w:spacing w:val="40"/>
        </w:rPr>
        <w:t> </w:t>
      </w:r>
      <w:r>
        <w:rPr>
          <w:spacing w:val="8"/>
        </w:rPr>
        <w:t>元，坏账核销金额</w:t>
      </w:r>
    </w:p>
    <w:p>
      <w:pPr>
        <w:pStyle w:val="BodyText"/>
        <w:spacing w:line="240" w:lineRule="auto" w:before="49"/>
        <w:ind w:left="1133" w:right="0"/>
        <w:jc w:val="left"/>
      </w:pPr>
      <w:r>
        <w:rPr>
          <w:rFonts w:ascii="Times New Roman" w:hAnsi="Times New Roman" w:cs="Times New Roman" w:eastAsia="Times New Roman" w:hint="default"/>
        </w:rPr>
        <w:t>4,605,962.75 </w:t>
      </w:r>
      <w:r>
        <w:rPr/>
        <w:t>元，因外币报表折算汇率影响金额</w:t>
      </w:r>
      <w:r>
        <w:rPr>
          <w:rFonts w:ascii="Times New Roman" w:hAnsi="Times New Roman" w:cs="Times New Roman" w:eastAsia="Times New Roman" w:hint="default"/>
        </w:rPr>
        <w:t>-7,628.74</w:t>
      </w:r>
      <w:r>
        <w:rPr>
          <w:rFonts w:ascii="Times New Roman" w:hAnsi="Times New Roman" w:cs="Times New Roman" w:eastAsia="Times New Roman" w:hint="default"/>
          <w:spacing w:val="-22"/>
        </w:rPr>
        <w:t> </w:t>
      </w:r>
      <w:r>
        <w:rPr/>
        <w:t>元。</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3）本期实际核销的应收账款情况" w:id="240"/>
      <w:bookmarkEnd w:id="2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4928"/>
        <w:gridCol w:w="4928"/>
      </w:tblGrid>
      <w:tr>
        <w:trPr>
          <w:trHeight w:val="40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4,605,962.75</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其中重要的应收账款核销情况：</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644"/>
        <w:gridCol w:w="1642"/>
        <w:gridCol w:w="1643"/>
        <w:gridCol w:w="1730"/>
        <w:gridCol w:w="1553"/>
        <w:gridCol w:w="1643"/>
      </w:tblGrid>
      <w:tr>
        <w:trPr>
          <w:trHeight w:val="601"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276"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45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456" w:right="185"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601"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9"/>
              <w:jc w:val="left"/>
              <w:rPr>
                <w:rFonts w:ascii="宋体" w:hAnsi="宋体" w:cs="宋体" w:eastAsia="宋体" w:hint="default"/>
                <w:sz w:val="18"/>
                <w:szCs w:val="18"/>
              </w:rPr>
            </w:pPr>
            <w:r>
              <w:rPr>
                <w:rFonts w:ascii="宋体" w:hAnsi="宋体" w:cs="宋体" w:eastAsia="宋体" w:hint="default"/>
                <w:sz w:val="18"/>
                <w:szCs w:val="18"/>
              </w:rPr>
              <w:t>世纪互联数据中 心有限公司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hAnsi="宋体" w:cs="宋体" w:eastAsia="宋体" w:hint="default"/>
                <w:sz w:val="18"/>
                <w:szCs w:val="18"/>
              </w:rPr>
              <w:t>项目服务款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4,516,981.19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项目坏账无法收回</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9"/>
              <w:jc w:val="left"/>
              <w:rPr>
                <w:rFonts w:ascii="宋体" w:hAnsi="宋体" w:cs="宋体" w:eastAsia="宋体" w:hint="default"/>
                <w:sz w:val="18"/>
                <w:szCs w:val="18"/>
              </w:rPr>
            </w:pPr>
            <w:r>
              <w:rPr>
                <w:rFonts w:ascii="宋体" w:hAnsi="宋体" w:cs="宋体" w:eastAsia="宋体" w:hint="default"/>
                <w:sz w:val="18"/>
                <w:szCs w:val="18"/>
              </w:rPr>
              <w:t>江苏中纪海富网 络科技有限公司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hAnsi="宋体" w:cs="宋体" w:eastAsia="宋体" w:hint="default"/>
                <w:sz w:val="18"/>
                <w:szCs w:val="18"/>
              </w:rPr>
              <w:t>项目服务款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88,981.56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项目坏账无法收回</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董事会决议</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4,605,962.75</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应收账款核销说明：</w:t>
      </w:r>
    </w:p>
    <w:p>
      <w:pPr>
        <w:spacing w:line="240" w:lineRule="auto" w:before="8"/>
        <w:rPr>
          <w:rFonts w:ascii="宋体" w:hAnsi="宋体" w:cs="宋体" w:eastAsia="宋体" w:hint="default"/>
          <w:sz w:val="21"/>
          <w:szCs w:val="21"/>
        </w:rPr>
      </w:pPr>
    </w:p>
    <w:p>
      <w:pPr>
        <w:spacing w:line="460" w:lineRule="auto" w:before="0"/>
        <w:ind w:left="1554" w:right="4033" w:firstLine="2"/>
        <w:jc w:val="left"/>
        <w:rPr>
          <w:rFonts w:ascii="宋体" w:hAnsi="宋体" w:cs="宋体" w:eastAsia="宋体" w:hint="default"/>
          <w:sz w:val="21"/>
          <w:szCs w:val="21"/>
        </w:rPr>
      </w:pPr>
      <w:bookmarkStart w:name="（4）按欠款方归集的期末余额前五名的应收账款情况" w:id="241"/>
      <w:bookmarkEnd w:id="241"/>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4</w:t>
      </w:r>
      <w:r>
        <w:rPr>
          <w:rFonts w:ascii="宋体" w:hAnsi="宋体" w:cs="宋体" w:eastAsia="宋体" w:hint="default"/>
          <w:b/>
          <w:bCs/>
          <w:w w:val="95"/>
          <w:sz w:val="21"/>
          <w:szCs w:val="21"/>
        </w:rPr>
        <w:t>）按欠款方归集的期末余额前五名的应收账款情况</w:t>
      </w:r>
      <w:r>
        <w:rPr>
          <w:rFonts w:ascii="宋体" w:hAnsi="宋体" w:cs="宋体" w:eastAsia="宋体" w:hint="default"/>
          <w:b/>
          <w:bCs/>
          <w:spacing w:val="39"/>
          <w:w w:val="95"/>
          <w:sz w:val="21"/>
          <w:szCs w:val="21"/>
        </w:rPr>
        <w:t> </w:t>
      </w:r>
      <w:r>
        <w:rPr>
          <w:rFonts w:ascii="宋体" w:hAnsi="宋体" w:cs="宋体" w:eastAsia="宋体" w:hint="default"/>
          <w:b/>
          <w:bCs/>
          <w:spacing w:val="39"/>
          <w:w w:val="95"/>
          <w:sz w:val="21"/>
          <w:szCs w:val="21"/>
        </w:rPr>
      </w:r>
      <w:r>
        <w:rPr>
          <w:rFonts w:ascii="宋体" w:hAnsi="宋体" w:cs="宋体" w:eastAsia="宋体" w:hint="default"/>
          <w:sz w:val="21"/>
          <w:szCs w:val="21"/>
        </w:rPr>
        <w:t>公司是否需要遵守特殊行业的披露要求</w:t>
      </w:r>
    </w:p>
    <w:p>
      <w:pPr>
        <w:pStyle w:val="BodyText"/>
        <w:spacing w:line="240" w:lineRule="auto" w:before="91"/>
        <w:ind w:right="0"/>
        <w:jc w:val="left"/>
      </w:pPr>
      <w:r>
        <w:rPr/>
        <w:t>否</w:t>
      </w:r>
    </w:p>
    <w:p>
      <w:pPr>
        <w:spacing w:line="240" w:lineRule="auto" w:before="9"/>
        <w:rPr>
          <w:rFonts w:ascii="宋体" w:hAnsi="宋体" w:cs="宋体" w:eastAsia="宋体" w:hint="default"/>
          <w:sz w:val="21"/>
          <w:szCs w:val="21"/>
        </w:rPr>
      </w:pPr>
    </w:p>
    <w:p>
      <w:pPr>
        <w:pStyle w:val="BodyText"/>
        <w:spacing w:line="280" w:lineRule="auto"/>
        <w:ind w:left="1133" w:right="1117" w:firstLine="420"/>
        <w:jc w:val="left"/>
      </w:pPr>
      <w:r>
        <w:rPr/>
        <w:t>本期按欠款方归集的期末余额前五名应收账款汇总金额 </w:t>
      </w:r>
      <w:r>
        <w:rPr>
          <w:rFonts w:ascii="Times New Roman" w:hAnsi="Times New Roman" w:cs="Times New Roman" w:eastAsia="Times New Roman" w:hint="default"/>
        </w:rPr>
        <w:t>142,012,601.96</w:t>
      </w:r>
      <w:r>
        <w:rPr>
          <w:rFonts w:ascii="Times New Roman" w:hAnsi="Times New Roman" w:cs="Times New Roman" w:eastAsia="Times New Roman" w:hint="default"/>
          <w:spacing w:val="-24"/>
        </w:rPr>
        <w:t> </w:t>
      </w:r>
      <w:r>
        <w:rPr/>
        <w:t>元，占应收账款期末余额合计 数的比例</w:t>
      </w:r>
      <w:r>
        <w:rPr>
          <w:spacing w:val="-55"/>
        </w:rPr>
        <w:t> </w:t>
      </w:r>
      <w:r>
        <w:rPr>
          <w:rFonts w:ascii="Times New Roman" w:hAnsi="Times New Roman" w:cs="Times New Roman" w:eastAsia="Times New Roman" w:hint="default"/>
        </w:rPr>
        <w:t>34.15%</w:t>
      </w:r>
      <w:r>
        <w:rPr/>
        <w:t>，相应计提的坏账准备期末余额汇总金额</w:t>
      </w:r>
      <w:r>
        <w:rPr>
          <w:spacing w:val="-55"/>
        </w:rPr>
        <w:t> </w:t>
      </w:r>
      <w:r>
        <w:rPr>
          <w:rFonts w:ascii="Times New Roman" w:hAnsi="Times New Roman" w:cs="Times New Roman" w:eastAsia="Times New Roman" w:hint="default"/>
        </w:rPr>
        <w:t>1,420,126.02</w:t>
      </w:r>
      <w:r>
        <w:rPr>
          <w:rFonts w:ascii="Times New Roman" w:hAnsi="Times New Roman" w:cs="Times New Roman" w:eastAsia="Times New Roman" w:hint="default"/>
          <w:spacing w:val="-12"/>
        </w:rPr>
        <w:t> </w:t>
      </w:r>
      <w:r>
        <w:rPr/>
        <w:t>元。</w:t>
      </w:r>
    </w:p>
    <w:p>
      <w:pPr>
        <w:spacing w:line="240" w:lineRule="auto" w:before="5"/>
        <w:rPr>
          <w:rFonts w:ascii="宋体" w:hAnsi="宋体" w:cs="宋体" w:eastAsia="宋体" w:hint="default"/>
          <w:sz w:val="17"/>
          <w:szCs w:val="17"/>
        </w:rPr>
      </w:pPr>
    </w:p>
    <w:p>
      <w:pPr>
        <w:pStyle w:val="Heading4"/>
        <w:spacing w:line="460" w:lineRule="auto"/>
        <w:ind w:left="1554" w:right="6219" w:firstLine="2"/>
        <w:jc w:val="left"/>
        <w:rPr>
          <w:rFonts w:ascii="宋体" w:hAnsi="宋体" w:cs="宋体" w:eastAsia="宋体" w:hint="default"/>
          <w:b w:val="0"/>
          <w:bCs w:val="0"/>
        </w:rPr>
      </w:pPr>
      <w:bookmarkStart w:name="（5）因金融资产转移而终止确认的应收账款" w:id="242"/>
      <w:bookmarkEnd w:id="242"/>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4"/>
        <w:spacing w:line="460" w:lineRule="auto" w:before="91"/>
        <w:ind w:left="1554" w:right="5376" w:firstLine="2"/>
        <w:jc w:val="left"/>
        <w:rPr>
          <w:rFonts w:ascii="宋体" w:hAnsi="宋体" w:cs="宋体" w:eastAsia="宋体" w:hint="default"/>
          <w:b w:val="0"/>
          <w:bCs w:val="0"/>
        </w:rPr>
      </w:pPr>
      <w:bookmarkStart w:name="（6）转移应收账款且继续涉入形成的资产、负债金额" w:id="243"/>
      <w:bookmarkEnd w:id="243"/>
      <w:r>
        <w:rPr>
          <w:b w:val="0"/>
          <w:bCs w:val="0"/>
        </w:rPr>
      </w:r>
      <w:r>
        <w:rPr/>
        <w:t>（</w:t>
      </w:r>
      <w:r>
        <w:rPr>
          <w:rFonts w:ascii="Times New Roman" w:hAnsi="Times New Roman" w:cs="Times New Roman" w:eastAsia="Times New Roman" w:hint="default"/>
        </w:rPr>
        <w:t>6</w:t>
      </w:r>
      <w:r>
        <w:rPr/>
        <w:t>）转移应收账款且继续涉入形成的资产、负债金额</w:t>
      </w:r>
      <w:r>
        <w:rPr>
          <w:w w:val="99"/>
        </w:rPr>
        <w:t> </w:t>
      </w:r>
      <w:r>
        <w:rPr>
          <w:rFonts w:ascii="宋体" w:hAnsi="宋体" w:cs="宋体" w:eastAsia="宋体" w:hint="default"/>
          <w:b w:val="0"/>
          <w:bCs w:val="0"/>
        </w:rPr>
        <w:t>无。</w:t>
      </w:r>
    </w:p>
    <w:p>
      <w:pPr>
        <w:pStyle w:val="BodyText"/>
        <w:spacing w:line="484" w:lineRule="auto" w:before="90"/>
        <w:ind w:left="1553" w:right="9178"/>
        <w:jc w:val="left"/>
        <w:rPr>
          <w:rFonts w:ascii="微软雅黑" w:hAnsi="微软雅黑" w:cs="微软雅黑" w:eastAsia="微软雅黑" w:hint="default"/>
        </w:rPr>
      </w:pPr>
      <w:r>
        <w:rPr/>
        <w:t>其他说明： 无。 </w:t>
      </w:r>
      <w:bookmarkStart w:name="6、预付款项" w:id="244"/>
      <w:bookmarkEnd w:id="244"/>
      <w:r>
        <w:rPr/>
      </w:r>
      <w:r>
        <w:rPr>
          <w:rFonts w:ascii="Times New Roman" w:hAnsi="Times New Roman" w:cs="Times New Roman" w:eastAsia="Times New Roman" w:hint="default"/>
        </w:rPr>
        <w:t>6</w:t>
      </w:r>
      <w:r>
        <w:rPr>
          <w:rFonts w:ascii="微软雅黑" w:hAnsi="微软雅黑" w:cs="微软雅黑" w:eastAsia="微软雅黑" w:hint="default"/>
        </w:rPr>
        <w:t>、预付款项</w:t>
      </w:r>
    </w:p>
    <w:p>
      <w:pPr>
        <w:pStyle w:val="Heading4"/>
        <w:spacing w:line="240" w:lineRule="auto" w:before="120"/>
        <w:ind w:right="0"/>
        <w:jc w:val="left"/>
        <w:rPr>
          <w:b w:val="0"/>
          <w:bCs w:val="0"/>
        </w:rPr>
      </w:pPr>
      <w:bookmarkStart w:name="（1）预付款项按账龄列示" w:id="245"/>
      <w:bookmarkEnd w:id="24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968"/>
        <w:gridCol w:w="1972"/>
        <w:gridCol w:w="1972"/>
        <w:gridCol w:w="1971"/>
        <w:gridCol w:w="1973"/>
      </w:tblGrid>
      <w:tr>
        <w:trPr>
          <w:trHeight w:val="397"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32"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824" w:right="0"/>
              <w:jc w:val="left"/>
              <w:rPr>
                <w:rFonts w:ascii="Times New Roman" w:hAnsi="Times New Roman" w:cs="Times New Roman" w:eastAsia="Times New Roman" w:hint="default"/>
                <w:sz w:val="18"/>
                <w:szCs w:val="18"/>
              </w:rPr>
            </w:pPr>
            <w:r>
              <w:rPr>
                <w:rFonts w:ascii="Times New Roman"/>
                <w:sz w:val="18"/>
              </w:rPr>
              <w:t>41,394,261.89</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1304" w:right="0"/>
              <w:jc w:val="left"/>
              <w:rPr>
                <w:rFonts w:ascii="Times New Roman" w:hAnsi="Times New Roman" w:cs="Times New Roman" w:eastAsia="Times New Roman" w:hint="default"/>
                <w:sz w:val="18"/>
                <w:szCs w:val="18"/>
              </w:rPr>
            </w:pPr>
            <w:r>
              <w:rPr>
                <w:rFonts w:ascii="Times New Roman"/>
                <w:sz w:val="18"/>
              </w:rPr>
              <w:t>98.26%</w:t>
            </w:r>
          </w:p>
        </w:tc>
        <w:tc>
          <w:tcPr>
            <w:tcW w:w="19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914" w:right="0"/>
              <w:jc w:val="left"/>
              <w:rPr>
                <w:rFonts w:ascii="Times New Roman" w:hAnsi="Times New Roman" w:cs="Times New Roman" w:eastAsia="Times New Roman" w:hint="default"/>
                <w:sz w:val="18"/>
                <w:szCs w:val="18"/>
              </w:rPr>
            </w:pPr>
            <w:r>
              <w:rPr>
                <w:rFonts w:ascii="Times New Roman"/>
                <w:sz w:val="18"/>
              </w:rPr>
              <w:t>8,494,023.39</w:t>
            </w:r>
          </w:p>
        </w:tc>
        <w:tc>
          <w:tcPr>
            <w:tcW w:w="197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1304" w:right="0"/>
              <w:jc w:val="left"/>
              <w:rPr>
                <w:rFonts w:ascii="Times New Roman" w:hAnsi="Times New Roman" w:cs="Times New Roman" w:eastAsia="Times New Roman" w:hint="default"/>
                <w:sz w:val="18"/>
                <w:szCs w:val="18"/>
              </w:rPr>
            </w:pPr>
            <w:r>
              <w:rPr>
                <w:rFonts w:ascii="Times New Roman"/>
                <w:sz w:val="18"/>
              </w:rPr>
              <w:t>98.22%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968"/>
        <w:gridCol w:w="1972"/>
        <w:gridCol w:w="1972"/>
        <w:gridCol w:w="1971"/>
        <w:gridCol w:w="1973"/>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647,289.13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143,644.66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1.66%</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77,897.68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0.18%</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0.12%</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pacing w:val="-1"/>
                <w:sz w:val="18"/>
              </w:rPr>
              <w:t>42,129,448.70</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pacing w:val="-1"/>
                <w:sz w:val="18"/>
              </w:rPr>
              <w:t>8,647,668.05</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460" w:lineRule="auto" w:before="35"/>
        <w:ind w:left="1553" w:right="2088"/>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一年以内的预付款项占预付账款余额的</w:t>
      </w:r>
      <w:r>
        <w:rPr>
          <w:spacing w:val="-54"/>
        </w:rPr>
        <w:t> </w:t>
      </w:r>
      <w:r>
        <w:rPr>
          <w:rFonts w:ascii="Times New Roman" w:hAnsi="Times New Roman" w:cs="Times New Roman" w:eastAsia="Times New Roman" w:hint="default"/>
        </w:rPr>
        <w:t>98.22%</w:t>
      </w:r>
      <w:r>
        <w:rPr/>
        <w:t>；无账龄超过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年且金额重要的预付款项。</w:t>
      </w:r>
    </w:p>
    <w:p>
      <w:pPr>
        <w:pStyle w:val="Heading4"/>
        <w:spacing w:line="240" w:lineRule="auto" w:before="53"/>
        <w:ind w:right="0"/>
        <w:jc w:val="left"/>
        <w:rPr>
          <w:b w:val="0"/>
          <w:bCs w:val="0"/>
        </w:rPr>
      </w:pPr>
      <w:bookmarkStart w:name="（2）按预付对象归集的期末余额前五名的预付款情况" w:id="246"/>
      <w:bookmarkEnd w:id="24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0"/>
          <w:szCs w:val="20"/>
        </w:rPr>
      </w:pPr>
    </w:p>
    <w:p>
      <w:pPr>
        <w:pStyle w:val="BodyText"/>
        <w:spacing w:line="280" w:lineRule="auto"/>
        <w:ind w:left="1133" w:right="1116" w:firstLine="420"/>
        <w:jc w:val="left"/>
      </w:pPr>
      <w:r>
        <w:rPr/>
        <w:t>本期按预付对象归集的期末余额前五名预付款项汇总金额</w:t>
      </w:r>
      <w:r>
        <w:rPr>
          <w:spacing w:val="-52"/>
        </w:rPr>
        <w:t> </w:t>
      </w:r>
      <w:r>
        <w:rPr>
          <w:rFonts w:ascii="Times New Roman" w:hAnsi="Times New Roman" w:cs="Times New Roman" w:eastAsia="Times New Roman" w:hint="default"/>
        </w:rPr>
        <w:t>31,657,642.10</w:t>
      </w:r>
      <w:r>
        <w:rPr>
          <w:rFonts w:ascii="Times New Roman" w:hAnsi="Times New Roman" w:cs="Times New Roman" w:eastAsia="Times New Roman" w:hint="default"/>
          <w:spacing w:val="-11"/>
        </w:rPr>
        <w:t> </w:t>
      </w:r>
      <w:r>
        <w:rPr>
          <w:spacing w:val="-5"/>
        </w:rPr>
        <w:t>元，占预付款项期末余额合计</w:t>
      </w:r>
      <w:r>
        <w:rPr/>
        <w:t> 数的比例</w:t>
      </w:r>
      <w:r>
        <w:rPr>
          <w:spacing w:val="-52"/>
        </w:rPr>
        <w:t> </w:t>
      </w:r>
      <w:r>
        <w:rPr>
          <w:rFonts w:ascii="Times New Roman" w:hAnsi="Times New Roman" w:cs="Times New Roman" w:eastAsia="Times New Roman" w:hint="default"/>
        </w:rPr>
        <w:t>75.14%</w:t>
      </w:r>
      <w:r>
        <w:rPr/>
        <w:t>。</w:t>
      </w:r>
    </w:p>
    <w:p>
      <w:pPr>
        <w:spacing w:line="240" w:lineRule="auto" w:before="7"/>
        <w:rPr>
          <w:rFonts w:ascii="宋体" w:hAnsi="宋体" w:cs="宋体" w:eastAsia="宋体" w:hint="default"/>
          <w:sz w:val="17"/>
          <w:szCs w:val="17"/>
        </w:rPr>
      </w:pPr>
    </w:p>
    <w:p>
      <w:pPr>
        <w:pStyle w:val="BodyText"/>
        <w:spacing w:line="484" w:lineRule="auto"/>
        <w:ind w:left="1553" w:right="9178"/>
        <w:jc w:val="left"/>
        <w:rPr>
          <w:rFonts w:ascii="微软雅黑" w:hAnsi="微软雅黑" w:cs="微软雅黑" w:eastAsia="微软雅黑" w:hint="default"/>
        </w:rPr>
      </w:pPr>
      <w:r>
        <w:rPr/>
        <w:t>其他说明： 无。 </w:t>
      </w:r>
      <w:bookmarkStart w:name="7、应收利息" w:id="247"/>
      <w:bookmarkEnd w:id="247"/>
      <w:r>
        <w:rPr/>
      </w:r>
      <w:r>
        <w:rPr>
          <w:rFonts w:ascii="Times New Roman" w:hAnsi="Times New Roman" w:cs="Times New Roman" w:eastAsia="Times New Roman" w:hint="default"/>
        </w:rPr>
        <w:t>7</w:t>
      </w:r>
      <w:r>
        <w:rPr>
          <w:rFonts w:ascii="微软雅黑" w:hAnsi="微软雅黑" w:cs="微软雅黑" w:eastAsia="微软雅黑" w:hint="default"/>
        </w:rPr>
        <w:t>、应收利息</w:t>
      </w:r>
    </w:p>
    <w:p>
      <w:pPr>
        <w:pStyle w:val="Heading4"/>
        <w:spacing w:line="240" w:lineRule="auto" w:before="120"/>
        <w:ind w:right="0"/>
        <w:jc w:val="left"/>
        <w:rPr>
          <w:b w:val="0"/>
          <w:bCs w:val="0"/>
        </w:rPr>
      </w:pPr>
      <w:bookmarkStart w:name="（1）应收利息分类" w:id="248"/>
      <w:bookmarkEnd w:id="24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6"/>
        <w:gridCol w:w="3285"/>
        <w:gridCol w:w="3285"/>
      </w:tblGrid>
      <w:tr>
        <w:trPr>
          <w:trHeight w:val="397"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6" w:hRule="exact"/>
        </w:trPr>
        <w:tc>
          <w:tcPr>
            <w:tcW w:w="328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协议定期存款</w:t>
            </w:r>
          </w:p>
        </w:tc>
        <w:tc>
          <w:tcPr>
            <w:tcW w:w="328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5,715,386.44</w:t>
            </w:r>
          </w:p>
        </w:tc>
        <w:tc>
          <w:tcPr>
            <w:tcW w:w="3285" w:type="dxa"/>
            <w:tcBorders>
              <w:top w:val="single" w:sz="8" w:space="0" w:color="D2D2D2"/>
              <w:left w:val="single" w:sz="4" w:space="0" w:color="000000"/>
              <w:bottom w:val="single" w:sz="4" w:space="0" w:color="000000"/>
              <w:right w:val="single" w:sz="4" w:space="0" w:color="000000"/>
            </w:tcBorders>
          </w:tcPr>
          <w:p>
            <w:pPr/>
          </w:p>
        </w:tc>
      </w:tr>
      <w:tr>
        <w:trPr>
          <w:trHeight w:val="408"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5,715,386.44</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重要逾期利息" w:id="249"/>
      <w:bookmarkEnd w:id="24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3"/>
          <w:szCs w:val="23"/>
        </w:rPr>
      </w:pPr>
    </w:p>
    <w:tbl>
      <w:tblPr>
        <w:tblW w:w="0" w:type="auto"/>
        <w:jc w:val="left"/>
        <w:tblInd w:w="102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6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62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62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62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710" w:right="16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4"/>
        <w:rPr>
          <w:rFonts w:ascii="宋体" w:hAnsi="宋体" w:cs="宋体" w:eastAsia="宋体" w:hint="default"/>
          <w:b/>
          <w:bCs/>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8、应收股利" w:id="250"/>
      <w:bookmarkEnd w:id="250"/>
      <w:r>
        <w:rPr/>
      </w:r>
      <w:r>
        <w:rPr>
          <w:rFonts w:ascii="Times New Roman" w:hAnsi="Times New Roman" w:cs="Times New Roman" w:eastAsia="Times New Roman" w:hint="default"/>
        </w:rPr>
        <w:t>8</w:t>
      </w:r>
      <w:r>
        <w:rPr>
          <w:rFonts w:ascii="微软雅黑" w:hAnsi="微软雅黑" w:cs="微软雅黑" w:eastAsia="微软雅黑" w:hint="default"/>
        </w:rPr>
        <w:t>、应收股利</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应收股利" w:id="251"/>
      <w:bookmarkEnd w:id="25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6"/>
        <w:gridCol w:w="3285"/>
        <w:gridCol w:w="3285"/>
      </w:tblGrid>
      <w:tr>
        <w:trPr>
          <w:trHeight w:val="397"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7"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
        <w:rPr>
          <w:rFonts w:ascii="宋体" w:hAnsi="宋体" w:cs="宋体" w:eastAsia="宋体" w:hint="default"/>
          <w:sz w:val="12"/>
          <w:szCs w:val="12"/>
        </w:rPr>
      </w:pPr>
    </w:p>
    <w:p>
      <w:pPr>
        <w:pStyle w:val="Heading4"/>
        <w:spacing w:line="240" w:lineRule="auto" w:before="35"/>
        <w:ind w:right="0"/>
        <w:jc w:val="left"/>
        <w:rPr>
          <w:b w:val="0"/>
          <w:bCs w:val="0"/>
        </w:rPr>
      </w:pPr>
      <w:bookmarkStart w:name="（2）重要的账龄超过1年的应收股利" w:id="252"/>
      <w:bookmarkEnd w:id="252"/>
      <w:r>
        <w:rPr>
          <w:b w:val="0"/>
          <w:bCs w:val="0"/>
        </w:rPr>
      </w:r>
      <w:r>
        <w:rPr/>
        <w:t>（</w:t>
      </w:r>
      <w:r>
        <w:rPr>
          <w:rFonts w:ascii="Times New Roman" w:hAnsi="Times New Roman" w:cs="Times New Roman" w:eastAsia="Times New Roman" w:hint="default"/>
        </w:rPr>
        <w:t>2</w:t>
      </w:r>
      <w:r>
        <w:rPr/>
        <w:t>）重要的账龄超过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6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44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710" w:right="169"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9、其他应收款" w:id="253"/>
      <w:bookmarkEnd w:id="253"/>
      <w:r>
        <w:rPr/>
      </w:r>
      <w:r>
        <w:rPr>
          <w:rFonts w:ascii="Times New Roman" w:hAnsi="Times New Roman" w:cs="Times New Roman" w:eastAsia="Times New Roman" w:hint="default"/>
        </w:rPr>
        <w:t>9</w:t>
      </w:r>
      <w:r>
        <w:rPr>
          <w:rFonts w:ascii="微软雅黑" w:hAnsi="微软雅黑" w:cs="微软雅黑" w:eastAsia="微软雅黑" w:hint="default"/>
        </w:rPr>
        <w:t>、其他应收款</w:t>
      </w:r>
    </w:p>
    <w:p>
      <w:pPr>
        <w:spacing w:line="240" w:lineRule="auto" w:before="7"/>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其他应收款分类披露" w:id="254"/>
      <w:bookmarkEnd w:id="25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71" w:type="dxa"/>
        <w:tblLayout w:type="fixed"/>
        <w:tblCellMar>
          <w:top w:w="0" w:type="dxa"/>
          <w:left w:w="0" w:type="dxa"/>
          <w:bottom w:w="0" w:type="dxa"/>
          <w:right w:w="0" w:type="dxa"/>
        </w:tblCellMar>
        <w:tblLook w:val="01E0"/>
      </w:tblPr>
      <w:tblGrid>
        <w:gridCol w:w="1288"/>
        <w:gridCol w:w="1034"/>
        <w:gridCol w:w="688"/>
        <w:gridCol w:w="954"/>
        <w:gridCol w:w="608"/>
        <w:gridCol w:w="1028"/>
        <w:gridCol w:w="954"/>
        <w:gridCol w:w="689"/>
        <w:gridCol w:w="954"/>
        <w:gridCol w:w="601"/>
        <w:gridCol w:w="954"/>
      </w:tblGrid>
      <w:tr>
        <w:trPr>
          <w:trHeight w:val="391" w:hRule="exact"/>
        </w:trPr>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2"/>
              <w:ind w:right="1"/>
              <w:jc w:val="center"/>
              <w:rPr>
                <w:rFonts w:ascii="宋体" w:hAnsi="宋体" w:cs="宋体" w:eastAsia="宋体" w:hint="default"/>
                <w:sz w:val="16"/>
                <w:szCs w:val="16"/>
              </w:rPr>
            </w:pPr>
            <w:r>
              <w:rPr>
                <w:rFonts w:ascii="宋体" w:hAnsi="宋体" w:cs="宋体" w:eastAsia="宋体" w:hint="default"/>
                <w:sz w:val="16"/>
                <w:szCs w:val="16"/>
              </w:rPr>
              <w:t>类别</w:t>
            </w:r>
          </w:p>
        </w:tc>
        <w:tc>
          <w:tcPr>
            <w:tcW w:w="431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41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390" w:hRule="exact"/>
        </w:trPr>
        <w:tc>
          <w:tcPr>
            <w:tcW w:w="1288" w:type="dxa"/>
            <w:vMerge/>
            <w:tcBorders>
              <w:left w:val="single" w:sz="4" w:space="0" w:color="000000"/>
              <w:right w:val="single" w:sz="4" w:space="0" w:color="000000"/>
            </w:tcBorders>
            <w:shd w:val="clear" w:color="auto" w:fill="D2D2D2"/>
          </w:tcPr>
          <w:p>
            <w:pPr/>
          </w:p>
        </w:tc>
        <w:tc>
          <w:tcPr>
            <w:tcW w:w="1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6"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57"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9" w:right="0"/>
              <w:jc w:val="left"/>
              <w:rPr>
                <w:rFonts w:ascii="宋体" w:hAnsi="宋体" w:cs="宋体" w:eastAsia="宋体" w:hint="default"/>
                <w:sz w:val="16"/>
                <w:szCs w:val="16"/>
              </w:rPr>
            </w:pPr>
            <w:r>
              <w:rPr>
                <w:rFonts w:ascii="宋体" w:hAnsi="宋体" w:cs="宋体" w:eastAsia="宋体" w:hint="default"/>
                <w:sz w:val="16"/>
                <w:szCs w:val="16"/>
              </w:rPr>
              <w:t>账面价值</w:t>
            </w:r>
          </w:p>
        </w:tc>
        <w:tc>
          <w:tcPr>
            <w:tcW w:w="1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96"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5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52"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9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2" w:right="0"/>
              <w:jc w:val="left"/>
              <w:rPr>
                <w:rFonts w:ascii="宋体" w:hAnsi="宋体" w:cs="宋体" w:eastAsia="宋体" w:hint="default"/>
                <w:sz w:val="16"/>
                <w:szCs w:val="16"/>
              </w:rPr>
            </w:pPr>
            <w:r>
              <w:rPr>
                <w:rFonts w:ascii="宋体" w:hAnsi="宋体" w:cs="宋体" w:eastAsia="宋体" w:hint="default"/>
                <w:sz w:val="16"/>
                <w:szCs w:val="16"/>
              </w:rPr>
              <w:t>账面价值</w:t>
            </w:r>
          </w:p>
        </w:tc>
      </w:tr>
      <w:tr>
        <w:trPr>
          <w:trHeight w:val="627" w:hRule="exact"/>
        </w:trPr>
        <w:tc>
          <w:tcPr>
            <w:tcW w:w="1288" w:type="dxa"/>
            <w:vMerge/>
            <w:tcBorders>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比例</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39" w:right="138"/>
              <w:jc w:val="left"/>
              <w:rPr>
                <w:rFonts w:ascii="宋体" w:hAnsi="宋体" w:cs="宋体" w:eastAsia="宋体" w:hint="default"/>
                <w:sz w:val="16"/>
                <w:szCs w:val="16"/>
              </w:rPr>
            </w:pPr>
            <w:r>
              <w:rPr>
                <w:rFonts w:ascii="宋体" w:hAnsi="宋体" w:cs="宋体" w:eastAsia="宋体" w:hint="default"/>
                <w:sz w:val="16"/>
                <w:szCs w:val="16"/>
              </w:rPr>
              <w:t>计提</w:t>
            </w:r>
            <w:r>
              <w:rPr>
                <w:rFonts w:ascii="宋体" w:hAnsi="宋体" w:cs="宋体" w:eastAsia="宋体" w:hint="default"/>
                <w:w w:val="99"/>
                <w:sz w:val="16"/>
                <w:szCs w:val="16"/>
              </w:rPr>
              <w:t> </w:t>
            </w:r>
            <w:r>
              <w:rPr>
                <w:rFonts w:ascii="宋体" w:hAnsi="宋体" w:cs="宋体" w:eastAsia="宋体" w:hint="default"/>
                <w:sz w:val="16"/>
                <w:szCs w:val="16"/>
              </w:rPr>
              <w:t>比例</w:t>
            </w:r>
          </w:p>
        </w:tc>
        <w:tc>
          <w:tcPr>
            <w:tcW w:w="1028" w:type="dxa"/>
            <w:vMerge/>
            <w:tcBorders>
              <w:left w:val="single" w:sz="4" w:space="0" w:color="000000"/>
              <w:bottom w:val="single" w:sz="4" w:space="0" w:color="000000"/>
              <w:right w:val="single" w:sz="4" w:space="0" w:color="000000"/>
            </w:tcBorders>
            <w:shd w:val="clear" w:color="auto" w:fill="D2D2D2"/>
          </w:tcPr>
          <w:p>
            <w:pP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比例</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z w:val="16"/>
                <w:szCs w:val="16"/>
              </w:rPr>
              <w:t>金额</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35" w:right="134"/>
              <w:jc w:val="left"/>
              <w:rPr>
                <w:rFonts w:ascii="宋体" w:hAnsi="宋体" w:cs="宋体" w:eastAsia="宋体" w:hint="default"/>
                <w:sz w:val="16"/>
                <w:szCs w:val="16"/>
              </w:rPr>
            </w:pPr>
            <w:r>
              <w:rPr>
                <w:rFonts w:ascii="宋体" w:hAnsi="宋体" w:cs="宋体" w:eastAsia="宋体" w:hint="default"/>
                <w:sz w:val="16"/>
                <w:szCs w:val="16"/>
              </w:rPr>
              <w:t>计提</w:t>
            </w:r>
            <w:r>
              <w:rPr>
                <w:rFonts w:ascii="宋体" w:hAnsi="宋体" w:cs="宋体" w:eastAsia="宋体" w:hint="default"/>
                <w:w w:val="99"/>
                <w:sz w:val="16"/>
                <w:szCs w:val="16"/>
              </w:rPr>
              <w:t> </w:t>
            </w:r>
            <w:r>
              <w:rPr>
                <w:rFonts w:ascii="宋体" w:hAnsi="宋体" w:cs="宋体" w:eastAsia="宋体" w:hint="default"/>
                <w:sz w:val="16"/>
                <w:szCs w:val="16"/>
              </w:rPr>
              <w:t>比例</w:t>
            </w:r>
          </w:p>
        </w:tc>
        <w:tc>
          <w:tcPr>
            <w:tcW w:w="954" w:type="dxa"/>
            <w:vMerge/>
            <w:tcBorders>
              <w:left w:val="single" w:sz="4" w:space="0" w:color="000000"/>
              <w:bottom w:val="single" w:sz="4" w:space="0" w:color="000000"/>
              <w:right w:val="single" w:sz="4" w:space="0" w:color="000000"/>
            </w:tcBorders>
            <w:shd w:val="clear" w:color="auto" w:fill="D2D2D2"/>
          </w:tcPr>
          <w:p>
            <w:pPr/>
          </w:p>
        </w:tc>
      </w:tr>
      <w:tr>
        <w:trPr>
          <w:trHeight w:val="757" w:hRule="exact"/>
        </w:trPr>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8"/>
              <w:ind w:left="52" w:right="105"/>
              <w:jc w:val="both"/>
              <w:rPr>
                <w:rFonts w:ascii="宋体" w:hAnsi="宋体" w:cs="宋体" w:eastAsia="宋体" w:hint="default"/>
                <w:sz w:val="16"/>
                <w:szCs w:val="16"/>
              </w:rPr>
            </w:pPr>
            <w:r>
              <w:rPr>
                <w:rFonts w:ascii="宋体" w:hAnsi="宋体" w:cs="宋体" w:eastAsia="宋体" w:hint="default"/>
                <w:sz w:val="16"/>
                <w:szCs w:val="16"/>
              </w:rPr>
              <w:t>按信用风险特征</w:t>
            </w:r>
            <w:r>
              <w:rPr>
                <w:rFonts w:ascii="宋体" w:hAnsi="宋体" w:cs="宋体" w:eastAsia="宋体" w:hint="default"/>
                <w:w w:val="99"/>
                <w:sz w:val="16"/>
                <w:szCs w:val="16"/>
              </w:rPr>
              <w:t> </w:t>
            </w:r>
            <w:r>
              <w:rPr>
                <w:rFonts w:ascii="宋体" w:hAnsi="宋体" w:cs="宋体" w:eastAsia="宋体" w:hint="default"/>
                <w:sz w:val="16"/>
                <w:szCs w:val="16"/>
              </w:rPr>
              <w:t>组合计提坏账准</w:t>
            </w:r>
            <w:r>
              <w:rPr>
                <w:rFonts w:ascii="宋体" w:hAnsi="宋体" w:cs="宋体" w:eastAsia="宋体" w:hint="default"/>
                <w:w w:val="99"/>
                <w:sz w:val="16"/>
                <w:szCs w:val="16"/>
              </w:rPr>
              <w:t> </w:t>
            </w:r>
            <w:r>
              <w:rPr>
                <w:rFonts w:ascii="宋体" w:hAnsi="宋体" w:cs="宋体" w:eastAsia="宋体" w:hint="default"/>
                <w:sz w:val="16"/>
                <w:szCs w:val="16"/>
              </w:rPr>
              <w:t>备的其他应收款</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12,820,997.98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1,545,667.23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sz w:val="16"/>
              </w:rPr>
              <w:t>12.06%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11,275,330.75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16"/>
                <w:szCs w:val="16"/>
              </w:rPr>
            </w:pPr>
            <w:r>
              <w:rPr>
                <w:rFonts w:ascii="Times New Roman"/>
                <w:sz w:val="16"/>
              </w:rPr>
              <w:t>9,716,154.50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100.00%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z w:val="16"/>
              </w:rPr>
              <w:t>1,160,777.78</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8"/>
              <w:jc w:val="right"/>
              <w:rPr>
                <w:rFonts w:ascii="Times New Roman" w:hAnsi="Times New Roman" w:cs="Times New Roman" w:eastAsia="Times New Roman" w:hint="default"/>
                <w:sz w:val="16"/>
                <w:szCs w:val="16"/>
              </w:rPr>
            </w:pPr>
            <w:r>
              <w:rPr>
                <w:rFonts w:ascii="Times New Roman"/>
                <w:spacing w:val="-1"/>
                <w:w w:val="95"/>
                <w:sz w:val="16"/>
              </w:rPr>
              <w:t>11.95%</w:t>
            </w:r>
            <w:r>
              <w:rPr>
                <w:rFonts w:ascii="Times New Roman"/>
                <w:spacing w:val="-1"/>
                <w:sz w:val="16"/>
              </w:rPr>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9"/>
              <w:jc w:val="right"/>
              <w:rPr>
                <w:rFonts w:ascii="Times New Roman" w:hAnsi="Times New Roman" w:cs="Times New Roman" w:eastAsia="Times New Roman" w:hint="default"/>
                <w:sz w:val="16"/>
                <w:szCs w:val="16"/>
              </w:rPr>
            </w:pPr>
            <w:r>
              <w:rPr>
                <w:rFonts w:ascii="Times New Roman"/>
                <w:w w:val="95"/>
                <w:sz w:val="16"/>
              </w:rPr>
              <w:t>8,555,376.72</w:t>
            </w:r>
            <w:r>
              <w:rPr>
                <w:rFonts w:ascii="Times New Roman"/>
                <w:sz w:val="16"/>
              </w:rPr>
            </w:r>
          </w:p>
        </w:tc>
      </w:tr>
      <w:tr>
        <w:trPr>
          <w:trHeight w:val="407" w:hRule="exact"/>
        </w:trPr>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6"/>
                <w:szCs w:val="16"/>
              </w:rPr>
            </w:pPr>
            <w:r>
              <w:rPr>
                <w:rFonts w:ascii="Times New Roman"/>
                <w:sz w:val="16"/>
              </w:rPr>
              <w:t>12,820,997.98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6"/>
                <w:szCs w:val="16"/>
              </w:rPr>
            </w:pPr>
            <w:r>
              <w:rPr>
                <w:rFonts w:ascii="Times New Roman"/>
                <w:sz w:val="16"/>
              </w:rPr>
              <w:t>100.00%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6"/>
                <w:szCs w:val="16"/>
              </w:rPr>
            </w:pPr>
            <w:r>
              <w:rPr>
                <w:rFonts w:ascii="Times New Roman"/>
                <w:sz w:val="16"/>
              </w:rPr>
              <w:t>1,545,667.23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16"/>
                <w:szCs w:val="16"/>
              </w:rPr>
            </w:pPr>
            <w:r>
              <w:rPr>
                <w:rFonts w:ascii="Times New Roman"/>
                <w:sz w:val="16"/>
              </w:rPr>
              <w:t>12.06%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6"/>
                <w:szCs w:val="16"/>
              </w:rPr>
            </w:pPr>
            <w:r>
              <w:rPr>
                <w:rFonts w:ascii="Times New Roman"/>
                <w:sz w:val="16"/>
              </w:rPr>
              <w:t>11,275,330.75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6"/>
                <w:szCs w:val="16"/>
              </w:rPr>
            </w:pPr>
            <w:r>
              <w:rPr>
                <w:rFonts w:ascii="Times New Roman"/>
                <w:sz w:val="16"/>
              </w:rPr>
              <w:t>9,716,154.50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6"/>
                <w:szCs w:val="16"/>
              </w:rPr>
            </w:pPr>
            <w:r>
              <w:rPr>
                <w:rFonts w:ascii="Times New Roman"/>
                <w:sz w:val="16"/>
              </w:rPr>
              <w:t>100.00%</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6"/>
                <w:szCs w:val="16"/>
              </w:rPr>
            </w:pPr>
            <w:r>
              <w:rPr>
                <w:rFonts w:ascii="Times New Roman"/>
                <w:sz w:val="16"/>
              </w:rPr>
              <w:t>1,160,777.78</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8"/>
              <w:jc w:val="right"/>
              <w:rPr>
                <w:rFonts w:ascii="Times New Roman" w:hAnsi="Times New Roman" w:cs="Times New Roman" w:eastAsia="Times New Roman" w:hint="default"/>
                <w:sz w:val="16"/>
                <w:szCs w:val="16"/>
              </w:rPr>
            </w:pPr>
            <w:r>
              <w:rPr>
                <w:rFonts w:ascii="Times New Roman"/>
                <w:spacing w:val="-1"/>
                <w:w w:val="95"/>
                <w:sz w:val="16"/>
              </w:rPr>
              <w:t>11.95%</w:t>
            </w:r>
            <w:r>
              <w:rPr>
                <w:rFonts w:ascii="Times New Roman"/>
                <w:spacing w:val="-1"/>
                <w:sz w:val="16"/>
              </w:rPr>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9"/>
              <w:jc w:val="right"/>
              <w:rPr>
                <w:rFonts w:ascii="Times New Roman" w:hAnsi="Times New Roman" w:cs="Times New Roman" w:eastAsia="Times New Roman" w:hint="default"/>
                <w:sz w:val="16"/>
                <w:szCs w:val="16"/>
              </w:rPr>
            </w:pPr>
            <w:r>
              <w:rPr>
                <w:rFonts w:ascii="Times New Roman"/>
                <w:w w:val="95"/>
                <w:sz w:val="16"/>
              </w:rPr>
              <w:t>8,555,376.72</w:t>
            </w:r>
            <w:r>
              <w:rPr>
                <w:rFonts w:ascii="Times New Roman"/>
                <w:sz w:val="16"/>
              </w:rPr>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期末单项金额重大并单项计提坏账准备的其他应收款：</w:t>
      </w:r>
    </w:p>
    <w:p>
      <w:pPr>
        <w:spacing w:line="240" w:lineRule="auto" w:before="8"/>
        <w:rPr>
          <w:rFonts w:ascii="宋体" w:hAnsi="宋体" w:cs="宋体" w:eastAsia="宋体" w:hint="default"/>
          <w:sz w:val="21"/>
          <w:szCs w:val="21"/>
        </w:rPr>
      </w:pPr>
    </w:p>
    <w:p>
      <w:pPr>
        <w:pStyle w:val="BodyText"/>
        <w:spacing w:line="463" w:lineRule="auto"/>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组合中，按账龄分析法计提坏账准备的其他应收款：</w:t>
      </w:r>
    </w:p>
    <w:p>
      <w:pPr>
        <w:pStyle w:val="BodyText"/>
        <w:spacing w:line="240" w:lineRule="auto" w:before="8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462"/>
        <w:gridCol w:w="2465"/>
        <w:gridCol w:w="2464"/>
        <w:gridCol w:w="2465"/>
      </w:tblGrid>
      <w:tr>
        <w:trPr>
          <w:trHeight w:val="407" w:hRule="exact"/>
        </w:trPr>
        <w:tc>
          <w:tcPr>
            <w:tcW w:w="2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3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462" w:type="dxa"/>
            <w:vMerge/>
            <w:tcBorders>
              <w:left w:val="single" w:sz="4" w:space="0" w:color="000000"/>
              <w:bottom w:val="single" w:sz="4" w:space="0" w:color="000000"/>
              <w:right w:val="single" w:sz="4" w:space="0" w:color="000000"/>
            </w:tcBorders>
            <w:shd w:val="clear" w:color="auto" w:fill="D2D2D2"/>
          </w:tcPr>
          <w:p>
            <w:pP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8,257,418.35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82,574.14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8,257,418.35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82,574.14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2,132,412.41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213,241.24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1,066,150.57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213,230.11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506,036.52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253,018.26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251,255.51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175,878.86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70.00%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607,724.62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607,724.62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12,820,997.98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1,545,667.23</w:t>
            </w:r>
          </w:p>
        </w:tc>
        <w:tc>
          <w:tcPr>
            <w:tcW w:w="24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确定该组合依据的说明：</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487" w:lineRule="auto" w:before="35"/>
        <w:ind w:right="5082"/>
        <w:jc w:val="left"/>
      </w:pPr>
      <w:r>
        <w:rPr/>
        <w:t>账龄组合，按账龄分析法计提坏账准备。 组合中，采用余额百分比法计提坏账准备的其他应收款：</w:t>
      </w:r>
    </w:p>
    <w:p>
      <w:pPr>
        <w:pStyle w:val="BodyText"/>
        <w:spacing w:line="460" w:lineRule="auto" w:before="68"/>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组合中，采用其他方法计提坏账准备的其他应收款：</w:t>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55"/>
      <w:bookmarkEnd w:id="25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0"/>
          <w:szCs w:val="20"/>
        </w:rPr>
      </w:pPr>
    </w:p>
    <w:p>
      <w:pPr>
        <w:pStyle w:val="BodyText"/>
        <w:spacing w:line="460" w:lineRule="auto"/>
        <w:ind w:left="1553" w:right="3143"/>
        <w:jc w:val="left"/>
      </w:pPr>
      <w:r>
        <w:rPr/>
        <w:t>本期计提坏账准备金额</w:t>
      </w:r>
      <w:r>
        <w:rPr>
          <w:spacing w:val="-53"/>
        </w:rPr>
        <w:t> </w:t>
      </w:r>
      <w:r>
        <w:rPr>
          <w:rFonts w:ascii="Times New Roman" w:hAnsi="Times New Roman" w:cs="Times New Roman" w:eastAsia="Times New Roman" w:hint="default"/>
        </w:rPr>
        <w:t>392,690.77</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0.00 </w:t>
      </w:r>
      <w:r>
        <w:rPr/>
        <w:t>元。 其中本期坏账准备转回或收回金额重要的：</w:t>
      </w:r>
    </w:p>
    <w:p>
      <w:pPr>
        <w:spacing w:before="96"/>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6"/>
        <w:gridCol w:w="3287"/>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1"/>
          <w:szCs w:val="11"/>
        </w:rPr>
      </w:pPr>
    </w:p>
    <w:p>
      <w:pPr>
        <w:pStyle w:val="BodyText"/>
        <w:spacing w:line="280" w:lineRule="auto" w:before="35"/>
        <w:ind w:left="1133" w:right="1132" w:firstLine="420"/>
        <w:jc w:val="left"/>
      </w:pPr>
      <w:r>
        <w:rPr/>
        <w:t>本期坏账准备变动金额</w:t>
      </w:r>
      <w:r>
        <w:rPr>
          <w:spacing w:val="-54"/>
        </w:rPr>
        <w:t> </w:t>
      </w:r>
      <w:r>
        <w:rPr>
          <w:rFonts w:ascii="Times New Roman" w:hAnsi="Times New Roman" w:cs="Times New Roman" w:eastAsia="Times New Roman" w:hint="default"/>
        </w:rPr>
        <w:t>384,889.45</w:t>
      </w:r>
      <w:r>
        <w:rPr>
          <w:rFonts w:ascii="Times New Roman" w:hAnsi="Times New Roman" w:cs="Times New Roman" w:eastAsia="Times New Roman" w:hint="default"/>
          <w:spacing w:val="-12"/>
        </w:rPr>
        <w:t> </w:t>
      </w:r>
      <w:r>
        <w:rPr/>
        <w:t>元，其中计提坏账准备金额</w:t>
      </w:r>
      <w:r>
        <w:rPr>
          <w:spacing w:val="-54"/>
        </w:rPr>
        <w:t> </w:t>
      </w:r>
      <w:r>
        <w:rPr>
          <w:rFonts w:ascii="Times New Roman" w:hAnsi="Times New Roman" w:cs="Times New Roman" w:eastAsia="Times New Roman" w:hint="default"/>
        </w:rPr>
        <w:t>392,690.77</w:t>
      </w:r>
      <w:r>
        <w:rPr>
          <w:rFonts w:ascii="Times New Roman" w:hAnsi="Times New Roman" w:cs="Times New Roman" w:eastAsia="Times New Roman" w:hint="default"/>
          <w:spacing w:val="-12"/>
        </w:rPr>
        <w:t> </w:t>
      </w:r>
      <w:r>
        <w:rPr/>
        <w:t>元，因外币报表折算汇率影 响金额</w:t>
      </w:r>
      <w:r>
        <w:rPr>
          <w:rFonts w:ascii="Times New Roman" w:hAnsi="Times New Roman" w:cs="Times New Roman" w:eastAsia="Times New Roman" w:hint="default"/>
        </w:rPr>
        <w:t>-7,801.32</w:t>
      </w:r>
      <w:r>
        <w:rPr>
          <w:rFonts w:ascii="Times New Roman" w:hAnsi="Times New Roman" w:cs="Times New Roman" w:eastAsia="Times New Roman" w:hint="default"/>
          <w:spacing w:val="-11"/>
        </w:rPr>
        <w:t> </w:t>
      </w:r>
      <w:r>
        <w:rPr/>
        <w:t>元。</w:t>
      </w:r>
    </w:p>
    <w:p>
      <w:pPr>
        <w:spacing w:line="240" w:lineRule="auto" w:before="5"/>
        <w:rPr>
          <w:rFonts w:ascii="宋体" w:hAnsi="宋体" w:cs="宋体" w:eastAsia="宋体" w:hint="default"/>
          <w:sz w:val="17"/>
          <w:szCs w:val="17"/>
        </w:rPr>
      </w:pPr>
    </w:p>
    <w:p>
      <w:pPr>
        <w:pStyle w:val="Heading4"/>
        <w:spacing w:line="240" w:lineRule="auto"/>
        <w:ind w:right="0"/>
        <w:jc w:val="left"/>
        <w:rPr>
          <w:b w:val="0"/>
          <w:bCs w:val="0"/>
        </w:rPr>
      </w:pPr>
      <w:bookmarkStart w:name="（3）本期实际核销的其他应收款情况" w:id="256"/>
      <w:bookmarkEnd w:id="25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4924"/>
        <w:gridCol w:w="4931"/>
      </w:tblGrid>
      <w:tr>
        <w:trPr>
          <w:trHeight w:val="407" w:hRule="exact"/>
        </w:trPr>
        <w:tc>
          <w:tcPr>
            <w:tcW w:w="4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其中重要的其他应收款核销情况：</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642"/>
        <w:gridCol w:w="1643"/>
        <w:gridCol w:w="1642"/>
        <w:gridCol w:w="1642"/>
        <w:gridCol w:w="1644"/>
        <w:gridCol w:w="1642"/>
      </w:tblGrid>
      <w:tr>
        <w:trPr>
          <w:trHeight w:val="601"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5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86"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5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5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8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454" w:right="185"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line="240" w:lineRule="auto" w:before="5"/>
        <w:rPr>
          <w:rFonts w:ascii="宋体" w:hAnsi="宋体" w:cs="宋体" w:eastAsia="宋体" w:hint="default"/>
          <w:sz w:val="11"/>
          <w:szCs w:val="11"/>
        </w:rPr>
      </w:pPr>
    </w:p>
    <w:p>
      <w:pPr>
        <w:pStyle w:val="BodyText"/>
        <w:spacing w:line="240" w:lineRule="auto" w:before="35"/>
        <w:ind w:right="0"/>
        <w:jc w:val="left"/>
      </w:pPr>
      <w:r>
        <w:rPr/>
        <w:t>其他应收款核销说明：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4）其他应收款按款项性质分类情况" w:id="257"/>
      <w:bookmarkEnd w:id="25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6"/>
        <w:gridCol w:w="3287"/>
      </w:tblGrid>
      <w:tr>
        <w:trPr>
          <w:trHeight w:val="39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员工预支款</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699,984.23</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461,203.88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7,438,394.47</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5,437,300.80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拆借款项</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2,045,833.33</w:t>
            </w:r>
          </w:p>
        </w:tc>
      </w:tr>
      <w:tr>
        <w:trPr>
          <w:trHeight w:val="407" w:hRule="exact"/>
        </w:trPr>
        <w:tc>
          <w:tcPr>
            <w:tcW w:w="3282"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4,682,619.28</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771,816.49</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12,820,997.98</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9,716,154.50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5）按欠款方归集的期末余额前五名的其他应收款情况" w:id="258"/>
      <w:bookmarkEnd w:id="25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642"/>
        <w:gridCol w:w="1643"/>
        <w:gridCol w:w="1642"/>
        <w:gridCol w:w="1642"/>
        <w:gridCol w:w="1842"/>
        <w:gridCol w:w="1445"/>
      </w:tblGrid>
      <w:tr>
        <w:trPr>
          <w:trHeight w:val="600"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5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285" w:right="105" w:hanging="180"/>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536" w:right="17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601"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67"/>
              <w:jc w:val="left"/>
              <w:rPr>
                <w:rFonts w:ascii="宋体" w:hAnsi="宋体" w:cs="宋体" w:eastAsia="宋体" w:hint="default"/>
                <w:sz w:val="18"/>
                <w:szCs w:val="18"/>
              </w:rPr>
            </w:pPr>
            <w:r>
              <w:rPr>
                <w:rFonts w:ascii="宋体" w:hAnsi="宋体" w:cs="宋体" w:eastAsia="宋体" w:hint="default"/>
                <w:sz w:val="18"/>
                <w:szCs w:val="18"/>
              </w:rPr>
              <w:t>中天智慧科技有 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外部往来款</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35.10%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45,000.00</w:t>
            </w:r>
          </w:p>
        </w:tc>
      </w:tr>
      <w:tr>
        <w:trPr>
          <w:trHeight w:val="601"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67"/>
              <w:jc w:val="left"/>
              <w:rPr>
                <w:rFonts w:ascii="宋体" w:hAnsi="宋体" w:cs="宋体" w:eastAsia="宋体" w:hint="default"/>
                <w:sz w:val="18"/>
                <w:szCs w:val="18"/>
              </w:rPr>
            </w:pPr>
            <w:r>
              <w:rPr>
                <w:rFonts w:ascii="宋体" w:hAnsi="宋体" w:cs="宋体" w:eastAsia="宋体" w:hint="default"/>
                <w:sz w:val="18"/>
                <w:szCs w:val="18"/>
              </w:rPr>
              <w:t>北京市海淀区欣 华农工商公司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1,212,813.00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602,441.75</w:t>
            </w:r>
          </w:p>
        </w:tc>
      </w:tr>
      <w:tr>
        <w:trPr>
          <w:trHeight w:val="407"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pacing w:val="-3"/>
                <w:sz w:val="18"/>
              </w:rPr>
              <w:t>TOCCo.,LTD</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786,296.56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6.13%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157,259.31</w:t>
            </w:r>
          </w:p>
        </w:tc>
      </w:tr>
      <w:tr>
        <w:trPr>
          <w:trHeight w:val="601"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7"/>
              <w:jc w:val="left"/>
              <w:rPr>
                <w:rFonts w:ascii="宋体" w:hAnsi="宋体" w:cs="宋体" w:eastAsia="宋体" w:hint="default"/>
                <w:sz w:val="18"/>
                <w:szCs w:val="18"/>
              </w:rPr>
            </w:pPr>
            <w:r>
              <w:rPr>
                <w:rFonts w:ascii="宋体" w:hAnsi="宋体" w:cs="宋体" w:eastAsia="宋体" w:hint="default"/>
                <w:sz w:val="18"/>
                <w:szCs w:val="18"/>
              </w:rPr>
              <w:t>上海民润投资管 理有限公司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784,749.00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7,847.49</w:t>
            </w:r>
          </w:p>
        </w:tc>
      </w:tr>
      <w:tr>
        <w:trPr>
          <w:trHeight w:val="60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7"/>
              <w:jc w:val="left"/>
              <w:rPr>
                <w:rFonts w:ascii="宋体" w:hAnsi="宋体" w:cs="宋体" w:eastAsia="宋体" w:hint="default"/>
                <w:sz w:val="18"/>
                <w:szCs w:val="18"/>
              </w:rPr>
            </w:pPr>
            <w:r>
              <w:rPr>
                <w:rFonts w:ascii="宋体" w:hAnsi="宋体" w:cs="宋体" w:eastAsia="宋体" w:hint="default"/>
                <w:sz w:val="18"/>
                <w:szCs w:val="18"/>
              </w:rPr>
              <w:t>深圳市迈科龙电 子有限公司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518,357.12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50,976.21</w:t>
            </w:r>
          </w:p>
        </w:tc>
      </w:tr>
      <w:tr>
        <w:trPr>
          <w:trHeight w:val="408"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7,802,215.68</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60.85%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863,524.76</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6）涉及政府补助的应收款项" w:id="259"/>
      <w:bookmarkEnd w:id="25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968"/>
        <w:gridCol w:w="1972"/>
        <w:gridCol w:w="1970"/>
        <w:gridCol w:w="1972"/>
        <w:gridCol w:w="1972"/>
      </w:tblGrid>
      <w:tr>
        <w:trPr>
          <w:trHeight w:val="6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61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26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6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62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710" w:right="101" w:hanging="609"/>
              <w:jc w:val="left"/>
              <w:rPr>
                <w:rFonts w:ascii="宋体" w:hAnsi="宋体" w:cs="宋体" w:eastAsia="宋体" w:hint="default"/>
                <w:sz w:val="18"/>
                <w:szCs w:val="18"/>
              </w:rPr>
            </w:pPr>
            <w:r>
              <w:rPr>
                <w:rFonts w:ascii="宋体" w:hAnsi="宋体" w:cs="宋体" w:eastAsia="宋体" w:hint="default"/>
                <w:spacing w:val="-5"/>
                <w:sz w:val="18"/>
                <w:szCs w:val="18"/>
              </w:rPr>
              <w:t>预计收取的时间、金额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及依据</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无。</w:t>
      </w:r>
    </w:p>
    <w:p>
      <w:pPr>
        <w:spacing w:line="240" w:lineRule="auto" w:before="9"/>
        <w:rPr>
          <w:rFonts w:ascii="宋体" w:hAnsi="宋体" w:cs="宋体" w:eastAsia="宋体" w:hint="default"/>
          <w:sz w:val="21"/>
          <w:szCs w:val="21"/>
        </w:rPr>
      </w:pPr>
    </w:p>
    <w:p>
      <w:pPr>
        <w:pStyle w:val="Heading4"/>
        <w:spacing w:line="460" w:lineRule="auto"/>
        <w:ind w:left="1554" w:right="6009" w:firstLine="2"/>
        <w:jc w:val="left"/>
        <w:rPr>
          <w:rFonts w:ascii="宋体" w:hAnsi="宋体" w:cs="宋体" w:eastAsia="宋体" w:hint="default"/>
          <w:b w:val="0"/>
          <w:bCs w:val="0"/>
        </w:rPr>
      </w:pPr>
      <w:bookmarkStart w:name="（7）因金融资产转移而终止确认的其他应收款" w:id="260"/>
      <w:bookmarkEnd w:id="260"/>
      <w:r>
        <w:rPr>
          <w:b w:val="0"/>
          <w:bCs w:val="0"/>
        </w:rPr>
      </w:r>
      <w:r>
        <w:rPr/>
        <w:t>（</w:t>
      </w:r>
      <w:r>
        <w:rPr>
          <w:rFonts w:ascii="Times New Roman" w:hAnsi="Times New Roman" w:cs="Times New Roman" w:eastAsia="Times New Roman" w:hint="default"/>
        </w:rPr>
        <w:t>7</w:t>
      </w:r>
      <w:r>
        <w:rPr/>
        <w:t>）因金融资产转移而终止确认的其他应收款</w:t>
      </w:r>
      <w:r>
        <w:rPr>
          <w:w w:val="99"/>
        </w:rPr>
        <w:t> </w:t>
      </w:r>
      <w:r>
        <w:rPr>
          <w:rFonts w:ascii="宋体" w:hAnsi="宋体" w:cs="宋体" w:eastAsia="宋体" w:hint="default"/>
          <w:b w:val="0"/>
          <w:bCs w:val="0"/>
        </w:rPr>
        <w:t>无。</w:t>
      </w:r>
    </w:p>
    <w:p>
      <w:pPr>
        <w:pStyle w:val="Heading4"/>
        <w:spacing w:line="460" w:lineRule="auto" w:before="90"/>
        <w:ind w:left="1554" w:right="5165" w:firstLine="2"/>
        <w:jc w:val="left"/>
        <w:rPr>
          <w:rFonts w:ascii="宋体" w:hAnsi="宋体" w:cs="宋体" w:eastAsia="宋体" w:hint="default"/>
          <w:b w:val="0"/>
          <w:bCs w:val="0"/>
        </w:rPr>
      </w:pPr>
      <w:bookmarkStart w:name="（8）转移其他应收款且继续涉入形成的资产、负债金额" w:id="261"/>
      <w:bookmarkEnd w:id="261"/>
      <w:r>
        <w:rPr>
          <w:b w:val="0"/>
          <w:bCs w:val="0"/>
        </w:rPr>
      </w:r>
      <w:r>
        <w:rPr/>
        <w:t>（</w:t>
      </w:r>
      <w:r>
        <w:rPr>
          <w:rFonts w:ascii="Times New Roman" w:hAnsi="Times New Roman" w:cs="Times New Roman" w:eastAsia="Times New Roman" w:hint="default"/>
        </w:rPr>
        <w:t>8</w:t>
      </w:r>
      <w:r>
        <w:rPr/>
        <w:t>）转移其他应收款且继续涉入形成的资产、负债金额</w:t>
      </w:r>
      <w:r>
        <w:rPr>
          <w:w w:val="99"/>
        </w:rPr>
        <w:t> </w:t>
      </w:r>
      <w:r>
        <w:rPr>
          <w:rFonts w:ascii="宋体" w:hAnsi="宋体" w:cs="宋体" w:eastAsia="宋体" w:hint="default"/>
          <w:b w:val="0"/>
          <w:bCs w:val="0"/>
        </w:rPr>
        <w:t>无。</w:t>
      </w:r>
    </w:p>
    <w:p>
      <w:pPr>
        <w:pStyle w:val="BodyText"/>
        <w:spacing w:line="484" w:lineRule="auto" w:before="91"/>
        <w:ind w:left="1553" w:right="9283"/>
        <w:jc w:val="left"/>
        <w:rPr>
          <w:rFonts w:ascii="微软雅黑" w:hAnsi="微软雅黑" w:cs="微软雅黑" w:eastAsia="微软雅黑" w:hint="default"/>
        </w:rPr>
      </w:pPr>
      <w:r>
        <w:rPr/>
        <w:t>其他说明： 无。 </w:t>
      </w:r>
      <w:bookmarkStart w:name="10、存货" w:id="262"/>
      <w:bookmarkEnd w:id="262"/>
      <w:r>
        <w:rPr/>
      </w:r>
      <w:r>
        <w:rPr>
          <w:rFonts w:ascii="Times New Roman" w:hAnsi="Times New Roman" w:cs="Times New Roman" w:eastAsia="Times New Roman" w:hint="default"/>
        </w:rPr>
        <w:t>10</w:t>
      </w:r>
      <w:r>
        <w:rPr>
          <w:rFonts w:ascii="微软雅黑" w:hAnsi="微软雅黑" w:cs="微软雅黑" w:eastAsia="微软雅黑" w:hint="default"/>
        </w:rPr>
        <w:t>、存货</w:t>
      </w:r>
    </w:p>
    <w:p>
      <w:pPr>
        <w:pStyle w:val="BodyText"/>
        <w:spacing w:line="487" w:lineRule="auto" w:before="121"/>
        <w:ind w:right="6552"/>
        <w:jc w:val="left"/>
      </w:pPr>
      <w:r>
        <w:rPr/>
        <w:t>公司是否需要遵守房地产行业的披露要求 否</w:t>
      </w:r>
    </w:p>
    <w:p>
      <w:pPr>
        <w:pStyle w:val="Heading4"/>
        <w:spacing w:line="240" w:lineRule="auto" w:before="67"/>
        <w:ind w:right="0"/>
        <w:jc w:val="left"/>
        <w:rPr>
          <w:b w:val="0"/>
          <w:bCs w:val="0"/>
        </w:rPr>
      </w:pPr>
      <w:bookmarkStart w:name="（1）存货分类" w:id="263"/>
      <w:bookmarkEnd w:id="26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409"/>
        <w:gridCol w:w="4224"/>
        <w:gridCol w:w="4222"/>
      </w:tblGrid>
      <w:tr>
        <w:trPr>
          <w:trHeight w:val="38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5"/>
        <w:rPr>
          <w:rFonts w:ascii="宋体" w:hAnsi="宋体" w:cs="宋体" w:eastAsia="宋体" w:hint="default"/>
          <w:sz w:val="26"/>
          <w:szCs w:val="26"/>
        </w:rPr>
      </w:pPr>
    </w:p>
    <w:tbl>
      <w:tblPr>
        <w:tblW w:w="0" w:type="auto"/>
        <w:jc w:val="left"/>
        <w:tblInd w:w="1021" w:type="dxa"/>
        <w:tblLayout w:type="fixed"/>
        <w:tblCellMar>
          <w:top w:w="0" w:type="dxa"/>
          <w:left w:w="0" w:type="dxa"/>
          <w:bottom w:w="0" w:type="dxa"/>
          <w:right w:w="0" w:type="dxa"/>
        </w:tblCellMar>
        <w:tblLook w:val="01E0"/>
      </w:tblPr>
      <w:tblGrid>
        <w:gridCol w:w="1409"/>
        <w:gridCol w:w="1409"/>
        <w:gridCol w:w="1409"/>
        <w:gridCol w:w="1406"/>
        <w:gridCol w:w="1408"/>
        <w:gridCol w:w="1407"/>
        <w:gridCol w:w="1408"/>
      </w:tblGrid>
      <w:tr>
        <w:trPr>
          <w:trHeight w:val="358"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1"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351" w:right="0"/>
              <w:jc w:val="left"/>
              <w:rPr>
                <w:rFonts w:ascii="Times New Roman" w:hAnsi="Times New Roman" w:cs="Times New Roman" w:eastAsia="Times New Roman" w:hint="default"/>
                <w:sz w:val="18"/>
                <w:szCs w:val="18"/>
              </w:rPr>
            </w:pPr>
            <w:r>
              <w:rPr>
                <w:rFonts w:ascii="Times New Roman"/>
                <w:sz w:val="18"/>
              </w:rPr>
              <w:t>6,002,979.04</w:t>
            </w:r>
          </w:p>
        </w:tc>
        <w:tc>
          <w:tcPr>
            <w:tcW w:w="1409" w:type="dxa"/>
            <w:tcBorders>
              <w:top w:val="single" w:sz="12" w:space="0" w:color="D2D2D2"/>
              <w:left w:val="single" w:sz="4" w:space="0" w:color="000000"/>
              <w:bottom w:val="single" w:sz="4" w:space="0" w:color="000000"/>
              <w:right w:val="single" w:sz="4" w:space="0" w:color="000000"/>
            </w:tcBorders>
          </w:tcPr>
          <w:p>
            <w:pPr/>
          </w:p>
        </w:tc>
        <w:tc>
          <w:tcPr>
            <w:tcW w:w="140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350" w:right="0"/>
              <w:jc w:val="left"/>
              <w:rPr>
                <w:rFonts w:ascii="Times New Roman" w:hAnsi="Times New Roman" w:cs="Times New Roman" w:eastAsia="Times New Roman" w:hint="default"/>
                <w:sz w:val="18"/>
                <w:szCs w:val="18"/>
              </w:rPr>
            </w:pPr>
            <w:r>
              <w:rPr>
                <w:rFonts w:ascii="Times New Roman"/>
                <w:sz w:val="18"/>
              </w:rPr>
              <w:t>6,002,979.04</w:t>
            </w:r>
          </w:p>
        </w:tc>
        <w:tc>
          <w:tcPr>
            <w:tcW w:w="140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13,796,727.09</w:t>
            </w:r>
          </w:p>
        </w:tc>
        <w:tc>
          <w:tcPr>
            <w:tcW w:w="1407" w:type="dxa"/>
            <w:tcBorders>
              <w:top w:val="single" w:sz="12" w:space="0" w:color="D2D2D2"/>
              <w:left w:val="single" w:sz="4" w:space="0" w:color="000000"/>
              <w:bottom w:val="single" w:sz="4" w:space="0" w:color="000000"/>
              <w:right w:val="single" w:sz="4" w:space="0" w:color="000000"/>
            </w:tcBorders>
          </w:tcPr>
          <w:p>
            <w:pPr/>
          </w:p>
        </w:tc>
        <w:tc>
          <w:tcPr>
            <w:tcW w:w="140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13,796,727.09</w:t>
            </w:r>
          </w:p>
        </w:tc>
      </w:tr>
      <w:tr>
        <w:trPr>
          <w:trHeight w:val="408"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1" w:right="0"/>
              <w:jc w:val="left"/>
              <w:rPr>
                <w:rFonts w:ascii="Times New Roman" w:hAnsi="Times New Roman" w:cs="Times New Roman" w:eastAsia="Times New Roman" w:hint="default"/>
                <w:sz w:val="18"/>
                <w:szCs w:val="18"/>
              </w:rPr>
            </w:pPr>
            <w:r>
              <w:rPr>
                <w:rFonts w:ascii="Times New Roman"/>
                <w:sz w:val="18"/>
              </w:rPr>
              <w:t>2,962,293.88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502,123.52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2,460,170.36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2,626,915.92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251,181.77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2,375,734.15</w:t>
            </w:r>
          </w:p>
        </w:tc>
      </w:tr>
      <w:tr>
        <w:trPr>
          <w:trHeight w:val="407" w:hRule="exact"/>
        </w:trPr>
        <w:tc>
          <w:tcPr>
            <w:tcW w:w="140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536,320.59</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536,320.59</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1" w:right="0"/>
              <w:jc w:val="left"/>
              <w:rPr>
                <w:rFonts w:ascii="Times New Roman" w:hAnsi="Times New Roman" w:cs="Times New Roman" w:eastAsia="Times New Roman" w:hint="default"/>
                <w:sz w:val="18"/>
                <w:szCs w:val="18"/>
              </w:rPr>
            </w:pPr>
            <w:r>
              <w:rPr>
                <w:rFonts w:ascii="Times New Roman"/>
                <w:sz w:val="18"/>
              </w:rPr>
              <w:t>8,965,272.92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502,123.52</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8,463,149.40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16,959,963.60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251,181.77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16,708,781.83</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存货跌价准备" w:id="264"/>
      <w:bookmarkEnd w:id="26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409"/>
        <w:gridCol w:w="1409"/>
        <w:gridCol w:w="1409"/>
        <w:gridCol w:w="1406"/>
        <w:gridCol w:w="1408"/>
        <w:gridCol w:w="1407"/>
        <w:gridCol w:w="1408"/>
      </w:tblGrid>
      <w:tr>
        <w:trPr>
          <w:trHeight w:val="397" w:hRule="exact"/>
        </w:trPr>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86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86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409"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8" w:type="dxa"/>
            <w:vMerge/>
            <w:tcBorders>
              <w:left w:val="single" w:sz="4" w:space="0" w:color="000000"/>
              <w:bottom w:val="single" w:sz="4" w:space="0" w:color="000000"/>
              <w:right w:val="single" w:sz="4" w:space="0" w:color="000000"/>
            </w:tcBorders>
            <w:shd w:val="clear" w:color="auto" w:fill="D2D2D2"/>
          </w:tcPr>
          <w:p>
            <w:pPr/>
          </w:p>
        </w:tc>
      </w:tr>
      <w:tr>
        <w:trPr>
          <w:trHeight w:val="41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251,181.77</w:t>
            </w:r>
          </w:p>
        </w:tc>
        <w:tc>
          <w:tcPr>
            <w:tcW w:w="140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left="484" w:right="0"/>
              <w:jc w:val="left"/>
              <w:rPr>
                <w:rFonts w:ascii="Times New Roman" w:hAnsi="Times New Roman" w:cs="Times New Roman" w:eastAsia="Times New Roman" w:hint="default"/>
                <w:sz w:val="18"/>
                <w:szCs w:val="18"/>
              </w:rPr>
            </w:pPr>
            <w:r>
              <w:rPr>
                <w:rFonts w:ascii="Times New Roman"/>
                <w:sz w:val="18"/>
              </w:rPr>
              <w:t>250,941.75</w:t>
            </w:r>
          </w:p>
        </w:tc>
        <w:tc>
          <w:tcPr>
            <w:tcW w:w="1406" w:type="dxa"/>
            <w:tcBorders>
              <w:top w:val="single" w:sz="12" w:space="0" w:color="D2D2D2"/>
              <w:left w:val="single" w:sz="4" w:space="0" w:color="000000"/>
              <w:bottom w:val="single" w:sz="4" w:space="0" w:color="000000"/>
              <w:right w:val="single" w:sz="4" w:space="0" w:color="000000"/>
            </w:tcBorders>
          </w:tcPr>
          <w:p>
            <w:pPr/>
          </w:p>
        </w:tc>
        <w:tc>
          <w:tcPr>
            <w:tcW w:w="1408" w:type="dxa"/>
            <w:tcBorders>
              <w:top w:val="single" w:sz="12" w:space="0" w:color="D2D2D2"/>
              <w:left w:val="single" w:sz="4" w:space="0" w:color="000000"/>
              <w:bottom w:val="single" w:sz="4" w:space="0" w:color="000000"/>
              <w:right w:val="single" w:sz="4" w:space="0" w:color="000000"/>
            </w:tcBorders>
          </w:tcPr>
          <w:p>
            <w:pPr/>
          </w:p>
        </w:tc>
        <w:tc>
          <w:tcPr>
            <w:tcW w:w="1407" w:type="dxa"/>
            <w:tcBorders>
              <w:top w:val="single" w:sz="12" w:space="0" w:color="D2D2D2"/>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502,123.52</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251,181.77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84" w:right="0"/>
              <w:jc w:val="left"/>
              <w:rPr>
                <w:rFonts w:ascii="Times New Roman" w:hAnsi="Times New Roman" w:cs="Times New Roman" w:eastAsia="Times New Roman" w:hint="default"/>
                <w:sz w:val="18"/>
                <w:szCs w:val="18"/>
              </w:rPr>
            </w:pPr>
            <w:r>
              <w:rPr>
                <w:rFonts w:ascii="Times New Roman"/>
                <w:sz w:val="18"/>
              </w:rPr>
              <w:t>250,941.75</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502,123.52</w:t>
            </w:r>
          </w:p>
        </w:tc>
      </w:tr>
    </w:tbl>
    <w:p>
      <w:pPr>
        <w:spacing w:line="240" w:lineRule="auto" w:before="4"/>
        <w:rPr>
          <w:rFonts w:ascii="宋体" w:hAnsi="宋体" w:cs="宋体" w:eastAsia="宋体" w:hint="default"/>
          <w:sz w:val="11"/>
          <w:szCs w:val="11"/>
        </w:rPr>
      </w:pPr>
    </w:p>
    <w:p>
      <w:pPr>
        <w:pStyle w:val="Heading4"/>
        <w:spacing w:line="460" w:lineRule="auto" w:before="35"/>
        <w:ind w:left="1554" w:right="5589" w:firstLine="2"/>
        <w:jc w:val="left"/>
        <w:rPr>
          <w:rFonts w:ascii="宋体" w:hAnsi="宋体" w:cs="宋体" w:eastAsia="宋体" w:hint="default"/>
          <w:b w:val="0"/>
          <w:bCs w:val="0"/>
        </w:rPr>
      </w:pPr>
      <w:bookmarkStart w:name="（3）存货期末余额含有借款费用资本化金额的说明" w:id="265"/>
      <w:bookmarkEnd w:id="265"/>
      <w:r>
        <w:rPr>
          <w:b w:val="0"/>
          <w:bCs w:val="0"/>
        </w:rPr>
      </w:r>
      <w:r>
        <w:rPr/>
        <w:t>（</w:t>
      </w:r>
      <w:r>
        <w:rPr>
          <w:rFonts w:ascii="Times New Roman" w:hAnsi="Times New Roman" w:cs="Times New Roman" w:eastAsia="Times New Roman" w:hint="default"/>
        </w:rPr>
        <w:t>3</w:t>
      </w:r>
      <w:r>
        <w:rPr/>
        <w:t>）存货期末余额含有借款费用资本化金额的说明</w:t>
      </w:r>
      <w:r>
        <w:rPr>
          <w:w w:val="99"/>
        </w:rPr>
        <w:t> </w:t>
      </w:r>
      <w:r>
        <w:rPr>
          <w:rFonts w:ascii="宋体" w:hAnsi="宋体" w:cs="宋体" w:eastAsia="宋体" w:hint="default"/>
          <w:b w:val="0"/>
          <w:bCs w:val="0"/>
        </w:rPr>
        <w:t>无。</w:t>
      </w:r>
    </w:p>
    <w:p>
      <w:pPr>
        <w:pStyle w:val="Heading4"/>
        <w:spacing w:line="240" w:lineRule="auto" w:before="91"/>
        <w:ind w:right="0"/>
        <w:jc w:val="left"/>
        <w:rPr>
          <w:b w:val="0"/>
          <w:bCs w:val="0"/>
        </w:rPr>
      </w:pPr>
      <w:bookmarkStart w:name="（4）期末建造合同形成的已完工未结算资产情况" w:id="266"/>
      <w:bookmarkEnd w:id="26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4927"/>
        <w:gridCol w:w="4928"/>
      </w:tblGrid>
      <w:tr>
        <w:trPr>
          <w:trHeight w:val="383"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11、持有待售的资产" w:id="267"/>
      <w:bookmarkEnd w:id="267"/>
      <w:r>
        <w:rPr/>
      </w:r>
      <w:r>
        <w:rPr>
          <w:rFonts w:ascii="Times New Roman" w:hAnsi="Times New Roman" w:cs="Times New Roman" w:eastAsia="Times New Roman" w:hint="default"/>
        </w:rPr>
        <w:t>11</w:t>
      </w:r>
      <w:r>
        <w:rPr>
          <w:rFonts w:ascii="微软雅黑" w:hAnsi="微软雅黑" w:cs="微软雅黑" w:eastAsia="微软雅黑" w:hint="default"/>
        </w:rPr>
        <w:t>、持有待售的资产</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968"/>
        <w:gridCol w:w="1972"/>
        <w:gridCol w:w="1970"/>
        <w:gridCol w:w="1972"/>
        <w:gridCol w:w="1973"/>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600"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33"/>
              <w:jc w:val="left"/>
              <w:rPr>
                <w:rFonts w:ascii="宋体" w:hAnsi="宋体" w:cs="宋体" w:eastAsia="宋体" w:hint="default"/>
                <w:sz w:val="18"/>
                <w:szCs w:val="18"/>
              </w:rPr>
            </w:pPr>
            <w:r>
              <w:rPr>
                <w:rFonts w:ascii="宋体" w:hAnsi="宋体" w:cs="宋体" w:eastAsia="宋体" w:hint="default"/>
                <w:sz w:val="18"/>
                <w:szCs w:val="18"/>
              </w:rPr>
              <w:t>持有待售的长期股权 投资</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82,133,802.42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59,268,840.61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6,815,916.67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82,133,802.42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59,268,840.61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6,815,916.67</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80" w:lineRule="auto"/>
        <w:ind w:left="1133" w:right="1129"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26</w:t>
      </w:r>
      <w:r>
        <w:rPr>
          <w:rFonts w:ascii="Times New Roman" w:hAnsi="Times New Roman" w:cs="Times New Roman" w:eastAsia="Times New Roman" w:hint="default"/>
          <w:spacing w:val="-10"/>
        </w:rPr>
        <w:t> </w:t>
      </w:r>
      <w:r>
        <w:rPr>
          <w:spacing w:val="-4"/>
        </w:rPr>
        <w:t>日，本公司第二届董事会第二十七次会议审议通过了《关于出售</w:t>
      </w:r>
      <w:r>
        <w:rPr>
          <w:spacing w:val="-21"/>
        </w:rPr>
        <w:t> </w:t>
      </w:r>
      <w:r>
        <w:rPr>
          <w:rFonts w:ascii="Times New Roman" w:hAnsi="Times New Roman" w:cs="Times New Roman" w:eastAsia="Times New Roman" w:hint="default"/>
        </w:rPr>
        <w:t>Point</w:t>
      </w:r>
      <w:r>
        <w:rPr>
          <w:rFonts w:ascii="Times New Roman" w:hAnsi="Times New Roman" w:cs="Times New Roman" w:eastAsia="Times New Roman" w:hint="default"/>
          <w:spacing w:val="-10"/>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12"/>
        </w:rPr>
        <w:t> </w:t>
      </w:r>
      <w:r>
        <w:rPr>
          <w:rFonts w:ascii="Times New Roman" w:hAnsi="Times New Roman" w:cs="Times New Roman" w:eastAsia="Times New Roman" w:hint="default"/>
        </w:rPr>
        <w:t>Co.,</w:t>
      </w:r>
      <w:r>
        <w:rPr>
          <w:rFonts w:ascii="Times New Roman" w:hAnsi="Times New Roman" w:cs="Times New Roman" w:eastAsia="Times New Roman" w:hint="default"/>
          <w:spacing w:val="-12"/>
        </w:rPr>
        <w:t> </w:t>
      </w:r>
      <w:r>
        <w:rPr>
          <w:rFonts w:ascii="Times New Roman" w:hAnsi="Times New Roman" w:cs="Times New Roman" w:eastAsia="Times New Roman" w:hint="default"/>
        </w:rPr>
        <w:t>Ltd.</w:t>
      </w:r>
      <w:r>
        <w:rPr>
          <w:rFonts w:ascii="Times New Roman" w:hAnsi="Times New Roman" w:cs="Times New Roman" w:eastAsia="Times New Roman" w:hint="default"/>
        </w:rPr>
        <w:t> </w:t>
      </w:r>
      <w:r>
        <w:rPr/>
        <w:t>股权的议案》，同意本公司之间接控制全资子公司 </w:t>
      </w:r>
      <w:r>
        <w:rPr>
          <w:rFonts w:ascii="Times New Roman" w:hAnsi="Times New Roman" w:cs="Times New Roman" w:eastAsia="Times New Roman" w:hint="default"/>
        </w:rPr>
        <w:t>Mobile Focus Holding Ltd.</w:t>
      </w:r>
      <w:r>
        <w:rPr/>
        <w:t>（简称“</w:t>
      </w:r>
      <w:r>
        <w:rPr>
          <w:rFonts w:ascii="Times New Roman" w:hAnsi="Times New Roman" w:cs="Times New Roman" w:eastAsia="Times New Roman" w:hint="default"/>
        </w:rPr>
        <w:t>Mobile</w:t>
      </w:r>
      <w:r>
        <w:rPr>
          <w:rFonts w:ascii="Times New Roman" w:hAnsi="Times New Roman" w:cs="Times New Roman" w:eastAsia="Times New Roman" w:hint="default"/>
          <w:spacing w:val="-20"/>
        </w:rPr>
        <w:t> </w:t>
      </w:r>
      <w:r>
        <w:rPr>
          <w:rFonts w:ascii="Times New Roman" w:hAnsi="Times New Roman" w:cs="Times New Roman" w:eastAsia="Times New Roman" w:hint="default"/>
        </w:rPr>
        <w:t>Focus</w:t>
      </w:r>
      <w:r>
        <w:rPr/>
        <w:t>”）将 持有的 </w:t>
      </w:r>
      <w:r>
        <w:rPr>
          <w:rFonts w:ascii="Times New Roman" w:hAnsi="Times New Roman" w:cs="Times New Roman" w:eastAsia="Times New Roman" w:hint="default"/>
        </w:rPr>
        <w:t>Point Mobile Co., Ltd.</w:t>
      </w:r>
      <w:r>
        <w:rPr/>
        <w:t>的全部股权转让给购买方，交易对价为 </w:t>
      </w:r>
      <w:r>
        <w:rPr>
          <w:rFonts w:ascii="Times New Roman" w:hAnsi="Times New Roman" w:cs="Times New Roman" w:eastAsia="Times New Roman" w:hint="default"/>
        </w:rPr>
        <w:t>9,070,558.08 </w:t>
      </w:r>
      <w:r>
        <w:rPr/>
        <w:t>美元，交割时间为</w:t>
      </w:r>
      <w:r>
        <w:rPr>
          <w:spacing w:val="-41"/>
        </w:rPr>
        <w:t> </w:t>
      </w:r>
      <w:r>
        <w:rPr>
          <w:rFonts w:ascii="Times New Roman" w:hAnsi="Times New Roman" w:cs="Times New Roman" w:eastAsia="Times New Roman" w:hint="default"/>
        </w:rPr>
        <w:t>2018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日。上述将被转让的资产符合持有待售条件，在资产负债表的流动资产中单独列示。</w:t>
      </w:r>
    </w:p>
    <w:p>
      <w:pPr>
        <w:spacing w:line="240" w:lineRule="auto" w:before="6"/>
        <w:rPr>
          <w:rFonts w:ascii="宋体" w:hAnsi="宋体" w:cs="宋体" w:eastAsia="宋体" w:hint="default"/>
          <w:sz w:val="17"/>
          <w:szCs w:val="17"/>
        </w:rPr>
      </w:pPr>
    </w:p>
    <w:p>
      <w:pPr>
        <w:pStyle w:val="BodyText"/>
        <w:spacing w:line="240" w:lineRule="auto"/>
        <w:ind w:right="0"/>
        <w:jc w:val="left"/>
      </w:pPr>
      <w:r>
        <w:rPr/>
        <w:t>本</w:t>
      </w:r>
      <w:r>
        <w:rPr>
          <w:spacing w:val="-78"/>
        </w:rPr>
        <w:t> </w:t>
      </w:r>
      <w:r>
        <w:rPr/>
        <w:t>集</w:t>
      </w:r>
      <w:r>
        <w:rPr>
          <w:spacing w:val="-78"/>
        </w:rPr>
        <w:t> </w:t>
      </w:r>
      <w:r>
        <w:rPr/>
        <w:t>团</w:t>
      </w:r>
      <w:r>
        <w:rPr>
          <w:spacing w:val="-79"/>
        </w:rPr>
        <w:t> </w:t>
      </w:r>
      <w:r>
        <w:rPr/>
        <w:t>将</w:t>
      </w:r>
      <w:r>
        <w:rPr>
          <w:spacing w:val="-78"/>
        </w:rPr>
        <w:t> </w:t>
      </w:r>
      <w:r>
        <w:rPr/>
        <w:t>上</w:t>
      </w:r>
      <w:r>
        <w:rPr>
          <w:spacing w:val="-79"/>
        </w:rPr>
        <w:t> </w:t>
      </w:r>
      <w:r>
        <w:rPr/>
        <w:t>述</w:t>
      </w:r>
      <w:r>
        <w:rPr>
          <w:spacing w:val="-78"/>
        </w:rPr>
        <w:t> </w:t>
      </w:r>
      <w:r>
        <w:rPr/>
        <w:t>被</w:t>
      </w:r>
      <w:r>
        <w:rPr>
          <w:spacing w:val="-78"/>
        </w:rPr>
        <w:t> </w:t>
      </w:r>
      <w:r>
        <w:rPr/>
        <w:t>转</w:t>
      </w:r>
      <w:r>
        <w:rPr>
          <w:spacing w:val="-79"/>
        </w:rPr>
        <w:t> </w:t>
      </w:r>
      <w:r>
        <w:rPr/>
        <w:t>让</w:t>
      </w:r>
      <w:r>
        <w:rPr>
          <w:spacing w:val="-78"/>
        </w:rPr>
        <w:t> </w:t>
      </w:r>
      <w:r>
        <w:rPr/>
        <w:t>股</w:t>
      </w:r>
      <w:r>
        <w:rPr>
          <w:spacing w:val="-79"/>
        </w:rPr>
        <w:t> </w:t>
      </w:r>
      <w:r>
        <w:rPr/>
        <w:t>权</w:t>
      </w:r>
      <w:r>
        <w:rPr>
          <w:spacing w:val="-78"/>
        </w:rPr>
        <w:t> </w:t>
      </w:r>
      <w:r>
        <w:rPr/>
        <w:t>的</w:t>
      </w:r>
      <w:r>
        <w:rPr>
          <w:spacing w:val="-78"/>
        </w:rPr>
        <w:t> </w:t>
      </w:r>
      <w:r>
        <w:rPr/>
        <w:t>账</w:t>
      </w:r>
      <w:r>
        <w:rPr>
          <w:spacing w:val="-79"/>
        </w:rPr>
        <w:t> </w:t>
      </w:r>
      <w:r>
        <w:rPr/>
        <w:t>面</w:t>
      </w:r>
      <w:r>
        <w:rPr>
          <w:spacing w:val="-78"/>
        </w:rPr>
        <w:t> </w:t>
      </w:r>
      <w:r>
        <w:rPr/>
        <w:t>金</w:t>
      </w:r>
      <w:r>
        <w:rPr>
          <w:spacing w:val="-79"/>
        </w:rPr>
        <w:t> </w:t>
      </w:r>
      <w:r>
        <w:rPr/>
        <w:t>额</w:t>
      </w:r>
      <w:r>
        <w:rPr>
          <w:spacing w:val="31"/>
        </w:rPr>
        <w:t> </w:t>
      </w:r>
      <w:r>
        <w:rPr>
          <w:rFonts w:ascii="Times New Roman" w:hAnsi="Times New Roman" w:cs="Times New Roman" w:eastAsia="Times New Roman" w:hint="default"/>
        </w:rPr>
        <w:t>82,133,802.42 </w:t>
      </w:r>
      <w:r>
        <w:rPr>
          <w:rFonts w:ascii="Times New Roman" w:hAnsi="Times New Roman" w:cs="Times New Roman" w:eastAsia="Times New Roman" w:hint="default"/>
          <w:spacing w:val="6"/>
        </w:rPr>
        <w:t> </w:t>
      </w:r>
      <w:r>
        <w:rPr/>
        <w:t>元</w:t>
      </w:r>
      <w:r>
        <w:rPr>
          <w:spacing w:val="-78"/>
        </w:rPr>
        <w:t> </w:t>
      </w:r>
      <w:r>
        <w:rPr/>
        <w:t>，</w:t>
      </w:r>
      <w:r>
        <w:rPr>
          <w:spacing w:val="-79"/>
        </w:rPr>
        <w:t> </w:t>
      </w:r>
      <w:r>
        <w:rPr/>
        <w:t>高</w:t>
      </w:r>
      <w:r>
        <w:rPr>
          <w:spacing w:val="-79"/>
        </w:rPr>
        <w:t> </w:t>
      </w:r>
      <w:r>
        <w:rPr/>
        <w:t>于</w:t>
      </w:r>
      <w:r>
        <w:rPr>
          <w:spacing w:val="-78"/>
        </w:rPr>
        <w:t> </w:t>
      </w:r>
      <w:r>
        <w:rPr/>
        <w:t>公</w:t>
      </w:r>
      <w:r>
        <w:rPr>
          <w:spacing w:val="-79"/>
        </w:rPr>
        <w:t> </w:t>
      </w:r>
      <w:r>
        <w:rPr/>
        <w:t>允</w:t>
      </w:r>
      <w:r>
        <w:rPr>
          <w:spacing w:val="-78"/>
        </w:rPr>
        <w:t> </w:t>
      </w:r>
      <w:r>
        <w:rPr/>
        <w:t>价</w:t>
      </w:r>
      <w:r>
        <w:rPr>
          <w:spacing w:val="-79"/>
        </w:rPr>
        <w:t> </w:t>
      </w:r>
      <w:r>
        <w:rPr/>
        <w:t>值</w:t>
      </w:r>
      <w:r>
        <w:rPr>
          <w:spacing w:val="-79"/>
        </w:rPr>
        <w:t> </w:t>
      </w:r>
      <w:r>
        <w:rPr/>
        <w:t>减</w:t>
      </w:r>
      <w:r>
        <w:rPr>
          <w:spacing w:val="-78"/>
        </w:rPr>
        <w:t> </w:t>
      </w:r>
      <w:r>
        <w:rPr/>
        <w:t>去</w:t>
      </w:r>
      <w:r>
        <w:rPr>
          <w:spacing w:val="-79"/>
        </w:rPr>
        <w:t> </w:t>
      </w:r>
      <w:r>
        <w:rPr/>
        <w:t>出</w:t>
      </w:r>
      <w:r>
        <w:rPr>
          <w:spacing w:val="-78"/>
        </w:rPr>
        <w:t> </w:t>
      </w:r>
      <w:r>
        <w:rPr/>
        <w:t>售</w:t>
      </w:r>
      <w:r>
        <w:rPr>
          <w:spacing w:val="-79"/>
        </w:rPr>
        <w:t> </w:t>
      </w:r>
      <w:r>
        <w:rPr/>
        <w:t>费</w:t>
      </w:r>
      <w:r>
        <w:rPr>
          <w:spacing w:val="-79"/>
        </w:rPr>
        <w:t> </w:t>
      </w:r>
      <w:r>
        <w:rPr/>
        <w:t>用</w:t>
      </w:r>
      <w:r>
        <w:rPr>
          <w:spacing w:val="-78"/>
        </w:rPr>
        <w:t> </w:t>
      </w:r>
      <w:r>
        <w:rPr/>
        <w:t>的</w:t>
      </w:r>
      <w:r>
        <w:rPr>
          <w:spacing w:val="-79"/>
        </w:rPr>
        <w:t> </w:t>
      </w:r>
      <w:r>
        <w:rPr/>
        <w:t>净</w:t>
      </w:r>
      <w:r>
        <w:rPr>
          <w:spacing w:val="-78"/>
        </w:rPr>
        <w:t> </w:t>
      </w:r>
      <w:r>
        <w:rPr/>
        <w:t>额</w:t>
      </w:r>
    </w:p>
    <w:p>
      <w:pPr>
        <w:pStyle w:val="BodyText"/>
        <w:spacing w:line="240" w:lineRule="auto" w:before="50"/>
        <w:ind w:left="1134" w:right="0"/>
        <w:jc w:val="left"/>
      </w:pPr>
      <w:r>
        <w:rPr>
          <w:rFonts w:ascii="Times New Roman" w:hAnsi="Times New Roman" w:cs="Times New Roman" w:eastAsia="Times New Roman" w:hint="default"/>
        </w:rPr>
        <w:t>52,452,923.93</w:t>
      </w:r>
      <w:r>
        <w:rPr>
          <w:rFonts w:ascii="Times New Roman" w:hAnsi="Times New Roman" w:cs="Times New Roman" w:eastAsia="Times New Roman" w:hint="default"/>
          <w:spacing w:val="-16"/>
        </w:rPr>
        <w:t> </w:t>
      </w:r>
      <w:r>
        <w:rPr>
          <w:spacing w:val="-3"/>
        </w:rPr>
        <w:t>元，计提持有待售资产减值准备</w:t>
      </w:r>
      <w:r>
        <w:rPr>
          <w:spacing w:val="-59"/>
        </w:rPr>
        <w:t> </w:t>
      </w:r>
      <w:r>
        <w:rPr>
          <w:rFonts w:ascii="Times New Roman" w:hAnsi="Times New Roman" w:cs="Times New Roman" w:eastAsia="Times New Roman" w:hint="default"/>
        </w:rPr>
        <w:t>29,680,878.49</w:t>
      </w:r>
      <w:r>
        <w:rPr>
          <w:rFonts w:ascii="Times New Roman" w:hAnsi="Times New Roman" w:cs="Times New Roman" w:eastAsia="Times New Roman" w:hint="default"/>
          <w:spacing w:val="-16"/>
        </w:rPr>
        <w:t> </w:t>
      </w:r>
      <w:r>
        <w:rPr/>
        <w:t>元，考虑与上述被转让股权有关的其他综合收</w:t>
      </w:r>
    </w:p>
    <w:p>
      <w:pPr>
        <w:pStyle w:val="BodyText"/>
        <w:spacing w:line="240" w:lineRule="auto" w:before="50"/>
        <w:ind w:left="1134" w:right="0"/>
        <w:jc w:val="left"/>
      </w:pPr>
      <w:r>
        <w:rPr/>
        <w:t>益及资本公积累计金额为人民币</w:t>
      </w:r>
      <w:r>
        <w:rPr>
          <w:spacing w:val="-53"/>
        </w:rPr>
        <w:t> </w:t>
      </w:r>
      <w:r>
        <w:rPr>
          <w:rFonts w:ascii="Times New Roman" w:hAnsi="Times New Roman" w:cs="Times New Roman" w:eastAsia="Times New Roman" w:hint="default"/>
        </w:rPr>
        <w:t>28,705,944.27</w:t>
      </w:r>
      <w:r>
        <w:rPr>
          <w:rFonts w:ascii="Times New Roman" w:hAnsi="Times New Roman" w:cs="Times New Roman" w:eastAsia="Times New Roman" w:hint="default"/>
          <w:spacing w:val="-10"/>
        </w:rPr>
        <w:t> </w:t>
      </w:r>
      <w:r>
        <w:rPr/>
        <w:t>元，确认资产减值损失</w:t>
      </w:r>
      <w:r>
        <w:rPr>
          <w:spacing w:val="-54"/>
        </w:rPr>
        <w:t> </w:t>
      </w:r>
      <w:r>
        <w:rPr>
          <w:rFonts w:ascii="Times New Roman" w:hAnsi="Times New Roman" w:cs="Times New Roman" w:eastAsia="Times New Roman" w:hint="default"/>
        </w:rPr>
        <w:t>974,934.22</w:t>
      </w:r>
      <w:r>
        <w:rPr>
          <w:rFonts w:ascii="Times New Roman" w:hAnsi="Times New Roman" w:cs="Times New Roman" w:eastAsia="Times New Roman" w:hint="default"/>
          <w:spacing w:val="-11"/>
        </w:rPr>
        <w:t> </w:t>
      </w:r>
      <w:r>
        <w:rPr/>
        <w:t>元。</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12、一年内到期的非流动资产" w:id="268"/>
      <w:bookmarkEnd w:id="268"/>
      <w:r>
        <w:rPr/>
      </w:r>
      <w:r>
        <w:rPr>
          <w:rFonts w:ascii="Times New Roman" w:hAnsi="Times New Roman" w:cs="Times New Roman" w:eastAsia="Times New Roman" w:hint="default"/>
        </w:rPr>
        <w:t>12</w:t>
      </w:r>
      <w:r>
        <w:rPr>
          <w:rFonts w:ascii="微软雅黑" w:hAnsi="微软雅黑" w:cs="微软雅黑" w:eastAsia="微软雅黑" w:hint="default"/>
        </w:rPr>
        <w:t>、一年内到期的非流动资产</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6"/>
        <w:gridCol w:w="3287"/>
      </w:tblGrid>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年内到期的长期应收款</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6,634,979.76</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5,446,979.60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6,634,979.76</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5,446,979.60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13、其他流动资产" w:id="269"/>
      <w:bookmarkEnd w:id="269"/>
      <w:r>
        <w:rPr/>
      </w:r>
      <w:r>
        <w:rPr>
          <w:rFonts w:ascii="Times New Roman" w:hAnsi="Times New Roman" w:cs="Times New Roman" w:eastAsia="Times New Roman" w:hint="default"/>
        </w:rPr>
        <w:t>13</w:t>
      </w:r>
      <w:r>
        <w:rPr>
          <w:rFonts w:ascii="微软雅黑" w:hAnsi="微软雅黑" w:cs="微软雅黑" w:eastAsia="微软雅黑" w:hint="default"/>
        </w:rPr>
        <w:t>、其他流动资产</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6"/>
        <w:gridCol w:w="3287"/>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进项税额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520,891.70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331,884.17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16,416.40</w:t>
            </w:r>
          </w:p>
        </w:tc>
        <w:tc>
          <w:tcPr>
            <w:tcW w:w="328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3,368,310.30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3,385,218.84</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2,857,946.56</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1,315,596.93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141,775.07</w:t>
            </w:r>
          </w:p>
        </w:tc>
        <w:tc>
          <w:tcPr>
            <w:tcW w:w="328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395,922.37</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39,458.29</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预缴个人所得税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10,594.07</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9,983.64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预缴消费税</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8,193.82</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7,311,856.47</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5,090,335.69</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14、可供出售金融资产" w:id="270"/>
      <w:bookmarkEnd w:id="270"/>
      <w:r>
        <w:rPr/>
      </w:r>
      <w:r>
        <w:rPr>
          <w:rFonts w:ascii="Times New Roman" w:hAnsi="Times New Roman" w:cs="Times New Roman" w:eastAsia="Times New Roman" w:hint="default"/>
        </w:rPr>
        <w:t>14</w:t>
      </w:r>
      <w:r>
        <w:rPr>
          <w:rFonts w:ascii="微软雅黑" w:hAnsi="微软雅黑" w:cs="微软雅黑" w:eastAsia="微软雅黑" w:hint="default"/>
        </w:rPr>
        <w:t>、可供出售金融资产</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可供出售金融资产情况" w:id="271"/>
      <w:bookmarkEnd w:id="27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016"/>
        <w:gridCol w:w="1342"/>
        <w:gridCol w:w="1188"/>
        <w:gridCol w:w="1336"/>
        <w:gridCol w:w="1251"/>
        <w:gridCol w:w="1356"/>
        <w:gridCol w:w="1367"/>
      </w:tblGrid>
      <w:tr>
        <w:trPr>
          <w:trHeight w:val="397" w:hRule="exact"/>
        </w:trPr>
        <w:tc>
          <w:tcPr>
            <w:tcW w:w="2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2016"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2"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4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160,936,452.83</w:t>
            </w:r>
          </w:p>
        </w:tc>
        <w:tc>
          <w:tcPr>
            <w:tcW w:w="11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27" w:right="0"/>
              <w:jc w:val="center"/>
              <w:rPr>
                <w:rFonts w:ascii="Times New Roman" w:hAnsi="Times New Roman" w:cs="Times New Roman" w:eastAsia="Times New Roman" w:hint="default"/>
                <w:sz w:val="18"/>
                <w:szCs w:val="18"/>
              </w:rPr>
            </w:pPr>
            <w:r>
              <w:rPr>
                <w:rFonts w:ascii="Times New Roman"/>
                <w:sz w:val="18"/>
              </w:rPr>
              <w:t>9,044,944.72</w:t>
            </w:r>
          </w:p>
        </w:tc>
        <w:tc>
          <w:tcPr>
            <w:tcW w:w="133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151,891,508.11</w:t>
            </w:r>
          </w:p>
        </w:tc>
        <w:tc>
          <w:tcPr>
            <w:tcW w:w="125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93,127,919.06</w:t>
            </w:r>
          </w:p>
        </w:tc>
        <w:tc>
          <w:tcPr>
            <w:tcW w:w="1356" w:type="dxa"/>
            <w:tcBorders>
              <w:top w:val="single" w:sz="12" w:space="0" w:color="D2D2D2"/>
              <w:left w:val="single" w:sz="4" w:space="0" w:color="000000"/>
              <w:bottom w:val="single" w:sz="4" w:space="0" w:color="000000"/>
              <w:right w:val="single" w:sz="4" w:space="0" w:color="000000"/>
            </w:tcBorders>
          </w:tcPr>
          <w:p>
            <w:pPr/>
          </w:p>
        </w:tc>
        <w:tc>
          <w:tcPr>
            <w:tcW w:w="136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93,127,919.06</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160,936,452.83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 w:right="0"/>
              <w:jc w:val="center"/>
              <w:rPr>
                <w:rFonts w:ascii="Times New Roman" w:hAnsi="Times New Roman" w:cs="Times New Roman" w:eastAsia="Times New Roman" w:hint="default"/>
                <w:sz w:val="18"/>
                <w:szCs w:val="18"/>
              </w:rPr>
            </w:pPr>
            <w:r>
              <w:rPr>
                <w:rFonts w:ascii="Times New Roman"/>
                <w:sz w:val="18"/>
              </w:rPr>
              <w:t>9,044,944.72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151,891,508.11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93,127,919.06</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93,127,919.06</w:t>
            </w:r>
          </w:p>
        </w:tc>
      </w:tr>
      <w:tr>
        <w:trPr>
          <w:trHeight w:val="408"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160,936,452.83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 w:right="0"/>
              <w:jc w:val="center"/>
              <w:rPr>
                <w:rFonts w:ascii="Times New Roman" w:hAnsi="Times New Roman" w:cs="Times New Roman" w:eastAsia="Times New Roman" w:hint="default"/>
                <w:sz w:val="18"/>
                <w:szCs w:val="18"/>
              </w:rPr>
            </w:pPr>
            <w:r>
              <w:rPr>
                <w:rFonts w:ascii="Times New Roman"/>
                <w:sz w:val="18"/>
              </w:rPr>
              <w:t>9,044,944.72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151,891,508.11</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93,127,919.06</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93,127,919.06</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期末按公允价值计量的可供出售金融资产" w:id="272"/>
      <w:bookmarkEnd w:id="27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638"/>
        <w:gridCol w:w="2289"/>
        <w:gridCol w:w="2464"/>
        <w:gridCol w:w="2465"/>
      </w:tblGrid>
      <w:tr>
        <w:trPr>
          <w:trHeight w:val="407" w:hRule="exact"/>
        </w:trPr>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8"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5"/>
        <w:rPr>
          <w:rFonts w:ascii="宋体" w:hAnsi="宋体" w:cs="宋体" w:eastAsia="宋体" w:hint="default"/>
          <w:sz w:val="11"/>
          <w:szCs w:val="11"/>
        </w:rPr>
      </w:pPr>
    </w:p>
    <w:p>
      <w:pPr>
        <w:pStyle w:val="Heading4"/>
        <w:spacing w:line="240" w:lineRule="auto" w:before="35"/>
        <w:ind w:right="0"/>
        <w:jc w:val="left"/>
        <w:rPr>
          <w:b w:val="0"/>
          <w:bCs w:val="0"/>
        </w:rPr>
      </w:pPr>
      <w:bookmarkStart w:name="（3）期末按成本计量的可供出售金融资产" w:id="273"/>
      <w:bookmarkEnd w:id="27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6"/>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71" w:type="dxa"/>
        <w:tblLayout w:type="fixed"/>
        <w:tblCellMar>
          <w:top w:w="0" w:type="dxa"/>
          <w:left w:w="0" w:type="dxa"/>
          <w:bottom w:w="0" w:type="dxa"/>
          <w:right w:w="0" w:type="dxa"/>
        </w:tblCellMar>
        <w:tblLook w:val="01E0"/>
      </w:tblPr>
      <w:tblGrid>
        <w:gridCol w:w="1634"/>
        <w:gridCol w:w="1092"/>
        <w:gridCol w:w="1092"/>
        <w:gridCol w:w="793"/>
        <w:gridCol w:w="1177"/>
        <w:gridCol w:w="306"/>
        <w:gridCol w:w="1007"/>
        <w:gridCol w:w="551"/>
        <w:gridCol w:w="1007"/>
        <w:gridCol w:w="638"/>
        <w:gridCol w:w="456"/>
      </w:tblGrid>
      <w:tr>
        <w:trPr>
          <w:trHeight w:val="40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86" w:right="0"/>
              <w:jc w:val="left"/>
              <w:rPr>
                <w:rFonts w:ascii="宋体" w:hAnsi="宋体" w:cs="宋体" w:eastAsia="宋体" w:hint="default"/>
                <w:sz w:val="17"/>
                <w:szCs w:val="17"/>
              </w:rPr>
            </w:pPr>
            <w:r>
              <w:rPr>
                <w:rFonts w:ascii="宋体" w:hAnsi="宋体" w:cs="宋体" w:eastAsia="宋体" w:hint="default"/>
                <w:sz w:val="17"/>
                <w:szCs w:val="17"/>
              </w:rPr>
              <w:t>被投资单位</w:t>
            </w:r>
          </w:p>
        </w:tc>
        <w:tc>
          <w:tcPr>
            <w:tcW w:w="41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sz w:val="17"/>
                <w:szCs w:val="17"/>
              </w:rPr>
              <w:t>账面余额</w:t>
            </w:r>
          </w:p>
        </w:tc>
        <w:tc>
          <w:tcPr>
            <w:tcW w:w="28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2" w:right="0"/>
              <w:jc w:val="center"/>
              <w:rPr>
                <w:rFonts w:ascii="宋体" w:hAnsi="宋体" w:cs="宋体" w:eastAsia="宋体" w:hint="default"/>
                <w:sz w:val="17"/>
                <w:szCs w:val="17"/>
              </w:rPr>
            </w:pPr>
            <w:r>
              <w:rPr>
                <w:rFonts w:ascii="宋体" w:hAnsi="宋体" w:cs="宋体" w:eastAsia="宋体" w:hint="default"/>
                <w:sz w:val="17"/>
                <w:szCs w:val="17"/>
              </w:rPr>
              <w:t>减值准备</w:t>
            </w:r>
          </w:p>
        </w:tc>
        <w:tc>
          <w:tcPr>
            <w:tcW w:w="638"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36"/>
              <w:ind w:left="58" w:right="56"/>
              <w:jc w:val="center"/>
              <w:rPr>
                <w:rFonts w:ascii="宋体" w:hAnsi="宋体" w:cs="宋体" w:eastAsia="宋体" w:hint="default"/>
                <w:sz w:val="17"/>
                <w:szCs w:val="17"/>
              </w:rPr>
            </w:pPr>
            <w:r>
              <w:rPr>
                <w:rFonts w:ascii="宋体" w:hAnsi="宋体" w:cs="宋体" w:eastAsia="宋体" w:hint="default"/>
                <w:sz w:val="17"/>
                <w:szCs w:val="17"/>
              </w:rPr>
              <w:t>在被投</w:t>
            </w:r>
            <w:r>
              <w:rPr>
                <w:rFonts w:ascii="宋体" w:hAnsi="宋体" w:cs="宋体" w:eastAsia="宋体" w:hint="default"/>
                <w:w w:val="100"/>
                <w:sz w:val="17"/>
                <w:szCs w:val="17"/>
              </w:rPr>
              <w:t> </w:t>
            </w:r>
            <w:r>
              <w:rPr>
                <w:rFonts w:ascii="宋体" w:hAnsi="宋体" w:cs="宋体" w:eastAsia="宋体" w:hint="default"/>
                <w:sz w:val="17"/>
                <w:szCs w:val="17"/>
              </w:rPr>
              <w:t>资单位</w:t>
            </w:r>
            <w:r>
              <w:rPr>
                <w:rFonts w:ascii="宋体" w:hAnsi="宋体" w:cs="宋体" w:eastAsia="宋体" w:hint="default"/>
                <w:w w:val="100"/>
                <w:sz w:val="17"/>
                <w:szCs w:val="17"/>
              </w:rPr>
              <w:t> </w:t>
            </w:r>
            <w:r>
              <w:rPr>
                <w:rFonts w:ascii="宋体" w:hAnsi="宋体" w:cs="宋体" w:eastAsia="宋体" w:hint="default"/>
                <w:sz w:val="17"/>
                <w:szCs w:val="17"/>
              </w:rPr>
              <w:t>持股比</w:t>
            </w:r>
            <w:r>
              <w:rPr>
                <w:rFonts w:ascii="宋体" w:hAnsi="宋体" w:cs="宋体" w:eastAsia="宋体" w:hint="default"/>
                <w:w w:val="100"/>
                <w:sz w:val="17"/>
                <w:szCs w:val="17"/>
              </w:rPr>
              <w:t> </w:t>
            </w:r>
            <w:r>
              <w:rPr>
                <w:rFonts w:ascii="宋体" w:hAnsi="宋体" w:cs="宋体" w:eastAsia="宋体" w:hint="default"/>
                <w:sz w:val="17"/>
                <w:szCs w:val="17"/>
              </w:rPr>
              <w:t>例</w:t>
            </w: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37" w:lineRule="auto"/>
              <w:ind w:left="53" w:right="49"/>
              <w:jc w:val="both"/>
              <w:rPr>
                <w:rFonts w:ascii="宋体" w:hAnsi="宋体" w:cs="宋体" w:eastAsia="宋体" w:hint="default"/>
                <w:sz w:val="17"/>
                <w:szCs w:val="17"/>
              </w:rPr>
            </w:pPr>
            <w:r>
              <w:rPr>
                <w:rFonts w:ascii="宋体" w:hAnsi="宋体" w:cs="宋体" w:eastAsia="宋体" w:hint="default"/>
                <w:sz w:val="17"/>
                <w:szCs w:val="17"/>
              </w:rPr>
              <w:t>本期</w:t>
            </w:r>
            <w:r>
              <w:rPr>
                <w:rFonts w:ascii="宋体" w:hAnsi="宋体" w:cs="宋体" w:eastAsia="宋体" w:hint="default"/>
                <w:w w:val="100"/>
                <w:sz w:val="17"/>
                <w:szCs w:val="17"/>
              </w:rPr>
              <w:t> </w:t>
            </w:r>
            <w:r>
              <w:rPr>
                <w:rFonts w:ascii="宋体" w:hAnsi="宋体" w:cs="宋体" w:eastAsia="宋体" w:hint="default"/>
                <w:sz w:val="17"/>
                <w:szCs w:val="17"/>
              </w:rPr>
              <w:t>现金</w:t>
            </w:r>
            <w:r>
              <w:rPr>
                <w:rFonts w:ascii="宋体" w:hAnsi="宋体" w:cs="宋体" w:eastAsia="宋体" w:hint="default"/>
                <w:w w:val="100"/>
                <w:sz w:val="17"/>
                <w:szCs w:val="17"/>
              </w:rPr>
              <w:t> </w:t>
            </w:r>
            <w:r>
              <w:rPr>
                <w:rFonts w:ascii="宋体" w:hAnsi="宋体" w:cs="宋体" w:eastAsia="宋体" w:hint="default"/>
                <w:sz w:val="17"/>
                <w:szCs w:val="17"/>
              </w:rPr>
              <w:t>红利</w:t>
            </w:r>
          </w:p>
        </w:tc>
      </w:tr>
      <w:tr>
        <w:trPr>
          <w:trHeight w:val="60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期初</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本期减少</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期末</w:t>
            </w:r>
          </w:p>
        </w:tc>
        <w:tc>
          <w:tcPr>
            <w:tcW w:w="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74"/>
              <w:ind w:left="63" w:right="60"/>
              <w:jc w:val="left"/>
              <w:rPr>
                <w:rFonts w:ascii="宋体" w:hAnsi="宋体" w:cs="宋体" w:eastAsia="宋体" w:hint="default"/>
                <w:sz w:val="17"/>
                <w:szCs w:val="17"/>
              </w:rPr>
            </w:pP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初</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58" w:right="0"/>
              <w:jc w:val="left"/>
              <w:rPr>
                <w:rFonts w:ascii="宋体" w:hAnsi="宋体" w:cs="宋体" w:eastAsia="宋体" w:hint="default"/>
                <w:sz w:val="17"/>
                <w:szCs w:val="17"/>
              </w:rPr>
            </w:pPr>
            <w:r>
              <w:rPr>
                <w:rFonts w:ascii="宋体" w:hAnsi="宋体" w:cs="宋体" w:eastAsia="宋体" w:hint="default"/>
                <w:sz w:val="17"/>
                <w:szCs w:val="17"/>
              </w:rPr>
              <w:t>本期增加</w:t>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0" w:lineRule="exact" w:before="74"/>
              <w:ind w:left="100" w:right="97"/>
              <w:jc w:val="left"/>
              <w:rPr>
                <w:rFonts w:ascii="宋体" w:hAnsi="宋体" w:cs="宋体" w:eastAsia="宋体" w:hint="default"/>
                <w:sz w:val="17"/>
                <w:szCs w:val="17"/>
              </w:rPr>
            </w:pPr>
            <w:r>
              <w:rPr>
                <w:rFonts w:ascii="宋体" w:hAnsi="宋体" w:cs="宋体" w:eastAsia="宋体" w:hint="default"/>
                <w:sz w:val="17"/>
                <w:szCs w:val="17"/>
              </w:rPr>
              <w:t>本期</w:t>
            </w:r>
            <w:r>
              <w:rPr>
                <w:rFonts w:ascii="宋体" w:hAnsi="宋体" w:cs="宋体" w:eastAsia="宋体" w:hint="default"/>
                <w:w w:val="100"/>
                <w:sz w:val="17"/>
                <w:szCs w:val="17"/>
              </w:rPr>
              <w:t> </w:t>
            </w:r>
            <w:r>
              <w:rPr>
                <w:rFonts w:ascii="宋体" w:hAnsi="宋体" w:cs="宋体" w:eastAsia="宋体" w:hint="default"/>
                <w:sz w:val="17"/>
                <w:szCs w:val="17"/>
              </w:rPr>
              <w:t>减少</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327" w:right="0"/>
              <w:jc w:val="left"/>
              <w:rPr>
                <w:rFonts w:ascii="宋体" w:hAnsi="宋体" w:cs="宋体" w:eastAsia="宋体" w:hint="default"/>
                <w:sz w:val="17"/>
                <w:szCs w:val="17"/>
              </w:rPr>
            </w:pPr>
            <w:r>
              <w:rPr>
                <w:rFonts w:ascii="宋体" w:hAnsi="宋体" w:cs="宋体" w:eastAsia="宋体" w:hint="default"/>
                <w:sz w:val="17"/>
                <w:szCs w:val="17"/>
              </w:rPr>
              <w:t>期末</w:t>
            </w:r>
          </w:p>
        </w:tc>
        <w:tc>
          <w:tcPr>
            <w:tcW w:w="638" w:type="dxa"/>
            <w:vMerge/>
            <w:tcBorders>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r>
      <w:tr>
        <w:trPr>
          <w:trHeight w:val="57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8"/>
              <w:ind w:left="52" w:right="37"/>
              <w:jc w:val="left"/>
              <w:rPr>
                <w:rFonts w:ascii="宋体" w:hAnsi="宋体" w:cs="宋体" w:eastAsia="宋体" w:hint="default"/>
                <w:sz w:val="17"/>
                <w:szCs w:val="17"/>
              </w:rPr>
            </w:pPr>
            <w:r>
              <w:rPr>
                <w:rFonts w:ascii="宋体" w:hAnsi="宋体" w:cs="宋体" w:eastAsia="宋体" w:hint="default"/>
                <w:sz w:val="17"/>
                <w:szCs w:val="17"/>
              </w:rPr>
              <w:t>芯联达科技（北京）</w:t>
            </w:r>
            <w:r>
              <w:rPr>
                <w:rFonts w:ascii="宋体" w:hAnsi="宋体" w:cs="宋体" w:eastAsia="宋体" w:hint="default"/>
                <w:w w:val="100"/>
                <w:sz w:val="17"/>
                <w:szCs w:val="17"/>
              </w:rPr>
              <w:t> </w:t>
            </w:r>
            <w:r>
              <w:rPr>
                <w:rFonts w:ascii="宋体" w:hAnsi="宋体" w:cs="宋体" w:eastAsia="宋体" w:hint="default"/>
                <w:sz w:val="17"/>
                <w:szCs w:val="17"/>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5,000,000.00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5,000,000.00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3.47%</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387"/>
              <w:jc w:val="left"/>
              <w:rPr>
                <w:rFonts w:ascii="Times New Roman" w:hAnsi="Times New Roman" w:cs="Times New Roman" w:eastAsia="Times New Roman" w:hint="default"/>
                <w:sz w:val="17"/>
                <w:szCs w:val="17"/>
              </w:rPr>
            </w:pPr>
            <w:r>
              <w:rPr>
                <w:rFonts w:ascii="Times New Roman"/>
                <w:spacing w:val="-3"/>
                <w:sz w:val="17"/>
              </w:rPr>
              <w:t>CISTA</w:t>
            </w:r>
            <w:r>
              <w:rPr>
                <w:rFonts w:ascii="Times New Roman"/>
                <w:spacing w:val="-9"/>
                <w:sz w:val="17"/>
              </w:rPr>
              <w:t> </w:t>
            </w:r>
            <w:r>
              <w:rPr>
                <w:rFonts w:ascii="Times New Roman"/>
                <w:sz w:val="17"/>
              </w:rPr>
              <w:t>SYSTEM</w:t>
            </w:r>
            <w:r>
              <w:rPr>
                <w:rFonts w:ascii="Times New Roman"/>
                <w:w w:val="100"/>
                <w:sz w:val="17"/>
              </w:rPr>
              <w:t> </w:t>
            </w:r>
            <w:r>
              <w:rPr>
                <w:rFonts w:ascii="Times New Roman"/>
                <w:spacing w:val="-4"/>
                <w:sz w:val="17"/>
              </w:rPr>
              <w:t>CORP.</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9,361,700.00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9,361,700.00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1.99%</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 w:right="0"/>
              <w:jc w:val="left"/>
              <w:rPr>
                <w:rFonts w:ascii="Times New Roman" w:hAnsi="Times New Roman" w:cs="Times New Roman" w:eastAsia="Times New Roman" w:hint="default"/>
                <w:sz w:val="17"/>
                <w:szCs w:val="17"/>
              </w:rPr>
            </w:pPr>
            <w:r>
              <w:rPr>
                <w:rFonts w:ascii="Times New Roman"/>
                <w:sz w:val="17"/>
              </w:rPr>
              <w:t>Sesame Pie</w:t>
            </w:r>
            <w:r>
              <w:rPr>
                <w:rFonts w:ascii="Times New Roman"/>
                <w:spacing w:val="-4"/>
                <w:sz w:val="17"/>
              </w:rPr>
              <w:t> </w:t>
            </w:r>
            <w:r>
              <w:rPr>
                <w:rFonts w:ascii="Times New Roman"/>
                <w:sz w:val="17"/>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1,275,040.00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pacing w:val="-1"/>
                <w:sz w:val="17"/>
              </w:rPr>
              <w:t>1,275,040.00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z w:val="17"/>
              </w:rPr>
              <w:t>1.76%</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2" w:right="756"/>
              <w:jc w:val="left"/>
              <w:rPr>
                <w:rFonts w:ascii="Times New Roman" w:hAnsi="Times New Roman" w:cs="Times New Roman" w:eastAsia="Times New Roman" w:hint="default"/>
                <w:sz w:val="17"/>
                <w:szCs w:val="17"/>
              </w:rPr>
            </w:pPr>
            <w:r>
              <w:rPr>
                <w:rFonts w:ascii="Times New Roman"/>
                <w:sz w:val="17"/>
              </w:rPr>
              <w:t>NOK</w:t>
            </w:r>
            <w:r>
              <w:rPr>
                <w:rFonts w:ascii="Times New Roman"/>
                <w:spacing w:val="-2"/>
                <w:sz w:val="17"/>
              </w:rPr>
              <w:t> </w:t>
            </w:r>
            <w:r>
              <w:rPr>
                <w:rFonts w:ascii="Times New Roman"/>
                <w:sz w:val="17"/>
              </w:rPr>
              <w:t>NOK</w:t>
            </w:r>
            <w:r>
              <w:rPr>
                <w:rFonts w:ascii="Times New Roman"/>
                <w:w w:val="100"/>
                <w:sz w:val="17"/>
              </w:rPr>
              <w:t> </w:t>
            </w:r>
            <w:r>
              <w:rPr>
                <w:rFonts w:ascii="Times New Roman"/>
                <w:sz w:val="17"/>
              </w:rPr>
              <w:t>LABS,INC.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9,175,350.00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0"/>
              <w:jc w:val="right"/>
              <w:rPr>
                <w:rFonts w:ascii="Times New Roman" w:hAnsi="Times New Roman" w:cs="Times New Roman" w:eastAsia="Times New Roman" w:hint="default"/>
                <w:sz w:val="17"/>
                <w:szCs w:val="17"/>
              </w:rPr>
            </w:pPr>
            <w:r>
              <w:rPr>
                <w:rFonts w:ascii="Times New Roman"/>
                <w:spacing w:val="-1"/>
                <w:sz w:val="17"/>
              </w:rPr>
              <w:t>447,482.56</w:t>
            </w: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9,622,832.56</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2.18%</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167"/>
              <w:jc w:val="left"/>
              <w:rPr>
                <w:rFonts w:ascii="Times New Roman" w:hAnsi="Times New Roman" w:cs="Times New Roman" w:eastAsia="Times New Roman" w:hint="default"/>
                <w:sz w:val="17"/>
                <w:szCs w:val="17"/>
              </w:rPr>
            </w:pPr>
            <w:r>
              <w:rPr>
                <w:rFonts w:ascii="Times New Roman"/>
                <w:sz w:val="17"/>
              </w:rPr>
              <w:t>Evolution</w:t>
            </w:r>
            <w:r>
              <w:rPr>
                <w:rFonts w:ascii="Times New Roman"/>
                <w:spacing w:val="-3"/>
                <w:sz w:val="17"/>
              </w:rPr>
              <w:t> </w:t>
            </w:r>
            <w:r>
              <w:rPr>
                <w:rFonts w:ascii="Times New Roman"/>
                <w:sz w:val="17"/>
              </w:rPr>
              <w:t>Dynamics</w:t>
            </w:r>
            <w:r>
              <w:rPr>
                <w:rFonts w:ascii="Times New Roman"/>
                <w:w w:val="100"/>
                <w:sz w:val="17"/>
              </w:rPr>
              <w:t> </w:t>
            </w:r>
            <w:r>
              <w:rPr>
                <w:rFonts w:ascii="Times New Roman"/>
                <w:sz w:val="17"/>
              </w:rPr>
              <w:t>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531,778.82</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531,778.82</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531,778.82</w:t>
            </w: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531,778.82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1.00%</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 w:right="0"/>
              <w:jc w:val="left"/>
              <w:rPr>
                <w:rFonts w:ascii="Times New Roman" w:hAnsi="Times New Roman" w:cs="Times New Roman" w:eastAsia="Times New Roman" w:hint="default"/>
                <w:sz w:val="17"/>
                <w:szCs w:val="17"/>
              </w:rPr>
            </w:pPr>
            <w:r>
              <w:rPr>
                <w:rFonts w:ascii="Times New Roman"/>
                <w:sz w:val="17"/>
              </w:rPr>
              <w:t>PerceptIn</w:t>
            </w:r>
            <w:r>
              <w:rPr>
                <w:rFonts w:ascii="Times New Roman"/>
                <w:spacing w:val="-1"/>
                <w:sz w:val="17"/>
              </w:rPr>
              <w:t> </w:t>
            </w:r>
            <w:r>
              <w:rPr>
                <w:rFonts w:ascii="Times New Roman"/>
                <w:sz w:val="17"/>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438,008.96</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pacing w:val="-1"/>
                <w:sz w:val="17"/>
              </w:rPr>
              <w:t>438,008.96</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z w:val="17"/>
              </w:rPr>
              <w:t>1.16%</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8"/>
              <w:ind w:left="52" w:right="208"/>
              <w:jc w:val="left"/>
              <w:rPr>
                <w:rFonts w:ascii="宋体" w:hAnsi="宋体" w:cs="宋体" w:eastAsia="宋体" w:hint="default"/>
                <w:sz w:val="17"/>
                <w:szCs w:val="17"/>
              </w:rPr>
            </w:pPr>
            <w:r>
              <w:rPr>
                <w:rFonts w:ascii="宋体" w:hAnsi="宋体" w:cs="宋体" w:eastAsia="宋体" w:hint="default"/>
                <w:sz w:val="17"/>
                <w:szCs w:val="17"/>
              </w:rPr>
              <w:t>深圳羚羊极速科技</w:t>
            </w:r>
            <w:r>
              <w:rPr>
                <w:rFonts w:ascii="宋体" w:hAnsi="宋体" w:cs="宋体" w:eastAsia="宋体" w:hint="default"/>
                <w:w w:val="100"/>
                <w:sz w:val="17"/>
                <w:szCs w:val="17"/>
              </w:rPr>
              <w:t> </w:t>
            </w:r>
            <w:r>
              <w:rPr>
                <w:rFonts w:ascii="宋体" w:hAnsi="宋体" w:cs="宋体" w:eastAsia="宋体" w:hint="default"/>
                <w:sz w:val="17"/>
                <w:szCs w:val="17"/>
              </w:rPr>
              <w:t>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13,000,000.00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13,000,000.00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5.00%</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8"/>
              <w:ind w:left="52" w:right="208"/>
              <w:jc w:val="left"/>
              <w:rPr>
                <w:rFonts w:ascii="宋体" w:hAnsi="宋体" w:cs="宋体" w:eastAsia="宋体" w:hint="default"/>
                <w:sz w:val="17"/>
                <w:szCs w:val="17"/>
              </w:rPr>
            </w:pPr>
            <w:r>
              <w:rPr>
                <w:rFonts w:ascii="宋体" w:hAnsi="宋体" w:cs="宋体" w:eastAsia="宋体" w:hint="default"/>
                <w:sz w:val="17"/>
                <w:szCs w:val="17"/>
              </w:rPr>
              <w:t>深圳进化动力数码</w:t>
            </w:r>
            <w:r>
              <w:rPr>
                <w:rFonts w:ascii="宋体" w:hAnsi="宋体" w:cs="宋体" w:eastAsia="宋体" w:hint="default"/>
                <w:w w:val="100"/>
                <w:sz w:val="17"/>
                <w:szCs w:val="17"/>
              </w:rPr>
              <w:t> </w:t>
            </w:r>
            <w:r>
              <w:rPr>
                <w:rFonts w:ascii="宋体" w:hAnsi="宋体" w:cs="宋体" w:eastAsia="宋体" w:hint="default"/>
                <w:sz w:val="17"/>
                <w:szCs w:val="17"/>
              </w:rPr>
              <w:t>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6,531,228.00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6,531,228.00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4.36%</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7"/>
              <w:ind w:left="52" w:right="208"/>
              <w:jc w:val="left"/>
              <w:rPr>
                <w:rFonts w:ascii="宋体" w:hAnsi="宋体" w:cs="宋体" w:eastAsia="宋体" w:hint="default"/>
                <w:sz w:val="17"/>
                <w:szCs w:val="17"/>
              </w:rPr>
            </w:pPr>
            <w:r>
              <w:rPr>
                <w:rFonts w:ascii="宋体" w:hAnsi="宋体" w:cs="宋体" w:eastAsia="宋体" w:hint="default"/>
                <w:sz w:val="17"/>
                <w:szCs w:val="17"/>
              </w:rPr>
              <w:t>北京芝麻派科技有</w:t>
            </w:r>
            <w:r>
              <w:rPr>
                <w:rFonts w:ascii="宋体" w:hAnsi="宋体" w:cs="宋体" w:eastAsia="宋体" w:hint="default"/>
                <w:w w:val="100"/>
                <w:sz w:val="17"/>
                <w:szCs w:val="17"/>
              </w:rPr>
              <w:t> </w:t>
            </w:r>
            <w:r>
              <w:rPr>
                <w:rFonts w:ascii="宋体" w:hAnsi="宋体" w:cs="宋体" w:eastAsia="宋体" w:hint="default"/>
                <w:sz w:val="17"/>
                <w:szCs w:val="17"/>
              </w:rPr>
              <w:t>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67,463.00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sz w:val="17"/>
              </w:rPr>
              <w:t>67,463.00</w:t>
            </w:r>
          </w:p>
        </w:tc>
        <w:tc>
          <w:tcPr>
            <w:tcW w:w="1177" w:type="dxa"/>
            <w:tcBorders>
              <w:top w:val="single" w:sz="4" w:space="0" w:color="000000"/>
              <w:left w:val="single" w:sz="4" w:space="0" w:color="000000"/>
              <w:bottom w:val="single" w:sz="4" w:space="0" w:color="000000"/>
              <w:right w:val="single" w:sz="4" w:space="0" w:color="000000"/>
            </w:tcBorders>
          </w:tcPr>
          <w:p>
            <w:pP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1.96%</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2" w:right="0"/>
              <w:jc w:val="left"/>
              <w:rPr>
                <w:rFonts w:ascii="Times New Roman" w:hAnsi="Times New Roman" w:cs="Times New Roman" w:eastAsia="Times New Roman" w:hint="default"/>
                <w:sz w:val="17"/>
                <w:szCs w:val="17"/>
              </w:rPr>
            </w:pPr>
            <w:r>
              <w:rPr>
                <w:rFonts w:ascii="Times New Roman"/>
                <w:sz w:val="17"/>
              </w:rPr>
              <w:t>BELLUS 3D</w:t>
            </w:r>
            <w:r>
              <w:rPr>
                <w:rFonts w:ascii="Times New Roman"/>
                <w:spacing w:val="-6"/>
                <w:sz w:val="17"/>
              </w:rPr>
              <w:t> </w:t>
            </w:r>
            <w:r>
              <w:rPr>
                <w:rFonts w:ascii="Times New Roman"/>
                <w:sz w:val="17"/>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9"/>
              <w:jc w:val="right"/>
              <w:rPr>
                <w:rFonts w:ascii="Times New Roman" w:hAnsi="Times New Roman" w:cs="Times New Roman" w:eastAsia="Times New Roman" w:hint="default"/>
                <w:sz w:val="17"/>
                <w:szCs w:val="17"/>
              </w:rPr>
            </w:pPr>
            <w:r>
              <w:rPr>
                <w:rFonts w:ascii="Times New Roman"/>
                <w:spacing w:val="-1"/>
                <w:sz w:val="17"/>
              </w:rPr>
              <w:t>10,017,599.73</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8"/>
              <w:jc w:val="right"/>
              <w:rPr>
                <w:rFonts w:ascii="Times New Roman" w:hAnsi="Times New Roman" w:cs="Times New Roman" w:eastAsia="Times New Roman" w:hint="default"/>
                <w:sz w:val="17"/>
                <w:szCs w:val="17"/>
              </w:rPr>
            </w:pPr>
            <w:r>
              <w:rPr>
                <w:rFonts w:ascii="Times New Roman"/>
                <w:spacing w:val="-1"/>
                <w:sz w:val="17"/>
              </w:rPr>
              <w:t>10,017,599.73</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8"/>
              <w:jc w:val="right"/>
              <w:rPr>
                <w:rFonts w:ascii="Times New Roman" w:hAnsi="Times New Roman" w:cs="Times New Roman" w:eastAsia="Times New Roman" w:hint="default"/>
                <w:sz w:val="17"/>
                <w:szCs w:val="17"/>
              </w:rPr>
            </w:pPr>
            <w:r>
              <w:rPr>
                <w:rFonts w:ascii="Times New Roman"/>
                <w:sz w:val="17"/>
              </w:rPr>
              <w:t>14.39%</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720"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100"/>
              <w:jc w:val="left"/>
              <w:rPr>
                <w:rFonts w:ascii="Times New Roman" w:hAnsi="Times New Roman" w:cs="Times New Roman" w:eastAsia="Times New Roman" w:hint="default"/>
                <w:sz w:val="17"/>
                <w:szCs w:val="17"/>
              </w:rPr>
            </w:pPr>
            <w:r>
              <w:rPr>
                <w:rFonts w:ascii="Times New Roman"/>
                <w:sz w:val="17"/>
              </w:rPr>
              <w:t>Black Sesame</w:t>
            </w:r>
            <w:r>
              <w:rPr>
                <w:rFonts w:ascii="Times New Roman"/>
                <w:w w:val="100"/>
                <w:sz w:val="17"/>
              </w:rPr>
              <w:t> </w:t>
            </w:r>
            <w:r>
              <w:rPr>
                <w:rFonts w:ascii="Times New Roman"/>
                <w:sz w:val="17"/>
              </w:rPr>
              <w:t>International</w:t>
            </w:r>
            <w:r>
              <w:rPr>
                <w:rFonts w:ascii="Times New Roman"/>
                <w:spacing w:val="-2"/>
                <w:sz w:val="17"/>
              </w:rPr>
              <w:t> </w:t>
            </w:r>
            <w:r>
              <w:rPr>
                <w:rFonts w:ascii="Times New Roman"/>
                <w:sz w:val="17"/>
              </w:rPr>
              <w:t>Holding</w:t>
            </w:r>
            <w:r>
              <w:rPr>
                <w:rFonts w:ascii="Times New Roman"/>
                <w:w w:val="100"/>
                <w:sz w:val="17"/>
              </w:rPr>
              <w:t> </w:t>
            </w:r>
            <w:r>
              <w:rPr>
                <w:rFonts w:ascii="Times New Roman"/>
                <w:sz w:val="17"/>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7,450,740.00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7,450,740.00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14.67%</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 w:right="0"/>
              <w:jc w:val="left"/>
              <w:rPr>
                <w:rFonts w:ascii="Times New Roman" w:hAnsi="Times New Roman" w:cs="Times New Roman" w:eastAsia="Times New Roman" w:hint="default"/>
                <w:sz w:val="17"/>
                <w:szCs w:val="17"/>
              </w:rPr>
            </w:pPr>
            <w:r>
              <w:rPr>
                <w:rFonts w:ascii="Times New Roman"/>
                <w:sz w:val="17"/>
              </w:rPr>
              <w:t>BYROBOTCO.,LTD.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11,844,000.00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pacing w:val="-1"/>
                <w:sz w:val="17"/>
              </w:rPr>
              <w:t>11,844,000.00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z w:val="17"/>
              </w:rPr>
              <w:t>16.67%</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 w:right="0"/>
              <w:jc w:val="left"/>
              <w:rPr>
                <w:rFonts w:ascii="Times New Roman" w:hAnsi="Times New Roman" w:cs="Times New Roman" w:eastAsia="Times New Roman" w:hint="default"/>
                <w:sz w:val="17"/>
                <w:szCs w:val="17"/>
              </w:rPr>
            </w:pPr>
            <w:r>
              <w:rPr>
                <w:rFonts w:ascii="Times New Roman"/>
                <w:sz w:val="17"/>
              </w:rPr>
              <w:t>ZingBox,Limited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10,160,096.68</w:t>
            </w:r>
          </w:p>
        </w:tc>
        <w:tc>
          <w:tcPr>
            <w:tcW w:w="1092"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pacing w:val="-1"/>
                <w:sz w:val="17"/>
              </w:rPr>
              <w:t>10,160,096.68</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z w:val="17"/>
              </w:rPr>
              <w:t>15.42%</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24"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52"/>
              <w:jc w:val="left"/>
              <w:rPr>
                <w:rFonts w:ascii="Times New Roman" w:hAnsi="Times New Roman" w:cs="Times New Roman" w:eastAsia="Times New Roman" w:hint="default"/>
                <w:sz w:val="17"/>
                <w:szCs w:val="17"/>
              </w:rPr>
            </w:pPr>
            <w:r>
              <w:rPr>
                <w:rFonts w:ascii="Times New Roman"/>
                <w:sz w:val="17"/>
              </w:rPr>
              <w:t>ALCES</w:t>
            </w:r>
            <w:r>
              <w:rPr>
                <w:rFonts w:ascii="Times New Roman"/>
                <w:w w:val="100"/>
                <w:sz w:val="17"/>
              </w:rPr>
              <w:t> </w:t>
            </w:r>
            <w:r>
              <w:rPr>
                <w:rFonts w:ascii="Times New Roman"/>
                <w:spacing w:val="-2"/>
                <w:sz w:val="17"/>
              </w:rPr>
              <w:t>TECHNOLOGY,INC.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8,274,913.87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50"/>
              <w:jc w:val="right"/>
              <w:rPr>
                <w:rFonts w:ascii="Times New Roman" w:hAnsi="Times New Roman" w:cs="Times New Roman" w:eastAsia="Times New Roman" w:hint="default"/>
                <w:sz w:val="17"/>
                <w:szCs w:val="17"/>
              </w:rPr>
            </w:pPr>
            <w:r>
              <w:rPr>
                <w:rFonts w:ascii="Times New Roman"/>
                <w:spacing w:val="-1"/>
                <w:sz w:val="17"/>
              </w:rPr>
              <w:t>439,514.21</w:t>
            </w: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8,714,428.08</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8,513,165.90</w:t>
            </w: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9"/>
              <w:jc w:val="right"/>
              <w:rPr>
                <w:rFonts w:ascii="Times New Roman" w:hAnsi="Times New Roman" w:cs="Times New Roman" w:eastAsia="Times New Roman" w:hint="default"/>
                <w:sz w:val="17"/>
                <w:szCs w:val="17"/>
              </w:rPr>
            </w:pPr>
            <w:r>
              <w:rPr>
                <w:rFonts w:ascii="Times New Roman"/>
                <w:spacing w:val="-1"/>
                <w:sz w:val="17"/>
              </w:rPr>
              <w:t>8,513,165.90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4.33%</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2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7"/>
                <w:szCs w:val="17"/>
              </w:rPr>
            </w:pPr>
            <w:r>
              <w:rPr>
                <w:rFonts w:ascii="Times New Roman"/>
                <w:sz w:val="17"/>
              </w:rPr>
              <w:t>KNERON</w:t>
            </w:r>
          </w:p>
          <w:p>
            <w:pPr>
              <w:pStyle w:val="TableParagraph"/>
              <w:spacing w:line="240" w:lineRule="auto"/>
              <w:ind w:left="52" w:right="0"/>
              <w:jc w:val="left"/>
              <w:rPr>
                <w:rFonts w:ascii="Times New Roman" w:hAnsi="Times New Roman" w:cs="Times New Roman" w:eastAsia="Times New Roman" w:hint="default"/>
                <w:sz w:val="17"/>
                <w:szCs w:val="17"/>
              </w:rPr>
            </w:pPr>
            <w:r>
              <w:rPr>
                <w:rFonts w:ascii="Times New Roman"/>
                <w:sz w:val="17"/>
              </w:rPr>
              <w:t>Incorprorated</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50"/>
              <w:jc w:val="right"/>
              <w:rPr>
                <w:rFonts w:ascii="Times New Roman" w:hAnsi="Times New Roman" w:cs="Times New Roman" w:eastAsia="Times New Roman" w:hint="default"/>
                <w:sz w:val="17"/>
                <w:szCs w:val="17"/>
              </w:rPr>
            </w:pPr>
            <w:r>
              <w:rPr>
                <w:rFonts w:ascii="Times New Roman"/>
                <w:spacing w:val="-1"/>
                <w:sz w:val="17"/>
              </w:rPr>
              <w:t>1,989,000.00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1,989,000.00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0.68%</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6"/>
              <w:ind w:left="52" w:right="208"/>
              <w:jc w:val="left"/>
              <w:rPr>
                <w:rFonts w:ascii="宋体" w:hAnsi="宋体" w:cs="宋体" w:eastAsia="宋体" w:hint="default"/>
                <w:sz w:val="17"/>
                <w:szCs w:val="17"/>
              </w:rPr>
            </w:pPr>
            <w:r>
              <w:rPr>
                <w:rFonts w:ascii="宋体" w:hAnsi="宋体" w:cs="宋体" w:eastAsia="宋体" w:hint="default"/>
                <w:sz w:val="17"/>
                <w:szCs w:val="17"/>
              </w:rPr>
              <w:t>上海移远通信技术</w:t>
            </w:r>
            <w:r>
              <w:rPr>
                <w:rFonts w:ascii="宋体" w:hAnsi="宋体" w:cs="宋体" w:eastAsia="宋体" w:hint="default"/>
                <w:w w:val="100"/>
                <w:sz w:val="17"/>
                <w:szCs w:val="17"/>
              </w:rPr>
              <w:t> </w:t>
            </w:r>
            <w:r>
              <w:rPr>
                <w:rFonts w:ascii="宋体" w:hAnsi="宋体" w:cs="宋体" w:eastAsia="宋体" w:hint="default"/>
                <w:sz w:val="17"/>
                <w:szCs w:val="17"/>
              </w:rPr>
              <w:t>股份有限公司</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0"/>
              <w:jc w:val="right"/>
              <w:rPr>
                <w:rFonts w:ascii="Times New Roman" w:hAnsi="Times New Roman" w:cs="Times New Roman" w:eastAsia="Times New Roman" w:hint="default"/>
                <w:sz w:val="17"/>
                <w:szCs w:val="17"/>
              </w:rPr>
            </w:pPr>
            <w:r>
              <w:rPr>
                <w:rFonts w:ascii="Times New Roman"/>
                <w:spacing w:val="-1"/>
                <w:sz w:val="17"/>
              </w:rPr>
              <w:t>10,000,000.00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10,000,000.00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0.91%</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79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6"/>
              <w:ind w:left="52" w:right="49"/>
              <w:jc w:val="left"/>
              <w:rPr>
                <w:rFonts w:ascii="宋体" w:hAnsi="宋体" w:cs="宋体" w:eastAsia="宋体" w:hint="default"/>
                <w:sz w:val="17"/>
                <w:szCs w:val="17"/>
              </w:rPr>
            </w:pPr>
            <w:r>
              <w:rPr>
                <w:rFonts w:ascii="宋体" w:hAnsi="宋体" w:cs="宋体" w:eastAsia="宋体" w:hint="default"/>
                <w:sz w:val="17"/>
                <w:szCs w:val="17"/>
              </w:rPr>
              <w:t>深圳安创科技股权</w:t>
            </w:r>
            <w:r>
              <w:rPr>
                <w:rFonts w:ascii="宋体" w:hAnsi="宋体" w:cs="宋体" w:eastAsia="宋体" w:hint="default"/>
                <w:w w:val="100"/>
                <w:sz w:val="17"/>
                <w:szCs w:val="17"/>
              </w:rPr>
              <w:t> </w:t>
            </w:r>
            <w:r>
              <w:rPr>
                <w:rFonts w:ascii="宋体" w:hAnsi="宋体" w:cs="宋体" w:eastAsia="宋体" w:hint="default"/>
                <w:spacing w:val="-2"/>
                <w:sz w:val="17"/>
                <w:szCs w:val="17"/>
              </w:rPr>
              <w:t>投资合伙企业（有限</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合伙）</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0"/>
              <w:jc w:val="right"/>
              <w:rPr>
                <w:rFonts w:ascii="Times New Roman" w:hAnsi="Times New Roman" w:cs="Times New Roman" w:eastAsia="Times New Roman" w:hint="default"/>
                <w:sz w:val="17"/>
                <w:szCs w:val="17"/>
              </w:rPr>
            </w:pPr>
            <w:r>
              <w:rPr>
                <w:rFonts w:ascii="Times New Roman"/>
                <w:spacing w:val="-1"/>
                <w:sz w:val="17"/>
              </w:rPr>
              <w:t>3,000,000.00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3,000,000.00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7.00%</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795"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57"/>
              <w:ind w:left="52" w:right="208"/>
              <w:jc w:val="left"/>
              <w:rPr>
                <w:rFonts w:ascii="宋体" w:hAnsi="宋体" w:cs="宋体" w:eastAsia="宋体" w:hint="default"/>
                <w:sz w:val="17"/>
                <w:szCs w:val="17"/>
              </w:rPr>
            </w:pPr>
            <w:r>
              <w:rPr>
                <w:rFonts w:ascii="宋体" w:hAnsi="宋体" w:cs="宋体" w:eastAsia="宋体" w:hint="default"/>
                <w:sz w:val="17"/>
                <w:szCs w:val="17"/>
              </w:rPr>
              <w:t>重庆极创渝源股权</w:t>
            </w:r>
            <w:r>
              <w:rPr>
                <w:rFonts w:ascii="宋体" w:hAnsi="宋体" w:cs="宋体" w:eastAsia="宋体" w:hint="default"/>
                <w:w w:val="100"/>
                <w:sz w:val="17"/>
                <w:szCs w:val="17"/>
              </w:rPr>
              <w:t> </w:t>
            </w:r>
            <w:r>
              <w:rPr>
                <w:rFonts w:ascii="宋体" w:hAnsi="宋体" w:cs="宋体" w:eastAsia="宋体" w:hint="default"/>
                <w:sz w:val="17"/>
                <w:szCs w:val="17"/>
              </w:rPr>
              <w:t>投资基金合伙企业</w:t>
            </w:r>
          </w:p>
          <w:p>
            <w:pPr>
              <w:pStyle w:val="TableParagraph"/>
              <w:spacing w:line="201" w:lineRule="exact"/>
              <w:ind w:left="52" w:right="0"/>
              <w:jc w:val="left"/>
              <w:rPr>
                <w:rFonts w:ascii="宋体" w:hAnsi="宋体" w:cs="宋体" w:eastAsia="宋体" w:hint="default"/>
                <w:sz w:val="17"/>
                <w:szCs w:val="17"/>
              </w:rPr>
            </w:pPr>
            <w:r>
              <w:rPr>
                <w:rFonts w:ascii="宋体" w:hAnsi="宋体" w:cs="宋体" w:eastAsia="宋体" w:hint="default"/>
                <w:sz w:val="17"/>
                <w:szCs w:val="17"/>
              </w:rPr>
              <w:t>（有限合伙）</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50"/>
              <w:jc w:val="right"/>
              <w:rPr>
                <w:rFonts w:ascii="Times New Roman" w:hAnsi="Times New Roman" w:cs="Times New Roman" w:eastAsia="Times New Roman" w:hint="default"/>
                <w:sz w:val="17"/>
                <w:szCs w:val="17"/>
              </w:rPr>
            </w:pPr>
            <w:r>
              <w:rPr>
                <w:rFonts w:ascii="Times New Roman"/>
                <w:spacing w:val="-1"/>
                <w:sz w:val="17"/>
              </w:rPr>
              <w:t>50,000,000.00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50,000,000.00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31.25%</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796"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7"/>
              <w:ind w:left="52" w:right="209"/>
              <w:jc w:val="both"/>
              <w:rPr>
                <w:rFonts w:ascii="宋体" w:hAnsi="宋体" w:cs="宋体" w:eastAsia="宋体" w:hint="default"/>
                <w:sz w:val="17"/>
                <w:szCs w:val="17"/>
              </w:rPr>
            </w:pPr>
            <w:r>
              <w:rPr>
                <w:rFonts w:ascii="宋体" w:hAnsi="宋体" w:cs="宋体" w:eastAsia="宋体" w:hint="default"/>
                <w:sz w:val="17"/>
                <w:szCs w:val="17"/>
              </w:rPr>
              <w:t>重庆极创君源股权</w:t>
            </w:r>
            <w:r>
              <w:rPr>
                <w:rFonts w:ascii="宋体" w:hAnsi="宋体" w:cs="宋体" w:eastAsia="宋体" w:hint="default"/>
                <w:w w:val="100"/>
                <w:sz w:val="17"/>
                <w:szCs w:val="17"/>
              </w:rPr>
              <w:t> </w:t>
            </w:r>
            <w:r>
              <w:rPr>
                <w:rFonts w:ascii="宋体" w:hAnsi="宋体" w:cs="宋体" w:eastAsia="宋体" w:hint="default"/>
                <w:sz w:val="17"/>
                <w:szCs w:val="17"/>
              </w:rPr>
              <w:t>投资基金管理合伙</w:t>
            </w:r>
            <w:r>
              <w:rPr>
                <w:rFonts w:ascii="宋体" w:hAnsi="宋体" w:cs="宋体" w:eastAsia="宋体" w:hint="default"/>
                <w:w w:val="100"/>
                <w:sz w:val="17"/>
                <w:szCs w:val="17"/>
              </w:rPr>
              <w:t> </w:t>
            </w:r>
            <w:r>
              <w:rPr>
                <w:rFonts w:ascii="宋体" w:hAnsi="宋体" w:cs="宋体" w:eastAsia="宋体" w:hint="default"/>
                <w:sz w:val="17"/>
                <w:szCs w:val="17"/>
              </w:rPr>
              <w:t>企业（有限合伙）</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50"/>
              <w:jc w:val="right"/>
              <w:rPr>
                <w:rFonts w:ascii="Times New Roman" w:hAnsi="Times New Roman" w:cs="Times New Roman" w:eastAsia="Times New Roman" w:hint="default"/>
                <w:sz w:val="17"/>
                <w:szCs w:val="17"/>
              </w:rPr>
            </w:pPr>
            <w:r>
              <w:rPr>
                <w:rFonts w:ascii="Times New Roman"/>
                <w:spacing w:val="-1"/>
                <w:sz w:val="17"/>
              </w:rPr>
              <w:t>2,000,000.00</w:t>
            </w:r>
          </w:p>
        </w:tc>
        <w:tc>
          <w:tcPr>
            <w:tcW w:w="793"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pacing w:val="-1"/>
                <w:sz w:val="17"/>
              </w:rPr>
              <w:t>2,000,000.00</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48"/>
              <w:jc w:val="right"/>
              <w:rPr>
                <w:rFonts w:ascii="Times New Roman" w:hAnsi="Times New Roman" w:cs="Times New Roman" w:eastAsia="Times New Roman" w:hint="default"/>
                <w:sz w:val="17"/>
                <w:szCs w:val="17"/>
              </w:rPr>
            </w:pPr>
            <w:r>
              <w:rPr>
                <w:rFonts w:ascii="Times New Roman"/>
                <w:sz w:val="17"/>
              </w:rPr>
              <w:t>20.00%</w:t>
            </w:r>
          </w:p>
        </w:tc>
        <w:tc>
          <w:tcPr>
            <w:tcW w:w="45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52" w:right="0"/>
              <w:jc w:val="left"/>
              <w:rPr>
                <w:rFonts w:ascii="宋体" w:hAnsi="宋体" w:cs="宋体" w:eastAsia="宋体" w:hint="default"/>
                <w:sz w:val="17"/>
                <w:szCs w:val="17"/>
              </w:rPr>
            </w:pPr>
            <w:r>
              <w:rPr>
                <w:rFonts w:ascii="宋体" w:hAnsi="宋体" w:cs="宋体" w:eastAsia="宋体" w:hint="default"/>
                <w:sz w:val="17"/>
                <w:szCs w:val="17"/>
              </w:rPr>
              <w:t>合计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93,127,919.06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0"/>
              <w:jc w:val="right"/>
              <w:rPr>
                <w:rFonts w:ascii="Times New Roman" w:hAnsi="Times New Roman" w:cs="Times New Roman" w:eastAsia="Times New Roman" w:hint="default"/>
                <w:sz w:val="17"/>
                <w:szCs w:val="17"/>
              </w:rPr>
            </w:pPr>
            <w:r>
              <w:rPr>
                <w:rFonts w:ascii="Times New Roman"/>
                <w:spacing w:val="-1"/>
                <w:sz w:val="17"/>
              </w:rPr>
              <w:t>67,875,996.77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7"/>
                <w:szCs w:val="17"/>
              </w:rPr>
            </w:pPr>
            <w:r>
              <w:rPr>
                <w:rFonts w:ascii="Times New Roman"/>
                <w:sz w:val="17"/>
              </w:rPr>
              <w:t>67,463.00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8"/>
              <w:jc w:val="right"/>
              <w:rPr>
                <w:rFonts w:ascii="Times New Roman" w:hAnsi="Times New Roman" w:cs="Times New Roman" w:eastAsia="Times New Roman" w:hint="default"/>
                <w:sz w:val="17"/>
                <w:szCs w:val="17"/>
              </w:rPr>
            </w:pPr>
            <w:r>
              <w:rPr>
                <w:rFonts w:ascii="Times New Roman"/>
                <w:spacing w:val="-1"/>
                <w:sz w:val="17"/>
              </w:rPr>
              <w:t>160,936,452.83</w:t>
            </w:r>
          </w:p>
        </w:tc>
        <w:tc>
          <w:tcPr>
            <w:tcW w:w="306"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9,044,944.72</w:t>
            </w:r>
          </w:p>
        </w:tc>
        <w:tc>
          <w:tcPr>
            <w:tcW w:w="551"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9,044,944.72</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right="49"/>
              <w:jc w:val="right"/>
              <w:rPr>
                <w:rFonts w:ascii="Times New Roman" w:hAnsi="Times New Roman" w:cs="Times New Roman" w:eastAsia="Times New Roman" w:hint="default"/>
                <w:sz w:val="17"/>
                <w:szCs w:val="17"/>
              </w:rPr>
            </w:pPr>
            <w:r>
              <w:rPr>
                <w:rFonts w:ascii="Times New Roman"/>
                <w:spacing w:val="-1"/>
                <w:sz w:val="17"/>
              </w:rPr>
              <w:t>--</w:t>
            </w:r>
            <w:r>
              <w:rPr>
                <w:rFonts w:ascii="Times New Roman"/>
                <w:sz w:val="17"/>
              </w:rPr>
            </w:r>
          </w:p>
        </w:tc>
        <w:tc>
          <w:tcPr>
            <w:tcW w:w="4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74"/>
      <w:bookmarkEnd w:id="27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464"/>
        <w:gridCol w:w="2463"/>
        <w:gridCol w:w="2464"/>
        <w:gridCol w:w="2465"/>
      </w:tblGrid>
      <w:tr>
        <w:trPr>
          <w:trHeight w:val="35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2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0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50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2"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46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9,044,944.72</w:t>
            </w:r>
          </w:p>
        </w:tc>
        <w:tc>
          <w:tcPr>
            <w:tcW w:w="2464" w:type="dxa"/>
            <w:tcBorders>
              <w:top w:val="single" w:sz="12" w:space="0" w:color="D2D2D2"/>
              <w:left w:val="single" w:sz="4" w:space="0" w:color="000000"/>
              <w:bottom w:val="single" w:sz="4" w:space="0" w:color="000000"/>
              <w:right w:val="single" w:sz="4" w:space="0" w:color="000000"/>
            </w:tcBorders>
          </w:tcPr>
          <w:p>
            <w:pPr/>
          </w:p>
        </w:tc>
        <w:tc>
          <w:tcPr>
            <w:tcW w:w="24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9,044,944.72</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9,044,944.72</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9,044,944.72</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75"/>
      <w:bookmarkEnd w:id="27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409"/>
        <w:gridCol w:w="1409"/>
        <w:gridCol w:w="1409"/>
        <w:gridCol w:w="1537"/>
        <w:gridCol w:w="1277"/>
        <w:gridCol w:w="1407"/>
        <w:gridCol w:w="1408"/>
      </w:tblGrid>
      <w:tr>
        <w:trPr>
          <w:trHeight w:val="66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339" w:right="159"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134" w:right="131"/>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182" w:right="182"/>
              <w:jc w:val="left"/>
              <w:rPr>
                <w:rFonts w:ascii="宋体" w:hAnsi="宋体" w:cs="宋体" w:eastAsia="宋体" w:hint="default"/>
                <w:sz w:val="18"/>
                <w:szCs w:val="18"/>
              </w:rPr>
            </w:pPr>
            <w:r>
              <w:rPr>
                <w:rFonts w:ascii="宋体" w:hAnsi="宋体" w:cs="宋体" w:eastAsia="宋体" w:hint="default"/>
                <w:sz w:val="18"/>
                <w:szCs w:val="18"/>
              </w:rPr>
              <w:t>持续下跌时 间（个月）</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518" w:right="246" w:hanging="270"/>
              <w:jc w:val="left"/>
              <w:rPr>
                <w:rFonts w:ascii="宋体" w:hAnsi="宋体" w:cs="宋体" w:eastAsia="宋体" w:hint="default"/>
                <w:sz w:val="18"/>
                <w:szCs w:val="18"/>
              </w:rPr>
            </w:pPr>
            <w:r>
              <w:rPr>
                <w:rFonts w:ascii="宋体" w:hAnsi="宋体" w:cs="宋体" w:eastAsia="宋体" w:hint="default"/>
                <w:sz w:val="18"/>
                <w:szCs w:val="18"/>
              </w:rPr>
              <w:t>已计提减值 金额</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518" w:right="247" w:hanging="270"/>
              <w:jc w:val="left"/>
              <w:rPr>
                <w:rFonts w:ascii="宋体" w:hAnsi="宋体" w:cs="宋体" w:eastAsia="宋体" w:hint="default"/>
                <w:sz w:val="18"/>
                <w:szCs w:val="18"/>
              </w:rPr>
            </w:pPr>
            <w:r>
              <w:rPr>
                <w:rFonts w:ascii="宋体" w:hAnsi="宋体" w:cs="宋体" w:eastAsia="宋体" w:hint="default"/>
                <w:sz w:val="18"/>
                <w:szCs w:val="18"/>
              </w:rPr>
              <w:t>未计提减值 原因</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90" w:lineRule="auto"/>
        <w:ind w:left="1133" w:right="1131" w:firstLine="420"/>
        <w:jc w:val="both"/>
      </w:pPr>
      <w:r>
        <w:rPr/>
        <w:t>（</w:t>
      </w:r>
      <w:r>
        <w:rPr>
          <w:rFonts w:ascii="Times New Roman" w:hAnsi="Times New Roman" w:cs="Times New Roman" w:eastAsia="Times New Roman" w:hint="default"/>
        </w:rPr>
        <w:t>1</w:t>
      </w:r>
      <w:r>
        <w:rPr/>
        <w:t>）上述被投资单位为非上市公司，目前不存在活跃的权益交易市场，同时相关财务信息和市场信 </w:t>
      </w:r>
      <w:r>
        <w:rPr>
          <w:spacing w:val="-1"/>
        </w:rPr>
        <w:t>息的获取不具备持续性和及时性，公允价值无法可靠计量。本集团暂无意图处置这些金融资产，此类金融</w:t>
      </w:r>
      <w:r>
        <w:rPr>
          <w:spacing w:val="-83"/>
        </w:rPr>
        <w:t> </w:t>
      </w:r>
      <w:r>
        <w:rPr>
          <w:spacing w:val="-83"/>
        </w:rPr>
      </w:r>
      <w:r>
        <w:rPr/>
        <w:t>资产按成本法计量。</w:t>
      </w:r>
    </w:p>
    <w:p>
      <w:pPr>
        <w:spacing w:line="240" w:lineRule="auto" w:before="4"/>
        <w:rPr>
          <w:rFonts w:ascii="宋体" w:hAnsi="宋体" w:cs="宋体" w:eastAsia="宋体" w:hint="default"/>
          <w:sz w:val="18"/>
          <w:szCs w:val="18"/>
        </w:rPr>
      </w:pPr>
    </w:p>
    <w:p>
      <w:pPr>
        <w:pStyle w:val="BodyText"/>
        <w:spacing w:line="290" w:lineRule="auto"/>
        <w:ind w:left="1133" w:right="1018" w:firstLine="420"/>
        <w:jc w:val="left"/>
      </w:pPr>
      <w:r>
        <w:rPr/>
        <w:t>（</w:t>
      </w:r>
      <w:r>
        <w:rPr>
          <w:rFonts w:ascii="Times New Roman" w:hAnsi="Times New Roman" w:cs="Times New Roman" w:eastAsia="Times New Roman" w:hint="default"/>
        </w:rPr>
        <w:t>2</w:t>
      </w:r>
      <w:r>
        <w:rPr/>
        <w:t>）本公司于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26"/>
        </w:rPr>
        <w:t> </w:t>
      </w:r>
      <w:r>
        <w:rPr/>
        <w:t>月与苏州工业园区极创君源投资创业投资管理有限公司及其他有限合伙人 </w:t>
      </w:r>
      <w:r>
        <w:rPr>
          <w:spacing w:val="-6"/>
        </w:rPr>
        <w:t>共同设立重庆极创君源股权投资基金管理合伙企业（有限合伙），本公司认缴出资比例</w:t>
      </w:r>
      <w:r>
        <w:rPr>
          <w:spacing w:val="-33"/>
        </w:rPr>
        <w:t> </w:t>
      </w:r>
      <w:r>
        <w:rPr>
          <w:rFonts w:ascii="Times New Roman" w:hAnsi="Times New Roman" w:cs="Times New Roman" w:eastAsia="Times New Roman" w:hint="default"/>
          <w:spacing w:val="-14"/>
        </w:rPr>
        <w:t>20%</w:t>
      </w:r>
      <w:r>
        <w:rPr>
          <w:spacing w:val="-14"/>
        </w:rPr>
        <w:t>（有限合伙人），</w:t>
      </w:r>
      <w:r>
        <w:rPr>
          <w:spacing w:val="-101"/>
        </w:rPr>
        <w:t> </w:t>
      </w:r>
      <w:r>
        <w:rPr>
          <w:spacing w:val="-101"/>
        </w:rPr>
      </w:r>
      <w:r>
        <w:rPr/>
        <w:t>但该合伙企业由苏州工业园区极创君源投资创业投资管理有限公司（普通合伙人）执行合伙事务，本公司</w:t>
      </w:r>
      <w:r>
        <w:rPr/>
        <w:t> 在合伙企业的决策机构中无派出人员，对其不控制，无重大影响，本公司将其作为本公司的可供出售金融 资产。</w:t>
      </w:r>
    </w:p>
    <w:p>
      <w:pPr>
        <w:spacing w:line="240" w:lineRule="auto" w:before="4"/>
        <w:rPr>
          <w:rFonts w:ascii="宋体" w:hAnsi="宋体" w:cs="宋体" w:eastAsia="宋体" w:hint="default"/>
          <w:sz w:val="18"/>
          <w:szCs w:val="18"/>
        </w:rPr>
      </w:pPr>
    </w:p>
    <w:p>
      <w:pPr>
        <w:pStyle w:val="BodyText"/>
        <w:spacing w:line="290" w:lineRule="auto"/>
        <w:ind w:left="1133" w:right="1130" w:firstLine="420"/>
        <w:jc w:val="both"/>
      </w:pPr>
      <w:r>
        <w:rPr/>
        <w:t>（</w:t>
      </w:r>
      <w:r>
        <w:rPr>
          <w:rFonts w:ascii="Times New Roman" w:hAnsi="Times New Roman" w:cs="Times New Roman" w:eastAsia="Times New Roman" w:hint="default"/>
        </w:rPr>
        <w:t>3</w:t>
      </w:r>
      <w:r>
        <w:rPr/>
        <w:t>）本公司于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月与重庆极创君源股权投资基金管理合伙企业（有限合伙）及其他有限合伙 </w:t>
      </w:r>
      <w:r>
        <w:rPr>
          <w:spacing w:val="-2"/>
        </w:rPr>
        <w:t>人共同发起设立重庆极创渝源股权投资基金合伙企业（有限合伙），本公司认缴出资比例</w:t>
      </w:r>
      <w:r>
        <w:rPr>
          <w:spacing w:val="-40"/>
        </w:rPr>
        <w:t> </w:t>
      </w:r>
      <w:r>
        <w:rPr>
          <w:rFonts w:ascii="Times New Roman" w:hAnsi="Times New Roman" w:cs="Times New Roman" w:eastAsia="Times New Roman" w:hint="default"/>
          <w:spacing w:val="-3"/>
        </w:rPr>
        <w:t>31.25%</w:t>
      </w:r>
      <w:r>
        <w:rPr>
          <w:spacing w:val="-3"/>
        </w:rPr>
        <w:t>（有限合</w:t>
      </w:r>
      <w:r>
        <w:rPr>
          <w:spacing w:val="-103"/>
        </w:rPr>
        <w:t> </w:t>
      </w:r>
      <w:r>
        <w:rPr>
          <w:spacing w:val="-1"/>
        </w:rPr>
        <w:t>伙人），但该合伙企业由重庆极创君源股权投资基金管理合伙企业（有限合伙）执行合伙事务，本公司在</w:t>
      </w:r>
      <w:r>
        <w:rPr>
          <w:spacing w:val="-83"/>
        </w:rPr>
        <w:t> </w:t>
      </w:r>
      <w:r>
        <w:rPr>
          <w:spacing w:val="-83"/>
        </w:rPr>
      </w:r>
      <w:r>
        <w:rPr>
          <w:spacing w:val="-1"/>
        </w:rPr>
        <w:t>合伙企业的决策机构中无派出人员，对其不控制，无重大影响，本公司将其作为本公司的可供出售金融资</w:t>
      </w:r>
      <w:r>
        <w:rPr>
          <w:spacing w:val="-83"/>
        </w:rPr>
        <w:t> </w:t>
      </w:r>
      <w:r>
        <w:rPr>
          <w:spacing w:val="-83"/>
        </w:rPr>
      </w:r>
      <w:r>
        <w:rPr/>
        <w:t>产。</w:t>
      </w:r>
    </w:p>
    <w:p>
      <w:pPr>
        <w:spacing w:line="240" w:lineRule="auto" w:before="4"/>
        <w:rPr>
          <w:rFonts w:ascii="宋体" w:hAnsi="宋体" w:cs="宋体" w:eastAsia="宋体" w:hint="default"/>
          <w:sz w:val="18"/>
          <w:szCs w:val="18"/>
        </w:rPr>
      </w:pPr>
    </w:p>
    <w:p>
      <w:pPr>
        <w:pStyle w:val="BodyText"/>
        <w:spacing w:line="280" w:lineRule="auto"/>
        <w:ind w:left="1133" w:right="1131" w:firstLine="420"/>
        <w:jc w:val="both"/>
      </w:pPr>
      <w:r>
        <w:rPr/>
        <w:t>（</w:t>
      </w:r>
      <w:r>
        <w:rPr>
          <w:rFonts w:ascii="Times New Roman" w:hAnsi="Times New Roman" w:cs="Times New Roman" w:eastAsia="Times New Roman" w:hint="default"/>
        </w:rPr>
        <w:t>4</w:t>
      </w:r>
      <w:r>
        <w:rPr/>
        <w:t>）本公司投资的</w:t>
      </w:r>
      <w:r>
        <w:rPr>
          <w:spacing w:val="-56"/>
        </w:rPr>
        <w:t> </w:t>
      </w:r>
      <w:r>
        <w:rPr>
          <w:rFonts w:ascii="Times New Roman" w:hAnsi="Times New Roman" w:cs="Times New Roman" w:eastAsia="Times New Roman" w:hint="default"/>
        </w:rPr>
        <w:t>ALCES</w:t>
      </w:r>
      <w:r>
        <w:rPr>
          <w:rFonts w:ascii="Times New Roman" w:hAnsi="Times New Roman" w:cs="Times New Roman" w:eastAsia="Times New Roman" w:hint="default"/>
          <w:spacing w:val="-3"/>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3"/>
        </w:rPr>
        <w:t> </w:t>
      </w:r>
      <w:r>
        <w:rPr>
          <w:rFonts w:ascii="Times New Roman" w:hAnsi="Times New Roman" w:cs="Times New Roman" w:eastAsia="Times New Roman" w:hint="default"/>
        </w:rPr>
        <w:t>INC.</w:t>
      </w:r>
      <w:r>
        <w:rPr/>
        <w:t>已于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月完成对其核心资产的出售，本公司 收到</w:t>
      </w:r>
      <w:r>
        <w:rPr>
          <w:spacing w:val="-54"/>
        </w:rPr>
        <w:t> </w:t>
      </w:r>
      <w:r>
        <w:rPr>
          <w:rFonts w:ascii="Times New Roman" w:hAnsi="Times New Roman" w:cs="Times New Roman" w:eastAsia="Times New Roman" w:hint="default"/>
        </w:rPr>
        <w:t>30801.35 </w:t>
      </w:r>
      <w:r>
        <w:rPr/>
        <w:t>美元，本公司对其与账面价值的差额于</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日计提减值准备。</w:t>
      </w:r>
    </w:p>
    <w:p>
      <w:pPr>
        <w:spacing w:line="240" w:lineRule="auto" w:before="5"/>
        <w:rPr>
          <w:rFonts w:ascii="宋体" w:hAnsi="宋体" w:cs="宋体" w:eastAsia="宋体" w:hint="default"/>
          <w:sz w:val="17"/>
          <w:szCs w:val="17"/>
        </w:rPr>
      </w:pPr>
    </w:p>
    <w:p>
      <w:pPr>
        <w:pStyle w:val="BodyText"/>
        <w:spacing w:line="280" w:lineRule="auto"/>
        <w:ind w:left="1133" w:right="1131" w:firstLine="420"/>
        <w:jc w:val="both"/>
      </w:pPr>
      <w:r>
        <w:rPr/>
        <w:t>（</w:t>
      </w:r>
      <w:r>
        <w:rPr>
          <w:rFonts w:ascii="Times New Roman" w:hAnsi="Times New Roman" w:cs="Times New Roman" w:eastAsia="Times New Roman" w:hint="default"/>
        </w:rPr>
        <w:t>5</w:t>
      </w:r>
      <w:r>
        <w:rPr/>
        <w:t>）本公司投资的</w:t>
      </w:r>
      <w:r>
        <w:rPr>
          <w:spacing w:val="-56"/>
        </w:rPr>
        <w:t> </w:t>
      </w:r>
      <w:r>
        <w:rPr>
          <w:rFonts w:ascii="Times New Roman" w:hAnsi="Times New Roman" w:cs="Times New Roman" w:eastAsia="Times New Roman" w:hint="default"/>
        </w:rPr>
        <w:t>Evolution</w:t>
      </w:r>
      <w:r>
        <w:rPr>
          <w:rFonts w:ascii="Times New Roman" w:hAnsi="Times New Roman" w:cs="Times New Roman" w:eastAsia="Times New Roman" w:hint="default"/>
          <w:spacing w:val="-2"/>
        </w:rPr>
        <w:t> </w:t>
      </w:r>
      <w:r>
        <w:rPr>
          <w:rFonts w:ascii="Times New Roman" w:hAnsi="Times New Roman" w:cs="Times New Roman" w:eastAsia="Times New Roman" w:hint="default"/>
        </w:rPr>
        <w:t>Dynamics</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公司变更投资模式应退回投资款，截至期末，该笔投资款 的退回时间及金额具有较大不确定性，本公司对 </w:t>
      </w:r>
      <w:r>
        <w:rPr>
          <w:rFonts w:ascii="Times New Roman" w:hAnsi="Times New Roman" w:cs="Times New Roman" w:eastAsia="Times New Roman" w:hint="default"/>
        </w:rPr>
        <w:t>Evolution Dynamics</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t>的投资账面价值全额计提减值准 备。</w:t>
      </w:r>
    </w:p>
    <w:p>
      <w:pPr>
        <w:spacing w:line="240" w:lineRule="auto" w:before="5"/>
        <w:rPr>
          <w:rFonts w:ascii="宋体" w:hAnsi="宋体" w:cs="宋体" w:eastAsia="宋体" w:hint="default"/>
          <w:sz w:val="18"/>
          <w:szCs w:val="18"/>
        </w:rPr>
      </w:pPr>
    </w:p>
    <w:p>
      <w:pPr>
        <w:pStyle w:val="BodyText"/>
        <w:spacing w:line="240" w:lineRule="auto"/>
        <w:ind w:right="0"/>
        <w:jc w:val="left"/>
        <w:rPr>
          <w:rFonts w:ascii="微软雅黑" w:hAnsi="微软雅黑" w:cs="微软雅黑" w:eastAsia="微软雅黑" w:hint="default"/>
        </w:rPr>
      </w:pPr>
      <w:bookmarkStart w:name="15、持有至到期投资" w:id="276"/>
      <w:bookmarkEnd w:id="276"/>
      <w:r>
        <w:rPr/>
      </w:r>
      <w:r>
        <w:rPr>
          <w:rFonts w:ascii="Times New Roman" w:hAnsi="Times New Roman" w:cs="Times New Roman" w:eastAsia="Times New Roman" w:hint="default"/>
        </w:rPr>
        <w:t>15</w:t>
      </w:r>
      <w:r>
        <w:rPr>
          <w:rFonts w:ascii="微软雅黑" w:hAnsi="微软雅黑" w:cs="微软雅黑" w:eastAsia="微软雅黑" w:hint="default"/>
        </w:rPr>
        <w:t>、持有至到期投资</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持有至到期投资情况" w:id="277"/>
      <w:bookmarkEnd w:id="27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409"/>
        <w:gridCol w:w="4224"/>
        <w:gridCol w:w="4222"/>
      </w:tblGrid>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409"/>
        <w:gridCol w:w="1409"/>
        <w:gridCol w:w="1409"/>
        <w:gridCol w:w="1406"/>
        <w:gridCol w:w="1408"/>
        <w:gridCol w:w="1407"/>
        <w:gridCol w:w="1408"/>
      </w:tblGrid>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5"/>
        <w:rPr>
          <w:rFonts w:ascii="宋体" w:hAnsi="宋体" w:cs="宋体" w:eastAsia="宋体" w:hint="default"/>
          <w:sz w:val="11"/>
          <w:szCs w:val="11"/>
        </w:rPr>
      </w:pPr>
    </w:p>
    <w:p>
      <w:pPr>
        <w:pStyle w:val="Heading4"/>
        <w:spacing w:line="240" w:lineRule="auto" w:before="35"/>
        <w:ind w:right="0"/>
        <w:jc w:val="left"/>
        <w:rPr>
          <w:b w:val="0"/>
          <w:bCs w:val="0"/>
        </w:rPr>
      </w:pPr>
      <w:bookmarkStart w:name="（2）期末重要的持有至到期投资" w:id="278"/>
      <w:bookmarkEnd w:id="27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6"/>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1"/>
          <w:szCs w:val="11"/>
        </w:rPr>
      </w:pPr>
    </w:p>
    <w:p>
      <w:pPr>
        <w:pStyle w:val="Heading4"/>
        <w:spacing w:line="460" w:lineRule="auto" w:before="35"/>
        <w:ind w:left="1553" w:right="7064" w:firstLine="2"/>
        <w:jc w:val="left"/>
        <w:rPr>
          <w:rFonts w:ascii="宋体" w:hAnsi="宋体" w:cs="宋体" w:eastAsia="宋体" w:hint="default"/>
          <w:b w:val="0"/>
          <w:bCs w:val="0"/>
        </w:rPr>
      </w:pPr>
      <w:bookmarkStart w:name="（3）本期重分类的持有至到期投资" w:id="279"/>
      <w:bookmarkEnd w:id="279"/>
      <w:r>
        <w:rPr>
          <w:b w:val="0"/>
          <w:bCs w:val="0"/>
        </w:rPr>
      </w:r>
      <w:r>
        <w:rPr/>
        <w:t>（</w:t>
      </w:r>
      <w:r>
        <w:rPr>
          <w:rFonts w:ascii="Times New Roman" w:hAnsi="Times New Roman" w:cs="Times New Roman" w:eastAsia="Times New Roman" w:hint="default"/>
        </w:rPr>
        <w:t>3</w:t>
      </w:r>
      <w:r>
        <w:rPr/>
        <w:t>）本期重分类的持有至到期投资</w:t>
      </w:r>
      <w:r>
        <w:rPr>
          <w:w w:val="99"/>
        </w:rPr>
        <w:t> </w:t>
      </w:r>
      <w:r>
        <w:rPr>
          <w:rFonts w:ascii="宋体" w:hAnsi="宋体" w:cs="宋体" w:eastAsia="宋体" w:hint="default"/>
          <w:b w:val="0"/>
          <w:bCs w:val="0"/>
        </w:rPr>
        <w:t>其他说明</w:t>
      </w:r>
    </w:p>
    <w:p>
      <w:pPr>
        <w:pStyle w:val="BodyText"/>
        <w:spacing w:line="240" w:lineRule="auto" w:before="84"/>
        <w:ind w:left="1553" w:right="0"/>
        <w:jc w:val="left"/>
        <w:rPr>
          <w:rFonts w:ascii="微软雅黑" w:hAnsi="微软雅黑" w:cs="微软雅黑" w:eastAsia="微软雅黑" w:hint="default"/>
        </w:rPr>
      </w:pPr>
      <w:bookmarkStart w:name="16、长期应收款" w:id="280"/>
      <w:bookmarkEnd w:id="280"/>
      <w:r>
        <w:rPr/>
      </w:r>
      <w:r>
        <w:rPr>
          <w:rFonts w:ascii="Times New Roman" w:hAnsi="Times New Roman" w:cs="Times New Roman" w:eastAsia="Times New Roman" w:hint="default"/>
        </w:rPr>
        <w:t>16</w:t>
      </w:r>
      <w:r>
        <w:rPr>
          <w:rFonts w:ascii="微软雅黑" w:hAnsi="微软雅黑" w:cs="微软雅黑" w:eastAsia="微软雅黑" w:hint="default"/>
        </w:rPr>
        <w:t>、长期应收款</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长期应收款情况" w:id="281"/>
      <w:bookmarkEnd w:id="28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396"/>
        <w:gridCol w:w="1250"/>
        <w:gridCol w:w="1152"/>
        <w:gridCol w:w="1252"/>
        <w:gridCol w:w="1250"/>
        <w:gridCol w:w="1152"/>
        <w:gridCol w:w="1252"/>
        <w:gridCol w:w="1151"/>
      </w:tblGrid>
      <w:tr>
        <w:trPr>
          <w:trHeight w:val="407" w:hRule="exact"/>
        </w:trPr>
        <w:tc>
          <w:tcPr>
            <w:tcW w:w="1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7"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1"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7,223,667.06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72,236.67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7,151,430.39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8,385,666.98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83,856.67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8,301,810.31</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01"/>
              <w:jc w:val="left"/>
              <w:rPr>
                <w:rFonts w:ascii="宋体" w:hAnsi="宋体" w:cs="宋体" w:eastAsia="宋体" w:hint="default"/>
                <w:sz w:val="18"/>
                <w:szCs w:val="18"/>
              </w:rPr>
            </w:pPr>
            <w:r>
              <w:rPr>
                <w:rFonts w:ascii="宋体" w:hAnsi="宋体" w:cs="宋体" w:eastAsia="宋体" w:hint="default"/>
                <w:sz w:val="18"/>
                <w:szCs w:val="18"/>
              </w:rPr>
              <w:t>应收优先股投 资款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5,880,780.00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58,807.80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5,821,972.20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6,243,300.00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62,433.00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6,180,867.00</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6"/>
              <w:ind w:left="103" w:right="201"/>
              <w:jc w:val="left"/>
              <w:rPr>
                <w:rFonts w:ascii="宋体" w:hAnsi="宋体" w:cs="宋体" w:eastAsia="宋体" w:hint="default"/>
                <w:sz w:val="18"/>
                <w:szCs w:val="18"/>
              </w:rPr>
            </w:pPr>
            <w:r>
              <w:rPr>
                <w:rFonts w:ascii="宋体" w:hAnsi="宋体" w:cs="宋体" w:eastAsia="宋体" w:hint="default"/>
                <w:sz w:val="18"/>
                <w:szCs w:val="18"/>
              </w:rPr>
              <w:t>应收股权转让 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44,448,124.72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444,481.25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44,003,643.47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10,190,540.00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101,905.40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10,088,634.60</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476,991.19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4,769.91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472,221.28</w:t>
            </w:r>
          </w:p>
        </w:tc>
        <w:tc>
          <w:tcPr>
            <w:tcW w:w="1250"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2"/>
              <w:jc w:val="left"/>
              <w:rPr>
                <w:rFonts w:ascii="宋体" w:hAnsi="宋体" w:cs="宋体" w:eastAsia="宋体" w:hint="default"/>
                <w:sz w:val="18"/>
                <w:szCs w:val="18"/>
              </w:rPr>
            </w:pPr>
            <w:r>
              <w:rPr>
                <w:rFonts w:ascii="宋体" w:hAnsi="宋体" w:cs="宋体" w:eastAsia="宋体" w:hint="default"/>
                <w:spacing w:val="-12"/>
                <w:sz w:val="18"/>
                <w:szCs w:val="18"/>
              </w:rPr>
              <w:t>减：</w:t>
            </w:r>
            <w:r>
              <w:rPr>
                <w:rFonts w:ascii="Times New Roman" w:hAnsi="Times New Roman" w:cs="Times New Roman" w:eastAsia="Times New Roman" w:hint="default"/>
                <w:spacing w:val="-12"/>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 的长期应收款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-6,701,999.76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-67,020.00</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-6,634,979.76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-5,501,999.60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-55,020.00</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-5,446,979.60</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51,327,563.21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513,275.63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50,814,287.58</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19,317,507.38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193,175.07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19,124,332.31</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Heading4"/>
        <w:spacing w:line="460" w:lineRule="auto" w:before="35"/>
        <w:ind w:left="1554" w:right="6009" w:firstLine="2"/>
        <w:jc w:val="left"/>
        <w:rPr>
          <w:rFonts w:ascii="宋体" w:hAnsi="宋体" w:cs="宋体" w:eastAsia="宋体" w:hint="default"/>
          <w:b w:val="0"/>
          <w:bCs w:val="0"/>
        </w:rPr>
      </w:pPr>
      <w:bookmarkStart w:name="（2）因金融资产转移而终止确认的长期应收款" w:id="282"/>
      <w:bookmarkEnd w:id="282"/>
      <w:r>
        <w:rPr>
          <w:b w:val="0"/>
          <w:bCs w:val="0"/>
        </w:rPr>
      </w:r>
      <w:r>
        <w:rPr/>
        <w:t>（</w:t>
      </w:r>
      <w:r>
        <w:rPr>
          <w:rFonts w:ascii="Times New Roman" w:hAnsi="Times New Roman" w:cs="Times New Roman" w:eastAsia="Times New Roman" w:hint="default"/>
        </w:rPr>
        <w:t>2</w:t>
      </w:r>
      <w:r>
        <w:rPr/>
        <w:t>）因金融资产转移而终止确认的长期应收款</w:t>
      </w:r>
      <w:r>
        <w:rPr>
          <w:w w:val="99"/>
        </w:rPr>
        <w:t> </w:t>
      </w:r>
      <w:r>
        <w:rPr>
          <w:rFonts w:ascii="宋体" w:hAnsi="宋体" w:cs="宋体" w:eastAsia="宋体" w:hint="default"/>
          <w:b w:val="0"/>
          <w:bCs w:val="0"/>
        </w:rPr>
        <w:t>无。</w:t>
      </w:r>
    </w:p>
    <w:p>
      <w:pPr>
        <w:pStyle w:val="Heading4"/>
        <w:spacing w:line="460" w:lineRule="auto" w:before="91"/>
        <w:ind w:left="1554" w:right="5165" w:firstLine="2"/>
        <w:jc w:val="left"/>
        <w:rPr>
          <w:rFonts w:ascii="宋体" w:hAnsi="宋体" w:cs="宋体" w:eastAsia="宋体" w:hint="default"/>
          <w:b w:val="0"/>
          <w:bCs w:val="0"/>
        </w:rPr>
      </w:pPr>
      <w:bookmarkStart w:name="（3）转移长期应收款且继续涉入形成的资产、负债金额" w:id="283"/>
      <w:bookmarkEnd w:id="283"/>
      <w:r>
        <w:rPr>
          <w:b w:val="0"/>
          <w:bCs w:val="0"/>
        </w:rPr>
      </w:r>
      <w:r>
        <w:rPr/>
        <w:t>（</w:t>
      </w:r>
      <w:r>
        <w:rPr>
          <w:rFonts w:ascii="Times New Roman" w:hAnsi="Times New Roman" w:cs="Times New Roman" w:eastAsia="Times New Roman" w:hint="default"/>
        </w:rPr>
        <w:t>3</w:t>
      </w:r>
      <w:r>
        <w:rPr/>
        <w:t>）转移长期应收款且继续涉入形成的资产、负债金额</w:t>
      </w:r>
      <w:r>
        <w:rPr>
          <w:w w:val="99"/>
        </w:rPr>
        <w:t> </w:t>
      </w:r>
      <w:r>
        <w:rPr>
          <w:rFonts w:ascii="宋体" w:hAnsi="宋体" w:cs="宋体" w:eastAsia="宋体" w:hint="default"/>
          <w:b w:val="0"/>
          <w:bCs w:val="0"/>
        </w:rPr>
        <w:t>无。</w:t>
      </w:r>
    </w:p>
    <w:p>
      <w:pPr>
        <w:pStyle w:val="BodyText"/>
        <w:spacing w:line="240" w:lineRule="auto" w:before="91"/>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t>本期坏账准备金额变动</w:t>
      </w:r>
      <w:r>
        <w:rPr>
          <w:spacing w:val="-54"/>
        </w:rPr>
        <w:t> </w:t>
      </w:r>
      <w:r>
        <w:rPr>
          <w:rFonts w:ascii="Times New Roman" w:hAnsi="Times New Roman" w:cs="Times New Roman" w:eastAsia="Times New Roman" w:hint="default"/>
        </w:rPr>
        <w:t>332,100.56</w:t>
      </w:r>
      <w:r>
        <w:rPr>
          <w:rFonts w:ascii="Times New Roman" w:hAnsi="Times New Roman" w:cs="Times New Roman" w:eastAsia="Times New Roman" w:hint="default"/>
          <w:spacing w:val="-12"/>
        </w:rPr>
        <w:t> </w:t>
      </w:r>
      <w:r>
        <w:rPr/>
        <w:t>元，其中计提坏账准备金额</w:t>
      </w:r>
      <w:r>
        <w:rPr>
          <w:spacing w:val="-54"/>
        </w:rPr>
        <w:t> </w:t>
      </w:r>
      <w:r>
        <w:rPr>
          <w:rFonts w:ascii="Times New Roman" w:hAnsi="Times New Roman" w:cs="Times New Roman" w:eastAsia="Times New Roman" w:hint="default"/>
        </w:rPr>
        <w:t>325,209.47</w:t>
      </w:r>
      <w:r>
        <w:rPr>
          <w:rFonts w:ascii="Times New Roman" w:hAnsi="Times New Roman" w:cs="Times New Roman" w:eastAsia="Times New Roman" w:hint="default"/>
          <w:spacing w:val="-12"/>
        </w:rPr>
        <w:t> </w:t>
      </w:r>
      <w:r>
        <w:rPr/>
        <w:t>元，因外币报表折算汇率影</w:t>
      </w:r>
    </w:p>
    <w:p>
      <w:pPr>
        <w:pStyle w:val="BodyText"/>
        <w:spacing w:line="240" w:lineRule="auto" w:before="50"/>
        <w:ind w:left="1133" w:right="0"/>
        <w:jc w:val="left"/>
      </w:pPr>
      <w:r>
        <w:rPr/>
        <w:t>响金额</w:t>
      </w:r>
      <w:r>
        <w:rPr>
          <w:spacing w:val="-52"/>
        </w:rPr>
        <w:t> </w:t>
      </w:r>
      <w:r>
        <w:rPr>
          <w:rFonts w:ascii="Times New Roman" w:hAnsi="Times New Roman" w:cs="Times New Roman" w:eastAsia="Times New Roman" w:hint="default"/>
        </w:rPr>
        <w:t>6,891.09</w:t>
      </w:r>
      <w:r>
        <w:rPr>
          <w:rFonts w:ascii="Times New Roman" w:hAnsi="Times New Roman" w:cs="Times New Roman" w:eastAsia="Times New Roman" w:hint="default"/>
          <w:spacing w:val="-10"/>
        </w:rPr>
        <w:t> </w:t>
      </w:r>
      <w:r>
        <w:rPr/>
        <w:t>元。</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17、长期股权投资" w:id="284"/>
      <w:bookmarkEnd w:id="284"/>
      <w:r>
        <w:rPr/>
      </w:r>
      <w:r>
        <w:rPr>
          <w:rFonts w:ascii="Times New Roman" w:hAnsi="Times New Roman" w:cs="Times New Roman" w:eastAsia="Times New Roman" w:hint="default"/>
        </w:rPr>
        <w:t>17</w:t>
      </w:r>
      <w:r>
        <w:rPr>
          <w:rFonts w:ascii="微软雅黑" w:hAnsi="微软雅黑" w:cs="微软雅黑" w:eastAsia="微软雅黑" w:hint="default"/>
        </w:rPr>
        <w:t>、长期股权投资</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04" w:type="dxa"/>
        <w:tblLayout w:type="fixed"/>
        <w:tblCellMar>
          <w:top w:w="0" w:type="dxa"/>
          <w:left w:w="0" w:type="dxa"/>
          <w:bottom w:w="0" w:type="dxa"/>
          <w:right w:w="0" w:type="dxa"/>
        </w:tblCellMar>
        <w:tblLook w:val="01E0"/>
      </w:tblPr>
      <w:tblGrid>
        <w:gridCol w:w="774"/>
        <w:gridCol w:w="1030"/>
        <w:gridCol w:w="642"/>
        <w:gridCol w:w="823"/>
        <w:gridCol w:w="882"/>
        <w:gridCol w:w="882"/>
        <w:gridCol w:w="958"/>
        <w:gridCol w:w="644"/>
        <w:gridCol w:w="646"/>
        <w:gridCol w:w="1004"/>
        <w:gridCol w:w="958"/>
        <w:gridCol w:w="644"/>
      </w:tblGrid>
      <w:tr>
        <w:trPr>
          <w:trHeight w:val="408" w:hRule="exact"/>
        </w:trPr>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7" w:right="87" w:hanging="222"/>
              <w:jc w:val="left"/>
              <w:rPr>
                <w:rFonts w:ascii="宋体" w:hAnsi="宋体" w:cs="宋体" w:eastAsia="宋体" w:hint="default"/>
                <w:sz w:val="16"/>
                <w:szCs w:val="16"/>
              </w:rPr>
            </w:pPr>
            <w:r>
              <w:rPr>
                <w:rFonts w:ascii="宋体" w:hAnsi="宋体" w:cs="宋体" w:eastAsia="宋体" w:hint="default"/>
                <w:spacing w:val="-13"/>
                <w:sz w:val="16"/>
                <w:szCs w:val="16"/>
              </w:rPr>
              <w:t>被投资单</w:t>
            </w:r>
            <w:r>
              <w:rPr>
                <w:rFonts w:ascii="宋体" w:hAnsi="宋体" w:cs="宋体" w:eastAsia="宋体" w:hint="default"/>
                <w:spacing w:val="-78"/>
                <w:sz w:val="16"/>
                <w:szCs w:val="16"/>
              </w:rPr>
              <w:t> </w:t>
            </w:r>
            <w:r>
              <w:rPr>
                <w:rFonts w:ascii="宋体" w:hAnsi="宋体" w:cs="宋体" w:eastAsia="宋体" w:hint="default"/>
                <w:sz w:val="16"/>
                <w:szCs w:val="16"/>
              </w:rPr>
              <w:t>位</w:t>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213" w:right="0"/>
              <w:jc w:val="left"/>
              <w:rPr>
                <w:rFonts w:ascii="宋体" w:hAnsi="宋体" w:cs="宋体" w:eastAsia="宋体" w:hint="default"/>
                <w:sz w:val="16"/>
                <w:szCs w:val="16"/>
              </w:rPr>
            </w:pPr>
            <w:r>
              <w:rPr>
                <w:rFonts w:ascii="宋体" w:hAnsi="宋体" w:cs="宋体" w:eastAsia="宋体" w:hint="default"/>
                <w:spacing w:val="-13"/>
                <w:sz w:val="16"/>
                <w:szCs w:val="16"/>
              </w:rPr>
              <w:t>期初余额</w:t>
            </w:r>
            <w:r>
              <w:rPr>
                <w:rFonts w:ascii="宋体" w:hAnsi="宋体" w:cs="宋体" w:eastAsia="宋体" w:hint="default"/>
                <w:sz w:val="16"/>
                <w:szCs w:val="16"/>
              </w:rPr>
            </w:r>
          </w:p>
        </w:tc>
        <w:tc>
          <w:tcPr>
            <w:tcW w:w="648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center"/>
              <w:rPr>
                <w:rFonts w:ascii="宋体" w:hAnsi="宋体" w:cs="宋体" w:eastAsia="宋体" w:hint="default"/>
                <w:sz w:val="16"/>
                <w:szCs w:val="16"/>
              </w:rPr>
            </w:pPr>
            <w:r>
              <w:rPr>
                <w:rFonts w:ascii="宋体" w:hAnsi="宋体" w:cs="宋体" w:eastAsia="宋体" w:hint="default"/>
                <w:spacing w:val="-11"/>
                <w:sz w:val="16"/>
                <w:szCs w:val="16"/>
              </w:rPr>
              <w:t>本期增减变动</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2"/>
              <w:ind w:left="177" w:right="0"/>
              <w:jc w:val="left"/>
              <w:rPr>
                <w:rFonts w:ascii="宋体" w:hAnsi="宋体" w:cs="宋体" w:eastAsia="宋体" w:hint="default"/>
                <w:sz w:val="16"/>
                <w:szCs w:val="16"/>
              </w:rPr>
            </w:pPr>
            <w:r>
              <w:rPr>
                <w:rFonts w:ascii="宋体" w:hAnsi="宋体" w:cs="宋体" w:eastAsia="宋体" w:hint="default"/>
                <w:spacing w:val="-13"/>
                <w:sz w:val="16"/>
                <w:szCs w:val="16"/>
              </w:rPr>
              <w:t>期末余额</w:t>
            </w:r>
            <w:r>
              <w:rPr>
                <w:rFonts w:ascii="宋体" w:hAnsi="宋体" w:cs="宋体" w:eastAsia="宋体" w:hint="default"/>
                <w:sz w:val="16"/>
                <w:szCs w:val="16"/>
              </w:rPr>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37" w:lineRule="auto" w:before="136"/>
              <w:ind w:left="94" w:right="95"/>
              <w:jc w:val="both"/>
              <w:rPr>
                <w:rFonts w:ascii="宋体" w:hAnsi="宋体" w:cs="宋体" w:eastAsia="宋体" w:hint="default"/>
                <w:sz w:val="16"/>
                <w:szCs w:val="16"/>
              </w:rPr>
            </w:pPr>
            <w:r>
              <w:rPr>
                <w:rFonts w:ascii="宋体" w:hAnsi="宋体" w:cs="宋体" w:eastAsia="宋体" w:hint="default"/>
                <w:spacing w:val="-13"/>
                <w:sz w:val="16"/>
                <w:szCs w:val="16"/>
              </w:rPr>
              <w:t>减值准</w:t>
            </w:r>
            <w:r>
              <w:rPr>
                <w:rFonts w:ascii="宋体" w:hAnsi="宋体" w:cs="宋体" w:eastAsia="宋体" w:hint="default"/>
                <w:spacing w:val="-12"/>
                <w:w w:val="99"/>
                <w:sz w:val="16"/>
                <w:szCs w:val="16"/>
              </w:rPr>
              <w:t> </w:t>
            </w:r>
            <w:r>
              <w:rPr>
                <w:rFonts w:ascii="宋体" w:hAnsi="宋体" w:cs="宋体" w:eastAsia="宋体" w:hint="default"/>
                <w:spacing w:val="-13"/>
                <w:sz w:val="16"/>
                <w:szCs w:val="16"/>
              </w:rPr>
              <w:t>备期末</w:t>
            </w:r>
            <w:r>
              <w:rPr>
                <w:rFonts w:ascii="宋体" w:hAnsi="宋体" w:cs="宋体" w:eastAsia="宋体" w:hint="default"/>
                <w:spacing w:val="-12"/>
                <w:w w:val="99"/>
                <w:sz w:val="16"/>
                <w:szCs w:val="16"/>
              </w:rPr>
              <w:t> </w:t>
            </w:r>
            <w:r>
              <w:rPr>
                <w:rFonts w:ascii="宋体" w:hAnsi="宋体" w:cs="宋体" w:eastAsia="宋体" w:hint="default"/>
                <w:spacing w:val="-13"/>
                <w:sz w:val="16"/>
                <w:szCs w:val="16"/>
              </w:rPr>
              <w:t>余额</w:t>
            </w:r>
            <w:r>
              <w:rPr>
                <w:rFonts w:ascii="宋体" w:hAnsi="宋体" w:cs="宋体" w:eastAsia="宋体" w:hint="default"/>
                <w:sz w:val="16"/>
                <w:szCs w:val="16"/>
              </w:rPr>
            </w:r>
          </w:p>
        </w:tc>
      </w:tr>
      <w:tr>
        <w:trPr>
          <w:trHeight w:val="980" w:hRule="exact"/>
        </w:trPr>
        <w:tc>
          <w:tcPr>
            <w:tcW w:w="774" w:type="dxa"/>
            <w:vMerge/>
            <w:tcBorders>
              <w:left w:val="single" w:sz="4" w:space="0" w:color="000000"/>
              <w:bottom w:val="single" w:sz="4" w:space="0" w:color="000000"/>
              <w:right w:val="single" w:sz="4" w:space="0" w:color="000000"/>
            </w:tcBorders>
            <w:shd w:val="clear" w:color="auto" w:fill="D2D2D2"/>
          </w:tcPr>
          <w:p>
            <w:pPr/>
          </w:p>
        </w:tc>
        <w:tc>
          <w:tcPr>
            <w:tcW w:w="1030" w:type="dxa"/>
            <w:vMerge/>
            <w:tcBorders>
              <w:left w:val="single" w:sz="4" w:space="0" w:color="000000"/>
              <w:bottom w:val="single" w:sz="4" w:space="0" w:color="000000"/>
              <w:right w:val="single" w:sz="4" w:space="0" w:color="000000"/>
            </w:tcBorders>
            <w:shd w:val="clear" w:color="auto" w:fill="D2D2D2"/>
          </w:tcPr>
          <w:p>
            <w:pP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307" w:lineRule="auto"/>
              <w:ind w:left="168" w:right="167"/>
              <w:jc w:val="left"/>
              <w:rPr>
                <w:rFonts w:ascii="宋体" w:hAnsi="宋体" w:cs="宋体" w:eastAsia="宋体" w:hint="default"/>
                <w:sz w:val="16"/>
                <w:szCs w:val="16"/>
              </w:rPr>
            </w:pPr>
            <w:r>
              <w:rPr>
                <w:rFonts w:ascii="宋体" w:hAnsi="宋体" w:cs="宋体" w:eastAsia="宋体" w:hint="default"/>
                <w:spacing w:val="-13"/>
                <w:sz w:val="16"/>
                <w:szCs w:val="16"/>
              </w:rPr>
              <w:t>追加</w:t>
            </w:r>
            <w:r>
              <w:rPr>
                <w:rFonts w:ascii="宋体" w:hAnsi="宋体" w:cs="宋体" w:eastAsia="宋体" w:hint="default"/>
                <w:spacing w:val="-12"/>
                <w:w w:val="99"/>
                <w:sz w:val="16"/>
                <w:szCs w:val="16"/>
              </w:rPr>
              <w:t> </w:t>
            </w:r>
            <w:r>
              <w:rPr>
                <w:rFonts w:ascii="宋体" w:hAnsi="宋体" w:cs="宋体" w:eastAsia="宋体" w:hint="default"/>
                <w:spacing w:val="-13"/>
                <w:sz w:val="16"/>
                <w:szCs w:val="16"/>
              </w:rPr>
              <w:t>投资</w:t>
            </w:r>
            <w:r>
              <w:rPr>
                <w:rFonts w:ascii="宋体" w:hAnsi="宋体" w:cs="宋体" w:eastAsia="宋体" w:hint="default"/>
                <w:sz w:val="16"/>
                <w:szCs w:val="16"/>
              </w:rPr>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0"/>
              <w:jc w:val="center"/>
              <w:rPr>
                <w:rFonts w:ascii="宋体" w:hAnsi="宋体" w:cs="宋体" w:eastAsia="宋体" w:hint="default"/>
                <w:sz w:val="16"/>
                <w:szCs w:val="16"/>
              </w:rPr>
            </w:pPr>
            <w:r>
              <w:rPr>
                <w:rFonts w:ascii="宋体" w:hAnsi="宋体" w:cs="宋体" w:eastAsia="宋体" w:hint="default"/>
                <w:spacing w:val="-13"/>
                <w:sz w:val="16"/>
                <w:szCs w:val="16"/>
              </w:rPr>
              <w:t>减少投资</w:t>
            </w:r>
            <w:r>
              <w:rPr>
                <w:rFonts w:ascii="宋体" w:hAnsi="宋体" w:cs="宋体" w:eastAsia="宋体" w:hint="default"/>
                <w:sz w:val="16"/>
                <w:szCs w:val="16"/>
              </w:rPr>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66" w:right="53"/>
              <w:jc w:val="center"/>
              <w:rPr>
                <w:rFonts w:ascii="宋体" w:hAnsi="宋体" w:cs="宋体" w:eastAsia="宋体" w:hint="default"/>
                <w:sz w:val="16"/>
                <w:szCs w:val="16"/>
              </w:rPr>
            </w:pPr>
            <w:r>
              <w:rPr>
                <w:rFonts w:ascii="宋体" w:hAnsi="宋体" w:cs="宋体" w:eastAsia="宋体" w:hint="default"/>
                <w:spacing w:val="-11"/>
                <w:sz w:val="16"/>
                <w:szCs w:val="16"/>
              </w:rPr>
              <w:t>权益法下确</w:t>
            </w:r>
            <w:r>
              <w:rPr>
                <w:rFonts w:ascii="宋体" w:hAnsi="宋体" w:cs="宋体" w:eastAsia="宋体" w:hint="default"/>
                <w:w w:val="99"/>
                <w:sz w:val="16"/>
                <w:szCs w:val="16"/>
              </w:rPr>
              <w:t> </w:t>
            </w:r>
            <w:r>
              <w:rPr>
                <w:rFonts w:ascii="宋体" w:hAnsi="宋体" w:cs="宋体" w:eastAsia="宋体" w:hint="default"/>
                <w:spacing w:val="-11"/>
                <w:sz w:val="16"/>
                <w:szCs w:val="16"/>
              </w:rPr>
              <w:t>认的投资损</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06" w:lineRule="exact"/>
              <w:ind w:left="214" w:right="53" w:hanging="149"/>
              <w:jc w:val="left"/>
              <w:rPr>
                <w:rFonts w:ascii="宋体" w:hAnsi="宋体" w:cs="宋体" w:eastAsia="宋体" w:hint="default"/>
                <w:sz w:val="16"/>
                <w:szCs w:val="16"/>
              </w:rPr>
            </w:pPr>
            <w:r>
              <w:rPr>
                <w:rFonts w:ascii="宋体" w:hAnsi="宋体" w:cs="宋体" w:eastAsia="宋体" w:hint="default"/>
                <w:spacing w:val="-11"/>
                <w:sz w:val="16"/>
                <w:szCs w:val="16"/>
              </w:rPr>
              <w:t>其他综合收</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3"/>
                <w:sz w:val="16"/>
                <w:szCs w:val="16"/>
              </w:rPr>
              <w:t>益调整</w:t>
            </w:r>
            <w:r>
              <w:rPr>
                <w:rFonts w:ascii="宋体" w:hAnsi="宋体" w:cs="宋体" w:eastAsia="宋体" w:hint="default"/>
                <w:sz w:val="16"/>
                <w:szCs w:val="16"/>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6"/>
                <w:szCs w:val="16"/>
              </w:rPr>
            </w:pPr>
          </w:p>
          <w:p>
            <w:pPr>
              <w:pStyle w:val="TableParagraph"/>
              <w:spacing w:line="307" w:lineRule="auto"/>
              <w:ind w:left="323" w:right="179" w:hanging="148"/>
              <w:jc w:val="left"/>
              <w:rPr>
                <w:rFonts w:ascii="宋体" w:hAnsi="宋体" w:cs="宋体" w:eastAsia="宋体" w:hint="default"/>
                <w:sz w:val="16"/>
                <w:szCs w:val="16"/>
              </w:rPr>
            </w:pPr>
            <w:r>
              <w:rPr>
                <w:rFonts w:ascii="宋体" w:hAnsi="宋体" w:cs="宋体" w:eastAsia="宋体" w:hint="default"/>
                <w:spacing w:val="-13"/>
                <w:sz w:val="16"/>
                <w:szCs w:val="16"/>
              </w:rPr>
              <w:t>其他权益</w:t>
            </w:r>
            <w:r>
              <w:rPr>
                <w:rFonts w:ascii="宋体" w:hAnsi="宋体" w:cs="宋体" w:eastAsia="宋体" w:hint="default"/>
                <w:spacing w:val="-78"/>
                <w:sz w:val="16"/>
                <w:szCs w:val="16"/>
              </w:rPr>
              <w:t> </w:t>
            </w:r>
            <w:r>
              <w:rPr>
                <w:rFonts w:ascii="宋体" w:hAnsi="宋体" w:cs="宋体" w:eastAsia="宋体" w:hint="default"/>
                <w:spacing w:val="-13"/>
                <w:sz w:val="16"/>
                <w:szCs w:val="16"/>
              </w:rPr>
              <w:t>变动</w:t>
            </w:r>
            <w:r>
              <w:rPr>
                <w:rFonts w:ascii="宋体" w:hAnsi="宋体" w:cs="宋体" w:eastAsia="宋体" w:hint="default"/>
                <w:sz w:val="16"/>
                <w:szCs w:val="16"/>
              </w:rPr>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7"/>
              <w:ind w:left="94" w:right="95"/>
              <w:jc w:val="both"/>
              <w:rPr>
                <w:rFonts w:ascii="宋体" w:hAnsi="宋体" w:cs="宋体" w:eastAsia="宋体" w:hint="default"/>
                <w:sz w:val="16"/>
                <w:szCs w:val="16"/>
              </w:rPr>
            </w:pPr>
            <w:r>
              <w:rPr>
                <w:rFonts w:ascii="宋体" w:hAnsi="宋体" w:cs="宋体" w:eastAsia="宋体" w:hint="default"/>
                <w:spacing w:val="-13"/>
                <w:sz w:val="16"/>
                <w:szCs w:val="16"/>
              </w:rPr>
              <w:t>宣告发</w:t>
            </w:r>
            <w:r>
              <w:rPr>
                <w:rFonts w:ascii="宋体" w:hAnsi="宋体" w:cs="宋体" w:eastAsia="宋体" w:hint="default"/>
                <w:spacing w:val="-12"/>
                <w:w w:val="99"/>
                <w:sz w:val="16"/>
                <w:szCs w:val="16"/>
              </w:rPr>
              <w:t> </w:t>
            </w:r>
            <w:r>
              <w:rPr>
                <w:rFonts w:ascii="宋体" w:hAnsi="宋体" w:cs="宋体" w:eastAsia="宋体" w:hint="default"/>
                <w:spacing w:val="-13"/>
                <w:sz w:val="16"/>
                <w:szCs w:val="16"/>
              </w:rPr>
              <w:t>放现金</w:t>
            </w:r>
            <w:r>
              <w:rPr>
                <w:rFonts w:ascii="宋体" w:hAnsi="宋体" w:cs="宋体" w:eastAsia="宋体" w:hint="default"/>
                <w:spacing w:val="-12"/>
                <w:w w:val="99"/>
                <w:sz w:val="16"/>
                <w:szCs w:val="16"/>
              </w:rPr>
              <w:t> </w:t>
            </w:r>
            <w:r>
              <w:rPr>
                <w:rFonts w:ascii="宋体" w:hAnsi="宋体" w:cs="宋体" w:eastAsia="宋体" w:hint="default"/>
                <w:spacing w:val="-13"/>
                <w:sz w:val="16"/>
                <w:szCs w:val="16"/>
              </w:rPr>
              <w:t>股利或</w:t>
            </w:r>
            <w:r>
              <w:rPr>
                <w:rFonts w:ascii="宋体" w:hAnsi="宋体" w:cs="宋体" w:eastAsia="宋体" w:hint="default"/>
                <w:spacing w:val="-12"/>
                <w:w w:val="99"/>
                <w:sz w:val="16"/>
                <w:szCs w:val="16"/>
              </w:rPr>
              <w:t> </w:t>
            </w:r>
            <w:r>
              <w:rPr>
                <w:rFonts w:ascii="宋体" w:hAnsi="宋体" w:cs="宋体" w:eastAsia="宋体" w:hint="default"/>
                <w:spacing w:val="-13"/>
                <w:sz w:val="16"/>
                <w:szCs w:val="16"/>
              </w:rPr>
              <w:t>利润</w:t>
            </w:r>
            <w:r>
              <w:rPr>
                <w:rFonts w:ascii="宋体" w:hAnsi="宋体" w:cs="宋体" w:eastAsia="宋体" w:hint="default"/>
                <w:sz w:val="16"/>
                <w:szCs w:val="16"/>
              </w:rPr>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06" w:lineRule="exact"/>
              <w:ind w:left="95" w:right="95"/>
              <w:jc w:val="left"/>
              <w:rPr>
                <w:rFonts w:ascii="宋体" w:hAnsi="宋体" w:cs="宋体" w:eastAsia="宋体" w:hint="default"/>
                <w:sz w:val="16"/>
                <w:szCs w:val="16"/>
              </w:rPr>
            </w:pPr>
            <w:r>
              <w:rPr>
                <w:rFonts w:ascii="宋体" w:hAnsi="宋体" w:cs="宋体" w:eastAsia="宋体" w:hint="default"/>
                <w:spacing w:val="-13"/>
                <w:sz w:val="16"/>
                <w:szCs w:val="16"/>
              </w:rPr>
              <w:t>计提减</w:t>
            </w:r>
            <w:r>
              <w:rPr>
                <w:rFonts w:ascii="宋体" w:hAnsi="宋体" w:cs="宋体" w:eastAsia="宋体" w:hint="default"/>
                <w:spacing w:val="-12"/>
                <w:w w:val="99"/>
                <w:sz w:val="16"/>
                <w:szCs w:val="16"/>
              </w:rPr>
              <w:t> </w:t>
            </w:r>
            <w:r>
              <w:rPr>
                <w:rFonts w:ascii="宋体" w:hAnsi="宋体" w:cs="宋体" w:eastAsia="宋体" w:hint="default"/>
                <w:spacing w:val="-13"/>
                <w:sz w:val="16"/>
                <w:szCs w:val="16"/>
              </w:rPr>
              <w:t>值准备</w:t>
            </w:r>
            <w:r>
              <w:rPr>
                <w:rFonts w:ascii="宋体" w:hAnsi="宋体" w:cs="宋体" w:eastAsia="宋体" w:hint="default"/>
                <w:sz w:val="16"/>
                <w:szCs w:val="16"/>
              </w:rPr>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6"/>
              <w:ind w:right="1"/>
              <w:jc w:val="center"/>
              <w:rPr>
                <w:rFonts w:ascii="宋体" w:hAnsi="宋体" w:cs="宋体" w:eastAsia="宋体" w:hint="default"/>
                <w:sz w:val="16"/>
                <w:szCs w:val="16"/>
              </w:rPr>
            </w:pPr>
            <w:r>
              <w:rPr>
                <w:rFonts w:ascii="宋体" w:hAnsi="宋体" w:cs="宋体" w:eastAsia="宋体" w:hint="default"/>
                <w:spacing w:val="-13"/>
                <w:sz w:val="16"/>
                <w:szCs w:val="16"/>
              </w:rPr>
              <w:t>其他</w:t>
            </w:r>
            <w:r>
              <w:rPr>
                <w:rFonts w:ascii="宋体" w:hAnsi="宋体" w:cs="宋体" w:eastAsia="宋体" w:hint="default"/>
                <w:sz w:val="16"/>
                <w:szCs w:val="16"/>
              </w:rPr>
            </w:r>
          </w:p>
        </w:tc>
        <w:tc>
          <w:tcPr>
            <w:tcW w:w="958"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r>
      <w:tr>
        <w:trPr>
          <w:trHeight w:val="390" w:hRule="exact"/>
        </w:trPr>
        <w:tc>
          <w:tcPr>
            <w:tcW w:w="988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6"/>
                <w:szCs w:val="16"/>
              </w:rPr>
            </w:pPr>
            <w:r>
              <w:rPr>
                <w:rFonts w:ascii="宋体" w:hAnsi="宋体" w:cs="宋体" w:eastAsia="宋体" w:hint="default"/>
                <w:spacing w:val="-11"/>
                <w:sz w:val="16"/>
                <w:szCs w:val="16"/>
              </w:rPr>
              <w:t>一、合营企业</w:t>
            </w:r>
          </w:p>
        </w:tc>
      </w:tr>
      <w:tr>
        <w:trPr>
          <w:trHeight w:val="757"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1" w:right="120"/>
              <w:jc w:val="both"/>
              <w:rPr>
                <w:rFonts w:ascii="宋体" w:hAnsi="宋体" w:cs="宋体" w:eastAsia="宋体" w:hint="default"/>
                <w:sz w:val="16"/>
                <w:szCs w:val="16"/>
              </w:rPr>
            </w:pPr>
            <w:r>
              <w:rPr>
                <w:rFonts w:ascii="宋体" w:hAnsi="宋体" w:cs="宋体" w:eastAsia="宋体" w:hint="default"/>
                <w:spacing w:val="-13"/>
                <w:sz w:val="16"/>
                <w:szCs w:val="16"/>
              </w:rPr>
              <w:t>中天智慧</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3,717,559.30</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-332,525.42</w:t>
            </w:r>
          </w:p>
        </w:tc>
        <w:tc>
          <w:tcPr>
            <w:tcW w:w="88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5"/>
              <w:jc w:val="right"/>
              <w:rPr>
                <w:rFonts w:ascii="Times New Roman" w:hAnsi="Times New Roman" w:cs="Times New Roman" w:eastAsia="Times New Roman" w:hint="default"/>
                <w:sz w:val="16"/>
                <w:szCs w:val="16"/>
              </w:rPr>
            </w:pPr>
            <w:r>
              <w:rPr>
                <w:rFonts w:ascii="Times New Roman"/>
                <w:spacing w:val="-6"/>
                <w:sz w:val="16"/>
              </w:rPr>
              <w:t>4,849.48</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sz w:val="16"/>
              </w:rPr>
              <w:t>66,506.44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3,456,389.80</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7"/>
              <w:ind w:left="51" w:right="120"/>
              <w:jc w:val="both"/>
              <w:rPr>
                <w:rFonts w:ascii="宋体" w:hAnsi="宋体" w:cs="宋体" w:eastAsia="宋体" w:hint="default"/>
                <w:sz w:val="16"/>
                <w:szCs w:val="16"/>
              </w:rPr>
            </w:pPr>
            <w:r>
              <w:rPr>
                <w:rFonts w:ascii="宋体" w:hAnsi="宋体" w:cs="宋体" w:eastAsia="宋体" w:hint="default"/>
                <w:spacing w:val="-13"/>
                <w:sz w:val="16"/>
                <w:szCs w:val="16"/>
              </w:rPr>
              <w:t>北京安创</w:t>
            </w:r>
            <w:r>
              <w:rPr>
                <w:rFonts w:ascii="宋体" w:hAnsi="宋体" w:cs="宋体" w:eastAsia="宋体" w:hint="default"/>
                <w:spacing w:val="-78"/>
                <w:sz w:val="16"/>
                <w:szCs w:val="16"/>
              </w:rPr>
              <w:t> </w:t>
            </w:r>
            <w:r>
              <w:rPr>
                <w:rFonts w:ascii="宋体" w:hAnsi="宋体" w:cs="宋体" w:eastAsia="宋体" w:hint="default"/>
                <w:spacing w:val="-13"/>
                <w:sz w:val="16"/>
                <w:szCs w:val="16"/>
              </w:rPr>
              <w:t>空间科技</w:t>
            </w:r>
            <w:r>
              <w:rPr>
                <w:rFonts w:ascii="宋体" w:hAnsi="宋体" w:cs="宋体" w:eastAsia="宋体" w:hint="default"/>
                <w:spacing w:val="-78"/>
                <w:sz w:val="16"/>
                <w:szCs w:val="16"/>
              </w:rPr>
              <w:t> </w:t>
            </w:r>
            <w:r>
              <w:rPr>
                <w:rFonts w:ascii="宋体" w:hAnsi="宋体" w:cs="宋体" w:eastAsia="宋体" w:hint="default"/>
                <w:spacing w:val="-13"/>
                <w:sz w:val="16"/>
                <w:szCs w:val="16"/>
              </w:rPr>
              <w:t>有限公司</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8,738,192.76</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982,076.94</w:t>
            </w:r>
          </w:p>
        </w:tc>
        <w:tc>
          <w:tcPr>
            <w:tcW w:w="88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9,720,269.70</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1" w:right="120"/>
              <w:jc w:val="both"/>
              <w:rPr>
                <w:rFonts w:ascii="宋体" w:hAnsi="宋体" w:cs="宋体" w:eastAsia="宋体" w:hint="default"/>
                <w:sz w:val="16"/>
                <w:szCs w:val="16"/>
              </w:rPr>
            </w:pPr>
            <w:r>
              <w:rPr>
                <w:rFonts w:ascii="宋体" w:hAnsi="宋体" w:cs="宋体" w:eastAsia="宋体" w:hint="default"/>
                <w:spacing w:val="-13"/>
                <w:sz w:val="16"/>
                <w:szCs w:val="16"/>
              </w:rPr>
              <w:t>重庆创华</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8,403,804.10</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73,728.60</w:t>
            </w:r>
          </w:p>
        </w:tc>
        <w:tc>
          <w:tcPr>
            <w:tcW w:w="88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8,477,532.70</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1" w:right="0"/>
              <w:jc w:val="left"/>
              <w:rPr>
                <w:rFonts w:ascii="宋体" w:hAnsi="宋体" w:cs="宋体" w:eastAsia="宋体" w:hint="default"/>
                <w:sz w:val="16"/>
                <w:szCs w:val="16"/>
              </w:rPr>
            </w:pPr>
            <w:r>
              <w:rPr>
                <w:rFonts w:ascii="宋体" w:hAnsi="宋体" w:cs="宋体" w:eastAsia="宋体" w:hint="default"/>
                <w:spacing w:val="-13"/>
                <w:sz w:val="16"/>
                <w:szCs w:val="16"/>
              </w:rPr>
              <w:t>小计</w:t>
            </w:r>
            <w:r>
              <w:rPr>
                <w:rFonts w:ascii="宋体" w:hAnsi="宋体" w:cs="宋体" w:eastAsia="宋体" w:hint="default"/>
                <w:sz w:val="16"/>
                <w:szCs w:val="16"/>
              </w:rPr>
            </w:r>
          </w:p>
        </w:tc>
        <w:tc>
          <w:tcPr>
            <w:tcW w:w="1030"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2"/>
              <w:ind w:right="44"/>
              <w:jc w:val="right"/>
              <w:rPr>
                <w:rFonts w:ascii="Times New Roman" w:hAnsi="Times New Roman" w:cs="Times New Roman" w:eastAsia="Times New Roman" w:hint="default"/>
                <w:sz w:val="16"/>
                <w:szCs w:val="16"/>
              </w:rPr>
            </w:pPr>
            <w:r>
              <w:rPr>
                <w:rFonts w:ascii="Times New Roman"/>
                <w:spacing w:val="-6"/>
                <w:w w:val="95"/>
                <w:sz w:val="16"/>
              </w:rPr>
              <w:t>20,859,556.16</w:t>
            </w:r>
            <w:r>
              <w:rPr>
                <w:rFonts w:ascii="Times New Roman"/>
                <w:spacing w:val="-6"/>
                <w:sz w:val="16"/>
              </w:rPr>
            </w:r>
          </w:p>
        </w:tc>
        <w:tc>
          <w:tcPr>
            <w:tcW w:w="642" w:type="dxa"/>
            <w:tcBorders>
              <w:top w:val="single" w:sz="4" w:space="0" w:color="000000"/>
              <w:left w:val="single" w:sz="4" w:space="0" w:color="000000"/>
              <w:bottom w:val="single" w:sz="17" w:space="0" w:color="D2D2D2"/>
              <w:right w:val="single" w:sz="4" w:space="0" w:color="000000"/>
            </w:tcBorders>
          </w:tcPr>
          <w:p>
            <w:pPr/>
          </w:p>
        </w:tc>
        <w:tc>
          <w:tcPr>
            <w:tcW w:w="823" w:type="dxa"/>
            <w:tcBorders>
              <w:top w:val="single" w:sz="4" w:space="0" w:color="000000"/>
              <w:left w:val="single" w:sz="4" w:space="0" w:color="000000"/>
              <w:bottom w:val="single" w:sz="17" w:space="0" w:color="D2D2D2"/>
              <w:right w:val="single" w:sz="4" w:space="0" w:color="000000"/>
            </w:tcBorders>
          </w:tcPr>
          <w:p>
            <w:pPr/>
          </w:p>
        </w:tc>
        <w:tc>
          <w:tcPr>
            <w:tcW w:w="88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2"/>
              <w:ind w:right="43"/>
              <w:jc w:val="right"/>
              <w:rPr>
                <w:rFonts w:ascii="Times New Roman" w:hAnsi="Times New Roman" w:cs="Times New Roman" w:eastAsia="Times New Roman" w:hint="default"/>
                <w:sz w:val="16"/>
                <w:szCs w:val="16"/>
              </w:rPr>
            </w:pPr>
            <w:r>
              <w:rPr>
                <w:rFonts w:ascii="Times New Roman"/>
                <w:spacing w:val="-6"/>
                <w:sz w:val="16"/>
              </w:rPr>
              <w:t>723,280.12</w:t>
            </w:r>
          </w:p>
        </w:tc>
        <w:tc>
          <w:tcPr>
            <w:tcW w:w="882" w:type="dxa"/>
            <w:tcBorders>
              <w:top w:val="single" w:sz="4" w:space="0" w:color="000000"/>
              <w:left w:val="single" w:sz="4" w:space="0" w:color="000000"/>
              <w:bottom w:val="single" w:sz="17" w:space="0" w:color="D2D2D2"/>
              <w:right w:val="single" w:sz="4" w:space="0" w:color="000000"/>
            </w:tcBorders>
          </w:tcPr>
          <w:p>
            <w:pPr/>
          </w:p>
        </w:tc>
        <w:tc>
          <w:tcPr>
            <w:tcW w:w="958"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2"/>
              <w:ind w:right="45"/>
              <w:jc w:val="right"/>
              <w:rPr>
                <w:rFonts w:ascii="Times New Roman" w:hAnsi="Times New Roman" w:cs="Times New Roman" w:eastAsia="Times New Roman" w:hint="default"/>
                <w:sz w:val="16"/>
                <w:szCs w:val="16"/>
              </w:rPr>
            </w:pPr>
            <w:r>
              <w:rPr>
                <w:rFonts w:ascii="Times New Roman"/>
                <w:spacing w:val="-6"/>
                <w:sz w:val="16"/>
              </w:rPr>
              <w:t>4,849.48</w:t>
            </w:r>
          </w:p>
        </w:tc>
        <w:tc>
          <w:tcPr>
            <w:tcW w:w="644" w:type="dxa"/>
            <w:tcBorders>
              <w:top w:val="single" w:sz="4" w:space="0" w:color="000000"/>
              <w:left w:val="single" w:sz="4" w:space="0" w:color="000000"/>
              <w:bottom w:val="single" w:sz="17" w:space="0" w:color="D2D2D2"/>
              <w:right w:val="single" w:sz="4" w:space="0" w:color="000000"/>
            </w:tcBorders>
          </w:tcPr>
          <w:p>
            <w:pPr/>
          </w:p>
        </w:tc>
        <w:tc>
          <w:tcPr>
            <w:tcW w:w="646" w:type="dxa"/>
            <w:tcBorders>
              <w:top w:val="single" w:sz="4" w:space="0" w:color="000000"/>
              <w:left w:val="single" w:sz="4" w:space="0" w:color="000000"/>
              <w:bottom w:val="single" w:sz="17" w:space="0" w:color="D2D2D2"/>
              <w:right w:val="single" w:sz="4" w:space="0" w:color="000000"/>
            </w:tcBorders>
          </w:tcPr>
          <w:p>
            <w:pPr/>
          </w:p>
        </w:tc>
        <w:tc>
          <w:tcPr>
            <w:tcW w:w="1004"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2"/>
              <w:ind w:right="42"/>
              <w:jc w:val="right"/>
              <w:rPr>
                <w:rFonts w:ascii="Times New Roman" w:hAnsi="Times New Roman" w:cs="Times New Roman" w:eastAsia="Times New Roman" w:hint="default"/>
                <w:sz w:val="16"/>
                <w:szCs w:val="16"/>
              </w:rPr>
            </w:pPr>
            <w:r>
              <w:rPr>
                <w:rFonts w:ascii="Times New Roman"/>
                <w:spacing w:val="-6"/>
                <w:sz w:val="16"/>
              </w:rPr>
              <w:t>66,506.44</w:t>
            </w:r>
          </w:p>
        </w:tc>
        <w:tc>
          <w:tcPr>
            <w:tcW w:w="958"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2"/>
              <w:ind w:right="44"/>
              <w:jc w:val="right"/>
              <w:rPr>
                <w:rFonts w:ascii="Times New Roman" w:hAnsi="Times New Roman" w:cs="Times New Roman" w:eastAsia="Times New Roman" w:hint="default"/>
                <w:sz w:val="16"/>
                <w:szCs w:val="16"/>
              </w:rPr>
            </w:pPr>
            <w:r>
              <w:rPr>
                <w:rFonts w:ascii="Times New Roman"/>
                <w:spacing w:val="-6"/>
                <w:w w:val="95"/>
                <w:sz w:val="16"/>
              </w:rPr>
              <w:t>21,654,192.20</w:t>
            </w:r>
            <w:r>
              <w:rPr>
                <w:rFonts w:ascii="Times New Roman"/>
                <w:spacing w:val="-6"/>
                <w:sz w:val="16"/>
              </w:rPr>
            </w:r>
          </w:p>
        </w:tc>
        <w:tc>
          <w:tcPr>
            <w:tcW w:w="644" w:type="dxa"/>
            <w:tcBorders>
              <w:top w:val="single" w:sz="4" w:space="0" w:color="000000"/>
              <w:left w:val="single" w:sz="4" w:space="0" w:color="000000"/>
              <w:bottom w:val="single" w:sz="17" w:space="0" w:color="D2D2D2"/>
              <w:right w:val="single" w:sz="4" w:space="0" w:color="000000"/>
            </w:tcBorders>
          </w:tcPr>
          <w:p>
            <w:pPr/>
          </w:p>
        </w:tc>
      </w:tr>
      <w:tr>
        <w:trPr>
          <w:trHeight w:val="391" w:hRule="exact"/>
        </w:trPr>
        <w:tc>
          <w:tcPr>
            <w:tcW w:w="988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6"/>
                <w:szCs w:val="16"/>
              </w:rPr>
            </w:pPr>
            <w:r>
              <w:rPr>
                <w:rFonts w:ascii="宋体" w:hAnsi="宋体" w:cs="宋体" w:eastAsia="宋体" w:hint="default"/>
                <w:spacing w:val="-11"/>
                <w:sz w:val="16"/>
                <w:szCs w:val="16"/>
              </w:rPr>
              <w:t>二、联营企业</w:t>
            </w:r>
          </w:p>
        </w:tc>
      </w:tr>
      <w:tr>
        <w:trPr>
          <w:trHeight w:val="756"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1" w:right="120"/>
              <w:jc w:val="both"/>
              <w:rPr>
                <w:rFonts w:ascii="宋体" w:hAnsi="宋体" w:cs="宋体" w:eastAsia="宋体" w:hint="default"/>
                <w:sz w:val="16"/>
                <w:szCs w:val="16"/>
              </w:rPr>
            </w:pPr>
            <w:r>
              <w:rPr>
                <w:rFonts w:ascii="宋体" w:hAnsi="宋体" w:cs="宋体" w:eastAsia="宋体" w:hint="default"/>
                <w:spacing w:val="-13"/>
                <w:sz w:val="16"/>
                <w:szCs w:val="16"/>
              </w:rPr>
              <w:t>杭州格像</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7"/>
                <w:sz w:val="16"/>
              </w:rPr>
              <w:t>3,983,311.81</w:t>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232,481.94</w:t>
            </w:r>
          </w:p>
        </w:tc>
        <w:tc>
          <w:tcPr>
            <w:tcW w:w="88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5"/>
              <w:jc w:val="right"/>
              <w:rPr>
                <w:rFonts w:ascii="Times New Roman" w:hAnsi="Times New Roman" w:cs="Times New Roman" w:eastAsia="Times New Roman" w:hint="default"/>
                <w:sz w:val="16"/>
                <w:szCs w:val="16"/>
              </w:rPr>
            </w:pPr>
            <w:r>
              <w:rPr>
                <w:rFonts w:ascii="Times New Roman"/>
                <w:spacing w:val="-6"/>
                <w:w w:val="95"/>
                <w:sz w:val="16"/>
              </w:rPr>
              <w:t>12,176,716.35</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16,392,510.10</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1" w:right="120"/>
              <w:jc w:val="both"/>
              <w:rPr>
                <w:rFonts w:ascii="宋体" w:hAnsi="宋体" w:cs="宋体" w:eastAsia="宋体" w:hint="default"/>
                <w:sz w:val="16"/>
                <w:szCs w:val="16"/>
              </w:rPr>
            </w:pPr>
            <w:r>
              <w:rPr>
                <w:rFonts w:ascii="宋体" w:hAnsi="宋体" w:cs="宋体" w:eastAsia="宋体" w:hint="default"/>
                <w:spacing w:val="-13"/>
                <w:sz w:val="16"/>
                <w:szCs w:val="16"/>
              </w:rPr>
              <w:t>北京云创</w:t>
            </w:r>
            <w:r>
              <w:rPr>
                <w:rFonts w:ascii="宋体" w:hAnsi="宋体" w:cs="宋体" w:eastAsia="宋体" w:hint="default"/>
                <w:spacing w:val="-78"/>
                <w:sz w:val="16"/>
                <w:szCs w:val="16"/>
              </w:rPr>
              <w:t> </w:t>
            </w:r>
            <w:r>
              <w:rPr>
                <w:rFonts w:ascii="宋体" w:hAnsi="宋体" w:cs="宋体" w:eastAsia="宋体" w:hint="default"/>
                <w:spacing w:val="-13"/>
                <w:sz w:val="16"/>
                <w:szCs w:val="16"/>
              </w:rPr>
              <w:t>远景软件</w:t>
            </w:r>
            <w:r>
              <w:rPr>
                <w:rFonts w:ascii="宋体" w:hAnsi="宋体" w:cs="宋体" w:eastAsia="宋体" w:hint="default"/>
                <w:spacing w:val="-78"/>
                <w:sz w:val="16"/>
                <w:szCs w:val="16"/>
              </w:rPr>
              <w:t> </w:t>
            </w:r>
            <w:r>
              <w:rPr>
                <w:rFonts w:ascii="宋体" w:hAnsi="宋体" w:cs="宋体" w:eastAsia="宋体" w:hint="default"/>
                <w:spacing w:val="-13"/>
                <w:sz w:val="16"/>
                <w:szCs w:val="16"/>
              </w:rPr>
              <w:t>有限责任</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109,791.89</w:t>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 w:right="0"/>
              <w:jc w:val="center"/>
              <w:rPr>
                <w:rFonts w:ascii="Times New Roman" w:hAnsi="Times New Roman" w:cs="Times New Roman" w:eastAsia="Times New Roman" w:hint="default"/>
                <w:sz w:val="16"/>
                <w:szCs w:val="16"/>
              </w:rPr>
            </w:pPr>
            <w:r>
              <w:rPr>
                <w:rFonts w:ascii="Times New Roman"/>
                <w:spacing w:val="-6"/>
                <w:sz w:val="16"/>
              </w:rPr>
              <w:t>-361,522.70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378,496.48</w:t>
            </w:r>
          </w:p>
        </w:tc>
        <w:tc>
          <w:tcPr>
            <w:tcW w:w="88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5"/>
              <w:jc w:val="right"/>
              <w:rPr>
                <w:rFonts w:ascii="Times New Roman" w:hAnsi="Times New Roman" w:cs="Times New Roman" w:eastAsia="Times New Roman" w:hint="default"/>
                <w:sz w:val="16"/>
                <w:szCs w:val="16"/>
              </w:rPr>
            </w:pPr>
            <w:r>
              <w:rPr>
                <w:rFonts w:ascii="Times New Roman"/>
                <w:spacing w:val="-6"/>
                <w:sz w:val="16"/>
              </w:rPr>
              <w:t>9,578.15</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sz w:val="16"/>
              </w:rPr>
              <w:t>10,055.19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146,399.01</w:t>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502"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1" w:right="79"/>
              <w:jc w:val="left"/>
              <w:rPr>
                <w:rFonts w:ascii="Times New Roman" w:hAnsi="Times New Roman" w:cs="Times New Roman" w:eastAsia="Times New Roman" w:hint="default"/>
                <w:sz w:val="16"/>
                <w:szCs w:val="16"/>
              </w:rPr>
            </w:pPr>
            <w:r>
              <w:rPr>
                <w:rFonts w:ascii="Times New Roman"/>
                <w:spacing w:val="-4"/>
                <w:sz w:val="16"/>
              </w:rPr>
              <w:t>T2</w:t>
            </w:r>
            <w:r>
              <w:rPr>
                <w:rFonts w:ascii="Times New Roman"/>
                <w:spacing w:val="-10"/>
                <w:sz w:val="16"/>
              </w:rPr>
              <w:t> </w:t>
            </w:r>
            <w:r>
              <w:rPr>
                <w:rFonts w:ascii="Times New Roman"/>
                <w:spacing w:val="-6"/>
                <w:sz w:val="16"/>
              </w:rPr>
              <w:t>Mobile</w:t>
            </w:r>
            <w:r>
              <w:rPr>
                <w:rFonts w:ascii="Times New Roman"/>
                <w:w w:val="99"/>
                <w:sz w:val="16"/>
              </w:rPr>
              <w:t> </w:t>
            </w:r>
            <w:r>
              <w:rPr>
                <w:rFonts w:ascii="Times New Roman"/>
                <w:spacing w:val="-6"/>
                <w:sz w:val="16"/>
              </w:rPr>
              <w:t>Limited</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6,238,944.82</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w w:val="95"/>
                <w:sz w:val="16"/>
              </w:rPr>
              <w:t>2,044,351.50</w:t>
            </w:r>
            <w:r>
              <w:rPr>
                <w:rFonts w:ascii="Times New Roman"/>
                <w:spacing w:val="-6"/>
                <w:sz w:val="16"/>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7"/>
                <w:sz w:val="16"/>
              </w:rPr>
              <w:t>-211,244.20</w:t>
            </w:r>
          </w:p>
        </w:tc>
        <w:tc>
          <w:tcPr>
            <w:tcW w:w="95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8,072,052.12</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685"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1" w:right="258"/>
              <w:jc w:val="left"/>
              <w:rPr>
                <w:rFonts w:ascii="Times New Roman" w:hAnsi="Times New Roman" w:cs="Times New Roman" w:eastAsia="Times New Roman" w:hint="default"/>
                <w:sz w:val="16"/>
                <w:szCs w:val="16"/>
              </w:rPr>
            </w:pPr>
            <w:r>
              <w:rPr>
                <w:rFonts w:ascii="Times New Roman"/>
                <w:spacing w:val="-5"/>
                <w:sz w:val="16"/>
              </w:rPr>
              <w:t>Point</w:t>
            </w:r>
            <w:r>
              <w:rPr>
                <w:rFonts w:ascii="Times New Roman"/>
                <w:w w:val="99"/>
                <w:sz w:val="16"/>
              </w:rPr>
              <w:t> </w:t>
            </w:r>
            <w:r>
              <w:rPr>
                <w:rFonts w:ascii="Times New Roman"/>
                <w:spacing w:val="-6"/>
                <w:sz w:val="16"/>
              </w:rPr>
              <w:t>Mobile</w:t>
            </w:r>
            <w:r>
              <w:rPr>
                <w:rFonts w:ascii="Times New Roman"/>
                <w:spacing w:val="-37"/>
                <w:sz w:val="16"/>
              </w:rPr>
              <w:t> </w:t>
            </w:r>
            <w:r>
              <w:rPr>
                <w:rFonts w:ascii="Times New Roman"/>
                <w:spacing w:val="-37"/>
                <w:sz w:val="16"/>
              </w:rPr>
            </w:r>
            <w:r>
              <w:rPr>
                <w:rFonts w:ascii="Times New Roman"/>
                <w:spacing w:val="-6"/>
                <w:sz w:val="16"/>
              </w:rPr>
              <w:t>Co.Ltd.</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72,037,283.13</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w w:val="95"/>
                <w:sz w:val="16"/>
              </w:rPr>
              <w:t>4,493,472.85</w:t>
            </w:r>
            <w:r>
              <w:rPr>
                <w:rFonts w:ascii="Times New Roman"/>
                <w:spacing w:val="-6"/>
                <w:sz w:val="16"/>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2,806,624.40</w:t>
            </w:r>
            <w:r>
              <w:rPr>
                <w:rFonts w:ascii="Times New Roman"/>
                <w:spacing w:val="-6"/>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5"/>
              <w:jc w:val="right"/>
              <w:rPr>
                <w:rFonts w:ascii="Times New Roman" w:hAnsi="Times New Roman" w:cs="Times New Roman" w:eastAsia="Times New Roman" w:hint="default"/>
                <w:sz w:val="16"/>
                <w:szCs w:val="16"/>
              </w:rPr>
            </w:pPr>
            <w:r>
              <w:rPr>
                <w:rFonts w:ascii="Times New Roman"/>
                <w:spacing w:val="-6"/>
                <w:w w:val="95"/>
                <w:sz w:val="16"/>
              </w:rPr>
              <w:t>2,796,422.04</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-82,133,802.42</w:t>
            </w:r>
            <w:r>
              <w:rPr>
                <w:rFonts w:ascii="Times New Roman"/>
                <w:spacing w:val="-6"/>
                <w:sz w:val="16"/>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757" w:hRule="exact"/>
        </w:trPr>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51" w:right="120"/>
              <w:jc w:val="both"/>
              <w:rPr>
                <w:rFonts w:ascii="宋体" w:hAnsi="宋体" w:cs="宋体" w:eastAsia="宋体" w:hint="default"/>
                <w:sz w:val="16"/>
                <w:szCs w:val="16"/>
              </w:rPr>
            </w:pPr>
            <w:r>
              <w:rPr>
                <w:rFonts w:ascii="宋体" w:hAnsi="宋体" w:cs="宋体" w:eastAsia="宋体" w:hint="default"/>
                <w:spacing w:val="-13"/>
                <w:sz w:val="16"/>
                <w:szCs w:val="16"/>
              </w:rPr>
              <w:t>深圳互连</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1,395,501.05</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-32,332.43</w:t>
            </w:r>
          </w:p>
        </w:tc>
        <w:tc>
          <w:tcPr>
            <w:tcW w:w="88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5"/>
              <w:jc w:val="right"/>
              <w:rPr>
                <w:rFonts w:ascii="Times New Roman" w:hAnsi="Times New Roman" w:cs="Times New Roman" w:eastAsia="Times New Roman" w:hint="default"/>
                <w:sz w:val="16"/>
                <w:szCs w:val="16"/>
              </w:rPr>
            </w:pPr>
            <w:r>
              <w:rPr>
                <w:rFonts w:ascii="Times New Roman"/>
                <w:spacing w:val="-6"/>
                <w:sz w:val="16"/>
              </w:rPr>
              <w:t>347,331.25</w:t>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1,710,499.87</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1" w:right="0"/>
              <w:jc w:val="left"/>
              <w:rPr>
                <w:rFonts w:ascii="宋体" w:hAnsi="宋体" w:cs="宋体" w:eastAsia="宋体" w:hint="default"/>
                <w:sz w:val="16"/>
                <w:szCs w:val="16"/>
              </w:rPr>
            </w:pPr>
            <w:r>
              <w:rPr>
                <w:rFonts w:ascii="宋体" w:hAnsi="宋体" w:cs="宋体" w:eastAsia="宋体" w:hint="default"/>
                <w:spacing w:val="-13"/>
                <w:sz w:val="16"/>
                <w:szCs w:val="16"/>
              </w:rPr>
              <w:t>小计</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w w:val="95"/>
                <w:sz w:val="16"/>
              </w:rPr>
              <w:t>83,764,832.70</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 w:right="0"/>
              <w:jc w:val="center"/>
              <w:rPr>
                <w:rFonts w:ascii="Times New Roman" w:hAnsi="Times New Roman" w:cs="Times New Roman" w:eastAsia="Times New Roman" w:hint="default"/>
                <w:sz w:val="16"/>
                <w:szCs w:val="16"/>
              </w:rPr>
            </w:pPr>
            <w:r>
              <w:rPr>
                <w:rFonts w:ascii="Times New Roman"/>
                <w:spacing w:val="-6"/>
                <w:sz w:val="16"/>
              </w:rPr>
              <w:t>-361,522.70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6"/>
                <w:szCs w:val="16"/>
              </w:rPr>
            </w:pPr>
            <w:r>
              <w:rPr>
                <w:rFonts w:ascii="Times New Roman"/>
                <w:spacing w:val="-7"/>
                <w:sz w:val="16"/>
              </w:rPr>
              <w:t>7,116,470.34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6"/>
                <w:szCs w:val="16"/>
              </w:rPr>
            </w:pPr>
            <w:r>
              <w:rPr>
                <w:rFonts w:ascii="Times New Roman"/>
                <w:spacing w:val="-6"/>
                <w:w w:val="95"/>
                <w:sz w:val="16"/>
              </w:rPr>
              <w:t>2,595,380.20</w:t>
            </w:r>
            <w:r>
              <w:rPr>
                <w:rFonts w:ascii="Times New Roman"/>
                <w:spacing w:val="-6"/>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5"/>
              <w:jc w:val="right"/>
              <w:rPr>
                <w:rFonts w:ascii="Times New Roman" w:hAnsi="Times New Roman" w:cs="Times New Roman" w:eastAsia="Times New Roman" w:hint="default"/>
                <w:sz w:val="16"/>
                <w:szCs w:val="16"/>
              </w:rPr>
            </w:pPr>
            <w:r>
              <w:rPr>
                <w:rFonts w:ascii="Times New Roman"/>
                <w:spacing w:val="-6"/>
                <w:w w:val="95"/>
                <w:sz w:val="16"/>
              </w:rPr>
              <w:t>15,330,047.79</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6"/>
                <w:szCs w:val="16"/>
              </w:rPr>
            </w:pPr>
            <w:r>
              <w:rPr>
                <w:rFonts w:ascii="Times New Roman"/>
                <w:spacing w:val="-6"/>
                <w:w w:val="95"/>
                <w:sz w:val="16"/>
              </w:rPr>
              <w:t>-82,123,747.23</w:t>
            </w:r>
            <w:r>
              <w:rPr>
                <w:rFonts w:ascii="Times New Roman"/>
                <w:spacing w:val="-6"/>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w w:val="95"/>
                <w:sz w:val="16"/>
              </w:rPr>
              <w:t>26,321,461.10</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1" w:right="0"/>
              <w:jc w:val="left"/>
              <w:rPr>
                <w:rFonts w:ascii="宋体" w:hAnsi="宋体" w:cs="宋体" w:eastAsia="宋体" w:hint="default"/>
                <w:sz w:val="16"/>
                <w:szCs w:val="16"/>
              </w:rPr>
            </w:pPr>
            <w:r>
              <w:rPr>
                <w:rFonts w:ascii="宋体" w:hAnsi="宋体" w:cs="宋体" w:eastAsia="宋体" w:hint="default"/>
                <w:spacing w:val="-13"/>
                <w:sz w:val="16"/>
                <w:szCs w:val="16"/>
              </w:rPr>
              <w:t>合计</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w w:val="95"/>
                <w:sz w:val="16"/>
              </w:rPr>
              <w:t>104,624,388.86</w:t>
            </w:r>
            <w:r>
              <w:rPr>
                <w:rFonts w:ascii="Times New Roman"/>
                <w:spacing w:val="-6"/>
                <w:sz w:val="16"/>
              </w:rPr>
            </w:r>
          </w:p>
        </w:tc>
        <w:tc>
          <w:tcPr>
            <w:tcW w:w="642"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 w:right="0"/>
              <w:jc w:val="center"/>
              <w:rPr>
                <w:rFonts w:ascii="Times New Roman" w:hAnsi="Times New Roman" w:cs="Times New Roman" w:eastAsia="Times New Roman" w:hint="default"/>
                <w:sz w:val="16"/>
                <w:szCs w:val="16"/>
              </w:rPr>
            </w:pPr>
            <w:r>
              <w:rPr>
                <w:rFonts w:ascii="Times New Roman"/>
                <w:spacing w:val="-6"/>
                <w:sz w:val="16"/>
              </w:rPr>
              <w:t>-361,522.70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6"/>
                <w:szCs w:val="16"/>
              </w:rPr>
            </w:pPr>
            <w:r>
              <w:rPr>
                <w:rFonts w:ascii="Times New Roman"/>
                <w:spacing w:val="-6"/>
                <w:w w:val="95"/>
                <w:sz w:val="16"/>
              </w:rPr>
              <w:t>7,839,750.46</w:t>
            </w:r>
            <w:r>
              <w:rPr>
                <w:rFonts w:ascii="Times New Roman"/>
                <w:spacing w:val="-6"/>
                <w:sz w:val="16"/>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6"/>
                <w:szCs w:val="16"/>
              </w:rPr>
            </w:pPr>
            <w:r>
              <w:rPr>
                <w:rFonts w:ascii="Times New Roman"/>
                <w:spacing w:val="-6"/>
                <w:w w:val="95"/>
                <w:sz w:val="16"/>
              </w:rPr>
              <w:t>2,595,380.20</w:t>
            </w:r>
            <w:r>
              <w:rPr>
                <w:rFonts w:ascii="Times New Roman"/>
                <w:spacing w:val="-6"/>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5"/>
              <w:jc w:val="right"/>
              <w:rPr>
                <w:rFonts w:ascii="Times New Roman" w:hAnsi="Times New Roman" w:cs="Times New Roman" w:eastAsia="Times New Roman" w:hint="default"/>
                <w:sz w:val="16"/>
                <w:szCs w:val="16"/>
              </w:rPr>
            </w:pPr>
            <w:r>
              <w:rPr>
                <w:rFonts w:ascii="Times New Roman"/>
                <w:spacing w:val="-6"/>
                <w:w w:val="95"/>
                <w:sz w:val="16"/>
              </w:rPr>
              <w:t>15,334,897.27</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6"/>
                <w:szCs w:val="16"/>
              </w:rPr>
            </w:pPr>
            <w:r>
              <w:rPr>
                <w:rFonts w:ascii="Times New Roman"/>
                <w:spacing w:val="-6"/>
                <w:w w:val="95"/>
                <w:sz w:val="16"/>
              </w:rPr>
              <w:t>-82,057,240.79</w:t>
            </w:r>
            <w:r>
              <w:rPr>
                <w:rFonts w:ascii="Times New Roman"/>
                <w:spacing w:val="-6"/>
                <w:sz w:val="16"/>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w w:val="95"/>
                <w:sz w:val="16"/>
              </w:rPr>
              <w:t>47,975,653.30</w:t>
            </w:r>
            <w:r>
              <w:rPr>
                <w:rFonts w:ascii="Times New Roman"/>
                <w:spacing w:val="-6"/>
                <w:sz w:val="16"/>
              </w:rPr>
            </w: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A.</w:t>
      </w:r>
      <w:r>
        <w:rPr/>
        <w:t>本公司对合营企业中天智慧科技有限公司实施股份支付，增加资本公积 </w:t>
      </w:r>
      <w:r>
        <w:rPr>
          <w:rFonts w:ascii="Times New Roman" w:hAnsi="Times New Roman" w:cs="Times New Roman" w:eastAsia="Times New Roman" w:hint="default"/>
        </w:rPr>
        <w:t>66,506.44</w:t>
      </w:r>
      <w:r>
        <w:rPr>
          <w:rFonts w:ascii="Times New Roman" w:hAnsi="Times New Roman" w:cs="Times New Roman" w:eastAsia="Times New Roman" w:hint="default"/>
          <w:spacing w:val="32"/>
        </w:rPr>
        <w:t> </w:t>
      </w:r>
      <w:r>
        <w:rPr/>
        <w:t>元，相应增加长</w:t>
      </w:r>
    </w:p>
    <w:p>
      <w:pPr>
        <w:pStyle w:val="BodyText"/>
        <w:spacing w:line="240" w:lineRule="auto" w:before="49"/>
        <w:ind w:left="1133" w:right="0"/>
        <w:jc w:val="left"/>
      </w:pPr>
      <w:r>
        <w:rPr/>
        <w:t>期股权投资 </w:t>
      </w:r>
      <w:r>
        <w:rPr>
          <w:rFonts w:ascii="Times New Roman" w:hAnsi="Times New Roman" w:cs="Times New Roman" w:eastAsia="Times New Roman" w:hint="default"/>
        </w:rPr>
        <w:t>66,506.44</w:t>
      </w:r>
      <w:r>
        <w:rPr>
          <w:rFonts w:ascii="Times New Roman" w:hAnsi="Times New Roman" w:cs="Times New Roman" w:eastAsia="Times New Roman" w:hint="default"/>
          <w:spacing w:val="29"/>
        </w:rPr>
        <w:t> </w:t>
      </w:r>
      <w:r>
        <w:rPr/>
        <w:t>元。其他权益变动系权益法核算因股份支付增加资本公积相应增加本公司长期股权</w:t>
      </w:r>
    </w:p>
    <w:p>
      <w:pPr>
        <w:pStyle w:val="BodyText"/>
        <w:spacing w:line="240" w:lineRule="auto" w:before="50"/>
        <w:ind w:left="1133" w:right="0"/>
        <w:jc w:val="left"/>
      </w:pPr>
      <w:r>
        <w:rPr/>
        <w:t>投资</w:t>
      </w:r>
      <w:r>
        <w:rPr>
          <w:spacing w:val="-53"/>
        </w:rPr>
        <w:t> </w:t>
      </w:r>
      <w:r>
        <w:rPr>
          <w:rFonts w:ascii="Times New Roman" w:hAnsi="Times New Roman" w:cs="Times New Roman" w:eastAsia="Times New Roman" w:hint="default"/>
        </w:rPr>
        <w:t>4,849.48</w:t>
      </w:r>
      <w:r>
        <w:rPr>
          <w:rFonts w:ascii="Times New Roman" w:hAnsi="Times New Roman" w:cs="Times New Roman" w:eastAsia="Times New Roman" w:hint="default"/>
          <w:spacing w:val="-10"/>
        </w:rPr>
        <w:t> </w:t>
      </w:r>
      <w:r>
        <w:rPr/>
        <w:t>元。</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B.</w:t>
      </w:r>
      <w:r>
        <w:rPr/>
        <w:t>因杭州格像科技有限公司其他净资产变动，相应增加本集团长期股权投资</w:t>
      </w:r>
      <w:r>
        <w:rPr>
          <w:spacing w:val="-54"/>
        </w:rPr>
        <w:t> </w:t>
      </w:r>
      <w:r>
        <w:rPr>
          <w:rFonts w:ascii="Times New Roman" w:hAnsi="Times New Roman" w:cs="Times New Roman" w:eastAsia="Times New Roman" w:hint="default"/>
        </w:rPr>
        <w:t>12,176,716.35</w:t>
      </w:r>
      <w:r>
        <w:rPr>
          <w:rFonts w:ascii="Times New Roman" w:hAnsi="Times New Roman" w:cs="Times New Roman" w:eastAsia="Times New Roman" w:hint="default"/>
          <w:spacing w:val="-12"/>
        </w:rPr>
        <w:t> </w:t>
      </w:r>
      <w:r>
        <w:rPr/>
        <w:t>元。</w:t>
      </w:r>
    </w:p>
    <w:p>
      <w:pPr>
        <w:spacing w:line="240" w:lineRule="auto" w:before="7"/>
        <w:rPr>
          <w:rFonts w:ascii="宋体" w:hAnsi="宋体" w:cs="宋体" w:eastAsia="宋体" w:hint="default"/>
          <w:sz w:val="20"/>
          <w:szCs w:val="20"/>
        </w:rPr>
      </w:pPr>
    </w:p>
    <w:p>
      <w:pPr>
        <w:pStyle w:val="BodyText"/>
        <w:spacing w:line="280" w:lineRule="auto"/>
        <w:ind w:left="1134" w:right="1132" w:firstLine="420"/>
        <w:jc w:val="both"/>
      </w:pPr>
      <w:r>
        <w:rPr>
          <w:rFonts w:ascii="Times New Roman" w:hAnsi="Times New Roman" w:cs="Times New Roman" w:eastAsia="Times New Roman" w:hint="default"/>
          <w:spacing w:val="-1"/>
        </w:rPr>
        <w:t>C.</w:t>
      </w:r>
      <w:r>
        <w:rPr>
          <w:spacing w:val="-1"/>
        </w:rPr>
        <w:t>本公司之全资子公司北京信恒创科技发展有限公司（简称“信恒创”）本期将持有的北京云创远景</w:t>
      </w:r>
      <w:r>
        <w:rPr/>
        <w:t> 软件有限责任公司</w:t>
      </w:r>
      <w:r>
        <w:rPr>
          <w:spacing w:val="-65"/>
        </w:rPr>
        <w:t> </w:t>
      </w:r>
      <w:r>
        <w:rPr>
          <w:rFonts w:ascii="Times New Roman" w:hAnsi="Times New Roman" w:cs="Times New Roman" w:eastAsia="Times New Roman" w:hint="default"/>
        </w:rPr>
        <w:t>16.99%</w:t>
      </w:r>
      <w:r>
        <w:rPr/>
        <w:t>股权转给自然人，相应减少长期股权投资</w:t>
      </w:r>
      <w:r>
        <w:rPr>
          <w:spacing w:val="-65"/>
        </w:rPr>
        <w:t> </w:t>
      </w:r>
      <w:r>
        <w:rPr>
          <w:rFonts w:ascii="Times New Roman" w:hAnsi="Times New Roman" w:cs="Times New Roman" w:eastAsia="Times New Roman" w:hint="default"/>
        </w:rPr>
        <w:t>361,522.70</w:t>
      </w:r>
      <w:r>
        <w:rPr>
          <w:rFonts w:ascii="Times New Roman" w:hAnsi="Times New Roman" w:cs="Times New Roman" w:eastAsia="Times New Roman" w:hint="default"/>
          <w:spacing w:val="-21"/>
        </w:rPr>
        <w:t> </w:t>
      </w:r>
      <w:r>
        <w:rPr>
          <w:spacing w:val="-4"/>
        </w:rPr>
        <w:t>元。因北京云创远景软件有</w:t>
      </w:r>
      <w:r>
        <w:rPr/>
        <w:t> 限责任公司其他净资产变动，相应增加本集团长期股权投资</w:t>
      </w:r>
      <w:r>
        <w:rPr>
          <w:spacing w:val="-60"/>
        </w:rPr>
        <w:t> </w:t>
      </w:r>
      <w:r>
        <w:rPr>
          <w:rFonts w:ascii="Times New Roman" w:hAnsi="Times New Roman" w:cs="Times New Roman" w:eastAsia="Times New Roman" w:hint="default"/>
        </w:rPr>
        <w:t>9,578.15</w:t>
      </w:r>
      <w:r>
        <w:rPr>
          <w:rFonts w:ascii="Times New Roman" w:hAnsi="Times New Roman" w:cs="Times New Roman" w:eastAsia="Times New Roman" w:hint="default"/>
          <w:spacing w:val="-19"/>
        </w:rPr>
        <w:t> </w:t>
      </w:r>
      <w:r>
        <w:rPr/>
        <w:t>元。本公司对联营企业云创远景实施</w:t>
      </w:r>
    </w:p>
    <w:p>
      <w:pPr>
        <w:spacing w:after="0" w:line="280"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4" w:right="0"/>
        <w:jc w:val="left"/>
      </w:pPr>
      <w:r>
        <w:rPr/>
        <w:t>股份支付，增加资本公积</w:t>
      </w:r>
      <w:r>
        <w:rPr>
          <w:spacing w:val="-53"/>
        </w:rPr>
        <w:t> </w:t>
      </w:r>
      <w:r>
        <w:rPr>
          <w:rFonts w:ascii="Times New Roman" w:hAnsi="Times New Roman" w:cs="Times New Roman" w:eastAsia="Times New Roman" w:hint="default"/>
        </w:rPr>
        <w:t>10,055.19</w:t>
      </w:r>
      <w:r>
        <w:rPr>
          <w:rFonts w:ascii="Times New Roman" w:hAnsi="Times New Roman" w:cs="Times New Roman" w:eastAsia="Times New Roman" w:hint="default"/>
          <w:spacing w:val="-12"/>
        </w:rPr>
        <w:t> </w:t>
      </w:r>
      <w:r>
        <w:rPr/>
        <w:t>元，相应增加长期股权投资</w:t>
      </w:r>
      <w:r>
        <w:rPr>
          <w:spacing w:val="-53"/>
        </w:rPr>
        <w:t> </w:t>
      </w:r>
      <w:r>
        <w:rPr>
          <w:rFonts w:ascii="Times New Roman" w:hAnsi="Times New Roman" w:cs="Times New Roman" w:eastAsia="Times New Roman" w:hint="default"/>
        </w:rPr>
        <w:t>10,055.19</w:t>
      </w:r>
      <w:r>
        <w:rPr>
          <w:rFonts w:ascii="Times New Roman" w:hAnsi="Times New Roman" w:cs="Times New Roman" w:eastAsia="Times New Roman" w:hint="default"/>
          <w:spacing w:val="-12"/>
        </w:rPr>
        <w:t> </w:t>
      </w:r>
      <w:r>
        <w:rPr/>
        <w:t>元。</w:t>
      </w:r>
    </w:p>
    <w:p>
      <w:pPr>
        <w:spacing w:line="240" w:lineRule="auto" w:before="6"/>
        <w:rPr>
          <w:rFonts w:ascii="宋体" w:hAnsi="宋体" w:cs="宋体" w:eastAsia="宋体" w:hint="default"/>
          <w:sz w:val="20"/>
          <w:szCs w:val="20"/>
        </w:rPr>
      </w:pPr>
    </w:p>
    <w:p>
      <w:pPr>
        <w:pStyle w:val="BodyText"/>
        <w:spacing w:line="280" w:lineRule="auto"/>
        <w:ind w:left="1133" w:right="1125" w:firstLine="420"/>
        <w:jc w:val="left"/>
      </w:pPr>
      <w:r>
        <w:rPr>
          <w:rFonts w:ascii="Times New Roman" w:hAnsi="Times New Roman" w:cs="Times New Roman" w:eastAsia="Times New Roman" w:hint="default"/>
        </w:rPr>
        <w:t>D.</w:t>
      </w:r>
      <w:r>
        <w:rPr/>
        <w:t>本公司之间接控制全资子公司</w:t>
      </w:r>
      <w:r>
        <w:rPr>
          <w:spacing w:val="-62"/>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12"/>
        </w:rPr>
        <w:t> </w:t>
      </w:r>
      <w:r>
        <w:rPr>
          <w:rFonts w:ascii="Times New Roman" w:hAnsi="Times New Roman" w:cs="Times New Roman" w:eastAsia="Times New Roman" w:hint="default"/>
        </w:rPr>
        <w:t>Focus</w:t>
      </w:r>
      <w:r>
        <w:rPr>
          <w:rFonts w:ascii="Times New Roman" w:hAnsi="Times New Roman" w:cs="Times New Roman" w:eastAsia="Times New Roman" w:hint="default"/>
          <w:spacing w:val="-12"/>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r>
        <w:rPr/>
        <w:t>拟将持有的</w:t>
      </w:r>
      <w:r>
        <w:rPr>
          <w:spacing w:val="-62"/>
        </w:rPr>
        <w:t> </w:t>
      </w:r>
      <w:r>
        <w:rPr>
          <w:rFonts w:ascii="Times New Roman" w:hAnsi="Times New Roman" w:cs="Times New Roman" w:eastAsia="Times New Roman" w:hint="default"/>
        </w:rPr>
        <w:t>Point</w:t>
      </w:r>
      <w:r>
        <w:rPr>
          <w:rFonts w:ascii="Times New Roman" w:hAnsi="Times New Roman" w:cs="Times New Roman" w:eastAsia="Times New Roman" w:hint="default"/>
          <w:spacing w:val="-13"/>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12"/>
        </w:rPr>
        <w:t> </w:t>
      </w:r>
      <w:r>
        <w:rPr>
          <w:rFonts w:ascii="Times New Roman" w:hAnsi="Times New Roman" w:cs="Times New Roman" w:eastAsia="Times New Roman" w:hint="default"/>
        </w:rPr>
        <w:t>Co.,Ltd.</w:t>
      </w:r>
      <w:r>
        <w:rPr/>
        <w:t>的股权全部 出售，期末将长期股权投资账面余额转至持有待售资产。</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E.</w:t>
      </w:r>
      <w:r>
        <w:rPr/>
        <w:t>因深圳互连科技有限公司其他净资产变动，相应增加本集团长期股权投资</w:t>
      </w:r>
      <w:r>
        <w:rPr>
          <w:spacing w:val="-53"/>
        </w:rPr>
        <w:t> </w:t>
      </w:r>
      <w:r>
        <w:rPr>
          <w:rFonts w:ascii="Times New Roman" w:hAnsi="Times New Roman" w:cs="Times New Roman" w:eastAsia="Times New Roman" w:hint="default"/>
        </w:rPr>
        <w:t>347,331.25</w:t>
      </w:r>
      <w:r>
        <w:rPr>
          <w:rFonts w:ascii="Times New Roman" w:hAnsi="Times New Roman" w:cs="Times New Roman" w:eastAsia="Times New Roman" w:hint="default"/>
          <w:spacing w:val="-11"/>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18、投资性房地产" w:id="285"/>
      <w:bookmarkEnd w:id="285"/>
      <w:r>
        <w:rPr/>
      </w:r>
      <w:r>
        <w:rPr>
          <w:rFonts w:ascii="Times New Roman" w:hAnsi="Times New Roman" w:cs="Times New Roman" w:eastAsia="Times New Roman" w:hint="default"/>
        </w:rPr>
        <w:t>18</w:t>
      </w:r>
      <w:r>
        <w:rPr>
          <w:rFonts w:ascii="微软雅黑" w:hAnsi="微软雅黑" w:cs="微软雅黑" w:eastAsia="微软雅黑" w:hint="default"/>
        </w:rPr>
        <w:t>、投资性房地产</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采用成本计量模式的投资性房地产" w:id="286"/>
      <w:bookmarkEnd w:id="28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2）采用公允价值计量模式的投资性房地产" w:id="287"/>
      <w:bookmarkEnd w:id="28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bookmarkStart w:name="（3）未办妥产权证书的投资性房地产情况" w:id="288"/>
      <w:bookmarkEnd w:id="28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6"/>
        <w:gridCol w:w="3287"/>
      </w:tblGrid>
      <w:tr>
        <w:trPr>
          <w:trHeight w:val="386"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828"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line="240" w:lineRule="auto" w:before="1"/>
        <w:rPr>
          <w:rFonts w:ascii="宋体" w:hAnsi="宋体" w:cs="宋体" w:eastAsia="宋体" w:hint="default"/>
          <w:sz w:val="12"/>
          <w:szCs w:val="12"/>
        </w:rPr>
      </w:pPr>
    </w:p>
    <w:p>
      <w:pPr>
        <w:pStyle w:val="BodyText"/>
        <w:spacing w:line="240" w:lineRule="auto" w:before="35"/>
        <w:ind w:right="0"/>
        <w:jc w:val="left"/>
      </w:pPr>
      <w:r>
        <w:rPr/>
        <w:t>其他说明</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19、固定资产" w:id="289"/>
      <w:bookmarkEnd w:id="289"/>
      <w:r>
        <w:rPr/>
      </w:r>
      <w:r>
        <w:rPr>
          <w:rFonts w:ascii="Times New Roman" w:hAnsi="Times New Roman" w:cs="Times New Roman" w:eastAsia="Times New Roman" w:hint="default"/>
        </w:rPr>
        <w:t>19</w:t>
      </w:r>
      <w:r>
        <w:rPr>
          <w:rFonts w:ascii="微软雅黑" w:hAnsi="微软雅黑" w:cs="微软雅黑" w:eastAsia="微软雅黑" w:hint="default"/>
        </w:rPr>
        <w:t>、固定资产</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固定资产情况" w:id="290"/>
      <w:bookmarkEnd w:id="29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408"/>
        <w:gridCol w:w="1409"/>
        <w:gridCol w:w="1408"/>
        <w:gridCol w:w="1408"/>
        <w:gridCol w:w="1409"/>
        <w:gridCol w:w="1407"/>
        <w:gridCol w:w="1408"/>
      </w:tblGrid>
      <w:tr>
        <w:trPr>
          <w:trHeight w:val="382"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2"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right="3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409" w:type="dxa"/>
            <w:tcBorders>
              <w:top w:val="single" w:sz="12" w:space="0" w:color="D9D9D9"/>
              <w:left w:val="single" w:sz="4" w:space="0" w:color="000000"/>
              <w:bottom w:val="single" w:sz="4" w:space="0" w:color="000000"/>
              <w:right w:val="single" w:sz="4" w:space="0" w:color="000000"/>
            </w:tcBorders>
          </w:tcPr>
          <w:p>
            <w:pPr/>
          </w:p>
        </w:tc>
        <w:tc>
          <w:tcPr>
            <w:tcW w:w="1408" w:type="dxa"/>
            <w:tcBorders>
              <w:top w:val="single" w:sz="12" w:space="0" w:color="D9D9D9"/>
              <w:left w:val="single" w:sz="4" w:space="0" w:color="000000"/>
              <w:bottom w:val="single" w:sz="4" w:space="0" w:color="000000"/>
              <w:right w:val="single" w:sz="4" w:space="0" w:color="000000"/>
            </w:tcBorders>
          </w:tcPr>
          <w:p>
            <w:pPr/>
          </w:p>
        </w:tc>
        <w:tc>
          <w:tcPr>
            <w:tcW w:w="1408" w:type="dxa"/>
            <w:tcBorders>
              <w:top w:val="single" w:sz="12" w:space="0" w:color="D9D9D9"/>
              <w:left w:val="single" w:sz="4" w:space="0" w:color="000000"/>
              <w:bottom w:val="single" w:sz="4" w:space="0" w:color="000000"/>
              <w:right w:val="single" w:sz="4" w:space="0" w:color="000000"/>
            </w:tcBorders>
          </w:tcPr>
          <w:p>
            <w:pPr/>
          </w:p>
        </w:tc>
        <w:tc>
          <w:tcPr>
            <w:tcW w:w="1409" w:type="dxa"/>
            <w:tcBorders>
              <w:top w:val="single" w:sz="12" w:space="0" w:color="D9D9D9"/>
              <w:left w:val="single" w:sz="4" w:space="0" w:color="000000"/>
              <w:bottom w:val="single" w:sz="4" w:space="0" w:color="000000"/>
              <w:right w:val="single" w:sz="4" w:space="0" w:color="000000"/>
            </w:tcBorders>
          </w:tcPr>
          <w:p>
            <w:pPr/>
          </w:p>
        </w:tc>
        <w:tc>
          <w:tcPr>
            <w:tcW w:w="1407" w:type="dxa"/>
            <w:tcBorders>
              <w:top w:val="single" w:sz="12" w:space="0" w:color="D9D9D9"/>
              <w:left w:val="single" w:sz="4" w:space="0" w:color="000000"/>
              <w:bottom w:val="single" w:sz="4" w:space="0" w:color="000000"/>
              <w:right w:val="single" w:sz="4" w:space="0" w:color="000000"/>
            </w:tcBorders>
          </w:tcPr>
          <w:p>
            <w:pPr/>
          </w:p>
        </w:tc>
        <w:tc>
          <w:tcPr>
            <w:tcW w:w="1408" w:type="dxa"/>
            <w:tcBorders>
              <w:top w:val="single" w:sz="12" w:space="0" w:color="D9D9D9"/>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57,840,731.40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26,217,156.92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6,282,597.20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1,688,993.26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3,572,359.15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95,601,837.93</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53,444.09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13,016,422.37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1,152,110.12</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83,442.73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14,305,419.31</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53,444.09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12,034,279.57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1,163,585.95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83,442.73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13,334,752.34</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55"/>
              <w:ind w:left="103" w:right="1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 工程转入</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7"/>
              <w:ind w:left="103" w:right="1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 合并增加</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865,079.97</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865,079.97</w:t>
            </w:r>
          </w:p>
        </w:tc>
      </w:tr>
      <w:tr>
        <w:trPr>
          <w:trHeight w:val="600"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before="32"/>
              <w:ind w:left="733" w:right="0"/>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4</w:t>
            </w:r>
            <w:r>
              <w:rPr>
                <w:rFonts w:ascii="宋体" w:hAnsi="宋体" w:cs="宋体" w:eastAsia="宋体" w:hint="default"/>
                <w:spacing w:val="-18"/>
                <w:sz w:val="18"/>
                <w:szCs w:val="18"/>
              </w:rPr>
              <w:t>）汇</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率变动</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117,062.83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-11,475.83</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105,587.00</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1,760,892.02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557,503.85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60,320.33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2,378,716.20</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4" w:lineRule="exact" w:before="55"/>
              <w:ind w:left="103" w:right="1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1,760,892.02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557,503.85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60,320.33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2,378,716.20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408"/>
        <w:gridCol w:w="1409"/>
        <w:gridCol w:w="1408"/>
        <w:gridCol w:w="1408"/>
        <w:gridCol w:w="1409"/>
        <w:gridCol w:w="1407"/>
        <w:gridCol w:w="1408"/>
      </w:tblGrid>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57,894,175.49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37,472,687.27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6,877,203.47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1,688,993.26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3,595,481.55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107,528,541.04</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3,377,491.91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12,848,384.90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3,123,767.75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1,265,066.83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1,622,376.80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22,237,088.19</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7"/>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1,876,069.12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7,922,778.21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978,670.36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171,124.76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1,012,088.75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11,960,731.20</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1,876,069.12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7,907,260.57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986,262.17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171,124.76</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1,012,088.75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11,952,805.37</w:t>
            </w:r>
          </w:p>
        </w:tc>
      </w:tr>
      <w:tr>
        <w:trPr>
          <w:trHeight w:val="600"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before="32"/>
              <w:ind w:left="733" w:right="0"/>
              <w:jc w:val="left"/>
              <w:rPr>
                <w:rFonts w:ascii="宋体" w:hAnsi="宋体" w:cs="宋体" w:eastAsia="宋体" w:hint="default"/>
                <w:sz w:val="18"/>
                <w:szCs w:val="18"/>
              </w:rPr>
            </w:pPr>
            <w:r>
              <w:rPr>
                <w:rFonts w:ascii="宋体" w:hAnsi="宋体" w:cs="宋体" w:eastAsia="宋体" w:hint="default"/>
                <w:spacing w:val="-18"/>
                <w:sz w:val="18"/>
                <w:szCs w:val="18"/>
              </w:rPr>
              <w:t>（</w:t>
            </w:r>
            <w:r>
              <w:rPr>
                <w:rFonts w:ascii="Times New Roman" w:hAnsi="Times New Roman" w:cs="Times New Roman" w:eastAsia="Times New Roman" w:hint="default"/>
                <w:spacing w:val="-18"/>
                <w:sz w:val="18"/>
                <w:szCs w:val="18"/>
              </w:rPr>
              <w:t>2</w:t>
            </w:r>
            <w:r>
              <w:rPr>
                <w:rFonts w:ascii="宋体" w:hAnsi="宋体" w:cs="宋体" w:eastAsia="宋体" w:hint="default"/>
                <w:spacing w:val="-18"/>
                <w:sz w:val="18"/>
                <w:szCs w:val="18"/>
              </w:rPr>
              <w:t>）汇</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率变动</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15,517.64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-7,591.81</w:t>
            </w:r>
            <w:r>
              <w:rPr>
                <w:rFonts w:ascii="Times New Roman"/>
                <w:sz w:val="18"/>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7,925.83</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1,383,127.28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407,395.55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58,510.72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1,849,033.55</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1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1,383,127.28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407,395.55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58,510.72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1,849,033.55</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5,253,561.03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19,388,035.83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3,695,042.56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1,436,191.59</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2,575,954.83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32,348,785.84</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6"/>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7"/>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12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 或报废</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7"/>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52,640,614.46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18,084,651.44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3,182,160.91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252,801.67</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1,019,526.72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75,179,755.20</w:t>
            </w:r>
          </w:p>
        </w:tc>
      </w:tr>
      <w:tr>
        <w:trPr>
          <w:trHeight w:val="601" w:hRule="exact"/>
        </w:trPr>
        <w:tc>
          <w:tcPr>
            <w:tcW w:w="14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25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54,463,239.49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13,368,772.02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3,158,829.45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423,926.43</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1,949,982.35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73,364,749.74</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1. </w:t>
      </w:r>
      <w:r>
        <w:rPr/>
        <w:t>本期计提折旧金额 </w:t>
      </w:r>
      <w:r>
        <w:rPr>
          <w:rFonts w:ascii="Times New Roman" w:hAnsi="Times New Roman" w:cs="Times New Roman" w:eastAsia="Times New Roman" w:hint="default"/>
        </w:rPr>
        <w:t>11,952,805.37</w:t>
      </w:r>
      <w:r>
        <w:rPr>
          <w:rFonts w:ascii="Times New Roman" w:hAnsi="Times New Roman" w:cs="Times New Roman" w:eastAsia="Times New Roman" w:hint="default"/>
          <w:spacing w:val="-7"/>
        </w:rPr>
        <w:t> </w:t>
      </w:r>
      <w:r>
        <w:rPr/>
        <w:t>元。</w:t>
      </w:r>
    </w:p>
    <w:p>
      <w:pPr>
        <w:spacing w:line="240" w:lineRule="auto" w:before="7"/>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rPr>
        <w:t>2.  </w:t>
      </w:r>
      <w:r>
        <w:rPr/>
        <w:t>本期因短期借款抵押的固定资产期末账面价值 </w:t>
      </w:r>
      <w:r>
        <w:rPr>
          <w:rFonts w:ascii="Times New Roman" w:hAnsi="Times New Roman" w:cs="Times New Roman" w:eastAsia="Times New Roman" w:hint="default"/>
        </w:rPr>
        <w:t>29,987,481.71 </w:t>
      </w:r>
      <w:r>
        <w:rPr/>
        <w:t>元，详见附注七、</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短期借款。</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20、无形资产" w:id="291"/>
      <w:bookmarkEnd w:id="291"/>
      <w:r>
        <w:rPr/>
      </w:r>
      <w:r>
        <w:rPr>
          <w:rFonts w:ascii="Times New Roman" w:hAnsi="Times New Roman" w:cs="Times New Roman" w:eastAsia="Times New Roman" w:hint="default"/>
        </w:rPr>
        <w:t>20</w:t>
      </w:r>
      <w:r>
        <w:rPr>
          <w:rFonts w:ascii="微软雅黑" w:hAnsi="微软雅黑" w:cs="微软雅黑" w:eastAsia="微软雅黑" w:hint="default"/>
        </w:rPr>
        <w:t>、无形资产</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无形资产情况" w:id="292"/>
      <w:bookmarkEnd w:id="29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0"/>
          <w:szCs w:val="20"/>
        </w:rPr>
      </w:pPr>
    </w:p>
    <w:p>
      <w:pPr>
        <w:pStyle w:val="BodyText"/>
        <w:spacing w:line="280" w:lineRule="auto"/>
        <w:ind w:left="1133" w:right="1014" w:firstLine="420"/>
        <w:jc w:val="left"/>
      </w:pPr>
      <w:r>
        <w:rPr>
          <w:spacing w:val="-4"/>
        </w:rPr>
        <w:t>公司是否需遵守《深圳证券交易所创业板行业信息披露指引第</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1"/>
        </w:rPr>
        <w:t>号</w:t>
      </w:r>
      <w:r>
        <w:rPr>
          <w:rFonts w:ascii="Times New Roman" w:hAnsi="Times New Roman" w:cs="Times New Roman" w:eastAsia="Times New Roman" w:hint="default"/>
          <w:spacing w:val="-1"/>
        </w:rPr>
        <w:t>——</w:t>
      </w:r>
      <w:r>
        <w:rPr>
          <w:spacing w:val="-1"/>
        </w:rPr>
        <w:t>上市公司从事互联网游戏业务》</w:t>
      </w:r>
      <w:r>
        <w:rPr/>
        <w:t> 的披露要求</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2"/>
        <w:rPr>
          <w:rFonts w:ascii="宋体" w:hAnsi="宋体" w:cs="宋体" w:eastAsia="宋体"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928"/>
        <w:gridCol w:w="929"/>
        <w:gridCol w:w="929"/>
        <w:gridCol w:w="929"/>
        <w:gridCol w:w="1109"/>
        <w:gridCol w:w="1194"/>
        <w:gridCol w:w="1280"/>
        <w:gridCol w:w="1279"/>
        <w:gridCol w:w="1279"/>
      </w:tblGrid>
      <w:tr>
        <w:trPr>
          <w:trHeight w:val="637"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34"/>
              <w:ind w:left="202" w:right="203" w:firstLine="85"/>
              <w:jc w:val="left"/>
              <w:rPr>
                <w:rFonts w:ascii="宋体" w:hAnsi="宋体" w:cs="宋体" w:eastAsia="宋体" w:hint="default"/>
                <w:sz w:val="17"/>
                <w:szCs w:val="17"/>
              </w:rPr>
            </w:pPr>
            <w:r>
              <w:rPr>
                <w:rFonts w:ascii="宋体" w:hAnsi="宋体" w:cs="宋体" w:eastAsia="宋体" w:hint="default"/>
                <w:sz w:val="17"/>
                <w:szCs w:val="17"/>
              </w:rPr>
              <w:t>土地</w:t>
            </w:r>
            <w:r>
              <w:rPr>
                <w:rFonts w:ascii="宋体" w:hAnsi="宋体" w:cs="宋体" w:eastAsia="宋体" w:hint="default"/>
                <w:w w:val="100"/>
                <w:sz w:val="17"/>
                <w:szCs w:val="17"/>
              </w:rPr>
              <w:t> </w:t>
            </w:r>
            <w:r>
              <w:rPr>
                <w:rFonts w:ascii="宋体" w:hAnsi="宋体" w:cs="宋体" w:eastAsia="宋体" w:hint="default"/>
                <w:sz w:val="17"/>
                <w:szCs w:val="17"/>
              </w:rPr>
              <w:t>使用权</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4" w:right="0"/>
              <w:jc w:val="left"/>
              <w:rPr>
                <w:rFonts w:ascii="宋体" w:hAnsi="宋体" w:cs="宋体" w:eastAsia="宋体" w:hint="default"/>
                <w:sz w:val="17"/>
                <w:szCs w:val="17"/>
              </w:rPr>
            </w:pPr>
            <w:r>
              <w:rPr>
                <w:rFonts w:ascii="宋体" w:hAnsi="宋体" w:cs="宋体" w:eastAsia="宋体" w:hint="default"/>
                <w:sz w:val="17"/>
                <w:szCs w:val="17"/>
              </w:rPr>
              <w:t>专利权</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34"/>
              <w:ind w:left="289" w:right="203" w:hanging="86"/>
              <w:jc w:val="left"/>
              <w:rPr>
                <w:rFonts w:ascii="宋体" w:hAnsi="宋体" w:cs="宋体" w:eastAsia="宋体" w:hint="default"/>
                <w:sz w:val="17"/>
                <w:szCs w:val="17"/>
              </w:rPr>
            </w:pPr>
            <w:r>
              <w:rPr>
                <w:rFonts w:ascii="宋体" w:hAnsi="宋体" w:cs="宋体" w:eastAsia="宋体" w:hint="default"/>
                <w:sz w:val="17"/>
                <w:szCs w:val="17"/>
              </w:rPr>
              <w:t>非专利</w:t>
            </w:r>
            <w:r>
              <w:rPr>
                <w:rFonts w:ascii="宋体" w:hAnsi="宋体" w:cs="宋体" w:eastAsia="宋体" w:hint="default"/>
                <w:w w:val="100"/>
                <w:sz w:val="17"/>
                <w:szCs w:val="17"/>
              </w:rPr>
              <w:t> </w:t>
            </w:r>
            <w:r>
              <w:rPr>
                <w:rFonts w:ascii="宋体" w:hAnsi="宋体" w:cs="宋体" w:eastAsia="宋体" w:hint="default"/>
                <w:sz w:val="17"/>
                <w:szCs w:val="17"/>
              </w:rPr>
              <w:t>技术</w:t>
            </w:r>
          </w:p>
        </w:tc>
        <w:tc>
          <w:tcPr>
            <w:tcW w:w="1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9" w:right="0"/>
              <w:jc w:val="left"/>
              <w:rPr>
                <w:rFonts w:ascii="宋体" w:hAnsi="宋体" w:cs="宋体" w:eastAsia="宋体" w:hint="default"/>
                <w:sz w:val="17"/>
                <w:szCs w:val="17"/>
              </w:rPr>
            </w:pPr>
            <w:r>
              <w:rPr>
                <w:rFonts w:ascii="宋体" w:hAnsi="宋体" w:cs="宋体" w:eastAsia="宋体" w:hint="default"/>
                <w:sz w:val="17"/>
                <w:szCs w:val="17"/>
              </w:rPr>
              <w:t>外购软件</w:t>
            </w:r>
          </w:p>
        </w:tc>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自有软件</w:t>
            </w:r>
          </w:p>
        </w:tc>
        <w:tc>
          <w:tcPr>
            <w:tcW w:w="1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88"/>
              <w:ind w:left="379" w:right="123" w:hanging="255"/>
              <w:jc w:val="left"/>
              <w:rPr>
                <w:rFonts w:ascii="宋体" w:hAnsi="宋体" w:cs="宋体" w:eastAsia="宋体" w:hint="default"/>
                <w:sz w:val="17"/>
                <w:szCs w:val="17"/>
              </w:rPr>
            </w:pPr>
            <w:r>
              <w:rPr>
                <w:rFonts w:ascii="宋体" w:hAnsi="宋体" w:cs="宋体" w:eastAsia="宋体" w:hint="default"/>
                <w:sz w:val="17"/>
                <w:szCs w:val="17"/>
              </w:rPr>
              <w:t>合同权益及客</w:t>
            </w:r>
            <w:r>
              <w:rPr>
                <w:rFonts w:ascii="宋体" w:hAnsi="宋体" w:cs="宋体" w:eastAsia="宋体" w:hint="default"/>
                <w:w w:val="100"/>
                <w:sz w:val="17"/>
                <w:szCs w:val="17"/>
              </w:rPr>
              <w:t> </w:t>
            </w:r>
            <w:r>
              <w:rPr>
                <w:rFonts w:ascii="宋体" w:hAnsi="宋体" w:cs="宋体" w:eastAsia="宋体" w:hint="default"/>
                <w:sz w:val="17"/>
                <w:szCs w:val="17"/>
              </w:rPr>
              <w:t>户关系</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88"/>
              <w:ind w:left="379" w:right="121" w:hanging="255"/>
              <w:jc w:val="left"/>
              <w:rPr>
                <w:rFonts w:ascii="宋体" w:hAnsi="宋体" w:cs="宋体" w:eastAsia="宋体" w:hint="default"/>
                <w:sz w:val="17"/>
                <w:szCs w:val="17"/>
              </w:rPr>
            </w:pPr>
            <w:r>
              <w:rPr>
                <w:rFonts w:ascii="宋体" w:hAnsi="宋体" w:cs="宋体" w:eastAsia="宋体" w:hint="default"/>
                <w:sz w:val="17"/>
                <w:szCs w:val="17"/>
              </w:rPr>
              <w:t>专利技术及软</w:t>
            </w:r>
            <w:r>
              <w:rPr>
                <w:rFonts w:ascii="宋体" w:hAnsi="宋体" w:cs="宋体" w:eastAsia="宋体" w:hint="default"/>
                <w:w w:val="100"/>
                <w:sz w:val="17"/>
                <w:szCs w:val="17"/>
              </w:rPr>
              <w:t> </w:t>
            </w:r>
            <w:r>
              <w:rPr>
                <w:rFonts w:ascii="宋体" w:hAnsi="宋体" w:cs="宋体" w:eastAsia="宋体" w:hint="default"/>
                <w:sz w:val="17"/>
                <w:szCs w:val="17"/>
              </w:rPr>
              <w:t>件产品</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6"/>
              <w:ind w:left="103" w:right="131"/>
              <w:jc w:val="left"/>
              <w:rPr>
                <w:rFonts w:ascii="宋体" w:hAnsi="宋体" w:cs="宋体" w:eastAsia="宋体" w:hint="default"/>
                <w:sz w:val="17"/>
                <w:szCs w:val="17"/>
              </w:rPr>
            </w:pPr>
            <w:r>
              <w:rPr>
                <w:rFonts w:ascii="宋体" w:hAnsi="宋体" w:cs="宋体" w:eastAsia="宋体" w:hint="default"/>
                <w:sz w:val="17"/>
                <w:szCs w:val="17"/>
              </w:rPr>
              <w:t>一、账面</w:t>
            </w:r>
            <w:r>
              <w:rPr>
                <w:rFonts w:ascii="宋体" w:hAnsi="宋体" w:cs="宋体" w:eastAsia="宋体" w:hint="default"/>
                <w:w w:val="100"/>
                <w:sz w:val="17"/>
                <w:szCs w:val="17"/>
              </w:rPr>
              <w:t> </w:t>
            </w:r>
            <w:r>
              <w:rPr>
                <w:rFonts w:ascii="宋体" w:hAnsi="宋体" w:cs="宋体" w:eastAsia="宋体" w:hint="default"/>
                <w:sz w:val="17"/>
                <w:szCs w:val="17"/>
              </w:rPr>
              <w:t>原值</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12" w:space="0" w:color="D9D9D9"/>
              <w:left w:val="single" w:sz="4" w:space="0" w:color="000000"/>
              <w:bottom w:val="single" w:sz="4" w:space="0" w:color="000000"/>
              <w:right w:val="single" w:sz="4" w:space="0" w:color="000000"/>
            </w:tcBorders>
          </w:tcPr>
          <w:p>
            <w:pPr/>
          </w:p>
        </w:tc>
        <w:tc>
          <w:tcPr>
            <w:tcW w:w="1279" w:type="dxa"/>
            <w:tcBorders>
              <w:top w:val="single" w:sz="12" w:space="0" w:color="D9D9D9"/>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6"/>
              <w:ind w:left="103" w:right="174" w:firstLine="34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初余额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6,694,626.05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6" w:right="0"/>
              <w:jc w:val="center"/>
              <w:rPr>
                <w:rFonts w:ascii="Times New Roman" w:hAnsi="Times New Roman" w:cs="Times New Roman" w:eastAsia="Times New Roman" w:hint="default"/>
                <w:sz w:val="17"/>
                <w:szCs w:val="17"/>
              </w:rPr>
            </w:pPr>
            <w:r>
              <w:rPr>
                <w:rFonts w:ascii="Times New Roman"/>
                <w:sz w:val="17"/>
              </w:rPr>
              <w:t>7,812,625.87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1,329,200.00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19,299,500.00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35,135,951.92</w:t>
            </w: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auto" w:before="42"/>
              <w:ind w:left="103" w:right="131" w:firstLine="340"/>
              <w:jc w:val="both"/>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w:t>
            </w:r>
            <w:r>
              <w:rPr>
                <w:rFonts w:ascii="宋体" w:hAnsi="宋体" w:cs="宋体" w:eastAsia="宋体" w:hint="default"/>
                <w:w w:val="100"/>
                <w:sz w:val="17"/>
                <w:szCs w:val="17"/>
              </w:rPr>
              <w:t> </w:t>
            </w:r>
            <w:r>
              <w:rPr>
                <w:rFonts w:ascii="宋体" w:hAnsi="宋体" w:cs="宋体" w:eastAsia="宋体" w:hint="default"/>
                <w:sz w:val="17"/>
                <w:szCs w:val="17"/>
              </w:rPr>
              <w:t>期增加金</w:t>
            </w:r>
            <w:r>
              <w:rPr>
                <w:rFonts w:ascii="宋体" w:hAnsi="宋体" w:cs="宋体" w:eastAsia="宋体" w:hint="default"/>
                <w:w w:val="100"/>
                <w:sz w:val="17"/>
                <w:szCs w:val="17"/>
              </w:rPr>
              <w:t> </w:t>
            </w:r>
            <w:r>
              <w:rPr>
                <w:rFonts w:ascii="宋体" w:hAnsi="宋体" w:cs="宋体" w:eastAsia="宋体" w:hint="default"/>
                <w:sz w:val="17"/>
                <w:szCs w:val="17"/>
              </w:rPr>
              <w:t>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1,153,884.74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14,298,897.46</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135,760,020.00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95,968,290.00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247,181,092.20</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1</w:t>
            </w:r>
            <w:r>
              <w:rPr>
                <w:rFonts w:ascii="宋体" w:hAnsi="宋体" w:cs="宋体" w:eastAsia="宋体" w:hint="default"/>
                <w:spacing w:val="-12"/>
                <w:sz w:val="17"/>
                <w:szCs w:val="17"/>
              </w:rPr>
              <w:t>）购置</w:t>
            </w:r>
            <w:r>
              <w:rPr>
                <w:rFonts w:ascii="宋体" w:hAnsi="宋体" w:cs="宋体" w:eastAsia="宋体" w:hint="default"/>
                <w:sz w:val="17"/>
                <w:szCs w:val="17"/>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1,075,506.79</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1,075,506.79</w:t>
            </w: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1"/>
                <w:szCs w:val="21"/>
              </w:rPr>
            </w:pPr>
          </w:p>
          <w:p>
            <w:pPr>
              <w:pStyle w:val="TableParagraph"/>
              <w:spacing w:line="220" w:lineRule="exact"/>
              <w:ind w:left="103" w:right="102"/>
              <w:jc w:val="left"/>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2</w:t>
            </w:r>
            <w:r>
              <w:rPr>
                <w:rFonts w:ascii="宋体" w:hAnsi="宋体" w:cs="宋体" w:eastAsia="宋体" w:hint="default"/>
                <w:spacing w:val="-12"/>
                <w:sz w:val="17"/>
                <w:szCs w:val="17"/>
              </w:rPr>
              <w:t>）内部</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研发</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14,298,897.46</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14,298,897.46</w:t>
            </w: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1"/>
                <w:szCs w:val="21"/>
              </w:rPr>
            </w:pPr>
          </w:p>
          <w:p>
            <w:pPr>
              <w:pStyle w:val="TableParagraph"/>
              <w:spacing w:line="220" w:lineRule="exact"/>
              <w:ind w:left="103" w:right="102"/>
              <w:jc w:val="left"/>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3</w:t>
            </w:r>
            <w:r>
              <w:rPr>
                <w:rFonts w:ascii="宋体" w:hAnsi="宋体" w:cs="宋体" w:eastAsia="宋体" w:hint="default"/>
                <w:spacing w:val="-12"/>
                <w:sz w:val="17"/>
                <w:szCs w:val="17"/>
              </w:rPr>
              <w:t>）企业</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合并增加</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65,460.34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127,141,800.00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89,876,100.00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217,083,360.34</w:t>
            </w:r>
          </w:p>
        </w:tc>
      </w:tr>
      <w:tr>
        <w:trPr>
          <w:trHeight w:val="770"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9"/>
                <w:szCs w:val="19"/>
              </w:rPr>
            </w:pPr>
          </w:p>
          <w:p>
            <w:pPr>
              <w:pStyle w:val="TableParagraph"/>
              <w:spacing w:line="220" w:lineRule="exact"/>
              <w:ind w:left="103" w:right="102"/>
              <w:jc w:val="left"/>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4</w:t>
            </w:r>
            <w:r>
              <w:rPr>
                <w:rFonts w:ascii="宋体" w:hAnsi="宋体" w:cs="宋体" w:eastAsia="宋体" w:hint="default"/>
                <w:spacing w:val="-12"/>
                <w:sz w:val="17"/>
                <w:szCs w:val="17"/>
              </w:rPr>
              <w:t>）汇率</w:t>
            </w:r>
            <w:r>
              <w:rPr>
                <w:rFonts w:ascii="宋体" w:hAnsi="宋体" w:cs="宋体" w:eastAsia="宋体" w:hint="default"/>
                <w:spacing w:val="-82"/>
                <w:sz w:val="17"/>
                <w:szCs w:val="17"/>
              </w:rPr>
              <w:t> </w:t>
            </w:r>
            <w:r>
              <w:rPr>
                <w:rFonts w:ascii="宋体" w:hAnsi="宋体" w:cs="宋体" w:eastAsia="宋体" w:hint="default"/>
                <w:spacing w:val="-82"/>
                <w:sz w:val="17"/>
                <w:szCs w:val="17"/>
              </w:rPr>
            </w:r>
            <w:r>
              <w:rPr>
                <w:rFonts w:ascii="宋体" w:hAnsi="宋体" w:cs="宋体" w:eastAsia="宋体" w:hint="default"/>
                <w:sz w:val="17"/>
                <w:szCs w:val="17"/>
              </w:rPr>
              <w:t>变动</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12,917.61</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8,618,220.00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6,092,190.00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14,723,327.61</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7"/>
              <w:ind w:left="103" w:right="131" w:firstLine="170"/>
              <w:jc w:val="left"/>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本期</w:t>
            </w:r>
            <w:r>
              <w:rPr>
                <w:rFonts w:ascii="宋体" w:hAnsi="宋体" w:cs="宋体" w:eastAsia="宋体" w:hint="default"/>
                <w:spacing w:val="-2"/>
                <w:w w:val="100"/>
                <w:sz w:val="17"/>
                <w:szCs w:val="17"/>
              </w:rPr>
              <w:t> </w:t>
            </w:r>
            <w:r>
              <w:rPr>
                <w:rFonts w:ascii="宋体" w:hAnsi="宋体" w:cs="宋体" w:eastAsia="宋体" w:hint="default"/>
                <w:sz w:val="17"/>
                <w:szCs w:val="17"/>
              </w:rPr>
              <w:t>减少金额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25,806.30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25,806.30</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1</w:t>
            </w:r>
            <w:r>
              <w:rPr>
                <w:rFonts w:ascii="宋体" w:hAnsi="宋体" w:cs="宋体" w:eastAsia="宋体" w:hint="default"/>
                <w:spacing w:val="-12"/>
                <w:sz w:val="17"/>
                <w:szCs w:val="17"/>
              </w:rPr>
              <w:t>）处置</w:t>
            </w:r>
            <w:r>
              <w:rPr>
                <w:rFonts w:ascii="宋体" w:hAnsi="宋体" w:cs="宋体" w:eastAsia="宋体" w:hint="default"/>
                <w:sz w:val="17"/>
                <w:szCs w:val="17"/>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25,806.30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25,806.30</w:t>
            </w:r>
          </w:p>
        </w:tc>
      </w:tr>
      <w:tr>
        <w:trPr>
          <w:trHeight w:val="407"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6"/>
              <w:ind w:left="103" w:right="174" w:firstLine="34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末余额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7,822,704.49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7"/>
                <w:szCs w:val="17"/>
              </w:rPr>
            </w:pPr>
            <w:r>
              <w:rPr>
                <w:rFonts w:ascii="Times New Roman"/>
                <w:sz w:val="17"/>
              </w:rPr>
              <w:t>22,111,523.33</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137,089,220.00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115,267,790.00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282,291,237.82</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3" w:right="131"/>
              <w:jc w:val="left"/>
              <w:rPr>
                <w:rFonts w:ascii="宋体" w:hAnsi="宋体" w:cs="宋体" w:eastAsia="宋体" w:hint="default"/>
                <w:sz w:val="17"/>
                <w:szCs w:val="17"/>
              </w:rPr>
            </w:pPr>
            <w:r>
              <w:rPr>
                <w:rFonts w:ascii="宋体" w:hAnsi="宋体" w:cs="宋体" w:eastAsia="宋体" w:hint="default"/>
                <w:sz w:val="17"/>
                <w:szCs w:val="17"/>
              </w:rPr>
              <w:t>二、累计</w:t>
            </w:r>
            <w:r>
              <w:rPr>
                <w:rFonts w:ascii="宋体" w:hAnsi="宋体" w:cs="宋体" w:eastAsia="宋体" w:hint="default"/>
                <w:w w:val="100"/>
                <w:sz w:val="17"/>
                <w:szCs w:val="17"/>
              </w:rPr>
              <w:t> </w:t>
            </w:r>
            <w:r>
              <w:rPr>
                <w:rFonts w:ascii="宋体" w:hAnsi="宋体" w:cs="宋体" w:eastAsia="宋体" w:hint="default"/>
                <w:sz w:val="17"/>
                <w:szCs w:val="17"/>
              </w:rPr>
              <w:t>摊销</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8"/>
              <w:ind w:left="103" w:right="174" w:firstLine="34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初余额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4,201,854.37</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4" w:right="0"/>
              <w:jc w:val="center"/>
              <w:rPr>
                <w:rFonts w:ascii="Times New Roman" w:hAnsi="Times New Roman" w:cs="Times New Roman" w:eastAsia="Times New Roman" w:hint="default"/>
                <w:sz w:val="17"/>
                <w:szCs w:val="17"/>
              </w:rPr>
            </w:pPr>
            <w:r>
              <w:rPr>
                <w:rFonts w:ascii="Times New Roman"/>
                <w:sz w:val="17"/>
              </w:rPr>
              <w:t>551,559.98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138,871.67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2,016,365.68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6,908,651.70</w:t>
            </w: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auto" w:before="43"/>
              <w:ind w:left="103" w:right="131" w:firstLine="340"/>
              <w:jc w:val="both"/>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w:t>
            </w:r>
            <w:r>
              <w:rPr>
                <w:rFonts w:ascii="宋体" w:hAnsi="宋体" w:cs="宋体" w:eastAsia="宋体" w:hint="default"/>
                <w:w w:val="100"/>
                <w:sz w:val="17"/>
                <w:szCs w:val="17"/>
              </w:rPr>
              <w:t> </w:t>
            </w:r>
            <w:r>
              <w:rPr>
                <w:rFonts w:ascii="宋体" w:hAnsi="宋体" w:cs="宋体" w:eastAsia="宋体" w:hint="default"/>
                <w:sz w:val="17"/>
                <w:szCs w:val="17"/>
              </w:rPr>
              <w:t>期增加金</w:t>
            </w:r>
            <w:r>
              <w:rPr>
                <w:rFonts w:ascii="宋体" w:hAnsi="宋体" w:cs="宋体" w:eastAsia="宋体" w:hint="default"/>
                <w:w w:val="100"/>
                <w:sz w:val="17"/>
                <w:szCs w:val="17"/>
              </w:rPr>
              <w:t> </w:t>
            </w:r>
            <w:r>
              <w:rPr>
                <w:rFonts w:ascii="宋体" w:hAnsi="宋体" w:cs="宋体" w:eastAsia="宋体" w:hint="default"/>
                <w:sz w:val="17"/>
                <w:szCs w:val="17"/>
              </w:rPr>
              <w:t>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1,070,035.16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6" w:right="0"/>
              <w:jc w:val="center"/>
              <w:rPr>
                <w:rFonts w:ascii="Times New Roman" w:hAnsi="Times New Roman" w:cs="Times New Roman" w:eastAsia="Times New Roman" w:hint="default"/>
                <w:sz w:val="17"/>
                <w:szCs w:val="17"/>
              </w:rPr>
            </w:pPr>
            <w:r>
              <w:rPr>
                <w:rFonts w:ascii="Times New Roman"/>
                <w:sz w:val="17"/>
              </w:rPr>
              <w:t>2,968,156.27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22,864,735.72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11,453,984.38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38,356,911.53</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1</w:t>
            </w:r>
            <w:r>
              <w:rPr>
                <w:rFonts w:ascii="宋体" w:hAnsi="宋体" w:cs="宋体" w:eastAsia="宋体" w:hint="default"/>
                <w:spacing w:val="-12"/>
                <w:sz w:val="17"/>
                <w:szCs w:val="17"/>
              </w:rPr>
              <w:t>）计提</w:t>
            </w:r>
            <w:r>
              <w:rPr>
                <w:rFonts w:ascii="宋体" w:hAnsi="宋体" w:cs="宋体" w:eastAsia="宋体" w:hint="default"/>
                <w:sz w:val="17"/>
                <w:szCs w:val="17"/>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1,070,292.71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6" w:right="0"/>
              <w:jc w:val="center"/>
              <w:rPr>
                <w:rFonts w:ascii="Times New Roman" w:hAnsi="Times New Roman" w:cs="Times New Roman" w:eastAsia="Times New Roman" w:hint="default"/>
                <w:sz w:val="17"/>
                <w:szCs w:val="17"/>
              </w:rPr>
            </w:pPr>
            <w:r>
              <w:rPr>
                <w:rFonts w:ascii="Times New Roman"/>
                <w:sz w:val="17"/>
              </w:rPr>
              <w:t>2,968,156.27</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22,445,975.72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11,305,974.38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37,790,399.08</w:t>
            </w:r>
          </w:p>
        </w:tc>
      </w:tr>
      <w:tr>
        <w:trPr>
          <w:trHeight w:val="488"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2</w:t>
            </w:r>
            <w:r>
              <w:rPr>
                <w:rFonts w:ascii="宋体" w:hAnsi="宋体" w:cs="宋体" w:eastAsia="宋体" w:hint="default"/>
                <w:spacing w:val="-12"/>
                <w:sz w:val="17"/>
                <w:szCs w:val="17"/>
              </w:rPr>
              <w:t>）汇率</w:t>
            </w:r>
            <w:r>
              <w:rPr>
                <w:rFonts w:ascii="宋体" w:hAnsi="宋体" w:cs="宋体" w:eastAsia="宋体" w:hint="default"/>
                <w:sz w:val="17"/>
                <w:szCs w:val="17"/>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7"/>
                <w:szCs w:val="17"/>
              </w:rPr>
            </w:pPr>
            <w:r>
              <w:rPr>
                <w:rFonts w:ascii="Times New Roman"/>
                <w:spacing w:val="-1"/>
                <w:sz w:val="17"/>
              </w:rPr>
              <w:t>-257.55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7"/>
                <w:szCs w:val="17"/>
              </w:rPr>
            </w:pPr>
            <w:r>
              <w:rPr>
                <w:rFonts w:ascii="Times New Roman"/>
                <w:spacing w:val="-1"/>
                <w:sz w:val="17"/>
              </w:rPr>
              <w:t>418,760.00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7"/>
                <w:szCs w:val="17"/>
              </w:rPr>
            </w:pPr>
            <w:r>
              <w:rPr>
                <w:rFonts w:ascii="Times New Roman"/>
                <w:spacing w:val="-1"/>
                <w:sz w:val="17"/>
              </w:rPr>
              <w:t>148,010.00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0"/>
              <w:jc w:val="right"/>
              <w:rPr>
                <w:rFonts w:ascii="Times New Roman" w:hAnsi="Times New Roman" w:cs="Times New Roman" w:eastAsia="Times New Roman" w:hint="default"/>
                <w:sz w:val="17"/>
                <w:szCs w:val="17"/>
              </w:rPr>
            </w:pPr>
            <w:r>
              <w:rPr>
                <w:rFonts w:ascii="Times New Roman"/>
                <w:spacing w:val="-1"/>
                <w:sz w:val="17"/>
              </w:rPr>
              <w:t>566,512.45</w:t>
            </w:r>
          </w:p>
        </w:tc>
      </w:tr>
    </w:tbl>
    <w:p>
      <w:pPr>
        <w:spacing w:after="0" w:line="240" w:lineRule="auto"/>
        <w:jc w:val="right"/>
        <w:rPr>
          <w:rFonts w:ascii="Times New Roman" w:hAnsi="Times New Roman" w:cs="Times New Roman" w:eastAsia="Times New Roman" w:hint="default"/>
          <w:sz w:val="17"/>
          <w:szCs w:val="17"/>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928"/>
        <w:gridCol w:w="929"/>
        <w:gridCol w:w="929"/>
        <w:gridCol w:w="929"/>
        <w:gridCol w:w="1109"/>
        <w:gridCol w:w="1194"/>
        <w:gridCol w:w="1280"/>
        <w:gridCol w:w="1279"/>
        <w:gridCol w:w="1279"/>
      </w:tblGrid>
      <w:tr>
        <w:trPr>
          <w:trHeight w:val="637"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9" w:right="0"/>
              <w:jc w:val="left"/>
              <w:rPr>
                <w:rFonts w:ascii="宋体" w:hAnsi="宋体" w:cs="宋体" w:eastAsia="宋体" w:hint="default"/>
                <w:sz w:val="17"/>
                <w:szCs w:val="17"/>
              </w:rPr>
            </w:pPr>
            <w:r>
              <w:rPr>
                <w:rFonts w:ascii="宋体" w:hAnsi="宋体" w:cs="宋体" w:eastAsia="宋体" w:hint="default"/>
                <w:sz w:val="17"/>
                <w:szCs w:val="17"/>
              </w:rPr>
              <w:t>项目</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34"/>
              <w:ind w:left="202" w:right="203" w:firstLine="85"/>
              <w:jc w:val="left"/>
              <w:rPr>
                <w:rFonts w:ascii="宋体" w:hAnsi="宋体" w:cs="宋体" w:eastAsia="宋体" w:hint="default"/>
                <w:sz w:val="17"/>
                <w:szCs w:val="17"/>
              </w:rPr>
            </w:pPr>
            <w:r>
              <w:rPr>
                <w:rFonts w:ascii="宋体" w:hAnsi="宋体" w:cs="宋体" w:eastAsia="宋体" w:hint="default"/>
                <w:sz w:val="17"/>
                <w:szCs w:val="17"/>
              </w:rPr>
              <w:t>土地</w:t>
            </w:r>
            <w:r>
              <w:rPr>
                <w:rFonts w:ascii="宋体" w:hAnsi="宋体" w:cs="宋体" w:eastAsia="宋体" w:hint="default"/>
                <w:w w:val="100"/>
                <w:sz w:val="17"/>
                <w:szCs w:val="17"/>
              </w:rPr>
              <w:t> </w:t>
            </w:r>
            <w:r>
              <w:rPr>
                <w:rFonts w:ascii="宋体" w:hAnsi="宋体" w:cs="宋体" w:eastAsia="宋体" w:hint="default"/>
                <w:sz w:val="17"/>
                <w:szCs w:val="17"/>
              </w:rPr>
              <w:t>使用权</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4" w:right="0"/>
              <w:jc w:val="left"/>
              <w:rPr>
                <w:rFonts w:ascii="宋体" w:hAnsi="宋体" w:cs="宋体" w:eastAsia="宋体" w:hint="default"/>
                <w:sz w:val="17"/>
                <w:szCs w:val="17"/>
              </w:rPr>
            </w:pPr>
            <w:r>
              <w:rPr>
                <w:rFonts w:ascii="宋体" w:hAnsi="宋体" w:cs="宋体" w:eastAsia="宋体" w:hint="default"/>
                <w:sz w:val="17"/>
                <w:szCs w:val="17"/>
              </w:rPr>
              <w:t>专利权</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34"/>
              <w:ind w:left="289" w:right="203" w:hanging="86"/>
              <w:jc w:val="left"/>
              <w:rPr>
                <w:rFonts w:ascii="宋体" w:hAnsi="宋体" w:cs="宋体" w:eastAsia="宋体" w:hint="default"/>
                <w:sz w:val="17"/>
                <w:szCs w:val="17"/>
              </w:rPr>
            </w:pPr>
            <w:r>
              <w:rPr>
                <w:rFonts w:ascii="宋体" w:hAnsi="宋体" w:cs="宋体" w:eastAsia="宋体" w:hint="default"/>
                <w:sz w:val="17"/>
                <w:szCs w:val="17"/>
              </w:rPr>
              <w:t>非专利</w:t>
            </w:r>
            <w:r>
              <w:rPr>
                <w:rFonts w:ascii="宋体" w:hAnsi="宋体" w:cs="宋体" w:eastAsia="宋体" w:hint="default"/>
                <w:w w:val="100"/>
                <w:sz w:val="17"/>
                <w:szCs w:val="17"/>
              </w:rPr>
              <w:t> </w:t>
            </w:r>
            <w:r>
              <w:rPr>
                <w:rFonts w:ascii="宋体" w:hAnsi="宋体" w:cs="宋体" w:eastAsia="宋体" w:hint="default"/>
                <w:sz w:val="17"/>
                <w:szCs w:val="17"/>
              </w:rPr>
              <w:t>技术</w:t>
            </w:r>
          </w:p>
        </w:tc>
        <w:tc>
          <w:tcPr>
            <w:tcW w:w="1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09" w:right="0"/>
              <w:jc w:val="left"/>
              <w:rPr>
                <w:rFonts w:ascii="宋体" w:hAnsi="宋体" w:cs="宋体" w:eastAsia="宋体" w:hint="default"/>
                <w:sz w:val="17"/>
                <w:szCs w:val="17"/>
              </w:rPr>
            </w:pPr>
            <w:r>
              <w:rPr>
                <w:rFonts w:ascii="宋体" w:hAnsi="宋体" w:cs="宋体" w:eastAsia="宋体" w:hint="default"/>
                <w:sz w:val="17"/>
                <w:szCs w:val="17"/>
              </w:rPr>
              <w:t>外购软件</w:t>
            </w:r>
          </w:p>
        </w:tc>
        <w:tc>
          <w:tcPr>
            <w:tcW w:w="11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sz w:val="17"/>
                <w:szCs w:val="17"/>
              </w:rPr>
              <w:t>自有软件</w:t>
            </w:r>
          </w:p>
        </w:tc>
        <w:tc>
          <w:tcPr>
            <w:tcW w:w="12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379" w:right="123" w:hanging="255"/>
              <w:jc w:val="left"/>
              <w:rPr>
                <w:rFonts w:ascii="宋体" w:hAnsi="宋体" w:cs="宋体" w:eastAsia="宋体" w:hint="default"/>
                <w:sz w:val="17"/>
                <w:szCs w:val="17"/>
              </w:rPr>
            </w:pPr>
            <w:r>
              <w:rPr>
                <w:rFonts w:ascii="宋体" w:hAnsi="宋体" w:cs="宋体" w:eastAsia="宋体" w:hint="default"/>
                <w:sz w:val="17"/>
                <w:szCs w:val="17"/>
              </w:rPr>
              <w:t>合同权益及客</w:t>
            </w:r>
            <w:r>
              <w:rPr>
                <w:rFonts w:ascii="宋体" w:hAnsi="宋体" w:cs="宋体" w:eastAsia="宋体" w:hint="default"/>
                <w:w w:val="100"/>
                <w:sz w:val="17"/>
                <w:szCs w:val="17"/>
              </w:rPr>
              <w:t> </w:t>
            </w:r>
            <w:r>
              <w:rPr>
                <w:rFonts w:ascii="宋体" w:hAnsi="宋体" w:cs="宋体" w:eastAsia="宋体" w:hint="default"/>
                <w:sz w:val="17"/>
                <w:szCs w:val="17"/>
              </w:rPr>
              <w:t>户关系</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379" w:right="121" w:hanging="255"/>
              <w:jc w:val="left"/>
              <w:rPr>
                <w:rFonts w:ascii="宋体" w:hAnsi="宋体" w:cs="宋体" w:eastAsia="宋体" w:hint="default"/>
                <w:sz w:val="17"/>
                <w:szCs w:val="17"/>
              </w:rPr>
            </w:pPr>
            <w:r>
              <w:rPr>
                <w:rFonts w:ascii="宋体" w:hAnsi="宋体" w:cs="宋体" w:eastAsia="宋体" w:hint="default"/>
                <w:sz w:val="17"/>
                <w:szCs w:val="17"/>
              </w:rPr>
              <w:t>专利技术及软</w:t>
            </w:r>
            <w:r>
              <w:rPr>
                <w:rFonts w:ascii="宋体" w:hAnsi="宋体" w:cs="宋体" w:eastAsia="宋体" w:hint="default"/>
                <w:w w:val="100"/>
                <w:sz w:val="17"/>
                <w:szCs w:val="17"/>
              </w:rPr>
              <w:t> </w:t>
            </w:r>
            <w:r>
              <w:rPr>
                <w:rFonts w:ascii="宋体" w:hAnsi="宋体" w:cs="宋体" w:eastAsia="宋体" w:hint="default"/>
                <w:sz w:val="17"/>
                <w:szCs w:val="17"/>
              </w:rPr>
              <w:t>件产品</w:t>
            </w:r>
          </w:p>
        </w:tc>
        <w:tc>
          <w:tcPr>
            <w:tcW w:w="12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合计</w:t>
            </w:r>
          </w:p>
        </w:tc>
      </w:tr>
      <w:tr>
        <w:trPr>
          <w:trHeight w:val="407"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194" w:lineRule="exact"/>
              <w:ind w:left="103" w:right="0"/>
              <w:jc w:val="left"/>
              <w:rPr>
                <w:rFonts w:ascii="宋体" w:hAnsi="宋体" w:cs="宋体" w:eastAsia="宋体" w:hint="default"/>
                <w:sz w:val="17"/>
                <w:szCs w:val="17"/>
              </w:rPr>
            </w:pPr>
            <w:r>
              <w:rPr>
                <w:rFonts w:ascii="宋体" w:hAnsi="宋体" w:cs="宋体" w:eastAsia="宋体" w:hint="default"/>
                <w:sz w:val="17"/>
                <w:szCs w:val="17"/>
              </w:rPr>
              <w:t>变动</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12" w:space="0" w:color="D9D9D9"/>
              <w:left w:val="single" w:sz="4" w:space="0" w:color="000000"/>
              <w:bottom w:val="single" w:sz="4" w:space="0" w:color="000000"/>
              <w:right w:val="single" w:sz="4" w:space="0" w:color="000000"/>
            </w:tcBorders>
          </w:tcPr>
          <w:p>
            <w:pPr/>
          </w:p>
        </w:tc>
        <w:tc>
          <w:tcPr>
            <w:tcW w:w="1279" w:type="dxa"/>
            <w:tcBorders>
              <w:top w:val="single" w:sz="12" w:space="0" w:color="D9D9D9"/>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auto" w:before="42"/>
              <w:ind w:left="103" w:right="131" w:firstLine="340"/>
              <w:jc w:val="both"/>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w:t>
            </w:r>
            <w:r>
              <w:rPr>
                <w:rFonts w:ascii="宋体" w:hAnsi="宋体" w:cs="宋体" w:eastAsia="宋体" w:hint="default"/>
                <w:w w:val="100"/>
                <w:sz w:val="17"/>
                <w:szCs w:val="17"/>
              </w:rPr>
              <w:t> </w:t>
            </w:r>
            <w:r>
              <w:rPr>
                <w:rFonts w:ascii="宋体" w:hAnsi="宋体" w:cs="宋体" w:eastAsia="宋体" w:hint="default"/>
                <w:sz w:val="17"/>
                <w:szCs w:val="17"/>
              </w:rPr>
              <w:t>期减少金</w:t>
            </w:r>
            <w:r>
              <w:rPr>
                <w:rFonts w:ascii="宋体" w:hAnsi="宋体" w:cs="宋体" w:eastAsia="宋体" w:hint="default"/>
                <w:w w:val="100"/>
                <w:sz w:val="17"/>
                <w:szCs w:val="17"/>
              </w:rPr>
              <w:t> </w:t>
            </w:r>
            <w:r>
              <w:rPr>
                <w:rFonts w:ascii="宋体" w:hAnsi="宋体" w:cs="宋体" w:eastAsia="宋体" w:hint="default"/>
                <w:sz w:val="17"/>
                <w:szCs w:val="17"/>
              </w:rPr>
              <w:t>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1,177.64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1,177.64</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1</w:t>
            </w:r>
            <w:r>
              <w:rPr>
                <w:rFonts w:ascii="宋体" w:hAnsi="宋体" w:cs="宋体" w:eastAsia="宋体" w:hint="default"/>
                <w:spacing w:val="-12"/>
                <w:sz w:val="17"/>
                <w:szCs w:val="17"/>
              </w:rPr>
              <w:t>）处置</w:t>
            </w:r>
            <w:r>
              <w:rPr>
                <w:rFonts w:ascii="宋体" w:hAnsi="宋体" w:cs="宋体" w:eastAsia="宋体" w:hint="default"/>
                <w:sz w:val="17"/>
                <w:szCs w:val="17"/>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1,177.64</w:t>
            </w: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1,177.64</w:t>
            </w:r>
          </w:p>
        </w:tc>
      </w:tr>
      <w:tr>
        <w:trPr>
          <w:trHeight w:val="407"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7"/>
              <w:ind w:left="103" w:right="174" w:firstLine="34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末余额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5,270,711.89</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6" w:right="0"/>
              <w:jc w:val="center"/>
              <w:rPr>
                <w:rFonts w:ascii="Times New Roman" w:hAnsi="Times New Roman" w:cs="Times New Roman" w:eastAsia="Times New Roman" w:hint="default"/>
                <w:sz w:val="17"/>
                <w:szCs w:val="17"/>
              </w:rPr>
            </w:pPr>
            <w:r>
              <w:rPr>
                <w:rFonts w:ascii="Times New Roman"/>
                <w:sz w:val="17"/>
              </w:rPr>
              <w:t>3,519,716.25</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23,003,607.39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6" w:right="0"/>
              <w:jc w:val="center"/>
              <w:rPr>
                <w:rFonts w:ascii="Times New Roman" w:hAnsi="Times New Roman" w:cs="Times New Roman" w:eastAsia="Times New Roman" w:hint="default"/>
                <w:sz w:val="17"/>
                <w:szCs w:val="17"/>
              </w:rPr>
            </w:pPr>
            <w:r>
              <w:rPr>
                <w:rFonts w:ascii="Times New Roman"/>
                <w:sz w:val="17"/>
              </w:rPr>
              <w:t>13,470,350.06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45,264,385.59</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8"/>
              <w:ind w:left="103" w:right="131"/>
              <w:jc w:val="left"/>
              <w:rPr>
                <w:rFonts w:ascii="宋体" w:hAnsi="宋体" w:cs="宋体" w:eastAsia="宋体" w:hint="default"/>
                <w:sz w:val="17"/>
                <w:szCs w:val="17"/>
              </w:rPr>
            </w:pPr>
            <w:r>
              <w:rPr>
                <w:rFonts w:ascii="宋体" w:hAnsi="宋体" w:cs="宋体" w:eastAsia="宋体" w:hint="default"/>
                <w:sz w:val="17"/>
                <w:szCs w:val="17"/>
              </w:rPr>
              <w:t>三、减值</w:t>
            </w:r>
            <w:r>
              <w:rPr>
                <w:rFonts w:ascii="宋体" w:hAnsi="宋体" w:cs="宋体" w:eastAsia="宋体" w:hint="default"/>
                <w:w w:val="100"/>
                <w:sz w:val="17"/>
                <w:szCs w:val="17"/>
              </w:rPr>
              <w:t> </w:t>
            </w:r>
            <w:r>
              <w:rPr>
                <w:rFonts w:ascii="宋体" w:hAnsi="宋体" w:cs="宋体" w:eastAsia="宋体" w:hint="default"/>
                <w:sz w:val="17"/>
                <w:szCs w:val="17"/>
              </w:rPr>
              <w:t>准备</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8"/>
              <w:ind w:left="103" w:right="174" w:firstLine="34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初余额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auto" w:before="43"/>
              <w:ind w:left="103" w:right="131" w:firstLine="340"/>
              <w:jc w:val="both"/>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本</w:t>
            </w:r>
            <w:r>
              <w:rPr>
                <w:rFonts w:ascii="宋体" w:hAnsi="宋体" w:cs="宋体" w:eastAsia="宋体" w:hint="default"/>
                <w:w w:val="100"/>
                <w:sz w:val="17"/>
                <w:szCs w:val="17"/>
              </w:rPr>
              <w:t> </w:t>
            </w:r>
            <w:r>
              <w:rPr>
                <w:rFonts w:ascii="宋体" w:hAnsi="宋体" w:cs="宋体" w:eastAsia="宋体" w:hint="default"/>
                <w:sz w:val="17"/>
                <w:szCs w:val="17"/>
              </w:rPr>
              <w:t>期增加金</w:t>
            </w:r>
            <w:r>
              <w:rPr>
                <w:rFonts w:ascii="宋体" w:hAnsi="宋体" w:cs="宋体" w:eastAsia="宋体" w:hint="default"/>
                <w:w w:val="100"/>
                <w:sz w:val="17"/>
                <w:szCs w:val="17"/>
              </w:rPr>
              <w:t> </w:t>
            </w:r>
            <w:r>
              <w:rPr>
                <w:rFonts w:ascii="宋体" w:hAnsi="宋体" w:cs="宋体" w:eastAsia="宋体" w:hint="default"/>
                <w:sz w:val="17"/>
                <w:szCs w:val="17"/>
              </w:rPr>
              <w:t>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14" w:right="0"/>
              <w:jc w:val="center"/>
              <w:rPr>
                <w:rFonts w:ascii="Times New Roman" w:hAnsi="Times New Roman" w:cs="Times New Roman" w:eastAsia="Times New Roman" w:hint="default"/>
                <w:sz w:val="17"/>
                <w:szCs w:val="17"/>
              </w:rPr>
            </w:pPr>
            <w:r>
              <w:rPr>
                <w:rFonts w:ascii="Times New Roman"/>
                <w:sz w:val="17"/>
              </w:rPr>
              <w:t>445,580.90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445,580.90</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7"/>
                <w:szCs w:val="17"/>
              </w:rPr>
            </w:pPr>
            <w:r>
              <w:rPr>
                <w:rFonts w:ascii="宋体" w:hAnsi="宋体" w:cs="宋体" w:eastAsia="宋体" w:hint="default"/>
                <w:spacing w:val="-12"/>
                <w:sz w:val="17"/>
                <w:szCs w:val="17"/>
              </w:rPr>
              <w:t>（</w:t>
            </w:r>
            <w:r>
              <w:rPr>
                <w:rFonts w:ascii="Times New Roman" w:hAnsi="Times New Roman" w:cs="Times New Roman" w:eastAsia="Times New Roman" w:hint="default"/>
                <w:spacing w:val="-12"/>
                <w:sz w:val="17"/>
                <w:szCs w:val="17"/>
              </w:rPr>
              <w:t>1</w:t>
            </w:r>
            <w:r>
              <w:rPr>
                <w:rFonts w:ascii="宋体" w:hAnsi="宋体" w:cs="宋体" w:eastAsia="宋体" w:hint="default"/>
                <w:spacing w:val="-12"/>
                <w:sz w:val="17"/>
                <w:szCs w:val="17"/>
              </w:rPr>
              <w:t>）计提</w:t>
            </w:r>
            <w:r>
              <w:rPr>
                <w:rFonts w:ascii="宋体" w:hAnsi="宋体" w:cs="宋体" w:eastAsia="宋体" w:hint="default"/>
                <w:sz w:val="17"/>
                <w:szCs w:val="17"/>
              </w:rPr>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4" w:right="0"/>
              <w:jc w:val="center"/>
              <w:rPr>
                <w:rFonts w:ascii="Times New Roman" w:hAnsi="Times New Roman" w:cs="Times New Roman" w:eastAsia="Times New Roman" w:hint="default"/>
                <w:sz w:val="17"/>
                <w:szCs w:val="17"/>
              </w:rPr>
            </w:pPr>
            <w:r>
              <w:rPr>
                <w:rFonts w:ascii="Times New Roman"/>
                <w:sz w:val="17"/>
              </w:rPr>
              <w:t>445,580.90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445,580.90</w:t>
            </w:r>
          </w:p>
        </w:tc>
      </w:tr>
      <w:tr>
        <w:trPr>
          <w:trHeight w:val="408"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79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auto" w:before="42"/>
              <w:ind w:left="103" w:right="131" w:firstLine="340"/>
              <w:jc w:val="both"/>
              <w:rPr>
                <w:rFonts w:ascii="宋体" w:hAnsi="宋体" w:cs="宋体" w:eastAsia="宋体" w:hint="default"/>
                <w:sz w:val="17"/>
                <w:szCs w:val="17"/>
              </w:rPr>
            </w:pPr>
            <w:r>
              <w:rPr>
                <w:rFonts w:ascii="Times New Roman" w:hAnsi="Times New Roman" w:cs="Times New Roman" w:eastAsia="Times New Roman" w:hint="default"/>
                <w:sz w:val="17"/>
                <w:szCs w:val="17"/>
              </w:rPr>
              <w:t>3.</w:t>
            </w:r>
            <w:r>
              <w:rPr>
                <w:rFonts w:ascii="宋体" w:hAnsi="宋体" w:cs="宋体" w:eastAsia="宋体" w:hint="default"/>
                <w:sz w:val="17"/>
                <w:szCs w:val="17"/>
              </w:rPr>
              <w:t>本</w:t>
            </w:r>
            <w:r>
              <w:rPr>
                <w:rFonts w:ascii="宋体" w:hAnsi="宋体" w:cs="宋体" w:eastAsia="宋体" w:hint="default"/>
                <w:w w:val="100"/>
                <w:sz w:val="17"/>
                <w:szCs w:val="17"/>
              </w:rPr>
              <w:t> </w:t>
            </w:r>
            <w:r>
              <w:rPr>
                <w:rFonts w:ascii="宋体" w:hAnsi="宋体" w:cs="宋体" w:eastAsia="宋体" w:hint="default"/>
                <w:sz w:val="17"/>
                <w:szCs w:val="17"/>
              </w:rPr>
              <w:t>期减少金</w:t>
            </w:r>
            <w:r>
              <w:rPr>
                <w:rFonts w:ascii="宋体" w:hAnsi="宋体" w:cs="宋体" w:eastAsia="宋体" w:hint="default"/>
                <w:w w:val="100"/>
                <w:sz w:val="17"/>
                <w:szCs w:val="17"/>
              </w:rPr>
              <w:t> </w:t>
            </w:r>
            <w:r>
              <w:rPr>
                <w:rFonts w:ascii="宋体" w:hAnsi="宋体" w:cs="宋体" w:eastAsia="宋体" w:hint="default"/>
                <w:sz w:val="17"/>
                <w:szCs w:val="17"/>
              </w:rPr>
              <w:t>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8"/>
              <w:ind w:left="103" w:right="47" w:firstLine="340"/>
              <w:jc w:val="left"/>
              <w:rPr>
                <w:rFonts w:ascii="宋体" w:hAnsi="宋体" w:cs="宋体" w:eastAsia="宋体" w:hint="default"/>
                <w:sz w:val="17"/>
                <w:szCs w:val="17"/>
              </w:rPr>
            </w:pPr>
            <w:r>
              <w:rPr>
                <w:rFonts w:ascii="宋体" w:hAnsi="宋体" w:cs="宋体" w:eastAsia="宋体" w:hint="default"/>
                <w:sz w:val="17"/>
                <w:szCs w:val="17"/>
              </w:rPr>
              <w:t>（</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r>
              <w:rPr>
                <w:rFonts w:ascii="宋体" w:hAnsi="宋体" w:cs="宋体" w:eastAsia="宋体" w:hint="default"/>
                <w:w w:val="100"/>
                <w:sz w:val="17"/>
                <w:szCs w:val="17"/>
              </w:rPr>
              <w:t> </w:t>
            </w:r>
            <w:r>
              <w:rPr>
                <w:rFonts w:ascii="宋体" w:hAnsi="宋体" w:cs="宋体" w:eastAsia="宋体" w:hint="default"/>
                <w:sz w:val="17"/>
                <w:szCs w:val="17"/>
              </w:rPr>
              <w:t>处置</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0" w:lineRule="exact" w:before="56"/>
              <w:ind w:left="103" w:right="174" w:firstLine="340"/>
              <w:jc w:val="left"/>
              <w:rPr>
                <w:rFonts w:ascii="宋体" w:hAnsi="宋体" w:cs="宋体" w:eastAsia="宋体" w:hint="default"/>
                <w:sz w:val="17"/>
                <w:szCs w:val="17"/>
              </w:rPr>
            </w:pPr>
            <w:r>
              <w:rPr>
                <w:rFonts w:ascii="Times New Roman" w:hAnsi="Times New Roman" w:cs="Times New Roman" w:eastAsia="Times New Roman" w:hint="default"/>
                <w:sz w:val="17"/>
                <w:szCs w:val="17"/>
              </w:rPr>
              <w:t>4.</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末余额</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4" w:right="0"/>
              <w:jc w:val="center"/>
              <w:rPr>
                <w:rFonts w:ascii="Times New Roman" w:hAnsi="Times New Roman" w:cs="Times New Roman" w:eastAsia="Times New Roman" w:hint="default"/>
                <w:sz w:val="17"/>
                <w:szCs w:val="17"/>
              </w:rPr>
            </w:pPr>
            <w:r>
              <w:rPr>
                <w:rFonts w:ascii="Times New Roman"/>
                <w:sz w:val="17"/>
              </w:rPr>
              <w:t>445,580.90</w:t>
            </w: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445,580.90</w:t>
            </w:r>
          </w:p>
        </w:tc>
      </w:tr>
      <w:tr>
        <w:trPr>
          <w:trHeight w:val="575"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103" w:right="131"/>
              <w:jc w:val="left"/>
              <w:rPr>
                <w:rFonts w:ascii="宋体" w:hAnsi="宋体" w:cs="宋体" w:eastAsia="宋体" w:hint="default"/>
                <w:sz w:val="17"/>
                <w:szCs w:val="17"/>
              </w:rPr>
            </w:pPr>
            <w:r>
              <w:rPr>
                <w:rFonts w:ascii="宋体" w:hAnsi="宋体" w:cs="宋体" w:eastAsia="宋体" w:hint="default"/>
                <w:sz w:val="17"/>
                <w:szCs w:val="17"/>
              </w:rPr>
              <w:t>四、账面</w:t>
            </w:r>
            <w:r>
              <w:rPr>
                <w:rFonts w:ascii="宋体" w:hAnsi="宋体" w:cs="宋体" w:eastAsia="宋体" w:hint="default"/>
                <w:w w:val="100"/>
                <w:sz w:val="17"/>
                <w:szCs w:val="17"/>
              </w:rPr>
              <w:t> </w:t>
            </w:r>
            <w:r>
              <w:rPr>
                <w:rFonts w:ascii="宋体" w:hAnsi="宋体" w:cs="宋体" w:eastAsia="宋体" w:hint="default"/>
                <w:sz w:val="17"/>
                <w:szCs w:val="17"/>
              </w:rPr>
              <w:t>价值</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auto" w:before="42"/>
              <w:ind w:left="103" w:right="131" w:firstLine="340"/>
              <w:jc w:val="both"/>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末账面价</w:t>
            </w:r>
            <w:r>
              <w:rPr>
                <w:rFonts w:ascii="宋体" w:hAnsi="宋体" w:cs="宋体" w:eastAsia="宋体" w:hint="default"/>
                <w:w w:val="100"/>
                <w:sz w:val="17"/>
                <w:szCs w:val="17"/>
              </w:rPr>
              <w:t> </w:t>
            </w:r>
            <w:r>
              <w:rPr>
                <w:rFonts w:ascii="宋体" w:hAnsi="宋体" w:cs="宋体" w:eastAsia="宋体" w:hint="default"/>
                <w:sz w:val="17"/>
                <w:szCs w:val="17"/>
              </w:rPr>
              <w:t>值</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2,551,992.60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sz w:val="17"/>
              </w:rPr>
              <w:t>18,146,226.18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114,085,612.61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sz w:val="17"/>
              </w:rPr>
              <w:t>101,797,439.94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236,581,271.33</w:t>
            </w:r>
          </w:p>
        </w:tc>
      </w:tr>
      <w:tr>
        <w:trPr>
          <w:trHeight w:val="796" w:hRule="exact"/>
        </w:trPr>
        <w:tc>
          <w:tcPr>
            <w:tcW w:w="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0" w:lineRule="auto" w:before="42"/>
              <w:ind w:left="103" w:right="131" w:firstLine="340"/>
              <w:jc w:val="both"/>
              <w:rPr>
                <w:rFonts w:ascii="宋体" w:hAnsi="宋体" w:cs="宋体" w:eastAsia="宋体" w:hint="default"/>
                <w:sz w:val="17"/>
                <w:szCs w:val="17"/>
              </w:rPr>
            </w:pPr>
            <w:r>
              <w:rPr>
                <w:rFonts w:ascii="Times New Roman" w:hAnsi="Times New Roman" w:cs="Times New Roman" w:eastAsia="Times New Roman" w:hint="default"/>
                <w:sz w:val="17"/>
                <w:szCs w:val="17"/>
              </w:rPr>
              <w:t>2.</w:t>
            </w:r>
            <w:r>
              <w:rPr>
                <w:rFonts w:ascii="宋体" w:hAnsi="宋体" w:cs="宋体" w:eastAsia="宋体" w:hint="default"/>
                <w:sz w:val="17"/>
                <w:szCs w:val="17"/>
              </w:rPr>
              <w:t>期</w:t>
            </w:r>
            <w:r>
              <w:rPr>
                <w:rFonts w:ascii="宋体" w:hAnsi="宋体" w:cs="宋体" w:eastAsia="宋体" w:hint="default"/>
                <w:w w:val="100"/>
                <w:sz w:val="17"/>
                <w:szCs w:val="17"/>
              </w:rPr>
              <w:t> </w:t>
            </w:r>
            <w:r>
              <w:rPr>
                <w:rFonts w:ascii="宋体" w:hAnsi="宋体" w:cs="宋体" w:eastAsia="宋体" w:hint="default"/>
                <w:sz w:val="17"/>
                <w:szCs w:val="17"/>
              </w:rPr>
              <w:t>初账面价</w:t>
            </w:r>
            <w:r>
              <w:rPr>
                <w:rFonts w:ascii="宋体" w:hAnsi="宋体" w:cs="宋体" w:eastAsia="宋体" w:hint="default"/>
                <w:w w:val="100"/>
                <w:sz w:val="17"/>
                <w:szCs w:val="17"/>
              </w:rPr>
              <w:t> </w:t>
            </w:r>
            <w:r>
              <w:rPr>
                <w:rFonts w:ascii="宋体" w:hAnsi="宋体" w:cs="宋体" w:eastAsia="宋体" w:hint="default"/>
                <w:sz w:val="17"/>
                <w:szCs w:val="17"/>
              </w:rPr>
              <w:t>值</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2,492,771.68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6" w:right="0"/>
              <w:jc w:val="center"/>
              <w:rPr>
                <w:rFonts w:ascii="Times New Roman" w:hAnsi="Times New Roman" w:cs="Times New Roman" w:eastAsia="Times New Roman" w:hint="default"/>
                <w:sz w:val="17"/>
                <w:szCs w:val="17"/>
              </w:rPr>
            </w:pPr>
            <w:r>
              <w:rPr>
                <w:rFonts w:ascii="Times New Roman"/>
                <w:sz w:val="17"/>
              </w:rPr>
              <w:t>7,261,065.89</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1,190,328.33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86" w:right="0"/>
              <w:jc w:val="center"/>
              <w:rPr>
                <w:rFonts w:ascii="Times New Roman" w:hAnsi="Times New Roman" w:cs="Times New Roman" w:eastAsia="Times New Roman" w:hint="default"/>
                <w:sz w:val="17"/>
                <w:szCs w:val="17"/>
              </w:rPr>
            </w:pPr>
            <w:r>
              <w:rPr>
                <w:rFonts w:ascii="Times New Roman"/>
                <w:sz w:val="17"/>
              </w:rPr>
              <w:t>17,283,134.32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28,227,300.22</w:t>
            </w:r>
          </w:p>
        </w:tc>
      </w:tr>
    </w:tbl>
    <w:p>
      <w:pPr>
        <w:spacing w:line="240" w:lineRule="auto" w:before="4"/>
        <w:rPr>
          <w:rFonts w:ascii="宋体" w:hAnsi="宋体" w:cs="宋体" w:eastAsia="宋体" w:hint="default"/>
          <w:sz w:val="11"/>
          <w:szCs w:val="11"/>
        </w:rPr>
      </w:pPr>
    </w:p>
    <w:p>
      <w:pPr>
        <w:pStyle w:val="BodyText"/>
        <w:spacing w:line="460" w:lineRule="auto" w:before="35"/>
        <w:ind w:left="1553" w:right="3649"/>
        <w:jc w:val="left"/>
      </w:pPr>
      <w:r>
        <w:rPr/>
        <w:t>本期末通过公司内部研发形成的无形资产占无形资产余额的比例</w:t>
      </w:r>
      <w:r>
        <w:rPr>
          <w:spacing w:val="-54"/>
        </w:rPr>
        <w:t> </w:t>
      </w:r>
      <w:r>
        <w:rPr>
          <w:rFonts w:ascii="Times New Roman" w:hAnsi="Times New Roman" w:cs="Times New Roman" w:eastAsia="Times New Roman" w:hint="default"/>
        </w:rPr>
        <w:t>5.07%</w:t>
      </w:r>
      <w:r>
        <w:rPr/>
        <w:t>。 其他说明：</w:t>
      </w:r>
    </w:p>
    <w:p>
      <w:pPr>
        <w:pStyle w:val="BodyText"/>
        <w:spacing w:line="240" w:lineRule="auto" w:before="90"/>
        <w:ind w:left="1553" w:right="0"/>
        <w:jc w:val="left"/>
      </w:pPr>
      <w:r>
        <w:rPr>
          <w:rFonts w:ascii="Times New Roman" w:hAnsi="Times New Roman" w:cs="Times New Roman" w:eastAsia="Times New Roman" w:hint="default"/>
        </w:rPr>
        <w:t>1.</w:t>
      </w:r>
      <w:r>
        <w:rPr/>
        <w:t>本年摊销额</w:t>
      </w:r>
      <w:r>
        <w:rPr>
          <w:spacing w:val="-55"/>
        </w:rPr>
        <w:t> </w:t>
      </w:r>
      <w:r>
        <w:rPr>
          <w:rFonts w:ascii="Times New Roman" w:hAnsi="Times New Roman" w:cs="Times New Roman" w:eastAsia="Times New Roman" w:hint="default"/>
        </w:rPr>
        <w:t>37,790,399.08</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20"/>
          <w:szCs w:val="20"/>
        </w:rPr>
      </w:pPr>
    </w:p>
    <w:p>
      <w:pPr>
        <w:pStyle w:val="BodyText"/>
        <w:spacing w:line="280" w:lineRule="auto"/>
        <w:ind w:left="1133" w:right="0" w:firstLine="420"/>
        <w:jc w:val="left"/>
      </w:pPr>
      <w:r>
        <w:rPr>
          <w:rFonts w:ascii="Times New Roman" w:hAnsi="Times New Roman" w:cs="Times New Roman" w:eastAsia="Times New Roman" w:hint="default"/>
        </w:rPr>
        <w:t>2.2017</w:t>
      </w:r>
      <w:r>
        <w:rPr>
          <w:rFonts w:ascii="Times New Roman" w:hAnsi="Times New Roman" w:cs="Times New Roman" w:eastAsia="Times New Roman" w:hint="default"/>
          <w:spacing w:val="-10"/>
        </w:rPr>
        <w:t> </w:t>
      </w:r>
      <w:r>
        <w:rPr/>
        <w:t>年</w:t>
      </w:r>
      <w:r>
        <w:rPr>
          <w:spacing w:val="-6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月本集团附属子公司</w:t>
      </w:r>
      <w:r>
        <w:rPr>
          <w:spacing w:val="-63"/>
        </w:rPr>
        <w:t> </w:t>
      </w:r>
      <w:r>
        <w:rPr>
          <w:rFonts w:ascii="Times New Roman" w:hAnsi="Times New Roman" w:cs="Times New Roman" w:eastAsia="Times New Roman" w:hint="default"/>
        </w:rPr>
        <w:t>ThunderSoft</w:t>
      </w:r>
      <w:r>
        <w:rPr>
          <w:rFonts w:ascii="Times New Roman" w:hAnsi="Times New Roman" w:cs="Times New Roman" w:eastAsia="Times New Roman" w:hint="default"/>
          <w:spacing w:val="-15"/>
        </w:rPr>
        <w:t> </w:t>
      </w:r>
      <w:r>
        <w:rPr>
          <w:rFonts w:ascii="Times New Roman" w:hAnsi="Times New Roman" w:cs="Times New Roman" w:eastAsia="Times New Roman" w:hint="default"/>
        </w:rPr>
        <w:t>Automotive</w:t>
      </w:r>
      <w:r>
        <w:rPr>
          <w:rFonts w:ascii="Times New Roman" w:hAnsi="Times New Roman" w:cs="Times New Roman" w:eastAsia="Times New Roman" w:hint="default"/>
          <w:spacing w:val="-8"/>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4"/>
        </w:rPr>
        <w:t> </w:t>
      </w:r>
      <w:r>
        <w:rPr>
          <w:rFonts w:ascii="Times New Roman" w:hAnsi="Times New Roman" w:cs="Times New Roman" w:eastAsia="Times New Roman" w:hint="default"/>
        </w:rPr>
        <w:t>Luxembourg</w:t>
      </w:r>
      <w:r>
        <w:rPr>
          <w:rFonts w:ascii="Times New Roman" w:hAnsi="Times New Roman" w:cs="Times New Roman" w:eastAsia="Times New Roman" w:hint="default"/>
          <w:spacing w:val="-4"/>
        </w:rPr>
        <w:t> </w:t>
      </w:r>
      <w:r>
        <w:rPr>
          <w:rFonts w:ascii="Times New Roman" w:hAnsi="Times New Roman" w:cs="Times New Roman" w:eastAsia="Times New Roman" w:hint="default"/>
        </w:rPr>
        <w:t>SARL</w:t>
      </w:r>
      <w:r>
        <w:rPr>
          <w:rFonts w:ascii="Times New Roman" w:hAnsi="Times New Roman" w:cs="Times New Roman" w:eastAsia="Times New Roman" w:hint="default"/>
          <w:spacing w:val="-9"/>
        </w:rPr>
        <w:t> </w:t>
      </w:r>
      <w:r>
        <w:rPr/>
        <w:t>购买</w:t>
      </w:r>
      <w:r>
        <w:rPr>
          <w:spacing w:val="-63"/>
        </w:rPr>
        <w:t> </w:t>
      </w:r>
      <w:r>
        <w:rPr>
          <w:rFonts w:ascii="Times New Roman" w:hAnsi="Times New Roman" w:cs="Times New Roman" w:eastAsia="Times New Roman" w:hint="default"/>
        </w:rPr>
        <w:t>Rightware Oy100%</w:t>
      </w:r>
      <w:r>
        <w:rPr/>
        <w:t>股权，无形资产评估增值</w:t>
      </w:r>
      <w:r>
        <w:rPr>
          <w:spacing w:val="-54"/>
        </w:rPr>
        <w:t> </w:t>
      </w:r>
      <w:r>
        <w:rPr>
          <w:rFonts w:ascii="Times New Roman" w:hAnsi="Times New Roman" w:cs="Times New Roman" w:eastAsia="Times New Roman" w:hint="default"/>
        </w:rPr>
        <w:t>217,017,900.00</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3.</w:t>
      </w:r>
      <w:r>
        <w:rPr/>
        <w:t>期末，通过内部研发形成的无形资产占无形资产余额的比例为</w:t>
      </w:r>
      <w:r>
        <w:rPr>
          <w:spacing w:val="-54"/>
        </w:rPr>
        <w:t> </w:t>
      </w:r>
      <w:r>
        <w:rPr>
          <w:rFonts w:ascii="Times New Roman" w:hAnsi="Times New Roman" w:cs="Times New Roman" w:eastAsia="Times New Roman" w:hint="default"/>
        </w:rPr>
        <w:t>5.07%</w:t>
      </w:r>
      <w:r>
        <w:rPr/>
        <w:t>。</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21、开发支出" w:id="293"/>
      <w:bookmarkEnd w:id="293"/>
      <w:r>
        <w:rPr/>
      </w:r>
      <w:r>
        <w:rPr>
          <w:rFonts w:ascii="Times New Roman" w:hAnsi="Times New Roman" w:cs="Times New Roman" w:eastAsia="Times New Roman" w:hint="default"/>
        </w:rPr>
        <w:t>21</w:t>
      </w:r>
      <w:r>
        <w:rPr>
          <w:rFonts w:ascii="微软雅黑" w:hAnsi="微软雅黑" w:cs="微软雅黑" w:eastAsia="微软雅黑" w:hint="default"/>
        </w:rPr>
        <w:t>、开发支出</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206"/>
        <w:gridCol w:w="1162"/>
        <w:gridCol w:w="1250"/>
        <w:gridCol w:w="999"/>
        <w:gridCol w:w="997"/>
        <w:gridCol w:w="1252"/>
        <w:gridCol w:w="999"/>
        <w:gridCol w:w="997"/>
        <w:gridCol w:w="994"/>
      </w:tblGrid>
      <w:tr>
        <w:trPr>
          <w:trHeight w:val="408"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2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4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00"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before="3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无人机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SOM</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16,498.50</w:t>
            </w:r>
          </w:p>
        </w:tc>
        <w:tc>
          <w:tcPr>
            <w:tcW w:w="12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16,498.50</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8"/>
              <w:ind w:left="103" w:right="191"/>
              <w:jc w:val="left"/>
              <w:rPr>
                <w:rFonts w:ascii="宋体" w:hAnsi="宋体" w:cs="宋体" w:eastAsia="宋体" w:hint="default"/>
                <w:sz w:val="18"/>
                <w:szCs w:val="18"/>
              </w:rPr>
            </w:pPr>
            <w:r>
              <w:rPr>
                <w:rFonts w:ascii="宋体" w:hAnsi="宋体" w:cs="宋体" w:eastAsia="宋体" w:hint="default"/>
                <w:sz w:val="18"/>
                <w:szCs w:val="18"/>
              </w:rPr>
              <w:t>车载系统解 决方案</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825,845.63</w:t>
            </w:r>
          </w:p>
        </w:tc>
        <w:tc>
          <w:tcPr>
            <w:tcW w:w="12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825,845.63</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68"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exact" w:before="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APQ8096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w:t>
            </w:r>
          </w:p>
          <w:p>
            <w:pPr>
              <w:pStyle w:val="TableParagraph"/>
              <w:spacing w:line="230" w:lineRule="auto" w:before="1"/>
              <w:ind w:left="103" w:right="102"/>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VR</w:t>
            </w:r>
            <w:r>
              <w:rPr>
                <w:rFonts w:ascii="宋体" w:hAnsi="宋体" w:cs="宋体" w:eastAsia="宋体" w:hint="default"/>
                <w:spacing w:val="-6"/>
                <w:sz w:val="18"/>
                <w:szCs w:val="18"/>
              </w:rPr>
              <w:t>、无人</w:t>
            </w:r>
            <w:r>
              <w:rPr>
                <w:rFonts w:ascii="宋体" w:hAnsi="宋体" w:cs="宋体" w:eastAsia="宋体" w:hint="default"/>
                <w:sz w:val="18"/>
                <w:szCs w:val="18"/>
              </w:rPr>
              <w:t> 机和机器人 核心开发板</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30,066.45</w:t>
            </w:r>
          </w:p>
        </w:tc>
        <w:tc>
          <w:tcPr>
            <w:tcW w:w="12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30,066.45</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56"/>
              <w:ind w:left="103" w:right="191"/>
              <w:jc w:val="left"/>
              <w:rPr>
                <w:rFonts w:ascii="宋体" w:hAnsi="宋体" w:cs="宋体" w:eastAsia="宋体" w:hint="default"/>
                <w:sz w:val="18"/>
                <w:szCs w:val="18"/>
              </w:rPr>
            </w:pPr>
            <w:r>
              <w:rPr>
                <w:rFonts w:ascii="宋体" w:hAnsi="宋体" w:cs="宋体" w:eastAsia="宋体" w:hint="default"/>
                <w:sz w:val="18"/>
                <w:szCs w:val="18"/>
              </w:rPr>
              <w:t>智能终端安 全方案</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797,946.11</w:t>
            </w:r>
          </w:p>
        </w:tc>
        <w:tc>
          <w:tcPr>
            <w:tcW w:w="12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797,946.11</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5" w:lineRule="auto" w:before="44"/>
              <w:ind w:left="103" w:right="102"/>
              <w:jc w:val="both"/>
              <w:rPr>
                <w:rFonts w:ascii="宋体" w:hAnsi="宋体" w:cs="宋体" w:eastAsia="宋体" w:hint="default"/>
                <w:sz w:val="18"/>
                <w:szCs w:val="18"/>
              </w:rPr>
            </w:pPr>
            <w:r>
              <w:rPr>
                <w:rFonts w:ascii="宋体" w:hAnsi="宋体" w:cs="宋体" w:eastAsia="宋体" w:hint="default"/>
                <w:sz w:val="18"/>
                <w:szCs w:val="18"/>
              </w:rPr>
              <w:t>无人机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SOM</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台研发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568,826.68</w:t>
            </w:r>
          </w:p>
        </w:tc>
        <w:tc>
          <w:tcPr>
            <w:tcW w:w="1250"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568,826.68</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42"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32"/>
              <w:ind w:left="103" w:right="106"/>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智能互联驾 驶舱平台 </w:t>
            </w:r>
            <w:r>
              <w:rPr>
                <w:rFonts w:ascii="Times New Roman" w:hAnsi="Times New Roman" w:cs="Times New Roman" w:eastAsia="Times New Roman" w:hint="default"/>
                <w:sz w:val="18"/>
                <w:szCs w:val="18"/>
              </w:rPr>
              <w:t>NoahArk</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608,096.73</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608,096.73</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41"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32"/>
              <w:ind w:left="103" w:right="106"/>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智能互联驾 驶舱平台 </w:t>
            </w:r>
            <w:r>
              <w:rPr>
                <w:rFonts w:ascii="Times New Roman" w:hAnsi="Times New Roman" w:cs="Times New Roman" w:eastAsia="Times New Roman" w:hint="default"/>
                <w:spacing w:val="-4"/>
                <w:sz w:val="18"/>
                <w:szCs w:val="18"/>
              </w:rPr>
              <w:t>Voyager-1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879,795.79</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879,795.79</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042"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2" w:lineRule="auto" w:before="33"/>
              <w:ind w:left="103" w:right="106"/>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智能互联驾 驶舱平台 </w:t>
            </w:r>
            <w:r>
              <w:rPr>
                <w:rFonts w:ascii="Times New Roman" w:hAnsi="Times New Roman" w:cs="Times New Roman" w:eastAsia="Times New Roman" w:hint="default"/>
                <w:sz w:val="18"/>
                <w:szCs w:val="18"/>
              </w:rPr>
              <w:t>NoahArk2</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380,932.04</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380,932.04</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103" w:right="191"/>
              <w:jc w:val="left"/>
              <w:rPr>
                <w:rFonts w:ascii="宋体" w:hAnsi="宋体" w:cs="宋体" w:eastAsia="宋体" w:hint="default"/>
                <w:sz w:val="18"/>
                <w:szCs w:val="18"/>
              </w:rPr>
            </w:pPr>
            <w:r>
              <w:rPr>
                <w:rFonts w:ascii="宋体" w:hAnsi="宋体" w:cs="宋体" w:eastAsia="宋体" w:hint="default"/>
                <w:sz w:val="18"/>
                <w:szCs w:val="18"/>
              </w:rPr>
              <w:t>多屏交互车 载操作系统</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989,293.42</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989,293.42</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34"/>
              <w:ind w:left="103" w:right="191"/>
              <w:jc w:val="both"/>
              <w:rPr>
                <w:rFonts w:ascii="宋体" w:hAnsi="宋体" w:cs="宋体" w:eastAsia="宋体" w:hint="default"/>
                <w:sz w:val="18"/>
                <w:szCs w:val="18"/>
              </w:rPr>
            </w:pPr>
            <w:r>
              <w:rPr>
                <w:rFonts w:ascii="宋体" w:hAnsi="宋体" w:cs="宋体" w:eastAsia="宋体" w:hint="default"/>
                <w:sz w:val="18"/>
                <w:szCs w:val="18"/>
              </w:rPr>
              <w:t>自然交互智 能驾驶操作 系统</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6,873,425.32</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6,873,425.32</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34"/>
              <w:ind w:left="103" w:right="191"/>
              <w:jc w:val="both"/>
              <w:rPr>
                <w:rFonts w:ascii="宋体" w:hAnsi="宋体" w:cs="宋体" w:eastAsia="宋体" w:hint="default"/>
                <w:sz w:val="18"/>
                <w:szCs w:val="18"/>
              </w:rPr>
            </w:pPr>
            <w:r>
              <w:rPr>
                <w:rFonts w:ascii="宋体" w:hAnsi="宋体" w:cs="宋体" w:eastAsia="宋体" w:hint="default"/>
                <w:sz w:val="18"/>
                <w:szCs w:val="18"/>
              </w:rPr>
              <w:t>超低功耗定 制安卓系统 产品</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455,176.78</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455,176.78</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1276"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35"/>
              <w:ind w:left="103" w:right="191"/>
              <w:jc w:val="both"/>
              <w:rPr>
                <w:rFonts w:ascii="宋体" w:hAnsi="宋体" w:cs="宋体" w:eastAsia="宋体" w:hint="default"/>
                <w:sz w:val="18"/>
                <w:szCs w:val="18"/>
              </w:rPr>
            </w:pPr>
            <w:r>
              <w:rPr>
                <w:rFonts w:ascii="宋体" w:hAnsi="宋体" w:cs="宋体" w:eastAsia="宋体" w:hint="default"/>
                <w:sz w:val="18"/>
                <w:szCs w:val="18"/>
              </w:rPr>
              <w:t>基于多传感 器融合的室 内飞流定位 算法</w:t>
            </w:r>
          </w:p>
          <w:p>
            <w:pPr>
              <w:pStyle w:val="TableParagraph"/>
              <w:spacing w:line="240" w:lineRule="auto" w:before="24"/>
              <w:ind w:left="103" w:right="0"/>
              <w:jc w:val="both"/>
              <w:rPr>
                <w:rFonts w:ascii="Times New Roman" w:hAnsi="Times New Roman" w:cs="Times New Roman" w:eastAsia="Times New Roman" w:hint="default"/>
                <w:sz w:val="18"/>
                <w:szCs w:val="18"/>
              </w:rPr>
            </w:pPr>
            <w:r>
              <w:rPr>
                <w:rFonts w:ascii="Times New Roman"/>
                <w:sz w:val="18"/>
              </w:rPr>
              <w:t>-Daybreaker2</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1,433,087.31</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1,433,087.31</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34"/>
              <w:ind w:left="103" w:right="191"/>
              <w:jc w:val="both"/>
              <w:rPr>
                <w:rFonts w:ascii="宋体" w:hAnsi="宋体" w:cs="宋体" w:eastAsia="宋体" w:hint="default"/>
                <w:sz w:val="18"/>
                <w:szCs w:val="18"/>
              </w:rPr>
            </w:pPr>
            <w:r>
              <w:rPr>
                <w:rFonts w:ascii="宋体" w:hAnsi="宋体" w:cs="宋体" w:eastAsia="宋体" w:hint="default"/>
                <w:sz w:val="18"/>
                <w:szCs w:val="18"/>
              </w:rPr>
              <w:t>智能双系统 隔离加密终 端方案</w:t>
            </w:r>
          </w:p>
        </w:tc>
        <w:tc>
          <w:tcPr>
            <w:tcW w:w="116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469,973.15</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469,973.15</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2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2,239,183.37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12,089,780.54</w:t>
            </w:r>
          </w:p>
        </w:tc>
        <w:tc>
          <w:tcPr>
            <w:tcW w:w="99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14,298,897.46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30,066.45</w:t>
            </w:r>
          </w:p>
        </w:tc>
        <w:tc>
          <w:tcPr>
            <w:tcW w:w="99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after="0" w:line="240" w:lineRule="auto"/>
        <w:jc w:val="left"/>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5490"/>
        <w:gridCol w:w="2027"/>
        <w:gridCol w:w="2339"/>
      </w:tblGrid>
      <w:tr>
        <w:trPr>
          <w:trHeight w:val="427" w:hRule="exact"/>
        </w:trPr>
        <w:tc>
          <w:tcPr>
            <w:tcW w:w="5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2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资本化的具体依据</w:t>
            </w:r>
          </w:p>
        </w:tc>
      </w:tr>
      <w:tr>
        <w:trPr>
          <w:trHeight w:val="427" w:hRule="exact"/>
        </w:trPr>
        <w:tc>
          <w:tcPr>
            <w:tcW w:w="549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无人机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车载系统解决方案</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6"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APQ8096 </w:t>
            </w:r>
            <w:r>
              <w:rPr>
                <w:rFonts w:ascii="宋体" w:hAnsi="宋体" w:cs="宋体" w:eastAsia="宋体" w:hint="default"/>
                <w:sz w:val="18"/>
                <w:szCs w:val="18"/>
              </w:rPr>
              <w:t>平台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VR</w:t>
            </w:r>
            <w:r>
              <w:rPr>
                <w:rFonts w:ascii="宋体" w:hAnsi="宋体" w:cs="宋体" w:eastAsia="宋体" w:hint="default"/>
                <w:sz w:val="18"/>
                <w:szCs w:val="18"/>
              </w:rPr>
              <w:t>、无人机和机器人核心开发板</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智能终端安全方案</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无人机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平台研发</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智能互联驾驶舱平台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NoahArk</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智能互联驾驶舱平台</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Voyager-1</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智能互联驾驶舱平台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NoahArk2</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6"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多屏交互车载操作系统</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自然交互智能驾驶操作系统</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超低功耗定制安卓系统产品</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基于多传感器融合的室内飞流定位算法</w:t>
            </w:r>
            <w:r>
              <w:rPr>
                <w:rFonts w:ascii="Times New Roman" w:hAnsi="Times New Roman" w:cs="Times New Roman" w:eastAsia="Times New Roman" w:hint="default"/>
                <w:sz w:val="18"/>
                <w:szCs w:val="18"/>
              </w:rPr>
              <w:t>-Daybreaker2</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智能双系统隔离加密终端方案</w:t>
            </w:r>
          </w:p>
        </w:tc>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项目立项</w:t>
            </w:r>
          </w:p>
        </w:tc>
      </w:tr>
    </w:tbl>
    <w:p>
      <w:pPr>
        <w:spacing w:line="240" w:lineRule="auto" w:before="4"/>
        <w:rPr>
          <w:rFonts w:ascii="宋体" w:hAnsi="宋体" w:cs="宋体" w:eastAsia="宋体" w:hint="default"/>
          <w:sz w:val="11"/>
          <w:szCs w:val="11"/>
        </w:rPr>
      </w:pPr>
    </w:p>
    <w:p>
      <w:pPr>
        <w:pStyle w:val="BodyText"/>
        <w:spacing w:line="280" w:lineRule="auto" w:before="35"/>
        <w:ind w:left="1133" w:right="1119" w:firstLine="420"/>
        <w:jc w:val="left"/>
      </w:pPr>
      <w:r>
        <w:rPr/>
        <w:t>说明：基于多传感器融合的室内飞流定位算法</w:t>
      </w:r>
      <w:r>
        <w:rPr>
          <w:rFonts w:ascii="Times New Roman" w:hAnsi="Times New Roman" w:cs="Times New Roman" w:eastAsia="Times New Roman" w:hint="default"/>
        </w:rPr>
        <w:t>-Daybreaker2</w:t>
      </w:r>
      <w:r>
        <w:rPr>
          <w:rFonts w:ascii="Times New Roman" w:hAnsi="Times New Roman" w:cs="Times New Roman" w:eastAsia="Times New Roman" w:hint="default"/>
          <w:spacing w:val="-17"/>
        </w:rPr>
        <w:t> </w:t>
      </w:r>
      <w:r>
        <w:rPr/>
        <w:t>一期已于</w:t>
      </w:r>
      <w:r>
        <w:rPr>
          <w:spacing w:val="-6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spacing w:val="-3"/>
        </w:rPr>
        <w:t>年转入无形资产，本期为二</w:t>
      </w:r>
      <w:r>
        <w:rPr>
          <w:w w:val="99"/>
        </w:rPr>
        <w:t> </w:t>
      </w:r>
      <w:r>
        <w:rPr/>
        <w:t>期开发支出。</w:t>
      </w:r>
    </w:p>
    <w:p>
      <w:pPr>
        <w:spacing w:line="240" w:lineRule="auto" w:before="6"/>
        <w:rPr>
          <w:rFonts w:ascii="宋体" w:hAnsi="宋体" w:cs="宋体" w:eastAsia="宋体" w:hint="default"/>
          <w:sz w:val="18"/>
          <w:szCs w:val="18"/>
        </w:rPr>
      </w:pPr>
    </w:p>
    <w:p>
      <w:pPr>
        <w:pStyle w:val="BodyText"/>
        <w:spacing w:line="240" w:lineRule="auto"/>
        <w:ind w:left="1553" w:right="0"/>
        <w:jc w:val="left"/>
        <w:rPr>
          <w:rFonts w:ascii="微软雅黑" w:hAnsi="微软雅黑" w:cs="微软雅黑" w:eastAsia="微软雅黑" w:hint="default"/>
        </w:rPr>
      </w:pPr>
      <w:bookmarkStart w:name="22、商誉" w:id="294"/>
      <w:bookmarkEnd w:id="294"/>
      <w:r>
        <w:rPr/>
      </w:r>
      <w:r>
        <w:rPr>
          <w:rFonts w:ascii="Times New Roman" w:hAnsi="Times New Roman" w:cs="Times New Roman" w:eastAsia="Times New Roman" w:hint="default"/>
        </w:rPr>
        <w:t>22</w:t>
      </w:r>
      <w:r>
        <w:rPr>
          <w:rFonts w:ascii="微软雅黑" w:hAnsi="微软雅黑" w:cs="微软雅黑" w:eastAsia="微软雅黑" w:hint="default"/>
        </w:rPr>
        <w:t>、商誉</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商誉账面原值" w:id="295"/>
      <w:bookmarkEnd w:id="29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0"/>
        <w:rPr>
          <w:rFonts w:ascii="宋体" w:hAnsi="宋体" w:cs="宋体" w:eastAsia="宋体" w:hint="default"/>
          <w:b/>
          <w:bCs/>
          <w:sz w:val="24"/>
          <w:szCs w:val="2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929"/>
        <w:gridCol w:w="1399"/>
        <w:gridCol w:w="1512"/>
        <w:gridCol w:w="1147"/>
        <w:gridCol w:w="1051"/>
        <w:gridCol w:w="1408"/>
        <w:gridCol w:w="1409"/>
      </w:tblGrid>
      <w:tr>
        <w:trPr>
          <w:trHeight w:val="601"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418" w:right="148" w:hanging="270"/>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34" w:hRule="exact"/>
        </w:trPr>
        <w:tc>
          <w:tcPr>
            <w:tcW w:w="1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34"/>
              <w:ind w:left="103" w:right="195"/>
              <w:jc w:val="both"/>
              <w:rPr>
                <w:rFonts w:ascii="宋体" w:hAnsi="宋体" w:cs="宋体" w:eastAsia="宋体" w:hint="default"/>
                <w:sz w:val="18"/>
                <w:szCs w:val="18"/>
              </w:rPr>
            </w:pPr>
            <w:r>
              <w:rPr>
                <w:rFonts w:ascii="宋体" w:hAnsi="宋体" w:cs="宋体" w:eastAsia="宋体" w:hint="default"/>
                <w:sz w:val="18"/>
                <w:szCs w:val="18"/>
              </w:rPr>
              <w:t>北京爱普新思电子技 术有限公司及北京慧 驰科技有限公司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29,784,127.69</w:t>
            </w:r>
          </w:p>
        </w:tc>
        <w:tc>
          <w:tcPr>
            <w:tcW w:w="1512"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29,784,127.69</w:t>
            </w:r>
          </w:p>
        </w:tc>
      </w:tr>
      <w:tr>
        <w:trPr>
          <w:trHeight w:val="408" w:hRule="exact"/>
        </w:trPr>
        <w:tc>
          <w:tcPr>
            <w:tcW w:w="1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right="800"/>
              <w:jc w:val="righ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1399"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209,638,217.67</w:t>
            </w:r>
          </w:p>
        </w:tc>
        <w:tc>
          <w:tcPr>
            <w:tcW w:w="114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209,638,217.67</w:t>
            </w:r>
          </w:p>
        </w:tc>
      </w:tr>
      <w:tr>
        <w:trPr>
          <w:trHeight w:val="407" w:hRule="exact"/>
        </w:trPr>
        <w:tc>
          <w:tcPr>
            <w:tcW w:w="1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9"/>
              <w:jc w:val="righ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29,784,127.69</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209,638,217.67</w:t>
            </w:r>
          </w:p>
        </w:tc>
        <w:tc>
          <w:tcPr>
            <w:tcW w:w="1147"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239,422,345.36</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商誉减值准备" w:id="296"/>
      <w:bookmarkEnd w:id="29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845"/>
        <w:gridCol w:w="1540"/>
        <w:gridCol w:w="1265"/>
        <w:gridCol w:w="1266"/>
        <w:gridCol w:w="1265"/>
        <w:gridCol w:w="1266"/>
        <w:gridCol w:w="1409"/>
      </w:tblGrid>
      <w:tr>
        <w:trPr>
          <w:trHeight w:val="601" w:hRule="exact"/>
        </w:trPr>
        <w:tc>
          <w:tcPr>
            <w:tcW w:w="1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376" w:right="106" w:hanging="270"/>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4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5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834" w:hRule="exact"/>
        </w:trPr>
        <w:tc>
          <w:tcPr>
            <w:tcW w:w="1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7" w:lineRule="auto" w:before="34"/>
              <w:ind w:left="103" w:right="111"/>
              <w:jc w:val="both"/>
              <w:rPr>
                <w:rFonts w:ascii="宋体" w:hAnsi="宋体" w:cs="宋体" w:eastAsia="宋体" w:hint="default"/>
                <w:sz w:val="18"/>
                <w:szCs w:val="18"/>
              </w:rPr>
            </w:pPr>
            <w:r>
              <w:rPr>
                <w:rFonts w:ascii="宋体" w:hAnsi="宋体" w:cs="宋体" w:eastAsia="宋体" w:hint="default"/>
                <w:sz w:val="18"/>
                <w:szCs w:val="18"/>
              </w:rPr>
              <w:t>北京爱普新思电子技 术有限公司及北京慧 驰科技有限公司</w:t>
            </w:r>
          </w:p>
        </w:tc>
        <w:tc>
          <w:tcPr>
            <w:tcW w:w="1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154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说明商誉减值测试过程、参数及商誉减值损失的确认方法：</w:t>
      </w:r>
    </w:p>
    <w:p>
      <w:pPr>
        <w:spacing w:line="240" w:lineRule="auto" w:before="8"/>
        <w:rPr>
          <w:rFonts w:ascii="宋体" w:hAnsi="宋体" w:cs="宋体" w:eastAsia="宋体" w:hint="default"/>
          <w:sz w:val="21"/>
          <w:szCs w:val="21"/>
        </w:rPr>
      </w:pPr>
    </w:p>
    <w:p>
      <w:pPr>
        <w:pStyle w:val="BodyText"/>
        <w:spacing w:line="290" w:lineRule="auto"/>
        <w:ind w:left="1133" w:right="1025" w:firstLine="420"/>
        <w:jc w:val="both"/>
      </w:pPr>
      <w:r>
        <w:rPr>
          <w:spacing w:val="3"/>
        </w:rPr>
        <w:t>本公司于期末聘请专业评估机构中水致远资产评估有限公司对北京爱普新思电子技术有限公司及北</w:t>
      </w:r>
      <w:r>
        <w:rPr/>
        <w:t> 京慧驰科技有限公司和</w:t>
      </w:r>
      <w:r>
        <w:rPr>
          <w:spacing w:val="-52"/>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0"/>
        </w:rPr>
        <w:t> </w:t>
      </w:r>
      <w:r>
        <w:rPr>
          <w:rFonts w:ascii="Times New Roman" w:hAnsi="Times New Roman" w:cs="Times New Roman" w:eastAsia="Times New Roman" w:hint="default"/>
        </w:rPr>
        <w:t>Oy</w:t>
      </w:r>
      <w:r>
        <w:rPr>
          <w:rFonts w:ascii="Times New Roman" w:hAnsi="Times New Roman" w:cs="Times New Roman" w:eastAsia="Times New Roman" w:hint="default"/>
          <w:spacing w:val="-12"/>
        </w:rPr>
        <w:t> </w:t>
      </w:r>
      <w:r>
        <w:rPr>
          <w:spacing w:val="-3"/>
        </w:rPr>
        <w:t>商誉进行减值测试，并分别出具了中水致远评报字（</w:t>
      </w:r>
      <w:r>
        <w:rPr>
          <w:rFonts w:ascii="Times New Roman" w:hAnsi="Times New Roman" w:cs="Times New Roman" w:eastAsia="Times New Roman" w:hint="default"/>
          <w:spacing w:val="-3"/>
        </w:rPr>
        <w:t>2018</w:t>
      </w:r>
      <w:r>
        <w:rPr>
          <w:spacing w:val="-3"/>
        </w:rPr>
        <w:t>）第</w:t>
      </w:r>
      <w:r>
        <w:rPr>
          <w:spacing w:val="-53"/>
        </w:rPr>
        <w:t> </w:t>
      </w:r>
      <w:r>
        <w:rPr>
          <w:rFonts w:ascii="Times New Roman" w:hAnsi="Times New Roman" w:cs="Times New Roman" w:eastAsia="Times New Roman" w:hint="default"/>
        </w:rPr>
        <w:t>010059 </w:t>
      </w:r>
      <w:r>
        <w:rPr/>
        <w:t>号评估报告和中水致远评报字（</w:t>
      </w:r>
      <w:r>
        <w:rPr>
          <w:rFonts w:ascii="Times New Roman" w:hAnsi="Times New Roman" w:cs="Times New Roman" w:eastAsia="Times New Roman" w:hint="default"/>
        </w:rPr>
        <w:t>2018</w:t>
      </w:r>
      <w:r>
        <w:rPr/>
        <w:t>）第</w:t>
      </w:r>
      <w:r>
        <w:rPr>
          <w:spacing w:val="-61"/>
        </w:rPr>
        <w:t> </w:t>
      </w:r>
      <w:r>
        <w:rPr>
          <w:rFonts w:ascii="Times New Roman" w:hAnsi="Times New Roman" w:cs="Times New Roman" w:eastAsia="Times New Roman" w:hint="default"/>
        </w:rPr>
        <w:t>010063</w:t>
      </w:r>
      <w:r>
        <w:rPr>
          <w:rFonts w:ascii="Times New Roman" w:hAnsi="Times New Roman" w:cs="Times New Roman" w:eastAsia="Times New Roman" w:hint="default"/>
          <w:spacing w:val="-17"/>
        </w:rPr>
        <w:t> </w:t>
      </w:r>
      <w:r>
        <w:rPr/>
        <w:t>号评估报告，根据上述评估报告，商誉期末未发生减值。</w:t>
      </w:r>
    </w:p>
    <w:p>
      <w:pPr>
        <w:spacing w:line="240" w:lineRule="auto" w:before="9"/>
        <w:rPr>
          <w:rFonts w:ascii="宋体" w:hAnsi="宋体" w:cs="宋体" w:eastAsia="宋体" w:hint="default"/>
          <w:sz w:val="16"/>
          <w:szCs w:val="16"/>
        </w:rPr>
      </w:pPr>
    </w:p>
    <w:p>
      <w:pPr>
        <w:pStyle w:val="BodyText"/>
        <w:spacing w:line="240" w:lineRule="auto"/>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t>商誉本期增加</w:t>
      </w:r>
      <w:r>
        <w:rPr>
          <w:spacing w:val="-53"/>
        </w:rPr>
        <w:t> </w:t>
      </w:r>
      <w:r>
        <w:rPr>
          <w:rFonts w:ascii="Times New Roman" w:hAnsi="Times New Roman" w:cs="Times New Roman" w:eastAsia="Times New Roman" w:hint="default"/>
        </w:rPr>
        <w:t>209,638,217.67</w:t>
      </w:r>
      <w:r>
        <w:rPr>
          <w:rFonts w:ascii="Times New Roman" w:hAnsi="Times New Roman" w:cs="Times New Roman" w:eastAsia="Times New Roman" w:hint="default"/>
          <w:spacing w:val="-1"/>
        </w:rPr>
        <w:t> </w:t>
      </w:r>
      <w:r>
        <w:rPr/>
        <w:t>元，系收购</w:t>
      </w:r>
      <w:r>
        <w:rPr>
          <w:spacing w:val="-53"/>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
        </w:rPr>
        <w:t> </w:t>
      </w:r>
      <w:r>
        <w:rPr>
          <w:rFonts w:ascii="Times New Roman" w:hAnsi="Times New Roman" w:cs="Times New Roman" w:eastAsia="Times New Roman" w:hint="default"/>
        </w:rPr>
        <w:t>Oy</w:t>
      </w:r>
      <w:r>
        <w:rPr>
          <w:rFonts w:ascii="Times New Roman" w:hAnsi="Times New Roman" w:cs="Times New Roman" w:eastAsia="Times New Roman" w:hint="default"/>
          <w:spacing w:val="-2"/>
        </w:rPr>
        <w:t> </w:t>
      </w:r>
      <w:r>
        <w:rPr/>
        <w:t>所致。</w:t>
      </w:r>
    </w:p>
    <w:p>
      <w:pPr>
        <w:spacing w:line="240" w:lineRule="auto" w:before="13"/>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23、长期待摊费用" w:id="297"/>
      <w:bookmarkEnd w:id="297"/>
      <w:r>
        <w:rPr/>
      </w:r>
      <w:r>
        <w:rPr>
          <w:rFonts w:ascii="Times New Roman" w:hAnsi="Times New Roman" w:cs="Times New Roman" w:eastAsia="Times New Roman" w:hint="default"/>
        </w:rPr>
        <w:t>23</w:t>
      </w:r>
      <w:r>
        <w:rPr>
          <w:rFonts w:ascii="微软雅黑" w:hAnsi="微软雅黑" w:cs="微软雅黑" w:eastAsia="微软雅黑" w:hint="default"/>
        </w:rPr>
        <w:t>、长期待摊费用</w:t>
      </w:r>
    </w:p>
    <w:p>
      <w:pPr>
        <w:spacing w:line="240" w:lineRule="auto" w:before="0"/>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642"/>
        <w:gridCol w:w="1644"/>
        <w:gridCol w:w="1643"/>
        <w:gridCol w:w="1642"/>
        <w:gridCol w:w="1642"/>
        <w:gridCol w:w="1643"/>
      </w:tblGrid>
      <w:tr>
        <w:trPr>
          <w:trHeight w:val="406"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6"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房屋装修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7,245,101.41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6,975,346.14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5,731,361.02</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8,489,086.53</w:t>
            </w:r>
          </w:p>
        </w:tc>
      </w:tr>
      <w:tr>
        <w:trPr>
          <w:trHeight w:val="407"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7,245,101.41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6,975,346.14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5,731,361.02</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8,489,086.53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本期增加中因外币报表折算汇率影响</w:t>
      </w:r>
      <w:r>
        <w:rPr>
          <w:spacing w:val="-53"/>
        </w:rPr>
        <w:t> </w:t>
      </w:r>
      <w:r>
        <w:rPr>
          <w:rFonts w:ascii="Times New Roman" w:hAnsi="Times New Roman" w:cs="Times New Roman" w:eastAsia="Times New Roman" w:hint="default"/>
        </w:rPr>
        <w:t>19,827.12</w:t>
      </w:r>
      <w:r>
        <w:rPr>
          <w:rFonts w:ascii="Times New Roman" w:hAnsi="Times New Roman" w:cs="Times New Roman" w:eastAsia="Times New Roman" w:hint="default"/>
          <w:spacing w:val="-12"/>
        </w:rPr>
        <w:t> </w:t>
      </w:r>
      <w:r>
        <w:rPr/>
        <w:t>元。</w:t>
      </w:r>
    </w:p>
    <w:p>
      <w:pPr>
        <w:spacing w:line="240" w:lineRule="auto" w:before="13"/>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24、递延所得税资产/递延所得税负债" w:id="298"/>
      <w:bookmarkEnd w:id="298"/>
      <w:r>
        <w:rPr/>
      </w:r>
      <w:r>
        <w:rPr>
          <w:rFonts w:ascii="Times New Roman" w:hAnsi="Times New Roman" w:cs="Times New Roman" w:eastAsia="Times New Roman" w:hint="default"/>
        </w:rPr>
        <w:t>24</w:t>
      </w:r>
      <w:r>
        <w:rPr>
          <w:rFonts w:ascii="微软雅黑" w:hAnsi="微软雅黑" w:cs="微软雅黑" w:eastAsia="微软雅黑" w:hint="default"/>
        </w:rPr>
        <w:t>、递延所得税资产</w:t>
      </w:r>
      <w:r>
        <w:rPr>
          <w:rFonts w:ascii="Times New Roman" w:hAnsi="Times New Roman" w:cs="Times New Roman" w:eastAsia="Times New Roman" w:hint="default"/>
        </w:rPr>
        <w:t>/</w:t>
      </w:r>
      <w:r>
        <w:rPr>
          <w:rFonts w:ascii="微软雅黑" w:hAnsi="微软雅黑" w:cs="微软雅黑" w:eastAsia="微软雅黑" w:hint="default"/>
        </w:rPr>
        <w:t>递延所得税负债</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未经抵销的递延所得税资产" w:id="299"/>
      <w:bookmarkEnd w:id="29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397"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32"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7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9,962,752.20</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1,151,005.84</w:t>
            </w:r>
          </w:p>
        </w:tc>
        <w:tc>
          <w:tcPr>
            <w:tcW w:w="19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5,308,387.29</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630,750.62</w:t>
            </w:r>
          </w:p>
        </w:tc>
      </w:tr>
      <w:tr>
        <w:trPr>
          <w:trHeight w:val="407" w:hRule="exact"/>
        </w:trPr>
        <w:tc>
          <w:tcPr>
            <w:tcW w:w="1968"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199,706.50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19,970.65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z w:val="18"/>
              </w:rPr>
              <w:t>199,706.52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19,970.65</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22,329,240.04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2,757,310.01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15,956,229.46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1,609,028.68</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29,803,427.54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3,671,075.07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47,264,676.42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5,520,777.72</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13,928,616.26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1,392,861.63</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76,223,742.54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8,992,223.20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68,728,999.69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7,780,527.67</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未经抵销的递延所得税负债" w:id="300"/>
      <w:bookmarkEnd w:id="30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398"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625"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2"/>
              <w:ind w:left="103" w:right="233"/>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7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741" w:right="0"/>
              <w:jc w:val="left"/>
              <w:rPr>
                <w:rFonts w:ascii="Times New Roman" w:hAnsi="Times New Roman" w:cs="Times New Roman" w:eastAsia="Times New Roman" w:hint="default"/>
                <w:sz w:val="18"/>
                <w:szCs w:val="18"/>
              </w:rPr>
            </w:pPr>
            <w:r>
              <w:rPr>
                <w:rFonts w:ascii="Times New Roman"/>
                <w:sz w:val="18"/>
              </w:rPr>
              <w:t>211,270,825.62</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24" w:right="0"/>
              <w:jc w:val="left"/>
              <w:rPr>
                <w:rFonts w:ascii="Times New Roman" w:hAnsi="Times New Roman" w:cs="Times New Roman" w:eastAsia="Times New Roman" w:hint="default"/>
                <w:sz w:val="18"/>
                <w:szCs w:val="18"/>
              </w:rPr>
            </w:pPr>
            <w:r>
              <w:rPr>
                <w:rFonts w:ascii="Times New Roman"/>
                <w:sz w:val="18"/>
              </w:rPr>
              <w:t>41,491,674.39</w:t>
            </w:r>
          </w:p>
        </w:tc>
        <w:tc>
          <w:tcPr>
            <w:tcW w:w="19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824" w:right="0"/>
              <w:jc w:val="left"/>
              <w:rPr>
                <w:rFonts w:ascii="Times New Roman" w:hAnsi="Times New Roman" w:cs="Times New Roman" w:eastAsia="Times New Roman" w:hint="default"/>
                <w:sz w:val="18"/>
                <w:szCs w:val="18"/>
              </w:rPr>
            </w:pPr>
            <w:r>
              <w:rPr>
                <w:rFonts w:ascii="Times New Roman"/>
                <w:sz w:val="18"/>
              </w:rPr>
              <w:t>12,708,179.07</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14" w:right="0"/>
              <w:jc w:val="left"/>
              <w:rPr>
                <w:rFonts w:ascii="Times New Roman" w:hAnsi="Times New Roman" w:cs="Times New Roman" w:eastAsia="Times New Roman" w:hint="default"/>
                <w:sz w:val="18"/>
                <w:szCs w:val="18"/>
              </w:rPr>
            </w:pPr>
            <w:r>
              <w:rPr>
                <w:rFonts w:ascii="Times New Roman"/>
                <w:sz w:val="18"/>
              </w:rPr>
              <w:t>1,588,522.38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3"/>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397"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32"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741" w:right="0"/>
              <w:jc w:val="left"/>
              <w:rPr>
                <w:rFonts w:ascii="Times New Roman" w:hAnsi="Times New Roman" w:cs="Times New Roman" w:eastAsia="Times New Roman" w:hint="default"/>
                <w:sz w:val="18"/>
                <w:szCs w:val="18"/>
              </w:rPr>
            </w:pPr>
            <w:r>
              <w:rPr>
                <w:rFonts w:ascii="Times New Roman"/>
                <w:sz w:val="18"/>
              </w:rPr>
              <w:t>211,270,825.62</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824" w:right="0"/>
              <w:jc w:val="left"/>
              <w:rPr>
                <w:rFonts w:ascii="Times New Roman" w:hAnsi="Times New Roman" w:cs="Times New Roman" w:eastAsia="Times New Roman" w:hint="default"/>
                <w:sz w:val="18"/>
                <w:szCs w:val="18"/>
              </w:rPr>
            </w:pPr>
            <w:r>
              <w:rPr>
                <w:rFonts w:ascii="Times New Roman"/>
                <w:sz w:val="18"/>
              </w:rPr>
              <w:t>41,491,674.39</w:t>
            </w:r>
          </w:p>
        </w:tc>
        <w:tc>
          <w:tcPr>
            <w:tcW w:w="19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824" w:right="0"/>
              <w:jc w:val="left"/>
              <w:rPr>
                <w:rFonts w:ascii="Times New Roman" w:hAnsi="Times New Roman" w:cs="Times New Roman" w:eastAsia="Times New Roman" w:hint="default"/>
                <w:sz w:val="18"/>
                <w:szCs w:val="18"/>
              </w:rPr>
            </w:pPr>
            <w:r>
              <w:rPr>
                <w:rFonts w:ascii="Times New Roman"/>
                <w:sz w:val="18"/>
              </w:rPr>
              <w:t>12,708,179.07</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914" w:right="0"/>
              <w:jc w:val="left"/>
              <w:rPr>
                <w:rFonts w:ascii="Times New Roman" w:hAnsi="Times New Roman" w:cs="Times New Roman" w:eastAsia="Times New Roman" w:hint="default"/>
                <w:sz w:val="18"/>
                <w:szCs w:val="18"/>
              </w:rPr>
            </w:pPr>
            <w:r>
              <w:rPr>
                <w:rFonts w:ascii="Times New Roman"/>
                <w:sz w:val="18"/>
              </w:rPr>
              <w:t>1,588,522.38</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3）以抵销后净额列示的递延所得税资产或负债" w:id="301"/>
      <w:bookmarkEnd w:id="30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601"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351" w:right="17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60" w:right="169"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350" w:right="168"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60" w:right="169"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8,992,223.20</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7,780,527.67</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递延所得税负债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41,491,674.39</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1,588,522.38</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4）未确认递延所得税资产明细" w:id="302"/>
      <w:bookmarkEnd w:id="30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8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96,566,515.85</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85,355,107.05</w:t>
            </w:r>
          </w:p>
        </w:tc>
      </w:tr>
      <w:tr>
        <w:trPr>
          <w:trHeight w:val="407" w:hRule="exact"/>
        </w:trPr>
        <w:tc>
          <w:tcPr>
            <w:tcW w:w="328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13,319,557.11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1,314,899.98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123,153.05</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1,438,563.91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18,311,684.88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计提未发放工资及奖金</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76,073.47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111,324,636.87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105,180,918.43</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5）未确认递延所得税资产的可抵扣亏损将于以下年度到期" w:id="303"/>
      <w:bookmarkEnd w:id="30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459"/>
        <w:gridCol w:w="2468"/>
        <w:gridCol w:w="2464"/>
        <w:gridCol w:w="2465"/>
      </w:tblGrid>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23,799,816.39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38,470,857.40</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年及以后年度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72,766,699.46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46,884,249.65</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96,566,515.85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85,355,107.05</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25、其他非流动资产" w:id="304"/>
      <w:bookmarkEnd w:id="304"/>
      <w:r>
        <w:rPr/>
      </w:r>
      <w:r>
        <w:rPr>
          <w:rFonts w:ascii="Times New Roman" w:hAnsi="Times New Roman" w:cs="Times New Roman" w:eastAsia="Times New Roman" w:hint="default"/>
        </w:rPr>
        <w:t>25</w:t>
      </w:r>
      <w:r>
        <w:rPr>
          <w:rFonts w:ascii="微软雅黑" w:hAnsi="微软雅黑" w:cs="微软雅黑" w:eastAsia="微软雅黑" w:hint="default"/>
        </w:rPr>
        <w:t>、其他非流动资产</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9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无形资产预付款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1,913,531.37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1,435,801.95</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预缴个人所得税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13,800,000.00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预付股权收购款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5,851,725.00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14,613,600.00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3"/>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8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left="2141" w:right="0"/>
              <w:jc w:val="left"/>
              <w:rPr>
                <w:rFonts w:ascii="Times New Roman" w:hAnsi="Times New Roman" w:cs="Times New Roman" w:eastAsia="Times New Roman" w:hint="default"/>
                <w:sz w:val="18"/>
                <w:szCs w:val="18"/>
              </w:rPr>
            </w:pPr>
            <w:r>
              <w:rPr>
                <w:rFonts w:ascii="Times New Roman"/>
                <w:sz w:val="18"/>
              </w:rPr>
              <w:t>21,565,256.37</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left="2137" w:right="0"/>
              <w:jc w:val="left"/>
              <w:rPr>
                <w:rFonts w:ascii="Times New Roman" w:hAnsi="Times New Roman" w:cs="Times New Roman" w:eastAsia="Times New Roman" w:hint="default"/>
                <w:sz w:val="18"/>
                <w:szCs w:val="18"/>
              </w:rPr>
            </w:pPr>
            <w:r>
              <w:rPr>
                <w:rFonts w:ascii="Times New Roman"/>
                <w:sz w:val="18"/>
              </w:rPr>
              <w:t>31,049,401.95</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26、短期借款" w:id="305"/>
      <w:bookmarkEnd w:id="305"/>
      <w:r>
        <w:rPr/>
      </w:r>
      <w:r>
        <w:rPr>
          <w:rFonts w:ascii="Times New Roman" w:hAnsi="Times New Roman" w:cs="Times New Roman" w:eastAsia="Times New Roman" w:hint="default"/>
        </w:rPr>
        <w:t>26</w:t>
      </w:r>
      <w:r>
        <w:rPr>
          <w:rFonts w:ascii="微软雅黑" w:hAnsi="微软雅黑" w:cs="微软雅黑" w:eastAsia="微软雅黑" w:hint="default"/>
        </w:rPr>
        <w:t>、短期借款</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短期借款分类" w:id="306"/>
      <w:bookmarkEnd w:id="30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8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质押借款</w:t>
            </w:r>
          </w:p>
        </w:tc>
        <w:tc>
          <w:tcPr>
            <w:tcW w:w="32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295,296,780.00</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66,040,240.00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351,246,360.00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283,005,248.00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666,543,140.00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349,045,488.00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短期借款分类的说明：</w:t>
      </w:r>
    </w:p>
    <w:p>
      <w:pPr>
        <w:spacing w:line="240" w:lineRule="auto" w:before="8"/>
        <w:rPr>
          <w:rFonts w:ascii="宋体" w:hAnsi="宋体" w:cs="宋体" w:eastAsia="宋体" w:hint="default"/>
          <w:sz w:val="21"/>
          <w:szCs w:val="21"/>
        </w:rPr>
      </w:pPr>
    </w:p>
    <w:p>
      <w:pPr>
        <w:pStyle w:val="BodyText"/>
        <w:spacing w:line="280" w:lineRule="auto"/>
        <w:ind w:left="1134" w:right="1117" w:firstLine="420"/>
        <w:jc w:val="left"/>
      </w:pPr>
      <w:r>
        <w:rPr/>
        <w:t>（</w:t>
      </w:r>
      <w:r>
        <w:rPr>
          <w:rFonts w:ascii="Times New Roman" w:hAnsi="Times New Roman" w:cs="Times New Roman" w:eastAsia="Times New Roman" w:hint="default"/>
        </w:rPr>
        <w:t>1</w:t>
      </w:r>
      <w:r>
        <w:rPr/>
        <w:t>）质押借款中，本公司使用汇丰银行综合授信额度及定期存单质押申请开立备用信用证，金额为 美元</w:t>
      </w:r>
      <w:r>
        <w:rPr>
          <w:spacing w:val="-61"/>
        </w:rPr>
        <w:t> </w:t>
      </w:r>
      <w:r>
        <w:rPr>
          <w:rFonts w:ascii="Times New Roman" w:hAnsi="Times New Roman" w:cs="Times New Roman" w:eastAsia="Times New Roman" w:hint="default"/>
        </w:rPr>
        <w:t>200</w:t>
      </w:r>
      <w:r>
        <w:rPr>
          <w:rFonts w:ascii="Times New Roman" w:hAnsi="Times New Roman" w:cs="Times New Roman" w:eastAsia="Times New Roman" w:hint="default"/>
          <w:spacing w:val="-17"/>
        </w:rPr>
        <w:t> </w:t>
      </w:r>
      <w:r>
        <w:rPr/>
        <w:t>万元整，为本公司之全资子公司香港天集有限公司在香港上海汇丰银行股份有限公司提供融资担</w:t>
      </w:r>
    </w:p>
    <w:p>
      <w:pPr>
        <w:pStyle w:val="BodyText"/>
        <w:spacing w:line="240" w:lineRule="auto" w:before="10"/>
        <w:ind w:left="1134" w:right="0"/>
        <w:jc w:val="left"/>
      </w:pPr>
      <w:r>
        <w:rPr/>
        <w:t>保，香港天集有限公司自香港上海汇丰银行股份有限公司取得借款</w:t>
      </w:r>
      <w:r>
        <w:rPr>
          <w:spacing w:val="-52"/>
        </w:rPr>
        <w:t> </w:t>
      </w:r>
      <w:r>
        <w:rPr>
          <w:rFonts w:ascii="Times New Roman" w:hAnsi="Times New Roman" w:cs="Times New Roman" w:eastAsia="Times New Roman" w:hint="default"/>
        </w:rPr>
        <w:t>200</w:t>
      </w:r>
      <w:r>
        <w:rPr>
          <w:rFonts w:ascii="Times New Roman" w:hAnsi="Times New Roman" w:cs="Times New Roman" w:eastAsia="Times New Roman" w:hint="default"/>
          <w:spacing w:val="-10"/>
        </w:rPr>
        <w:t> </w:t>
      </w:r>
      <w:r>
        <w:rPr/>
        <w:t>万美元。</w:t>
      </w:r>
    </w:p>
    <w:p>
      <w:pPr>
        <w:spacing w:line="240" w:lineRule="auto" w:before="6"/>
        <w:rPr>
          <w:rFonts w:ascii="宋体" w:hAnsi="宋体" w:cs="宋体" w:eastAsia="宋体" w:hint="default"/>
          <w:sz w:val="20"/>
          <w:szCs w:val="20"/>
        </w:rPr>
      </w:pPr>
    </w:p>
    <w:p>
      <w:pPr>
        <w:pStyle w:val="BodyText"/>
        <w:spacing w:line="280" w:lineRule="auto"/>
        <w:ind w:left="1133" w:right="1118" w:firstLine="420"/>
        <w:jc w:val="left"/>
      </w:pPr>
      <w:r>
        <w:rPr/>
        <w:t>（</w:t>
      </w:r>
      <w:r>
        <w:rPr>
          <w:rFonts w:ascii="Times New Roman" w:hAnsi="Times New Roman" w:cs="Times New Roman" w:eastAsia="Times New Roman" w:hint="default"/>
        </w:rPr>
        <w:t>2</w:t>
      </w:r>
      <w:r>
        <w:rPr/>
        <w:t>）质押借款中，本公司使用汇丰银行综合授信额度及定期存单质押申请开立备用信用证，金额为 美元</w:t>
      </w:r>
      <w:r>
        <w:rPr>
          <w:spacing w:val="-61"/>
        </w:rPr>
        <w:t> </w:t>
      </w:r>
      <w:r>
        <w:rPr>
          <w:rFonts w:ascii="Times New Roman" w:hAnsi="Times New Roman" w:cs="Times New Roman" w:eastAsia="Times New Roman" w:hint="default"/>
        </w:rPr>
        <w:t>140</w:t>
      </w:r>
      <w:r>
        <w:rPr>
          <w:rFonts w:ascii="Times New Roman" w:hAnsi="Times New Roman" w:cs="Times New Roman" w:eastAsia="Times New Roman" w:hint="default"/>
          <w:spacing w:val="-17"/>
        </w:rPr>
        <w:t> </w:t>
      </w:r>
      <w:r>
        <w:rPr/>
        <w:t>万元整，为本公司之全资子公司香港天集有限公司在香港上海汇丰银行股份有限公司提供融资担</w:t>
      </w:r>
    </w:p>
    <w:p>
      <w:pPr>
        <w:pStyle w:val="BodyText"/>
        <w:spacing w:line="240" w:lineRule="auto" w:before="10"/>
        <w:ind w:left="1134" w:right="0"/>
        <w:jc w:val="left"/>
      </w:pPr>
      <w:r>
        <w:rPr/>
        <w:t>保，香港天集有限公司自香港上海汇丰银行股份有限公司取得借款</w:t>
      </w:r>
      <w:r>
        <w:rPr>
          <w:spacing w:val="-52"/>
        </w:rPr>
        <w:t> </w:t>
      </w:r>
      <w:r>
        <w:rPr>
          <w:rFonts w:ascii="Times New Roman" w:hAnsi="Times New Roman" w:cs="Times New Roman" w:eastAsia="Times New Roman" w:hint="default"/>
        </w:rPr>
        <w:t>140</w:t>
      </w:r>
      <w:r>
        <w:rPr>
          <w:rFonts w:ascii="Times New Roman" w:hAnsi="Times New Roman" w:cs="Times New Roman" w:eastAsia="Times New Roman" w:hint="default"/>
          <w:spacing w:val="-10"/>
        </w:rPr>
        <w:t> </w:t>
      </w:r>
      <w:r>
        <w:rPr/>
        <w:t>万美元。</w:t>
      </w:r>
    </w:p>
    <w:p>
      <w:pPr>
        <w:spacing w:line="240" w:lineRule="auto" w:before="6"/>
        <w:rPr>
          <w:rFonts w:ascii="宋体" w:hAnsi="宋体" w:cs="宋体" w:eastAsia="宋体" w:hint="default"/>
          <w:sz w:val="20"/>
          <w:szCs w:val="20"/>
        </w:rPr>
      </w:pPr>
    </w:p>
    <w:p>
      <w:pPr>
        <w:pStyle w:val="BodyText"/>
        <w:spacing w:line="280" w:lineRule="auto"/>
        <w:ind w:left="1133" w:right="1115" w:firstLine="420"/>
        <w:jc w:val="left"/>
      </w:pPr>
      <w:r>
        <w:rPr/>
        <w:t>（</w:t>
      </w:r>
      <w:r>
        <w:rPr>
          <w:rFonts w:ascii="Times New Roman" w:hAnsi="Times New Roman" w:cs="Times New Roman" w:eastAsia="Times New Roman" w:hint="default"/>
        </w:rPr>
        <w:t>3</w:t>
      </w:r>
      <w:r>
        <w:rPr/>
        <w:t>）质押借款中，本公司使用汇丰银行综合授信额度及定期存单质押申请开立备用信用证，金额为 美元 </w:t>
      </w:r>
      <w:r>
        <w:rPr>
          <w:rFonts w:ascii="Times New Roman" w:hAnsi="Times New Roman" w:cs="Times New Roman" w:eastAsia="Times New Roman" w:hint="default"/>
        </w:rPr>
        <w:t>4000</w:t>
      </w:r>
      <w:r>
        <w:rPr>
          <w:rFonts w:ascii="Times New Roman" w:hAnsi="Times New Roman" w:cs="Times New Roman" w:eastAsia="Times New Roman" w:hint="default"/>
          <w:spacing w:val="30"/>
        </w:rPr>
        <w:t> </w:t>
      </w:r>
      <w:r>
        <w:rPr/>
        <w:t>万元整为本公司之全资子公司香港天集有限公司在香港上海汇丰银行股份有限公司提供融资担</w:t>
      </w:r>
    </w:p>
    <w:p>
      <w:pPr>
        <w:pStyle w:val="BodyText"/>
        <w:spacing w:line="240" w:lineRule="auto" w:before="9"/>
        <w:ind w:left="1134" w:right="0"/>
        <w:jc w:val="left"/>
      </w:pPr>
      <w:r>
        <w:rPr/>
        <w:t>保，香港天集有限公司自香港上海汇丰银行股份有限公司取得借款</w:t>
      </w:r>
      <w:r>
        <w:rPr>
          <w:spacing w:val="-52"/>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1"/>
        </w:rPr>
        <w:t> </w:t>
      </w:r>
      <w:r>
        <w:rPr/>
        <w:t>万欧元。</w:t>
      </w:r>
    </w:p>
    <w:p>
      <w:pPr>
        <w:spacing w:line="240" w:lineRule="auto" w:before="7"/>
        <w:rPr>
          <w:rFonts w:ascii="宋体" w:hAnsi="宋体" w:cs="宋体" w:eastAsia="宋体" w:hint="default"/>
          <w:sz w:val="20"/>
          <w:szCs w:val="20"/>
        </w:rPr>
      </w:pPr>
    </w:p>
    <w:p>
      <w:pPr>
        <w:pStyle w:val="BodyText"/>
        <w:spacing w:line="280" w:lineRule="auto"/>
        <w:ind w:left="1133" w:right="1118" w:firstLine="420"/>
        <w:jc w:val="left"/>
      </w:pPr>
      <w:r>
        <w:rPr/>
        <w:t>（</w:t>
      </w:r>
      <w:r>
        <w:rPr>
          <w:rFonts w:ascii="Times New Roman" w:hAnsi="Times New Roman" w:cs="Times New Roman" w:eastAsia="Times New Roman" w:hint="default"/>
        </w:rPr>
        <w:t>4</w:t>
      </w:r>
      <w:r>
        <w:rPr/>
        <w:t>）抵押借款中，</w:t>
      </w:r>
      <w:r>
        <w:rPr>
          <w:rFonts w:ascii="Times New Roman" w:hAnsi="Times New Roman" w:cs="Times New Roman" w:eastAsia="Times New Roman" w:hint="default"/>
        </w:rPr>
        <w:t>2000</w:t>
      </w:r>
      <w:r>
        <w:rPr>
          <w:rFonts w:ascii="Times New Roman" w:hAnsi="Times New Roman" w:cs="Times New Roman" w:eastAsia="Times New Roman" w:hint="default"/>
          <w:spacing w:val="27"/>
        </w:rPr>
        <w:t> </w:t>
      </w:r>
      <w:r>
        <w:rPr/>
        <w:t>万元系本公司下属子公司南京中科创达软件科技有限公司以南京市雨花台区 软件大道</w:t>
      </w:r>
      <w:r>
        <w:rPr>
          <w:spacing w:val="-23"/>
        </w:rPr>
        <w:t> </w:t>
      </w:r>
      <w:r>
        <w:rPr>
          <w:rFonts w:ascii="Times New Roman" w:hAnsi="Times New Roman" w:cs="Times New Roman" w:eastAsia="Times New Roman" w:hint="default"/>
        </w:rPr>
        <w:t>109</w:t>
      </w:r>
      <w:r>
        <w:rPr>
          <w:rFonts w:ascii="Times New Roman" w:hAnsi="Times New Roman" w:cs="Times New Roman" w:eastAsia="Times New Roman" w:hint="default"/>
          <w:spacing w:val="8"/>
        </w:rPr>
        <w:t> </w:t>
      </w:r>
      <w:r>
        <w:rPr/>
        <w:t>号</w:t>
      </w:r>
      <w:r>
        <w:rPr>
          <w:spacing w:val="-24"/>
        </w:rPr>
        <w:t> </w:t>
      </w:r>
      <w:r>
        <w:rPr>
          <w:rFonts w:ascii="Times New Roman" w:hAnsi="Times New Roman" w:cs="Times New Roman" w:eastAsia="Times New Roman" w:hint="default"/>
        </w:rPr>
        <w:t>601-610</w:t>
      </w:r>
      <w:r>
        <w:rPr>
          <w:rFonts w:ascii="Times New Roman" w:hAnsi="Times New Roman" w:cs="Times New Roman" w:eastAsia="Times New Roman" w:hint="default"/>
          <w:spacing w:val="7"/>
        </w:rPr>
        <w:t> </w:t>
      </w:r>
      <w:r>
        <w:rPr/>
        <w:t>室房产做抵押与招商银行股份有限公司南京分行签订金额为</w:t>
      </w:r>
      <w:r>
        <w:rPr>
          <w:spacing w:val="-2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万元的借款合</w:t>
      </w:r>
    </w:p>
    <w:p>
      <w:pPr>
        <w:pStyle w:val="BodyText"/>
        <w:spacing w:line="240" w:lineRule="auto" w:before="10"/>
        <w:ind w:left="1133" w:right="0"/>
        <w:jc w:val="left"/>
        <w:rPr>
          <w:rFonts w:ascii="Times New Roman" w:hAnsi="Times New Roman" w:cs="Times New Roman" w:eastAsia="Times New Roman" w:hint="default"/>
        </w:rPr>
      </w:pPr>
      <w:r>
        <w:rPr/>
        <w:t>同，借款利率为年利率</w:t>
      </w:r>
      <w:r>
        <w:rPr>
          <w:spacing w:val="-40"/>
        </w:rPr>
        <w:t> </w:t>
      </w:r>
      <w:r>
        <w:rPr>
          <w:rFonts w:ascii="Times New Roman" w:hAnsi="Times New Roman" w:cs="Times New Roman" w:eastAsia="Times New Roman" w:hint="default"/>
        </w:rPr>
        <w:t>4.35%</w:t>
      </w:r>
      <w:r>
        <w:rPr/>
        <w:t>，借款期限为</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日至</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17</w:t>
      </w:r>
      <w:r>
        <w:rPr>
          <w:rFonts w:ascii="Times New Roman" w:hAnsi="Times New Roman" w:cs="Times New Roman" w:eastAsia="Times New Roman" w:hint="default"/>
          <w:spacing w:val="-9"/>
        </w:rPr>
        <w:t> </w:t>
      </w:r>
      <w:r>
        <w:rPr/>
        <w:t>日止。截止</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p>
    <w:p>
      <w:pPr>
        <w:pStyle w:val="BodyText"/>
        <w:spacing w:line="240" w:lineRule="auto" w:before="50"/>
        <w:ind w:left="1133" w:right="0"/>
        <w:jc w:val="left"/>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日，抵押物净值为</w:t>
      </w:r>
      <w:r>
        <w:rPr>
          <w:spacing w:val="-54"/>
        </w:rPr>
        <w:t> </w:t>
      </w:r>
      <w:r>
        <w:rPr>
          <w:rFonts w:ascii="Times New Roman" w:hAnsi="Times New Roman" w:cs="Times New Roman" w:eastAsia="Times New Roman" w:hint="default"/>
        </w:rPr>
        <w:t>29,987,481.71</w:t>
      </w:r>
      <w:r>
        <w:rPr>
          <w:rFonts w:ascii="Times New Roman" w:hAnsi="Times New Roman" w:cs="Times New Roman" w:eastAsia="Times New Roman" w:hint="default"/>
          <w:spacing w:val="-12"/>
        </w:rPr>
        <w:t> </w:t>
      </w:r>
      <w:r>
        <w:rPr/>
        <w:t>元，详见附注七、</w:t>
      </w:r>
      <w:r>
        <w:rPr>
          <w:rFonts w:ascii="Times New Roman" w:hAnsi="Times New Roman" w:cs="Times New Roman" w:eastAsia="Times New Roman" w:hint="default"/>
        </w:rPr>
        <w:t>78</w:t>
      </w:r>
      <w:r>
        <w:rPr>
          <w:rFonts w:ascii="Times New Roman" w:hAnsi="Times New Roman" w:cs="Times New Roman" w:eastAsia="Times New Roman" w:hint="default"/>
          <w:spacing w:val="30"/>
        </w:rPr>
        <w:t> </w:t>
      </w:r>
      <w:r>
        <w:rPr/>
        <w:t>所有权或使用权收到限制的资产。</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w:t>
      </w:r>
      <w:r>
        <w:rPr>
          <w:rFonts w:ascii="Times New Roman" w:hAnsi="Times New Roman" w:cs="Times New Roman" w:eastAsia="Times New Roman" w:hint="default"/>
        </w:rPr>
        <w:t>5</w:t>
      </w:r>
      <w:r>
        <w:rPr/>
        <w:t>）信用借款中，本公司使用宁波银行综合授信额度申请开立融资性保函，金额为 </w:t>
      </w:r>
      <w:r>
        <w:rPr>
          <w:rFonts w:ascii="Times New Roman" w:hAnsi="Times New Roman" w:cs="Times New Roman" w:eastAsia="Times New Roman" w:hint="default"/>
        </w:rPr>
        <w:t>680</w:t>
      </w:r>
      <w:r>
        <w:rPr>
          <w:rFonts w:ascii="Times New Roman" w:hAnsi="Times New Roman" w:cs="Times New Roman" w:eastAsia="Times New Roman" w:hint="default"/>
          <w:spacing w:val="27"/>
        </w:rPr>
        <w:t> </w:t>
      </w:r>
      <w:r>
        <w:rPr/>
        <w:t>万美元整为</w:t>
      </w:r>
    </w:p>
    <w:p>
      <w:pPr>
        <w:pStyle w:val="BodyText"/>
        <w:spacing w:line="240" w:lineRule="auto" w:before="50"/>
        <w:ind w:left="1133" w:right="0"/>
        <w:jc w:val="left"/>
      </w:pPr>
      <w:r>
        <w:rPr/>
        <w:t>本公司在华侨银行提供融资担保</w:t>
      </w:r>
      <w:r>
        <w:rPr>
          <w:rFonts w:ascii="Times New Roman" w:hAnsi="Times New Roman" w:cs="Times New Roman" w:eastAsia="Times New Roman" w:hint="default"/>
        </w:rPr>
        <w:t>,</w:t>
      </w:r>
      <w:r>
        <w:rPr/>
        <w:t>本公司自华侨银行取得借款</w:t>
      </w:r>
      <w:r>
        <w:rPr>
          <w:spacing w:val="-54"/>
        </w:rPr>
        <w:t> </w:t>
      </w:r>
      <w:r>
        <w:rPr>
          <w:rFonts w:ascii="Times New Roman" w:hAnsi="Times New Roman" w:cs="Times New Roman" w:eastAsia="Times New Roman" w:hint="default"/>
        </w:rPr>
        <w:t>680</w:t>
      </w:r>
      <w:r>
        <w:rPr>
          <w:rFonts w:ascii="Times New Roman" w:hAnsi="Times New Roman" w:cs="Times New Roman" w:eastAsia="Times New Roman" w:hint="default"/>
          <w:spacing w:val="-12"/>
        </w:rPr>
        <w:t> </w:t>
      </w:r>
      <w:r>
        <w:rPr/>
        <w:t>万美元。</w:t>
      </w:r>
    </w:p>
    <w:p>
      <w:pPr>
        <w:spacing w:line="240" w:lineRule="auto" w:before="6"/>
        <w:rPr>
          <w:rFonts w:ascii="宋体" w:hAnsi="宋体" w:cs="宋体" w:eastAsia="宋体" w:hint="default"/>
          <w:sz w:val="20"/>
          <w:szCs w:val="20"/>
        </w:rPr>
      </w:pPr>
    </w:p>
    <w:p>
      <w:pPr>
        <w:pStyle w:val="BodyText"/>
        <w:spacing w:line="280" w:lineRule="auto"/>
        <w:ind w:left="1133" w:right="1116" w:firstLine="420"/>
        <w:jc w:val="left"/>
      </w:pPr>
      <w:r>
        <w:rPr/>
        <w:t>（</w:t>
      </w:r>
      <w:r>
        <w:rPr>
          <w:rFonts w:ascii="Times New Roman" w:hAnsi="Times New Roman" w:cs="Times New Roman" w:eastAsia="Times New Roman" w:hint="default"/>
        </w:rPr>
        <w:t>6</w:t>
      </w:r>
      <w:r>
        <w:rPr/>
        <w:t>）信用借款中，本公司使用江苏银行综合授信额度自江苏银行股份有限公司北京德胜支行取得借 款人民币</w:t>
      </w:r>
      <w:r>
        <w:rPr>
          <w:spacing w:val="-52"/>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亿元整。</w:t>
      </w:r>
    </w:p>
    <w:p>
      <w:pPr>
        <w:spacing w:line="240" w:lineRule="auto" w:before="5"/>
        <w:rPr>
          <w:rFonts w:ascii="宋体" w:hAnsi="宋体" w:cs="宋体" w:eastAsia="宋体" w:hint="default"/>
          <w:sz w:val="17"/>
          <w:szCs w:val="17"/>
        </w:rPr>
      </w:pPr>
    </w:p>
    <w:p>
      <w:pPr>
        <w:pStyle w:val="BodyText"/>
        <w:spacing w:line="280" w:lineRule="auto"/>
        <w:ind w:left="1133" w:right="1116" w:firstLine="420"/>
        <w:jc w:val="left"/>
      </w:pPr>
      <w:r>
        <w:rPr/>
        <w:t>（</w:t>
      </w:r>
      <w:r>
        <w:rPr>
          <w:rFonts w:ascii="Times New Roman" w:hAnsi="Times New Roman" w:cs="Times New Roman" w:eastAsia="Times New Roman" w:hint="default"/>
        </w:rPr>
        <w:t>7</w:t>
      </w:r>
      <w:r>
        <w:rPr/>
        <w:t>）信用借款中，本公司使用江苏银行综合授信额度自江苏银行股份有限公司北京德胜支行取得借 款人民币</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1"/>
        </w:rPr>
        <w:t> </w:t>
      </w:r>
      <w:r>
        <w:rPr/>
        <w:t>万元整。</w:t>
      </w:r>
    </w:p>
    <w:p>
      <w:pPr>
        <w:spacing w:after="0" w:line="28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w:t>
      </w:r>
      <w:r>
        <w:rPr>
          <w:rFonts w:ascii="Times New Roman" w:hAnsi="Times New Roman" w:cs="Times New Roman" w:eastAsia="Times New Roman" w:hint="default"/>
        </w:rPr>
        <w:t>8</w:t>
      </w:r>
      <w:r>
        <w:rPr/>
        <w:t>）信用借款中，本公司使用宁波银行综合授信额度申请开立融资性保函，金额为</w:t>
      </w:r>
      <w:r>
        <w:rPr>
          <w:spacing w:val="-6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8"/>
        </w:rPr>
        <w:t> </w:t>
      </w:r>
      <w:r>
        <w:rPr/>
        <w:t>万元整为本</w:t>
      </w:r>
    </w:p>
    <w:p>
      <w:pPr>
        <w:pStyle w:val="BodyText"/>
        <w:spacing w:line="240" w:lineRule="auto" w:before="50"/>
        <w:ind w:left="1133" w:right="0"/>
        <w:jc w:val="left"/>
      </w:pPr>
      <w:r>
        <w:rPr/>
        <w:t>公司在华侨银行提供融资担保，本公司自华侨银行取得借款</w:t>
      </w:r>
      <w:r>
        <w:rPr>
          <w:spacing w:val="-54"/>
        </w:rPr>
        <w:t> </w:t>
      </w:r>
      <w:r>
        <w:rPr>
          <w:rFonts w:ascii="Times New Roman" w:hAnsi="Times New Roman" w:cs="Times New Roman" w:eastAsia="Times New Roman" w:hint="default"/>
        </w:rPr>
        <w:t>600</w:t>
      </w:r>
      <w:r>
        <w:rPr>
          <w:rFonts w:ascii="Times New Roman" w:hAnsi="Times New Roman" w:cs="Times New Roman" w:eastAsia="Times New Roman" w:hint="default"/>
          <w:spacing w:val="-11"/>
        </w:rPr>
        <w:t> </w:t>
      </w:r>
      <w:r>
        <w:rPr/>
        <w:t>万欧元。</w:t>
      </w:r>
    </w:p>
    <w:p>
      <w:pPr>
        <w:spacing w:line="240" w:lineRule="auto" w:before="6"/>
        <w:rPr>
          <w:rFonts w:ascii="宋体" w:hAnsi="宋体" w:cs="宋体" w:eastAsia="宋体" w:hint="default"/>
          <w:sz w:val="20"/>
          <w:szCs w:val="20"/>
        </w:rPr>
      </w:pPr>
    </w:p>
    <w:p>
      <w:pPr>
        <w:pStyle w:val="BodyText"/>
        <w:spacing w:line="280" w:lineRule="auto"/>
        <w:ind w:left="1133" w:right="1116" w:firstLine="420"/>
        <w:jc w:val="left"/>
      </w:pPr>
      <w:r>
        <w:rPr/>
        <w:t>（</w:t>
      </w:r>
      <w:r>
        <w:rPr>
          <w:rFonts w:ascii="Times New Roman" w:hAnsi="Times New Roman" w:cs="Times New Roman" w:eastAsia="Times New Roman" w:hint="default"/>
        </w:rPr>
        <w:t>9</w:t>
      </w:r>
      <w:r>
        <w:rPr/>
        <w:t>）信用借款中，本公司使用中国银行综合授信额度自中国银行股份有限公司北京北极寺支行取得 借款人民币</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t>万元整。</w:t>
      </w:r>
    </w:p>
    <w:p>
      <w:pPr>
        <w:spacing w:line="240" w:lineRule="auto" w:before="5"/>
        <w:rPr>
          <w:rFonts w:ascii="宋体" w:hAnsi="宋体" w:cs="宋体" w:eastAsia="宋体" w:hint="default"/>
          <w:sz w:val="17"/>
          <w:szCs w:val="17"/>
        </w:rPr>
      </w:pPr>
    </w:p>
    <w:p>
      <w:pPr>
        <w:pStyle w:val="BodyText"/>
        <w:spacing w:line="280" w:lineRule="auto"/>
        <w:ind w:left="1134" w:right="1116" w:firstLine="420"/>
        <w:jc w:val="left"/>
      </w:pPr>
      <w:r>
        <w:rPr>
          <w:spacing w:val="-1"/>
        </w:rPr>
        <w:t>（</w:t>
      </w:r>
      <w:r>
        <w:rPr>
          <w:rFonts w:ascii="Times New Roman" w:hAnsi="Times New Roman" w:cs="Times New Roman" w:eastAsia="Times New Roman" w:hint="default"/>
          <w:spacing w:val="-1"/>
        </w:rPr>
        <w:t>10</w:t>
      </w:r>
      <w:r>
        <w:rPr>
          <w:spacing w:val="-1"/>
        </w:rPr>
        <w:t>）信用借款中，本公司使用招商银行综合授信额度自招商银行股份有限公司北京大运村支行取得</w:t>
      </w:r>
      <w:r>
        <w:rPr/>
        <w:t> 借款人民币</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万元整。</w:t>
      </w:r>
    </w:p>
    <w:p>
      <w:pPr>
        <w:spacing w:line="240" w:lineRule="auto" w:before="5"/>
        <w:rPr>
          <w:rFonts w:ascii="宋体" w:hAnsi="宋体" w:cs="宋体" w:eastAsia="宋体" w:hint="default"/>
          <w:sz w:val="17"/>
          <w:szCs w:val="17"/>
        </w:rPr>
      </w:pPr>
    </w:p>
    <w:p>
      <w:pPr>
        <w:pStyle w:val="BodyText"/>
        <w:spacing w:line="280" w:lineRule="auto"/>
        <w:ind w:left="1134" w:right="1116" w:firstLine="420"/>
        <w:jc w:val="left"/>
      </w:pPr>
      <w:r>
        <w:rPr>
          <w:spacing w:val="-1"/>
        </w:rPr>
        <w:t>（</w:t>
      </w:r>
      <w:r>
        <w:rPr>
          <w:rFonts w:ascii="Times New Roman" w:hAnsi="Times New Roman" w:cs="Times New Roman" w:eastAsia="Times New Roman" w:hint="default"/>
          <w:spacing w:val="-1"/>
        </w:rPr>
        <w:t>11</w:t>
      </w:r>
      <w:r>
        <w:rPr>
          <w:spacing w:val="-1"/>
        </w:rPr>
        <w:t>）信用借款中，本公司使用招商银行综合授信额度自招商银行股份有限公司北京大运村支行取得</w:t>
      </w:r>
      <w:r>
        <w:rPr/>
        <w:t> 借款人民币</w:t>
      </w:r>
      <w:r>
        <w:rPr>
          <w:spacing w:val="-52"/>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0"/>
        </w:rPr>
        <w:t> </w:t>
      </w:r>
      <w:r>
        <w:rPr/>
        <w:t>万元。</w:t>
      </w:r>
    </w:p>
    <w:p>
      <w:pPr>
        <w:spacing w:line="240" w:lineRule="auto" w:before="5"/>
        <w:rPr>
          <w:rFonts w:ascii="宋体" w:hAnsi="宋体" w:cs="宋体" w:eastAsia="宋体" w:hint="default"/>
          <w:sz w:val="17"/>
          <w:szCs w:val="17"/>
        </w:rPr>
      </w:pPr>
    </w:p>
    <w:p>
      <w:pPr>
        <w:pStyle w:val="Heading4"/>
        <w:spacing w:line="460" w:lineRule="auto"/>
        <w:ind w:left="1553" w:right="7064" w:firstLine="2"/>
        <w:jc w:val="left"/>
        <w:rPr>
          <w:rFonts w:ascii="宋体" w:hAnsi="宋体" w:cs="宋体" w:eastAsia="宋体" w:hint="default"/>
          <w:b w:val="0"/>
          <w:bCs w:val="0"/>
        </w:rPr>
      </w:pPr>
      <w:bookmarkStart w:name="（2）已逾期未偿还的短期借款情况" w:id="307"/>
      <w:bookmarkEnd w:id="307"/>
      <w:r>
        <w:rPr>
          <w:b w:val="0"/>
          <w:bCs w:val="0"/>
        </w:rPr>
      </w:r>
      <w:r>
        <w:rPr/>
        <w:t>（</w:t>
      </w:r>
      <w:r>
        <w:rPr>
          <w:rFonts w:ascii="Times New Roman" w:hAnsi="Times New Roman" w:cs="Times New Roman" w:eastAsia="Times New Roman" w:hint="default"/>
        </w:rPr>
        <w:t>2</w:t>
      </w:r>
      <w:r>
        <w:rPr/>
        <w:t>）已逾期未偿还的短期借款情况</w:t>
      </w:r>
      <w:r>
        <w:rPr>
          <w:w w:val="99"/>
        </w:rPr>
        <w:t> </w:t>
      </w:r>
      <w:r>
        <w:rPr>
          <w:rFonts w:ascii="宋体" w:hAnsi="宋体" w:cs="宋体" w:eastAsia="宋体" w:hint="default"/>
          <w:b w:val="0"/>
          <w:bCs w:val="0"/>
        </w:rPr>
        <w:t>无</w:t>
      </w:r>
    </w:p>
    <w:p>
      <w:pPr>
        <w:pStyle w:val="BodyText"/>
        <w:spacing w:line="240" w:lineRule="auto" w:before="82"/>
        <w:ind w:left="1553" w:right="0"/>
        <w:jc w:val="left"/>
        <w:rPr>
          <w:rFonts w:ascii="微软雅黑" w:hAnsi="微软雅黑" w:cs="微软雅黑" w:eastAsia="微软雅黑" w:hint="default"/>
        </w:rPr>
      </w:pPr>
      <w:bookmarkStart w:name="27、以公允价值计量且其变动计入当期损益的金融负债" w:id="308"/>
      <w:bookmarkEnd w:id="308"/>
      <w:r>
        <w:rPr/>
      </w:r>
      <w:r>
        <w:rPr>
          <w:rFonts w:ascii="Times New Roman" w:hAnsi="Times New Roman" w:cs="Times New Roman" w:eastAsia="Times New Roman" w:hint="default"/>
        </w:rPr>
        <w:t>27</w:t>
      </w:r>
      <w:r>
        <w:rPr>
          <w:rFonts w:ascii="微软雅黑" w:hAnsi="微软雅黑" w:cs="微软雅黑" w:eastAsia="微软雅黑" w:hint="default"/>
        </w:rPr>
        <w:t>、以公允价值计量且其变动计入当期损益的金融负债</w:t>
      </w:r>
    </w:p>
    <w:p>
      <w:pPr>
        <w:spacing w:line="240" w:lineRule="auto" w:before="0"/>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9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外汇远期合约</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13,928,616.26</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股权收购形成的或有对价</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27,517,255.20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45,292,000.00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41,445,871.46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45,292,000.00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20"/>
        </w:rPr>
        <w:t>本公司与银行签订远期外汇合约，</w:t>
      </w:r>
      <w:r>
        <w:rPr>
          <w:spacing w:val="-74"/>
        </w:rPr>
        <w:t> </w:t>
      </w:r>
      <w:r>
        <w:rPr>
          <w:spacing w:val="20"/>
        </w:rPr>
        <w:t>期末形成以公允价值且其变动计入当期损益的金融负债</w:t>
      </w:r>
    </w:p>
    <w:p>
      <w:pPr>
        <w:pStyle w:val="BodyText"/>
        <w:spacing w:line="240" w:lineRule="auto" w:before="50"/>
        <w:ind w:left="1133" w:right="0"/>
        <w:jc w:val="left"/>
      </w:pPr>
      <w:r>
        <w:rPr>
          <w:rFonts w:ascii="Times New Roman" w:hAnsi="Times New Roman" w:cs="Times New Roman" w:eastAsia="Times New Roman" w:hint="default"/>
        </w:rPr>
        <w:t>13,928,616.26</w:t>
      </w:r>
      <w:r>
        <w:rPr>
          <w:rFonts w:ascii="Times New Roman" w:hAnsi="Times New Roman" w:cs="Times New Roman" w:eastAsia="Times New Roman" w:hint="default"/>
          <w:spacing w:val="-10"/>
        </w:rPr>
        <w:t> </w:t>
      </w:r>
      <w:r>
        <w:rPr/>
        <w:t>元。</w:t>
      </w:r>
    </w:p>
    <w:p>
      <w:pPr>
        <w:spacing w:line="240" w:lineRule="auto" w:before="6"/>
        <w:rPr>
          <w:rFonts w:ascii="宋体" w:hAnsi="宋体" w:cs="宋体" w:eastAsia="宋体" w:hint="default"/>
          <w:sz w:val="20"/>
          <w:szCs w:val="20"/>
        </w:rPr>
      </w:pPr>
    </w:p>
    <w:p>
      <w:pPr>
        <w:pStyle w:val="BodyText"/>
        <w:spacing w:line="280" w:lineRule="auto"/>
        <w:ind w:left="1134" w:right="1131" w:firstLine="420"/>
        <w:jc w:val="both"/>
      </w:pPr>
      <w:r>
        <w:rPr>
          <w:rFonts w:ascii="Times New Roman" w:hAnsi="Times New Roman" w:cs="Times New Roman" w:eastAsia="Times New Roman" w:hint="default"/>
          <w:spacing w:val="7"/>
        </w:rPr>
        <w:t>2.</w:t>
      </w:r>
      <w:r>
        <w:rPr>
          <w:spacing w:val="7"/>
        </w:rPr>
        <w:t>股权收购形成的或有对价中 </w:t>
      </w:r>
      <w:r>
        <w:rPr>
          <w:rFonts w:ascii="Times New Roman" w:hAnsi="Times New Roman" w:cs="Times New Roman" w:eastAsia="Times New Roman" w:hint="default"/>
        </w:rPr>
        <w:t>6,144,155.20 </w:t>
      </w:r>
      <w:r>
        <w:rPr>
          <w:spacing w:val="7"/>
        </w:rPr>
        <w:t>元系由附属子公司 </w:t>
      </w:r>
      <w:r>
        <w:rPr>
          <w:rFonts w:ascii="Times New Roman" w:hAnsi="Times New Roman" w:cs="Times New Roman" w:eastAsia="Times New Roman" w:hint="default"/>
        </w:rPr>
        <w:t>ThunderSoft Automotive</w:t>
      </w:r>
      <w:r>
        <w:rPr>
          <w:rFonts w:ascii="Times New Roman" w:hAnsi="Times New Roman" w:cs="Times New Roman" w:eastAsia="Times New Roman" w:hint="default"/>
          <w:spacing w:val="31"/>
        </w:rPr>
        <w:t> </w:t>
      </w:r>
      <w:r>
        <w:rPr>
          <w:rFonts w:ascii="Times New Roman" w:hAnsi="Times New Roman" w:cs="Times New Roman" w:eastAsia="Times New Roman" w:hint="default"/>
        </w:rPr>
        <w:t>Technology</w:t>
      </w:r>
      <w:r>
        <w:rPr>
          <w:rFonts w:ascii="Times New Roman" w:hAnsi="Times New Roman" w:cs="Times New Roman" w:eastAsia="Times New Roman" w:hint="default"/>
        </w:rPr>
        <w:t> Luxembourg</w:t>
      </w:r>
      <w:r>
        <w:rPr>
          <w:rFonts w:ascii="Times New Roman" w:hAnsi="Times New Roman" w:cs="Times New Roman" w:eastAsia="Times New Roman" w:hint="default"/>
          <w:spacing w:val="-23"/>
        </w:rPr>
        <w:t> </w:t>
      </w:r>
      <w:r>
        <w:rPr>
          <w:rFonts w:ascii="Times New Roman" w:hAnsi="Times New Roman" w:cs="Times New Roman" w:eastAsia="Times New Roman" w:hint="default"/>
        </w:rPr>
        <w:t>SARL</w:t>
      </w:r>
      <w:r>
        <w:rPr>
          <w:rFonts w:ascii="Times New Roman" w:hAnsi="Times New Roman" w:cs="Times New Roman" w:eastAsia="Times New Roman" w:hint="default"/>
          <w:spacing w:val="-21"/>
        </w:rPr>
        <w:t> </w:t>
      </w:r>
      <w:r>
        <w:rPr/>
        <w:t>收购</w:t>
      </w:r>
      <w:r>
        <w:rPr>
          <w:spacing w:val="-67"/>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21"/>
        </w:rPr>
        <w:t> </w:t>
      </w:r>
      <w:r>
        <w:rPr>
          <w:rFonts w:ascii="Times New Roman" w:hAnsi="Times New Roman" w:cs="Times New Roman" w:eastAsia="Times New Roman" w:hint="default"/>
        </w:rPr>
        <w:t>Oy</w:t>
      </w:r>
      <w:r>
        <w:rPr>
          <w:rFonts w:ascii="Times New Roman" w:hAnsi="Times New Roman" w:cs="Times New Roman" w:eastAsia="Times New Roman" w:hint="default"/>
          <w:spacing w:val="-23"/>
        </w:rPr>
        <w:t> </w:t>
      </w:r>
      <w:r>
        <w:rPr/>
        <w:t>形成，上述估值业经中水致远资产评估有限公司评估，并出具了中水 致远评报字</w:t>
      </w:r>
      <w:r>
        <w:rPr>
          <w:rFonts w:ascii="Times New Roman" w:hAnsi="Times New Roman" w:cs="Times New Roman" w:eastAsia="Times New Roman" w:hint="default"/>
        </w:rPr>
        <w:t>[2018]</w:t>
      </w:r>
      <w:r>
        <w:rPr/>
        <w:t>第</w:t>
      </w:r>
      <w:r>
        <w:rPr>
          <w:spacing w:val="-53"/>
        </w:rPr>
        <w:t> </w:t>
      </w:r>
      <w:r>
        <w:rPr>
          <w:rFonts w:ascii="Times New Roman" w:hAnsi="Times New Roman" w:cs="Times New Roman" w:eastAsia="Times New Roman" w:hint="default"/>
        </w:rPr>
        <w:t>010064</w:t>
      </w:r>
      <w:r>
        <w:rPr>
          <w:rFonts w:ascii="Times New Roman" w:hAnsi="Times New Roman" w:cs="Times New Roman" w:eastAsia="Times New Roman" w:hint="default"/>
          <w:spacing w:val="-11"/>
        </w:rPr>
        <w:t> </w:t>
      </w:r>
      <w:r>
        <w:rPr/>
        <w:t>号或有对价资产评估报告。</w:t>
      </w:r>
    </w:p>
    <w:p>
      <w:pPr>
        <w:spacing w:line="240" w:lineRule="auto" w:before="5"/>
        <w:rPr>
          <w:rFonts w:ascii="宋体" w:hAnsi="宋体" w:cs="宋体" w:eastAsia="宋体" w:hint="default"/>
          <w:sz w:val="17"/>
          <w:szCs w:val="17"/>
        </w:rPr>
      </w:pPr>
    </w:p>
    <w:p>
      <w:pPr>
        <w:pStyle w:val="BodyText"/>
        <w:spacing w:line="280" w:lineRule="auto"/>
        <w:ind w:left="1134" w:right="1022" w:firstLine="420"/>
        <w:jc w:val="left"/>
      </w:pPr>
      <w:r>
        <w:rPr>
          <w:rFonts w:ascii="Times New Roman" w:hAnsi="Times New Roman" w:cs="Times New Roman" w:eastAsia="Times New Roman" w:hint="default"/>
        </w:rPr>
        <w:t>3.</w:t>
      </w:r>
      <w:r>
        <w:rPr/>
        <w:t>股权收购形成的或有对价中</w:t>
      </w:r>
      <w:r>
        <w:rPr>
          <w:spacing w:val="-58"/>
        </w:rPr>
        <w:t> </w:t>
      </w:r>
      <w:r>
        <w:rPr>
          <w:rFonts w:ascii="Times New Roman" w:hAnsi="Times New Roman" w:cs="Times New Roman" w:eastAsia="Times New Roman" w:hint="default"/>
        </w:rPr>
        <w:t>21,373,100.00</w:t>
      </w:r>
      <w:r>
        <w:rPr>
          <w:rFonts w:ascii="Times New Roman" w:hAnsi="Times New Roman" w:cs="Times New Roman" w:eastAsia="Times New Roman" w:hint="default"/>
          <w:spacing w:val="-13"/>
        </w:rPr>
        <w:t> </w:t>
      </w:r>
      <w:r>
        <w:rPr/>
        <w:t>元系由上年收购爱普新思及慧驰科技形成，上述估值业经 </w:t>
      </w:r>
      <w:r>
        <w:rPr>
          <w:spacing w:val="-4"/>
        </w:rPr>
        <w:t>中水致远资产评估有限公司进行评估，并出具了中水致远评报字</w:t>
      </w:r>
      <w:r>
        <w:rPr>
          <w:rFonts w:ascii="Times New Roman" w:hAnsi="Times New Roman" w:cs="Times New Roman" w:eastAsia="Times New Roman" w:hint="default"/>
          <w:spacing w:val="-4"/>
        </w:rPr>
        <w:t>[2018]</w:t>
      </w:r>
      <w:r>
        <w:rPr>
          <w:spacing w:val="-4"/>
        </w:rPr>
        <w:t>第</w:t>
      </w:r>
      <w:r>
        <w:rPr>
          <w:spacing w:val="-61"/>
        </w:rPr>
        <w:t> </w:t>
      </w:r>
      <w:r>
        <w:rPr>
          <w:rFonts w:ascii="Times New Roman" w:hAnsi="Times New Roman" w:cs="Times New Roman" w:eastAsia="Times New Roman" w:hint="default"/>
        </w:rPr>
        <w:t>010061</w:t>
      </w:r>
      <w:r>
        <w:rPr>
          <w:rFonts w:ascii="Times New Roman" w:hAnsi="Times New Roman" w:cs="Times New Roman" w:eastAsia="Times New Roman" w:hint="default"/>
          <w:spacing w:val="-14"/>
        </w:rPr>
        <w:t> </w:t>
      </w:r>
      <w:r>
        <w:rPr>
          <w:spacing w:val="-1"/>
        </w:rPr>
        <w:t>号或有对价资产评估报告。</w:t>
      </w:r>
      <w:r>
        <w:rPr>
          <w:spacing w:val="-98"/>
        </w:rPr>
        <w:t> </w:t>
      </w:r>
      <w:r>
        <w:rPr>
          <w:spacing w:val="-98"/>
        </w:rPr>
      </w:r>
      <w:r>
        <w:rPr/>
        <w:t>期初该或有对价公允价值为</w:t>
      </w:r>
      <w:r>
        <w:rPr>
          <w:spacing w:val="-54"/>
        </w:rPr>
        <w:t> </w:t>
      </w:r>
      <w:r>
        <w:rPr>
          <w:rFonts w:ascii="Times New Roman" w:hAnsi="Times New Roman" w:cs="Times New Roman" w:eastAsia="Times New Roman" w:hint="default"/>
        </w:rPr>
        <w:t>45,292,000.00</w:t>
      </w:r>
      <w:r>
        <w:rPr>
          <w:rFonts w:ascii="Times New Roman" w:hAnsi="Times New Roman" w:cs="Times New Roman" w:eastAsia="Times New Roman" w:hint="default"/>
          <w:spacing w:val="-11"/>
        </w:rPr>
        <w:t> </w:t>
      </w:r>
      <w:r>
        <w:rPr/>
        <w:t>元，扣除应支付的或有对价</w:t>
      </w:r>
      <w:r>
        <w:rPr>
          <w:spacing w:val="-55"/>
        </w:rPr>
        <w:t> </w:t>
      </w:r>
      <w:r>
        <w:rPr>
          <w:rFonts w:ascii="Times New Roman" w:hAnsi="Times New Roman" w:cs="Times New Roman" w:eastAsia="Times New Roman" w:hint="default"/>
        </w:rPr>
        <w:t>6,000,000.00</w:t>
      </w:r>
      <w:r>
        <w:rPr>
          <w:rFonts w:ascii="Times New Roman" w:hAnsi="Times New Roman" w:cs="Times New Roman" w:eastAsia="Times New Roman" w:hint="default"/>
          <w:spacing w:val="-12"/>
        </w:rPr>
        <w:t> </w:t>
      </w:r>
      <w:r>
        <w:rPr/>
        <w:t>元，差额计入公允价值 变动收益。</w:t>
      </w:r>
    </w:p>
    <w:p>
      <w:pPr>
        <w:spacing w:line="240" w:lineRule="auto" w:before="6"/>
        <w:rPr>
          <w:rFonts w:ascii="宋体" w:hAnsi="宋体" w:cs="宋体" w:eastAsia="宋体" w:hint="default"/>
          <w:sz w:val="18"/>
          <w:szCs w:val="18"/>
        </w:rPr>
      </w:pPr>
    </w:p>
    <w:p>
      <w:pPr>
        <w:pStyle w:val="BodyText"/>
        <w:spacing w:line="240" w:lineRule="auto"/>
        <w:ind w:right="0"/>
        <w:jc w:val="left"/>
        <w:rPr>
          <w:rFonts w:ascii="微软雅黑" w:hAnsi="微软雅黑" w:cs="微软雅黑" w:eastAsia="微软雅黑" w:hint="default"/>
        </w:rPr>
      </w:pPr>
      <w:bookmarkStart w:name="28、衍生金融负债" w:id="309"/>
      <w:bookmarkEnd w:id="309"/>
      <w:r>
        <w:rPr/>
      </w:r>
      <w:r>
        <w:rPr>
          <w:rFonts w:ascii="Times New Roman" w:hAnsi="Times New Roman" w:cs="Times New Roman" w:eastAsia="Times New Roman" w:hint="default"/>
        </w:rPr>
        <w:t>28</w:t>
      </w:r>
      <w:r>
        <w:rPr>
          <w:rFonts w:ascii="微软雅黑" w:hAnsi="微软雅黑" w:cs="微软雅黑" w:eastAsia="微软雅黑" w:hint="default"/>
        </w:rPr>
        <w:t>、衍生金融负债</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29、应付票据" w:id="310"/>
      <w:bookmarkEnd w:id="310"/>
      <w:r>
        <w:rPr/>
      </w:r>
      <w:r>
        <w:rPr>
          <w:rFonts w:ascii="Times New Roman" w:hAnsi="Times New Roman" w:cs="Times New Roman" w:eastAsia="Times New Roman" w:hint="default"/>
        </w:rPr>
        <w:t>29</w:t>
      </w:r>
      <w:r>
        <w:rPr>
          <w:rFonts w:ascii="微软雅黑" w:hAnsi="微软雅黑" w:cs="微软雅黑" w:eastAsia="微软雅黑" w:hint="default"/>
        </w:rPr>
        <w:t>、应付票据</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本期末已到期未支付的应付票据总额为元。</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30、应付账款" w:id="311"/>
      <w:bookmarkEnd w:id="311"/>
      <w:r>
        <w:rPr/>
      </w:r>
      <w:r>
        <w:rPr>
          <w:rFonts w:ascii="Times New Roman" w:hAnsi="Times New Roman" w:cs="Times New Roman" w:eastAsia="Times New Roman" w:hint="default"/>
        </w:rPr>
        <w:t>30</w:t>
      </w:r>
      <w:r>
        <w:rPr>
          <w:rFonts w:ascii="微软雅黑" w:hAnsi="微软雅黑" w:cs="微软雅黑" w:eastAsia="微软雅黑" w:hint="default"/>
        </w:rPr>
        <w:t>、应付账款</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应付账款列示" w:id="312"/>
      <w:bookmarkEnd w:id="312"/>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应付服务费及货款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92,929,165.27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16,342,492.26</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92,929,165.27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16,342,492.26</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账龄超过1年的重要应付账款" w:id="313"/>
      <w:bookmarkEnd w:id="31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9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
        <w:rPr>
          <w:rFonts w:ascii="宋体" w:hAnsi="宋体" w:cs="宋体" w:eastAsia="宋体" w:hint="default"/>
          <w:sz w:val="12"/>
          <w:szCs w:val="12"/>
        </w:rPr>
      </w:pPr>
    </w:p>
    <w:p>
      <w:pPr>
        <w:pStyle w:val="BodyText"/>
        <w:spacing w:line="484" w:lineRule="auto" w:before="35"/>
        <w:ind w:left="1553" w:right="9073"/>
        <w:jc w:val="left"/>
        <w:rPr>
          <w:rFonts w:ascii="微软雅黑" w:hAnsi="微软雅黑" w:cs="微软雅黑" w:eastAsia="微软雅黑" w:hint="default"/>
        </w:rPr>
      </w:pPr>
      <w:r>
        <w:rPr/>
        <w:t>其他说明： 无。 </w:t>
      </w:r>
      <w:bookmarkStart w:name="31、预收款项" w:id="314"/>
      <w:bookmarkEnd w:id="314"/>
      <w:r>
        <w:rPr/>
      </w:r>
      <w:r>
        <w:rPr>
          <w:rFonts w:ascii="Times New Roman" w:hAnsi="Times New Roman" w:cs="Times New Roman" w:eastAsia="Times New Roman" w:hint="default"/>
        </w:rPr>
        <w:t>31</w:t>
      </w:r>
      <w:r>
        <w:rPr>
          <w:rFonts w:ascii="微软雅黑" w:hAnsi="微软雅黑" w:cs="微软雅黑" w:eastAsia="微软雅黑" w:hint="default"/>
        </w:rPr>
        <w:t>、预收款项</w:t>
      </w:r>
    </w:p>
    <w:p>
      <w:pPr>
        <w:pStyle w:val="Heading4"/>
        <w:spacing w:line="240" w:lineRule="auto" w:before="121"/>
        <w:ind w:right="0"/>
        <w:jc w:val="left"/>
        <w:rPr>
          <w:b w:val="0"/>
          <w:bCs w:val="0"/>
        </w:rPr>
      </w:pPr>
      <w:bookmarkStart w:name="（1）预收款项列示" w:id="315"/>
      <w:bookmarkEnd w:id="31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9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预收服务费及货款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18,750,149.47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13,262,967.23</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18,750,149.47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13,262,967.23</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账龄超过1年的重要预收款项" w:id="316"/>
      <w:bookmarkEnd w:id="31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9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82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5"/>
        <w:rPr>
          <w:rFonts w:ascii="宋体" w:hAnsi="宋体" w:cs="宋体" w:eastAsia="宋体" w:hint="default"/>
          <w:sz w:val="11"/>
          <w:szCs w:val="11"/>
        </w:rPr>
      </w:pPr>
    </w:p>
    <w:p>
      <w:pPr>
        <w:pStyle w:val="Heading4"/>
        <w:spacing w:line="240" w:lineRule="auto" w:before="35"/>
        <w:ind w:right="0"/>
        <w:jc w:val="left"/>
        <w:rPr>
          <w:b w:val="0"/>
          <w:bCs w:val="0"/>
        </w:rPr>
      </w:pPr>
      <w:bookmarkStart w:name="（3）期末建造合同形成的已结算未完工项目情况" w:id="317"/>
      <w:bookmarkEnd w:id="31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4923"/>
        <w:gridCol w:w="4932"/>
      </w:tblGrid>
      <w:tr>
        <w:trPr>
          <w:trHeight w:val="382"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487" w:lineRule="auto" w:before="35"/>
        <w:ind w:left="1553" w:right="9283"/>
        <w:jc w:val="left"/>
      </w:pPr>
      <w:r>
        <w:rPr/>
        <w:t>其他说明： 无。</w:t>
      </w:r>
    </w:p>
    <w:p>
      <w:pPr>
        <w:pStyle w:val="BodyText"/>
        <w:spacing w:line="240" w:lineRule="auto" w:before="61"/>
        <w:ind w:left="1553" w:right="0"/>
        <w:jc w:val="left"/>
        <w:rPr>
          <w:rFonts w:ascii="微软雅黑" w:hAnsi="微软雅黑" w:cs="微软雅黑" w:eastAsia="微软雅黑" w:hint="default"/>
        </w:rPr>
      </w:pPr>
      <w:bookmarkStart w:name="32、应付职工薪酬" w:id="318"/>
      <w:bookmarkEnd w:id="318"/>
      <w:r>
        <w:rPr/>
      </w:r>
      <w:r>
        <w:rPr>
          <w:rFonts w:ascii="Times New Roman" w:hAnsi="Times New Roman" w:cs="Times New Roman" w:eastAsia="Times New Roman" w:hint="default"/>
        </w:rPr>
        <w:t>32</w:t>
      </w:r>
      <w:r>
        <w:rPr>
          <w:rFonts w:ascii="微软雅黑" w:hAnsi="微软雅黑" w:cs="微软雅黑" w:eastAsia="微软雅黑" w:hint="default"/>
        </w:rPr>
        <w:t>、应付职工薪酬</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应付职工薪酬列示" w:id="319"/>
      <w:bookmarkEnd w:id="31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35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797"/>
              <w:jc w:val="right"/>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2"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773"/>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7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46,218,260.28</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494,070,724.99</w:t>
            </w:r>
          </w:p>
        </w:tc>
        <w:tc>
          <w:tcPr>
            <w:tcW w:w="19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spacing w:val="-1"/>
                <w:sz w:val="18"/>
              </w:rPr>
              <w:t>495,537,893.10</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44,751,092.17</w:t>
            </w:r>
          </w:p>
        </w:tc>
      </w:tr>
      <w:tr>
        <w:trPr>
          <w:trHeight w:val="600"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7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1,312,767.86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29,827,478.49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29,231,351.04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1,908,895.31</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3"/>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43,206.41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8,767,432.53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8,779,338.94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31,300.00</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47,574,234.55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532,665,636.01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533,548,583.08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46,691,287.48</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短期薪酬列示" w:id="320"/>
      <w:bookmarkEnd w:id="32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530"/>
        <w:gridCol w:w="1832"/>
        <w:gridCol w:w="1831"/>
        <w:gridCol w:w="1832"/>
        <w:gridCol w:w="1831"/>
      </w:tblGrid>
      <w:tr>
        <w:trPr>
          <w:trHeight w:val="40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9"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27,828,288.19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437,975,356.13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432,181,846.61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33,621,797.71</w:t>
            </w: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83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9,044,616.49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9,044,616.49</w:t>
            </w: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754,587.92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16,672,529.92</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16,405,238.38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1,021,879.46</w:t>
            </w: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708,740.22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15,043,384.25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14,809,210.13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942,914.34</w:t>
            </w: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16,993.92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581,684.56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566,629.87</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32,048.61</w:t>
            </w: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28,853.78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1,047,461.11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1,029,398.38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46,916.51</w:t>
            </w:r>
          </w:p>
        </w:tc>
      </w:tr>
      <w:tr>
        <w:trPr>
          <w:trHeight w:val="408"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631,664.35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31,194,300.65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30,864,271.00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961,694.00</w:t>
            </w: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2,103,838.08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5,282,330.64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4,498,316.62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2,887,852.10</w:t>
            </w: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、以现金结算的股份支付</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14,899,881.74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-6,098,408.84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2,543,604.00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6,257,868.90</w:t>
            </w:r>
          </w:p>
        </w:tc>
      </w:tr>
      <w:tr>
        <w:trPr>
          <w:trHeight w:val="407"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46,218,260.28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494,070,724.99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495,537,893.10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44,751,092.17</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3）设定提存计划列示" w:id="321"/>
      <w:bookmarkEnd w:id="32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35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32"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7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1,216,075.91</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28,314,522.09</w:t>
            </w:r>
          </w:p>
        </w:tc>
        <w:tc>
          <w:tcPr>
            <w:tcW w:w="19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27,747,306.54</w:t>
            </w:r>
          </w:p>
        </w:tc>
        <w:tc>
          <w:tcPr>
            <w:tcW w:w="197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1,783,291.46</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96,691.95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1,512,956.40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1,484,044.50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125,603.85</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1,312,767.86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29,827,478.49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29,231,351.04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1,908,895.31</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4）辞退福利" w:id="322"/>
      <w:bookmarkEnd w:id="322"/>
      <w:r>
        <w:rPr>
          <w:b w:val="0"/>
          <w:bCs w:val="0"/>
        </w:rPr>
      </w:r>
      <w:r>
        <w:rPr/>
        <w:t>（</w:t>
      </w:r>
      <w:r>
        <w:rPr>
          <w:rFonts w:ascii="Times New Roman" w:hAnsi="Times New Roman" w:cs="Times New Roman" w:eastAsia="Times New Roman" w:hint="default"/>
        </w:rPr>
        <w:t>4</w:t>
      </w:r>
      <w:r>
        <w:rPr/>
        <w:t>）辞退福利</w:t>
      </w:r>
      <w:r>
        <w:rPr>
          <w:b w:val="0"/>
          <w:bCs w:val="0"/>
        </w:rPr>
      </w:r>
    </w:p>
    <w:p>
      <w:pPr>
        <w:spacing w:line="240" w:lineRule="auto" w:before="2"/>
        <w:rPr>
          <w:rFonts w:ascii="宋体" w:hAnsi="宋体" w:cs="宋体" w:eastAsia="宋体" w:hint="default"/>
          <w:b/>
          <w:bCs/>
          <w:sz w:val="23"/>
          <w:szCs w:val="23"/>
        </w:rPr>
      </w:pPr>
    </w:p>
    <w:tbl>
      <w:tblPr>
        <w:tblW w:w="0" w:type="auto"/>
        <w:jc w:val="left"/>
        <w:tblInd w:w="1021" w:type="dxa"/>
        <w:tblLayout w:type="fixed"/>
        <w:tblCellMar>
          <w:top w:w="0" w:type="dxa"/>
          <w:left w:w="0" w:type="dxa"/>
          <w:bottom w:w="0" w:type="dxa"/>
          <w:right w:w="0" w:type="dxa"/>
        </w:tblCellMar>
        <w:tblLook w:val="01E0"/>
      </w:tblPr>
      <w:tblGrid>
        <w:gridCol w:w="2903"/>
        <w:gridCol w:w="1757"/>
        <w:gridCol w:w="1811"/>
        <w:gridCol w:w="1756"/>
        <w:gridCol w:w="1628"/>
      </w:tblGrid>
      <w:tr>
        <w:trPr>
          <w:trHeight w:val="427" w:hRule="exact"/>
        </w:trPr>
        <w:tc>
          <w:tcPr>
            <w:tcW w:w="2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53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51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53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28" w:hRule="exact"/>
        </w:trPr>
        <w:tc>
          <w:tcPr>
            <w:tcW w:w="290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一年内支付的辞退福利</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922" w:right="0"/>
              <w:jc w:val="left"/>
              <w:rPr>
                <w:rFonts w:ascii="Times New Roman" w:hAnsi="Times New Roman" w:cs="Times New Roman" w:eastAsia="Times New Roman" w:hint="default"/>
                <w:sz w:val="18"/>
                <w:szCs w:val="18"/>
              </w:rPr>
            </w:pPr>
            <w:r>
              <w:rPr>
                <w:rFonts w:ascii="Times New Roman"/>
                <w:sz w:val="18"/>
              </w:rPr>
              <w:t>43,206.41</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52" w:right="0"/>
              <w:jc w:val="left"/>
              <w:rPr>
                <w:rFonts w:ascii="Times New Roman" w:hAnsi="Times New Roman" w:cs="Times New Roman" w:eastAsia="Times New Roman" w:hint="default"/>
                <w:sz w:val="18"/>
                <w:szCs w:val="18"/>
              </w:rPr>
            </w:pPr>
            <w:r>
              <w:rPr>
                <w:rFonts w:ascii="Times New Roman"/>
                <w:sz w:val="18"/>
              </w:rPr>
              <w:t>8,767,432.53</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698" w:right="0"/>
              <w:jc w:val="left"/>
              <w:rPr>
                <w:rFonts w:ascii="Times New Roman" w:hAnsi="Times New Roman" w:cs="Times New Roman" w:eastAsia="Times New Roman" w:hint="default"/>
                <w:sz w:val="18"/>
                <w:szCs w:val="18"/>
              </w:rPr>
            </w:pPr>
            <w:r>
              <w:rPr>
                <w:rFonts w:ascii="Times New Roman"/>
                <w:sz w:val="18"/>
              </w:rPr>
              <w:t>8,779,338.94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795" w:right="0"/>
              <w:jc w:val="left"/>
              <w:rPr>
                <w:rFonts w:ascii="Times New Roman" w:hAnsi="Times New Roman" w:cs="Times New Roman" w:eastAsia="Times New Roman" w:hint="default"/>
                <w:sz w:val="18"/>
                <w:szCs w:val="18"/>
              </w:rPr>
            </w:pPr>
            <w:r>
              <w:rPr>
                <w:rFonts w:ascii="Times New Roman"/>
                <w:sz w:val="18"/>
              </w:rPr>
              <w:t>31,300.00</w:t>
            </w:r>
          </w:p>
        </w:tc>
      </w:tr>
    </w:tbl>
    <w:p>
      <w:pPr>
        <w:spacing w:line="240" w:lineRule="auto" w:before="4"/>
        <w:rPr>
          <w:rFonts w:ascii="宋体" w:hAnsi="宋体" w:cs="宋体" w:eastAsia="宋体" w:hint="default"/>
          <w:b/>
          <w:bCs/>
          <w:sz w:val="11"/>
          <w:szCs w:val="11"/>
        </w:rPr>
      </w:pPr>
    </w:p>
    <w:p>
      <w:pPr>
        <w:pStyle w:val="BodyText"/>
        <w:spacing w:line="240" w:lineRule="auto" w:before="35"/>
        <w:ind w:right="0"/>
        <w:jc w:val="left"/>
      </w:pPr>
      <w:r>
        <w:rPr/>
        <w:t>说明：应付职工薪酬本期增加中因外币报表折算汇率影响金额</w:t>
      </w:r>
      <w:r>
        <w:rPr>
          <w:spacing w:val="-61"/>
        </w:rPr>
        <w:t> </w:t>
      </w:r>
      <w:r>
        <w:rPr>
          <w:rFonts w:ascii="Times New Roman" w:hAnsi="Times New Roman" w:cs="Times New Roman" w:eastAsia="Times New Roman" w:hint="default"/>
        </w:rPr>
        <w:t>511,466.34</w:t>
      </w:r>
      <w:r>
        <w:rPr>
          <w:rFonts w:ascii="Times New Roman" w:hAnsi="Times New Roman" w:cs="Times New Roman" w:eastAsia="Times New Roman" w:hint="default"/>
          <w:spacing w:val="-18"/>
        </w:rPr>
        <w:t> </w:t>
      </w:r>
      <w:r>
        <w:rPr/>
        <w:t>元，因企业合并增加影响金</w:t>
      </w:r>
    </w:p>
    <w:p>
      <w:pPr>
        <w:pStyle w:val="BodyText"/>
        <w:spacing w:line="240" w:lineRule="auto" w:before="50"/>
        <w:ind w:left="1133" w:right="0"/>
        <w:jc w:val="left"/>
      </w:pPr>
      <w:r>
        <w:rPr/>
        <w:t>额</w:t>
      </w:r>
      <w:r>
        <w:rPr>
          <w:spacing w:val="-54"/>
        </w:rPr>
        <w:t> </w:t>
      </w:r>
      <w:r>
        <w:rPr>
          <w:rFonts w:ascii="Times New Roman" w:hAnsi="Times New Roman" w:cs="Times New Roman" w:eastAsia="Times New Roman" w:hint="default"/>
        </w:rPr>
        <w:t>4,795,489.40</w:t>
      </w:r>
      <w:r>
        <w:rPr>
          <w:rFonts w:ascii="Times New Roman" w:hAnsi="Times New Roman" w:cs="Times New Roman" w:eastAsia="Times New Roman" w:hint="default"/>
          <w:spacing w:val="-10"/>
        </w:rPr>
        <w:t> </w:t>
      </w:r>
      <w:r>
        <w:rPr/>
        <w:t>元。</w:t>
      </w:r>
    </w:p>
    <w:p>
      <w:pPr>
        <w:spacing w:line="240" w:lineRule="auto" w:before="11"/>
        <w:rPr>
          <w:rFonts w:ascii="宋体" w:hAnsi="宋体" w:cs="宋体" w:eastAsia="宋体" w:hint="default"/>
          <w:sz w:val="19"/>
          <w:szCs w:val="19"/>
        </w:rPr>
      </w:pPr>
    </w:p>
    <w:p>
      <w:pPr>
        <w:pStyle w:val="BodyText"/>
        <w:spacing w:line="240" w:lineRule="auto"/>
        <w:ind w:left="1553" w:right="0"/>
        <w:jc w:val="left"/>
        <w:rPr>
          <w:rFonts w:ascii="微软雅黑" w:hAnsi="微软雅黑" w:cs="微软雅黑" w:eastAsia="微软雅黑" w:hint="default"/>
        </w:rPr>
      </w:pPr>
      <w:bookmarkStart w:name="33、应交税费" w:id="323"/>
      <w:bookmarkEnd w:id="323"/>
      <w:r>
        <w:rPr/>
      </w:r>
      <w:r>
        <w:rPr>
          <w:rFonts w:ascii="Times New Roman" w:hAnsi="Times New Roman" w:cs="Times New Roman" w:eastAsia="Times New Roman" w:hint="default"/>
        </w:rPr>
        <w:t>33</w:t>
      </w:r>
      <w:r>
        <w:rPr>
          <w:rFonts w:ascii="微软雅黑" w:hAnsi="微软雅黑" w:cs="微软雅黑" w:eastAsia="微软雅黑" w:hint="default"/>
        </w:rPr>
        <w:t>、应交税费</w:t>
      </w:r>
    </w:p>
    <w:p>
      <w:pPr>
        <w:spacing w:line="240" w:lineRule="auto" w:before="0"/>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9"/>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8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4,398,847.75</w:t>
            </w:r>
          </w:p>
        </w:tc>
        <w:tc>
          <w:tcPr>
            <w:tcW w:w="328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5,293,173.44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5,561,640.73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6,240,329.84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9,735,372.26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3,089,364.13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184,903.64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231,039.51</w:t>
            </w:r>
          </w:p>
        </w:tc>
      </w:tr>
      <w:tr>
        <w:trPr>
          <w:trHeight w:val="408" w:hRule="exact"/>
        </w:trPr>
        <w:tc>
          <w:tcPr>
            <w:tcW w:w="328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132,074.03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165,028.23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消费税（日本）</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1,243,835.11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3,119,404.70</w:t>
            </w:r>
          </w:p>
        </w:tc>
      </w:tr>
      <w:tr>
        <w:trPr>
          <w:trHeight w:val="407" w:hRule="exact"/>
        </w:trPr>
        <w:tc>
          <w:tcPr>
            <w:tcW w:w="3282"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136,604.31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97,641.61</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21,393,277.83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18,235,981.46</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34、应付利息" w:id="324"/>
      <w:bookmarkEnd w:id="324"/>
      <w:r>
        <w:rPr/>
      </w:r>
      <w:r>
        <w:rPr>
          <w:rFonts w:ascii="Times New Roman" w:hAnsi="Times New Roman" w:cs="Times New Roman" w:eastAsia="Times New Roman" w:hint="default"/>
        </w:rPr>
        <w:t>34</w:t>
      </w:r>
      <w:r>
        <w:rPr>
          <w:rFonts w:ascii="微软雅黑" w:hAnsi="微软雅黑" w:cs="微软雅黑" w:eastAsia="微软雅黑" w:hint="default"/>
        </w:rPr>
        <w:t>、应付利息</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38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6"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88"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391,748.90</w:t>
            </w:r>
          </w:p>
        </w:tc>
        <w:tc>
          <w:tcPr>
            <w:tcW w:w="3285" w:type="dxa"/>
            <w:tcBorders>
              <w:top w:val="single" w:sz="8" w:space="0" w:color="D2D2D2"/>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391,748.90</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重要的已逾期未支付的利息情况：</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35、应付股利" w:id="325"/>
      <w:bookmarkEnd w:id="325"/>
      <w:r>
        <w:rPr/>
      </w:r>
      <w:r>
        <w:rPr>
          <w:rFonts w:ascii="Times New Roman" w:hAnsi="Times New Roman" w:cs="Times New Roman" w:eastAsia="Times New Roman" w:hint="default"/>
        </w:rPr>
        <w:t>35</w:t>
      </w:r>
      <w:r>
        <w:rPr>
          <w:rFonts w:ascii="微软雅黑" w:hAnsi="微软雅黑" w:cs="微软雅黑" w:eastAsia="微软雅黑" w:hint="default"/>
        </w:rPr>
        <w:t>、应付股利</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股权激励限制性股票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1,237,338.30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1,346,822.49</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1,237,338.30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1,346,822.49</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其他说明，包括重要的超过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19"/>
          <w:szCs w:val="19"/>
        </w:rPr>
      </w:pPr>
    </w:p>
    <w:p>
      <w:pPr>
        <w:pStyle w:val="BodyText"/>
        <w:spacing w:line="240" w:lineRule="auto"/>
        <w:ind w:left="1553" w:right="0"/>
        <w:jc w:val="left"/>
        <w:rPr>
          <w:rFonts w:ascii="微软雅黑" w:hAnsi="微软雅黑" w:cs="微软雅黑" w:eastAsia="微软雅黑" w:hint="default"/>
        </w:rPr>
      </w:pPr>
      <w:bookmarkStart w:name="36、其他应付款" w:id="326"/>
      <w:bookmarkEnd w:id="326"/>
      <w:r>
        <w:rPr/>
      </w:r>
      <w:r>
        <w:rPr>
          <w:rFonts w:ascii="Times New Roman" w:hAnsi="Times New Roman" w:cs="Times New Roman" w:eastAsia="Times New Roman" w:hint="default"/>
        </w:rPr>
        <w:t>36</w:t>
      </w:r>
      <w:r>
        <w:rPr>
          <w:rFonts w:ascii="微软雅黑" w:hAnsi="微软雅黑" w:cs="微软雅黑" w:eastAsia="微软雅黑" w:hint="default"/>
        </w:rPr>
        <w:t>、其他应付款</w:t>
      </w:r>
    </w:p>
    <w:p>
      <w:pPr>
        <w:spacing w:line="240" w:lineRule="auto" w:before="7"/>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按款项性质列示其他应付款" w:id="327"/>
      <w:bookmarkEnd w:id="327"/>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2,467,463.00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67,463.00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职工款项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3,417,569.32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2,063,791.44</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其他待付款项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18,482,408.28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6,075,991.98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拆借款项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3,024,464.97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5,063,000.00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附回购条件的限制性股票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182,388,017.67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262,367,809.99</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209,779,923.24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275,638,056.41</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账龄超过1年的重要其他应付款"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鲍晓东</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尚未到期</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494" w:lineRule="auto" w:before="35"/>
        <w:ind w:left="1553" w:right="8443"/>
        <w:jc w:val="left"/>
      </w:pPr>
      <w:r>
        <w:rPr/>
        <w:t>其他说明 </w:t>
      </w:r>
      <w:bookmarkStart w:name="37、持有待售的负债" w:id="329"/>
      <w:bookmarkEnd w:id="329"/>
      <w:r>
        <w:rPr/>
      </w:r>
      <w:r>
        <w:rPr>
          <w:rFonts w:ascii="Times New Roman" w:hAnsi="Times New Roman" w:cs="Times New Roman" w:eastAsia="Times New Roman" w:hint="default"/>
        </w:rPr>
        <w:t>37</w:t>
      </w:r>
      <w:r>
        <w:rPr>
          <w:rFonts w:ascii="微软雅黑" w:hAnsi="微软雅黑" w:cs="微软雅黑" w:eastAsia="微软雅黑" w:hint="default"/>
        </w:rPr>
        <w:t>、持有待售的负债 </w:t>
      </w:r>
      <w:r>
        <w:rPr/>
        <w:t>无</w:t>
      </w:r>
    </w:p>
    <w:p>
      <w:pPr>
        <w:pStyle w:val="BodyText"/>
        <w:spacing w:line="240" w:lineRule="auto" w:before="53"/>
        <w:ind w:left="1553" w:right="0"/>
        <w:jc w:val="left"/>
        <w:rPr>
          <w:rFonts w:ascii="微软雅黑" w:hAnsi="微软雅黑" w:cs="微软雅黑" w:eastAsia="微软雅黑" w:hint="default"/>
        </w:rPr>
      </w:pPr>
      <w:bookmarkStart w:name="38、一年内到期的非流动负债" w:id="330"/>
      <w:bookmarkEnd w:id="330"/>
      <w:r>
        <w:rPr/>
      </w:r>
      <w:r>
        <w:rPr>
          <w:rFonts w:ascii="Times New Roman" w:hAnsi="Times New Roman" w:cs="Times New Roman" w:eastAsia="Times New Roman" w:hint="default"/>
        </w:rPr>
        <w:t>38</w:t>
      </w:r>
      <w:r>
        <w:rPr>
          <w:rFonts w:ascii="微软雅黑" w:hAnsi="微软雅黑" w:cs="微软雅黑" w:eastAsia="微软雅黑" w:hint="default"/>
        </w:rPr>
        <w:t>、一年内到期的非流动负债</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9"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3,173,975.64</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8"/>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186,402.64</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3,360,378.28</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w:t>
      </w:r>
      <w:r>
        <w:rPr>
          <w:rFonts w:ascii="Times New Roman" w:hAnsi="Times New Roman" w:cs="Times New Roman" w:eastAsia="Times New Roman" w:hint="default"/>
        </w:rPr>
        <w:t>1</w:t>
      </w:r>
      <w:r>
        <w:rPr/>
        <w:t>）一年内到期的长期借款</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2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7" w:hRule="exact"/>
        </w:trPr>
        <w:tc>
          <w:tcPr>
            <w:tcW w:w="328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3,173,975.64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w:t>
      </w:r>
      <w:r>
        <w:rPr>
          <w:rFonts w:ascii="Times New Roman" w:hAnsi="Times New Roman" w:cs="Times New Roman" w:eastAsia="Times New Roman" w:hint="default"/>
        </w:rPr>
        <w:t>2</w:t>
      </w:r>
      <w:r>
        <w:rPr/>
        <w:t>）一年内到期的长期应付款</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286"/>
        <w:gridCol w:w="3285"/>
        <w:gridCol w:w="3285"/>
      </w:tblGrid>
      <w:tr>
        <w:trPr>
          <w:trHeight w:val="427" w:hRule="exact"/>
        </w:trPr>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7" w:hRule="exact"/>
        </w:trPr>
        <w:tc>
          <w:tcPr>
            <w:tcW w:w="328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应付融资租赁款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186,402.64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39、其他流动负债" w:id="331"/>
      <w:bookmarkEnd w:id="331"/>
      <w:r>
        <w:rPr/>
      </w:r>
      <w:r>
        <w:rPr>
          <w:rFonts w:ascii="Times New Roman" w:hAnsi="Times New Roman" w:cs="Times New Roman" w:eastAsia="Times New Roman" w:hint="default"/>
        </w:rPr>
        <w:t>39</w:t>
      </w:r>
      <w:r>
        <w:rPr>
          <w:rFonts w:ascii="微软雅黑" w:hAnsi="微软雅黑" w:cs="微软雅黑" w:eastAsia="微软雅黑" w:hint="default"/>
        </w:rPr>
        <w:t>、其他流动负债</w:t>
      </w:r>
    </w:p>
    <w:p>
      <w:pPr>
        <w:spacing w:line="240" w:lineRule="auto" w:before="16"/>
        <w:rPr>
          <w:rFonts w:ascii="微软雅黑" w:hAnsi="微软雅黑" w:cs="微软雅黑" w:eastAsia="微软雅黑" w:hint="default"/>
          <w:sz w:val="19"/>
          <w:szCs w:val="1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10,982,646.41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2,838,908.34</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10,982,646.41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2,838,908.34</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短期应付债券的增减变动：</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897"/>
        <w:gridCol w:w="898"/>
        <w:gridCol w:w="896"/>
        <w:gridCol w:w="895"/>
        <w:gridCol w:w="897"/>
        <w:gridCol w:w="896"/>
        <w:gridCol w:w="895"/>
        <w:gridCol w:w="896"/>
        <w:gridCol w:w="895"/>
        <w:gridCol w:w="895"/>
        <w:gridCol w:w="895"/>
      </w:tblGrid>
      <w:tr>
        <w:trPr>
          <w:trHeight w:val="835"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2" w:right="262"/>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2" w:right="263"/>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2" w:right="260"/>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3" w:right="263"/>
              <w:jc w:val="left"/>
              <w:rPr>
                <w:rFonts w:ascii="宋体" w:hAnsi="宋体" w:cs="宋体" w:eastAsia="宋体" w:hint="default"/>
                <w:sz w:val="18"/>
                <w:szCs w:val="18"/>
              </w:rPr>
            </w:pPr>
            <w:r>
              <w:rPr>
                <w:rFonts w:ascii="宋体" w:hAnsi="宋体" w:cs="宋体" w:eastAsia="宋体" w:hint="default"/>
                <w:sz w:val="18"/>
                <w:szCs w:val="18"/>
              </w:rPr>
              <w:t>发行 金额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2" w:right="263"/>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2" w:right="260"/>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72" w:right="171"/>
              <w:jc w:val="center"/>
              <w:rPr>
                <w:rFonts w:ascii="宋体" w:hAnsi="宋体" w:cs="宋体" w:eastAsia="宋体" w:hint="default"/>
                <w:sz w:val="18"/>
                <w:szCs w:val="18"/>
              </w:rPr>
            </w:pPr>
            <w:r>
              <w:rPr>
                <w:rFonts w:ascii="宋体" w:hAnsi="宋体" w:cs="宋体" w:eastAsia="宋体" w:hint="default"/>
                <w:sz w:val="18"/>
                <w:szCs w:val="18"/>
              </w:rPr>
              <w:t>按面值 计提利 息</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262" w:right="170" w:hanging="9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2" w:right="260"/>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262" w:right="260"/>
              <w:jc w:val="left"/>
              <w:rPr>
                <w:rFonts w:ascii="宋体" w:hAnsi="宋体" w:cs="宋体" w:eastAsia="宋体" w:hint="default"/>
                <w:sz w:val="18"/>
                <w:szCs w:val="18"/>
              </w:rPr>
            </w:pPr>
            <w:r>
              <w:rPr>
                <w:rFonts w:ascii="宋体" w:hAnsi="宋体" w:cs="宋体" w:eastAsia="宋体" w:hint="default"/>
                <w:sz w:val="18"/>
                <w:szCs w:val="18"/>
              </w:rPr>
              <w:t>期末 余额</w:t>
            </w:r>
          </w:p>
        </w:tc>
      </w:tr>
    </w:tbl>
    <w:p>
      <w:pPr>
        <w:spacing w:line="240" w:lineRule="auto" w:before="5"/>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40、长期借款" w:id="332"/>
      <w:bookmarkEnd w:id="332"/>
      <w:r>
        <w:rPr/>
      </w:r>
      <w:r>
        <w:rPr>
          <w:rFonts w:ascii="Times New Roman" w:hAnsi="Times New Roman" w:cs="Times New Roman" w:eastAsia="Times New Roman" w:hint="default"/>
        </w:rPr>
        <w:t>40</w:t>
      </w:r>
      <w:r>
        <w:rPr>
          <w:rFonts w:ascii="微软雅黑" w:hAnsi="微软雅黑" w:cs="微软雅黑" w:eastAsia="微软雅黑" w:hint="default"/>
        </w:rPr>
        <w:t>、长期借款</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长期借款分类" w:id="333"/>
      <w:bookmarkEnd w:id="33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156,046,000.00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13,134,391.82</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-3,173,975.64</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166,006,416.18</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长期借款分类的说明：</w:t>
      </w:r>
    </w:p>
    <w:p>
      <w:pPr>
        <w:spacing w:line="240" w:lineRule="auto" w:before="8"/>
        <w:rPr>
          <w:rFonts w:ascii="宋体" w:hAnsi="宋体" w:cs="宋体" w:eastAsia="宋体" w:hint="default"/>
          <w:sz w:val="21"/>
          <w:szCs w:val="21"/>
        </w:rPr>
      </w:pPr>
    </w:p>
    <w:p>
      <w:pPr>
        <w:pStyle w:val="BodyText"/>
        <w:spacing w:line="290" w:lineRule="auto"/>
        <w:ind w:left="1134" w:right="1131" w:firstLine="420"/>
        <w:jc w:val="both"/>
      </w:pPr>
      <w:r>
        <w:rPr>
          <w:spacing w:val="-7"/>
        </w:rPr>
        <w:t>（</w:t>
      </w:r>
      <w:r>
        <w:rPr>
          <w:rFonts w:ascii="Times New Roman" w:hAnsi="Times New Roman" w:cs="Times New Roman" w:eastAsia="Times New Roman" w:hint="default"/>
          <w:spacing w:val="-7"/>
        </w:rPr>
        <w:t>1</w:t>
      </w:r>
      <w:r>
        <w:rPr>
          <w:spacing w:val="-7"/>
        </w:rPr>
        <w:t>）质押借款借款中</w:t>
      </w:r>
      <w:r>
        <w:rPr>
          <w:spacing w:val="-51"/>
        </w:rPr>
        <w:t> </w:t>
      </w:r>
      <w:r>
        <w:rPr>
          <w:rFonts w:ascii="Times New Roman" w:hAnsi="Times New Roman" w:cs="Times New Roman" w:eastAsia="Times New Roman" w:hint="default"/>
        </w:rPr>
        <w:t>156,046,000.00</w:t>
      </w:r>
      <w:r>
        <w:rPr>
          <w:rFonts w:ascii="Times New Roman" w:hAnsi="Times New Roman" w:cs="Times New Roman" w:eastAsia="Times New Roman" w:hint="default"/>
          <w:spacing w:val="-10"/>
        </w:rPr>
        <w:t> </w:t>
      </w:r>
      <w:r>
        <w:rPr/>
        <w:t>元整为本公司使用招商银行专项授信额度及定期存单质押申请开 </w:t>
      </w:r>
      <w:r>
        <w:rPr>
          <w:spacing w:val="-1"/>
        </w:rPr>
        <w:t>立备用信用证，为本公司之全资子公司香港天集有限公司提供融资担保，香港天集有限公司自招商银行卢</w:t>
      </w:r>
      <w:r>
        <w:rPr>
          <w:spacing w:val="-81"/>
        </w:rPr>
        <w:t> </w:t>
      </w:r>
      <w:r>
        <w:rPr>
          <w:spacing w:val="-81"/>
        </w:rPr>
      </w:r>
      <w:r>
        <w:rPr/>
        <w:t>森堡分行取得借款</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万欧元。</w:t>
      </w:r>
    </w:p>
    <w:p>
      <w:pPr>
        <w:spacing w:line="240" w:lineRule="auto" w:before="9"/>
        <w:rPr>
          <w:rFonts w:ascii="宋体" w:hAnsi="宋体" w:cs="宋体" w:eastAsia="宋体" w:hint="default"/>
          <w:sz w:val="16"/>
          <w:szCs w:val="16"/>
        </w:rPr>
      </w:pPr>
    </w:p>
    <w:p>
      <w:pPr>
        <w:pStyle w:val="BodyText"/>
        <w:spacing w:line="280" w:lineRule="auto"/>
        <w:ind w:left="1133" w:right="1129" w:firstLine="420"/>
        <w:jc w:val="both"/>
      </w:pPr>
      <w:r>
        <w:rPr>
          <w:spacing w:val="-4"/>
        </w:rPr>
        <w:t>（</w:t>
      </w:r>
      <w:r>
        <w:rPr>
          <w:rFonts w:ascii="Times New Roman" w:hAnsi="Times New Roman" w:cs="Times New Roman" w:eastAsia="Times New Roman" w:hint="default"/>
          <w:spacing w:val="-4"/>
        </w:rPr>
        <w:t>2</w:t>
      </w:r>
      <w:r>
        <w:rPr>
          <w:spacing w:val="-4"/>
        </w:rPr>
        <w:t>）信用借款中</w:t>
      </w:r>
      <w:r>
        <w:rPr>
          <w:spacing w:val="-52"/>
        </w:rPr>
        <w:t> </w:t>
      </w:r>
      <w:r>
        <w:rPr>
          <w:rFonts w:ascii="Times New Roman" w:hAnsi="Times New Roman" w:cs="Times New Roman" w:eastAsia="Times New Roman" w:hint="default"/>
        </w:rPr>
        <w:t>13,134,391.82</w:t>
      </w:r>
      <w:r>
        <w:rPr>
          <w:rFonts w:ascii="Times New Roman" w:hAnsi="Times New Roman" w:cs="Times New Roman" w:eastAsia="Times New Roman" w:hint="default"/>
          <w:spacing w:val="-9"/>
        </w:rPr>
        <w:t> </w:t>
      </w:r>
      <w:r>
        <w:rPr/>
        <w:t>元为</w:t>
      </w:r>
      <w:r>
        <w:rPr>
          <w:spacing w:val="-52"/>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0"/>
        </w:rPr>
        <w:t> </w:t>
      </w:r>
      <w:r>
        <w:rPr>
          <w:rFonts w:ascii="Times New Roman" w:hAnsi="Times New Roman" w:cs="Times New Roman" w:eastAsia="Times New Roman" w:hint="default"/>
        </w:rPr>
        <w:t>Oy</w:t>
      </w:r>
      <w:r>
        <w:rPr>
          <w:rFonts w:ascii="Times New Roman" w:hAnsi="Times New Roman" w:cs="Times New Roman" w:eastAsia="Times New Roman" w:hint="default"/>
          <w:spacing w:val="-12"/>
        </w:rPr>
        <w:t> </w:t>
      </w:r>
      <w:r>
        <w:rPr/>
        <w:t>向芬兰国家技术创新局</w:t>
      </w:r>
      <w:r>
        <w:rPr>
          <w:spacing w:val="-51"/>
        </w:rPr>
        <w:t> </w:t>
      </w:r>
      <w:r>
        <w:rPr>
          <w:rFonts w:ascii="Times New Roman" w:hAnsi="Times New Roman" w:cs="Times New Roman" w:eastAsia="Times New Roman" w:hint="default"/>
        </w:rPr>
        <w:t>Tekes</w:t>
      </w:r>
      <w:r>
        <w:rPr>
          <w:rFonts w:ascii="Times New Roman" w:hAnsi="Times New Roman" w:cs="Times New Roman" w:eastAsia="Times New Roman" w:hint="default"/>
          <w:spacing w:val="-10"/>
        </w:rPr>
        <w:t> </w:t>
      </w:r>
      <w:r>
        <w:rPr>
          <w:spacing w:val="-4"/>
        </w:rPr>
        <w:t>的借款，</w:t>
      </w:r>
      <w:r>
        <w:rPr>
          <w:rFonts w:ascii="Times New Roman" w:hAnsi="Times New Roman" w:cs="Times New Roman" w:eastAsia="Times New Roman" w:hint="default"/>
          <w:spacing w:val="-4"/>
        </w:rPr>
        <w:t>Tekes</w:t>
      </w:r>
      <w:r>
        <w:rPr>
          <w:rFonts w:ascii="Times New Roman" w:hAnsi="Times New Roman" w:cs="Times New Roman" w:eastAsia="Times New Roman" w:hint="default"/>
          <w:spacing w:val="-9"/>
        </w:rPr>
        <w:t> </w:t>
      </w:r>
      <w:r>
        <w:rPr/>
        <w:t>研发贷 款的利率依据基准利率下浮</w:t>
      </w:r>
      <w:r>
        <w:rPr>
          <w:spacing w:val="-43"/>
        </w:rPr>
        <w:t> </w:t>
      </w:r>
      <w:r>
        <w:rPr>
          <w:rFonts w:ascii="Times New Roman" w:hAnsi="Times New Roman" w:cs="Times New Roman" w:eastAsia="Times New Roman" w:hint="default"/>
        </w:rPr>
        <w:t>3%</w:t>
      </w:r>
      <w:r>
        <w:rPr/>
        <w:t>后确定，但不低于</w:t>
      </w:r>
      <w:r>
        <w:rPr>
          <w:spacing w:val="-43"/>
        </w:rPr>
        <w:t> </w:t>
      </w:r>
      <w:r>
        <w:rPr>
          <w:rFonts w:ascii="Times New Roman" w:hAnsi="Times New Roman" w:cs="Times New Roman" w:eastAsia="Times New Roman" w:hint="default"/>
        </w:rPr>
        <w:t>1%</w:t>
      </w:r>
      <w:r>
        <w:rPr/>
        <w:t>，该借款的利率为</w:t>
      </w:r>
      <w:r>
        <w:rPr>
          <w:spacing w:val="-43"/>
        </w:rPr>
        <w:t> </w:t>
      </w:r>
      <w:r>
        <w:rPr>
          <w:rFonts w:ascii="Times New Roman" w:hAnsi="Times New Roman" w:cs="Times New Roman" w:eastAsia="Times New Roman" w:hint="default"/>
        </w:rPr>
        <w:t>1%</w:t>
      </w:r>
      <w:r>
        <w:rPr/>
        <w:t>。根据协议规定，贷款本金于 </w:t>
      </w:r>
      <w:r>
        <w:rPr>
          <w:rFonts w:ascii="Times New Roman" w:hAnsi="Times New Roman" w:cs="Times New Roman" w:eastAsia="Times New Roman" w:hint="default"/>
        </w:rPr>
        <w:t>2016-2018</w:t>
      </w:r>
      <w:r>
        <w:rPr>
          <w:rFonts w:ascii="Times New Roman" w:hAnsi="Times New Roman" w:cs="Times New Roman" w:eastAsia="Times New Roman" w:hint="default"/>
          <w:spacing w:val="-13"/>
        </w:rPr>
        <w:t> </w:t>
      </w:r>
      <w:r>
        <w:rPr/>
        <w:t>年起按</w:t>
      </w:r>
      <w:r>
        <w:rPr>
          <w:spacing w:val="-55"/>
        </w:rPr>
        <w:t> </w:t>
      </w:r>
      <w:r>
        <w:rPr>
          <w:rFonts w:ascii="Times New Roman" w:hAnsi="Times New Roman" w:cs="Times New Roman" w:eastAsia="Times New Roman" w:hint="default"/>
        </w:rPr>
        <w:t>4-6</w:t>
      </w:r>
      <w:r>
        <w:rPr>
          <w:rFonts w:ascii="Times New Roman" w:hAnsi="Times New Roman" w:cs="Times New Roman" w:eastAsia="Times New Roman" w:hint="default"/>
          <w:spacing w:val="-12"/>
        </w:rPr>
        <w:t> </w:t>
      </w:r>
      <w:r>
        <w:rPr/>
        <w:t>年的期限分年平均偿还，利息从贷款发放之后按年支付。</w:t>
      </w:r>
    </w:p>
    <w:p>
      <w:pPr>
        <w:spacing w:line="240" w:lineRule="auto" w:before="12"/>
        <w:rPr>
          <w:rFonts w:ascii="宋体" w:hAnsi="宋体" w:cs="宋体" w:eastAsia="宋体" w:hint="default"/>
          <w:sz w:val="16"/>
          <w:szCs w:val="16"/>
        </w:rPr>
      </w:pPr>
    </w:p>
    <w:p>
      <w:pPr>
        <w:pStyle w:val="BodyText"/>
        <w:spacing w:line="240" w:lineRule="auto"/>
        <w:ind w:right="0"/>
        <w:jc w:val="left"/>
        <w:rPr>
          <w:rFonts w:ascii="微软雅黑" w:hAnsi="微软雅黑" w:cs="微软雅黑" w:eastAsia="微软雅黑" w:hint="default"/>
        </w:rPr>
      </w:pPr>
      <w:bookmarkStart w:name="41、应付债券" w:id="334"/>
      <w:bookmarkEnd w:id="334"/>
      <w:r>
        <w:rPr/>
      </w:r>
      <w:r>
        <w:rPr>
          <w:rFonts w:ascii="Times New Roman" w:hAnsi="Times New Roman" w:cs="Times New Roman" w:eastAsia="Times New Roman" w:hint="default"/>
        </w:rPr>
        <w:t>41</w:t>
      </w:r>
      <w:r>
        <w:rPr>
          <w:rFonts w:ascii="微软雅黑" w:hAnsi="微软雅黑" w:cs="微软雅黑" w:eastAsia="微软雅黑" w:hint="default"/>
        </w:rPr>
        <w:t>、应付债券</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t>无</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42、长期应付款" w:id="335"/>
      <w:bookmarkEnd w:id="335"/>
      <w:r>
        <w:rPr/>
      </w:r>
      <w:r>
        <w:rPr>
          <w:rFonts w:ascii="Times New Roman" w:hAnsi="Times New Roman" w:cs="Times New Roman" w:eastAsia="Times New Roman" w:hint="default"/>
        </w:rPr>
        <w:t>42</w:t>
      </w:r>
      <w:r>
        <w:rPr>
          <w:rFonts w:ascii="微软雅黑" w:hAnsi="微软雅黑" w:cs="微软雅黑" w:eastAsia="微软雅黑" w:hint="default"/>
        </w:rPr>
        <w:t>、长期应付款</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按款项性质列示长期应付款" w:id="336"/>
      <w:bookmarkEnd w:id="33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可转换公司贷款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6,807,453.13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6,567,325.11</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219,688.19</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可转换公司贷款详见本节 </w:t>
      </w:r>
      <w:r>
        <w:rPr>
          <w:rFonts w:ascii="Times New Roman" w:hAnsi="Times New Roman" w:cs="Times New Roman" w:eastAsia="Times New Roman" w:hint="default"/>
        </w:rPr>
        <w:t>54</w:t>
      </w:r>
      <w:r>
        <w:rPr>
          <w:rFonts w:ascii="Times New Roman" w:hAnsi="Times New Roman" w:cs="Times New Roman" w:eastAsia="Times New Roman" w:hint="default"/>
          <w:spacing w:val="-23"/>
        </w:rPr>
        <w:t> </w:t>
      </w:r>
      <w:r>
        <w:rPr/>
        <w:t>其他权益工具。</w:t>
      </w:r>
    </w:p>
    <w:p>
      <w:pPr>
        <w:spacing w:line="240" w:lineRule="auto" w:before="13"/>
        <w:rPr>
          <w:rFonts w:ascii="宋体" w:hAnsi="宋体" w:cs="宋体" w:eastAsia="宋体" w:hint="default"/>
          <w:sz w:val="19"/>
          <w:szCs w:val="19"/>
        </w:rPr>
      </w:pPr>
    </w:p>
    <w:p>
      <w:pPr>
        <w:pStyle w:val="BodyText"/>
        <w:spacing w:line="240" w:lineRule="auto"/>
        <w:ind w:left="1553" w:right="0"/>
        <w:jc w:val="left"/>
        <w:rPr>
          <w:rFonts w:ascii="微软雅黑" w:hAnsi="微软雅黑" w:cs="微软雅黑" w:eastAsia="微软雅黑" w:hint="default"/>
        </w:rPr>
      </w:pPr>
      <w:bookmarkStart w:name="43、长期应付职工薪酬" w:id="337"/>
      <w:bookmarkEnd w:id="337"/>
      <w:r>
        <w:rPr/>
      </w:r>
      <w:r>
        <w:rPr>
          <w:rFonts w:ascii="Times New Roman" w:hAnsi="Times New Roman" w:cs="Times New Roman" w:eastAsia="Times New Roman" w:hint="default"/>
        </w:rPr>
        <w:t>43</w:t>
      </w:r>
      <w:r>
        <w:rPr>
          <w:rFonts w:ascii="微软雅黑" w:hAnsi="微软雅黑" w:cs="微软雅黑" w:eastAsia="微软雅黑" w:hint="default"/>
        </w:rPr>
        <w:t>、长期应付职工薪酬</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长期应付职工薪酬表" w:id="338"/>
      <w:bookmarkEnd w:id="33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1"/>
          <w:szCs w:val="11"/>
        </w:rPr>
      </w:pPr>
    </w:p>
    <w:p>
      <w:pPr>
        <w:spacing w:line="460" w:lineRule="auto" w:before="35"/>
        <w:ind w:left="1553" w:right="7696" w:firstLine="2"/>
        <w:jc w:val="left"/>
        <w:rPr>
          <w:rFonts w:ascii="宋体" w:hAnsi="宋体" w:cs="宋体" w:eastAsia="宋体" w:hint="default"/>
          <w:sz w:val="21"/>
          <w:szCs w:val="21"/>
        </w:rPr>
      </w:pPr>
      <w:bookmarkStart w:name="（2）设定受益计划变动情况"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spacing w:before="95"/>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5"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5"/>
        <w:rPr>
          <w:rFonts w:ascii="宋体" w:hAnsi="宋体" w:cs="宋体" w:eastAsia="宋体" w:hint="default"/>
          <w:sz w:val="11"/>
          <w:szCs w:val="11"/>
        </w:rPr>
      </w:pPr>
    </w:p>
    <w:p>
      <w:pPr>
        <w:pStyle w:val="BodyText"/>
        <w:spacing w:line="240" w:lineRule="auto" w:before="35"/>
        <w:ind w:right="0"/>
        <w:jc w:val="left"/>
      </w:pPr>
      <w:r>
        <w:rPr/>
        <w:t>计划资产：</w:t>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6"/>
        <w:rPr>
          <w:rFonts w:ascii="宋体" w:hAnsi="宋体" w:cs="宋体" w:eastAsia="宋体" w:hint="default"/>
          <w:sz w:val="11"/>
          <w:szCs w:val="11"/>
        </w:rPr>
      </w:pPr>
    </w:p>
    <w:p>
      <w:pPr>
        <w:pStyle w:val="BodyText"/>
        <w:spacing w:line="240" w:lineRule="auto" w:before="35"/>
        <w:ind w:right="0"/>
        <w:jc w:val="left"/>
      </w:pPr>
      <w:r>
        <w:rPr/>
        <w:t>设定受益计划净负债（净资产）</w:t>
      </w:r>
    </w:p>
    <w:p>
      <w:pPr>
        <w:spacing w:line="240" w:lineRule="auto" w:before="11"/>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5"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6"/>
        <w:rPr>
          <w:rFonts w:ascii="宋体" w:hAnsi="宋体" w:cs="宋体" w:eastAsia="宋体" w:hint="default"/>
          <w:sz w:val="11"/>
          <w:szCs w:val="11"/>
        </w:rPr>
      </w:pPr>
    </w:p>
    <w:p>
      <w:pPr>
        <w:pStyle w:val="BodyText"/>
        <w:spacing w:line="487" w:lineRule="auto" w:before="35"/>
        <w:ind w:left="1553" w:right="193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67"/>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44、专项应付款" w:id="340"/>
      <w:bookmarkEnd w:id="340"/>
      <w:r>
        <w:rPr/>
      </w:r>
      <w:r>
        <w:rPr>
          <w:rFonts w:ascii="Times New Roman" w:hAnsi="Times New Roman" w:cs="Times New Roman" w:eastAsia="Times New Roman" w:hint="default"/>
        </w:rPr>
        <w:t>44</w:t>
      </w:r>
      <w:r>
        <w:rPr>
          <w:rFonts w:ascii="微软雅黑" w:hAnsi="微软雅黑" w:cs="微软雅黑" w:eastAsia="微软雅黑" w:hint="default"/>
        </w:rPr>
        <w:t>、专项应付款</w:t>
      </w:r>
    </w:p>
    <w:p>
      <w:pPr>
        <w:spacing w:line="240" w:lineRule="auto" w:before="1"/>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642"/>
        <w:gridCol w:w="1644"/>
        <w:gridCol w:w="1643"/>
        <w:gridCol w:w="1642"/>
        <w:gridCol w:w="1642"/>
        <w:gridCol w:w="1643"/>
      </w:tblGrid>
      <w:tr>
        <w:trPr>
          <w:trHeight w:val="382"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859" w:hRule="exact"/>
        </w:trPr>
        <w:tc>
          <w:tcPr>
            <w:tcW w:w="1642" w:type="dxa"/>
            <w:tcBorders>
              <w:top w:val="single" w:sz="8" w:space="0" w:color="D2D2D2"/>
              <w:left w:val="single" w:sz="4" w:space="0" w:color="000000"/>
              <w:bottom w:val="single" w:sz="4" w:space="0" w:color="000000"/>
              <w:right w:val="single" w:sz="4" w:space="0" w:color="000000"/>
            </w:tcBorders>
          </w:tcPr>
          <w:p>
            <w:pPr>
              <w:pStyle w:val="TableParagraph"/>
              <w:spacing w:line="237" w:lineRule="auto" w:before="54"/>
              <w:ind w:left="103" w:right="267"/>
              <w:jc w:val="both"/>
              <w:rPr>
                <w:rFonts w:ascii="宋体" w:hAnsi="宋体" w:cs="宋体" w:eastAsia="宋体" w:hint="default"/>
                <w:sz w:val="18"/>
                <w:szCs w:val="18"/>
              </w:rPr>
            </w:pPr>
            <w:r>
              <w:rPr>
                <w:rFonts w:ascii="宋体" w:hAnsi="宋体" w:cs="宋体" w:eastAsia="宋体" w:hint="default"/>
                <w:sz w:val="18"/>
                <w:szCs w:val="18"/>
              </w:rPr>
              <w:t>基于移动智能终 端的操作系统一 体化解决方案</w:t>
            </w:r>
          </w:p>
        </w:tc>
        <w:tc>
          <w:tcPr>
            <w:tcW w:w="1644"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8" w:space="0" w:color="D2D2D2"/>
              <w:left w:val="single" w:sz="4" w:space="0" w:color="000000"/>
              <w:bottom w:val="single" w:sz="4" w:space="0" w:color="000000"/>
              <w:right w:val="single" w:sz="4" w:space="0" w:color="000000"/>
            </w:tcBorders>
          </w:tcPr>
          <w:p>
            <w:pPr/>
          </w:p>
        </w:tc>
        <w:tc>
          <w:tcPr>
            <w:tcW w:w="1642" w:type="dxa"/>
            <w:tcBorders>
              <w:top w:val="single" w:sz="8" w:space="0" w:color="D2D2D2"/>
              <w:left w:val="single" w:sz="4" w:space="0" w:color="000000"/>
              <w:bottom w:val="single" w:sz="4" w:space="0" w:color="000000"/>
              <w:right w:val="single" w:sz="4" w:space="0" w:color="000000"/>
            </w:tcBorders>
          </w:tcPr>
          <w:p>
            <w:pPr/>
          </w:p>
        </w:tc>
        <w:tc>
          <w:tcPr>
            <w:tcW w:w="1642"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科技局拨付资金</w:t>
            </w:r>
          </w:p>
        </w:tc>
      </w:tr>
      <w:tr>
        <w:trPr>
          <w:trHeight w:val="408"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92" w:lineRule="auto"/>
        <w:ind w:left="1133" w:right="1130" w:firstLine="420"/>
        <w:jc w:val="both"/>
      </w:pPr>
      <w:r>
        <w:rPr/>
        <w:t>该项专项应付款为成都高新区科技局按照《成都高新区科技局关于 </w:t>
      </w:r>
      <w:r>
        <w:rPr>
          <w:rFonts w:ascii="Times New Roman" w:hAnsi="Times New Roman" w:cs="Times New Roman" w:eastAsia="Times New Roman" w:hint="default"/>
        </w:rPr>
        <w:t>2016</w:t>
      </w:r>
      <w:r>
        <w:rPr>
          <w:rFonts w:ascii="Times New Roman" w:hAnsi="Times New Roman" w:cs="Times New Roman" w:eastAsia="Times New Roman" w:hint="default"/>
          <w:spacing w:val="30"/>
        </w:rPr>
        <w:t> </w:t>
      </w:r>
      <w:r>
        <w:rPr/>
        <w:t>年重点科技创新计划项目拟 </w:t>
      </w:r>
      <w:r>
        <w:rPr>
          <w:spacing w:val="-1"/>
        </w:rPr>
        <w:t>立项公示的通知》拨付的成都高新区科技创新计划项目研究开发及中试阶段的必要补助款；依据《成都高</w:t>
      </w:r>
      <w:r>
        <w:rPr>
          <w:spacing w:val="-82"/>
        </w:rPr>
        <w:t> </w:t>
      </w:r>
      <w:r>
        <w:rPr>
          <w:spacing w:val="-82"/>
        </w:rPr>
      </w:r>
      <w:r>
        <w:rPr>
          <w:spacing w:val="-1"/>
        </w:rPr>
        <w:t>新区重点科技创新计划项目合同书》要求，本公司收到的拨付资金作为专项应付款处理，其中消耗部分予</w:t>
      </w:r>
      <w:r>
        <w:rPr>
          <w:spacing w:val="-83"/>
        </w:rPr>
        <w:t> </w:t>
      </w:r>
      <w:r>
        <w:rPr>
          <w:spacing w:val="-83"/>
        </w:rPr>
      </w:r>
      <w:r>
        <w:rPr/>
        <w:t>以核销，形成资产部分转入资本公积。</w:t>
      </w:r>
    </w:p>
    <w:p>
      <w:pPr>
        <w:spacing w:line="240" w:lineRule="auto" w:before="7"/>
        <w:rPr>
          <w:rFonts w:ascii="宋体" w:hAnsi="宋体" w:cs="宋体" w:eastAsia="宋体" w:hint="default"/>
          <w:sz w:val="17"/>
          <w:szCs w:val="17"/>
        </w:rPr>
      </w:pPr>
    </w:p>
    <w:p>
      <w:pPr>
        <w:pStyle w:val="BodyText"/>
        <w:spacing w:line="494" w:lineRule="auto"/>
        <w:ind w:left="1553" w:right="9073"/>
        <w:jc w:val="left"/>
        <w:rPr>
          <w:rFonts w:ascii="微软雅黑" w:hAnsi="微软雅黑" w:cs="微软雅黑" w:eastAsia="微软雅黑" w:hint="default"/>
        </w:rPr>
      </w:pPr>
      <w:bookmarkStart w:name="45、预计负债" w:id="341"/>
      <w:bookmarkEnd w:id="341"/>
      <w:r>
        <w:rPr/>
      </w:r>
      <w:r>
        <w:rPr>
          <w:rFonts w:ascii="Times New Roman" w:hAnsi="Times New Roman" w:cs="Times New Roman" w:eastAsia="Times New Roman" w:hint="default"/>
        </w:rPr>
        <w:t>45</w:t>
      </w:r>
      <w:r>
        <w:rPr>
          <w:rFonts w:ascii="微软雅黑" w:hAnsi="微软雅黑" w:cs="微软雅黑" w:eastAsia="微软雅黑" w:hint="default"/>
        </w:rPr>
        <w:t>、预计负债 </w:t>
      </w:r>
      <w:r>
        <w:rPr/>
        <w:t>无 </w:t>
      </w:r>
      <w:bookmarkStart w:name="46、递延收益" w:id="342"/>
      <w:bookmarkEnd w:id="342"/>
      <w:r>
        <w:rPr/>
      </w:r>
      <w:r>
        <w:rPr>
          <w:rFonts w:ascii="Times New Roman" w:hAnsi="Times New Roman" w:cs="Times New Roman" w:eastAsia="Times New Roman" w:hint="default"/>
        </w:rPr>
        <w:t>46</w:t>
      </w:r>
      <w:r>
        <w:rPr>
          <w:rFonts w:ascii="微软雅黑" w:hAnsi="微软雅黑" w:cs="微软雅黑" w:eastAsia="微软雅黑" w:hint="default"/>
        </w:rPr>
        <w:t>、递延收益</w:t>
      </w:r>
    </w:p>
    <w:p>
      <w:pPr>
        <w:spacing w:before="5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642"/>
        <w:gridCol w:w="1644"/>
        <w:gridCol w:w="1643"/>
        <w:gridCol w:w="1642"/>
        <w:gridCol w:w="1642"/>
        <w:gridCol w:w="1643"/>
      </w:tblGrid>
      <w:tr>
        <w:trPr>
          <w:trHeight w:val="358"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31"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64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9"/>
              <w:ind w:left="496" w:right="0"/>
              <w:jc w:val="left"/>
              <w:rPr>
                <w:rFonts w:ascii="Times New Roman" w:hAnsi="Times New Roman" w:cs="Times New Roman" w:eastAsia="Times New Roman" w:hint="default"/>
                <w:sz w:val="18"/>
                <w:szCs w:val="18"/>
              </w:rPr>
            </w:pPr>
            <w:r>
              <w:rPr>
                <w:rFonts w:ascii="Times New Roman"/>
                <w:sz w:val="18"/>
              </w:rPr>
              <w:t>16,956,229.46</w:t>
            </w:r>
          </w:p>
        </w:tc>
        <w:tc>
          <w:tcPr>
            <w:tcW w:w="164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7,618,320.00</w:t>
            </w:r>
          </w:p>
        </w:tc>
        <w:tc>
          <w:tcPr>
            <w:tcW w:w="164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pacing w:val="-1"/>
                <w:sz w:val="18"/>
              </w:rPr>
              <w:t>2,000,309.42</w:t>
            </w:r>
          </w:p>
        </w:tc>
        <w:tc>
          <w:tcPr>
            <w:tcW w:w="164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9"/>
              <w:ind w:left="494" w:right="0"/>
              <w:jc w:val="left"/>
              <w:rPr>
                <w:rFonts w:ascii="Times New Roman" w:hAnsi="Times New Roman" w:cs="Times New Roman" w:eastAsia="Times New Roman" w:hint="default"/>
                <w:sz w:val="18"/>
                <w:szCs w:val="18"/>
              </w:rPr>
            </w:pPr>
            <w:r>
              <w:rPr>
                <w:rFonts w:ascii="Times New Roman"/>
                <w:sz w:val="18"/>
              </w:rPr>
              <w:t>22,574,240.04</w:t>
            </w:r>
          </w:p>
        </w:tc>
        <w:tc>
          <w:tcPr>
            <w:tcW w:w="164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9"/>
              <w:ind w:right="114"/>
              <w:jc w:val="center"/>
              <w:rPr>
                <w:rFonts w:ascii="宋体" w:hAnsi="宋体" w:cs="宋体" w:eastAsia="宋体" w:hint="default"/>
                <w:sz w:val="18"/>
                <w:szCs w:val="18"/>
              </w:rPr>
            </w:pPr>
            <w:r>
              <w:rPr>
                <w:rFonts w:ascii="宋体" w:hAnsi="宋体" w:cs="宋体" w:eastAsia="宋体" w:hint="default"/>
                <w:sz w:val="18"/>
                <w:szCs w:val="18"/>
              </w:rPr>
              <w:t>与资产</w:t>
            </w:r>
            <w:r>
              <w:rPr>
                <w:rFonts w:ascii="Times New Roman" w:hAnsi="Times New Roman" w:cs="Times New Roman" w:eastAsia="Times New Roman" w:hint="default"/>
                <w:sz w:val="18"/>
                <w:szCs w:val="18"/>
              </w:rPr>
              <w:t>/</w:t>
            </w:r>
            <w:r>
              <w:rPr>
                <w:rFonts w:ascii="宋体" w:hAnsi="宋体" w:cs="宋体" w:eastAsia="宋体" w:hint="default"/>
                <w:sz w:val="18"/>
                <w:szCs w:val="18"/>
              </w:rPr>
              <w:t>收益相关</w:t>
            </w:r>
          </w:p>
        </w:tc>
      </w:tr>
      <w:tr>
        <w:trPr>
          <w:trHeight w:val="408"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6" w:right="0"/>
              <w:jc w:val="left"/>
              <w:rPr>
                <w:rFonts w:ascii="Times New Roman" w:hAnsi="Times New Roman" w:cs="Times New Roman" w:eastAsia="Times New Roman" w:hint="default"/>
                <w:sz w:val="18"/>
                <w:szCs w:val="18"/>
              </w:rPr>
            </w:pPr>
            <w:r>
              <w:rPr>
                <w:rFonts w:ascii="Times New Roman"/>
                <w:sz w:val="18"/>
              </w:rPr>
              <w:t>16,956,229.46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7,618,320.00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2,000,309.42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4" w:right="0"/>
              <w:jc w:val="left"/>
              <w:rPr>
                <w:rFonts w:ascii="Times New Roman" w:hAnsi="Times New Roman" w:cs="Times New Roman" w:eastAsia="Times New Roman" w:hint="default"/>
                <w:sz w:val="18"/>
                <w:szCs w:val="18"/>
              </w:rPr>
            </w:pPr>
            <w:r>
              <w:rPr>
                <w:rFonts w:ascii="Times New Roman"/>
                <w:sz w:val="18"/>
              </w:rPr>
              <w:t>22,574,240.04</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after="0"/>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006"/>
        <w:gridCol w:w="1250"/>
        <w:gridCol w:w="1162"/>
        <w:gridCol w:w="1007"/>
        <w:gridCol w:w="1160"/>
        <w:gridCol w:w="1007"/>
        <w:gridCol w:w="1008"/>
        <w:gridCol w:w="1250"/>
        <w:gridCol w:w="1004"/>
      </w:tblGrid>
      <w:tr>
        <w:trPr>
          <w:trHeight w:val="833"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05" w:right="12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36" w:right="138"/>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26" w:right="12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38"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11" w:right="110"/>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293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8"/>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 业转型升 级智能制 造和“互 </w:t>
            </w:r>
            <w:r>
              <w:rPr>
                <w:rFonts w:ascii="宋体" w:hAnsi="宋体" w:cs="宋体" w:eastAsia="宋体" w:hint="default"/>
                <w:spacing w:val="-7"/>
                <w:sz w:val="18"/>
                <w:szCs w:val="18"/>
              </w:rPr>
              <w:t>联网</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动支撑保 障能力工 程</w:t>
            </w:r>
            <w:r>
              <w:rPr>
                <w:rFonts w:ascii="Times New Roman" w:hAnsi="Times New Roman" w:cs="Times New Roman" w:eastAsia="Times New Roman" w:hint="default"/>
                <w:sz w:val="18"/>
                <w:szCs w:val="18"/>
              </w:rPr>
              <w:t>--</w:t>
            </w:r>
            <w:r>
              <w:rPr>
                <w:rFonts w:ascii="宋体" w:hAnsi="宋体" w:cs="宋体" w:eastAsia="宋体" w:hint="default"/>
                <w:sz w:val="18"/>
                <w:szCs w:val="18"/>
              </w:rPr>
              <w:t>安全 芯片能力 提升机应 用方向专 项资金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300" w:lineRule="auto"/>
              <w:ind w:left="316" w:right="227" w:hanging="9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76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38"/>
              <w:ind w:left="103" w:right="110"/>
              <w:jc w:val="left"/>
              <w:rPr>
                <w:rFonts w:ascii="宋体" w:hAnsi="宋体" w:cs="宋体" w:eastAsia="宋体" w:hint="default"/>
                <w:sz w:val="18"/>
                <w:szCs w:val="18"/>
              </w:rPr>
            </w:pPr>
            <w:r>
              <w:rPr>
                <w:rFonts w:ascii="宋体" w:hAnsi="宋体" w:cs="宋体" w:eastAsia="宋体" w:hint="default"/>
                <w:sz w:val="18"/>
                <w:szCs w:val="18"/>
              </w:rPr>
              <w:t>海淀园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 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重 大科技成 果产业化 专项资金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302" w:lineRule="auto"/>
              <w:ind w:left="316" w:right="227" w:hanging="9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834"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71"/>
              <w:jc w:val="both"/>
              <w:rPr>
                <w:rFonts w:ascii="宋体" w:hAnsi="宋体" w:cs="宋体" w:eastAsia="宋体" w:hint="default"/>
                <w:sz w:val="18"/>
                <w:szCs w:val="18"/>
              </w:rPr>
            </w:pPr>
            <w:r>
              <w:rPr>
                <w:rFonts w:ascii="宋体" w:hAnsi="宋体" w:cs="宋体" w:eastAsia="宋体" w:hint="default"/>
                <w:sz w:val="18"/>
                <w:szCs w:val="18"/>
              </w:rPr>
              <w:t>战略性新 兴产品研 发补贴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17"/>
              <w:ind w:left="316" w:right="227" w:hanging="9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301"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6"/>
              <w:ind w:left="103" w:right="126"/>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级工业和 信息产业 转型升级 引导资金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536,229.46</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536,229.46</w:t>
            </w: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02" w:lineRule="auto"/>
              <w:ind w:left="316" w:right="227" w:hanging="9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06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71"/>
              <w:jc w:val="both"/>
              <w:rPr>
                <w:rFonts w:ascii="宋体" w:hAnsi="宋体" w:cs="宋体" w:eastAsia="宋体" w:hint="default"/>
                <w:sz w:val="18"/>
                <w:szCs w:val="18"/>
              </w:rPr>
            </w:pPr>
            <w:r>
              <w:rPr>
                <w:rFonts w:ascii="宋体" w:hAnsi="宋体" w:cs="宋体" w:eastAsia="宋体" w:hint="default"/>
                <w:sz w:val="18"/>
                <w:szCs w:val="18"/>
              </w:rPr>
              <w:t>北京市科 技计划项 目专项资 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420,000.00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420,000.00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00" w:lineRule="auto"/>
              <w:ind w:left="316" w:right="227"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71"/>
              <w:jc w:val="both"/>
              <w:rPr>
                <w:rFonts w:ascii="宋体" w:hAnsi="宋体" w:cs="宋体" w:eastAsia="宋体" w:hint="default"/>
                <w:sz w:val="18"/>
                <w:szCs w:val="18"/>
              </w:rPr>
            </w:pPr>
            <w:r>
              <w:rPr>
                <w:rFonts w:ascii="宋体" w:hAnsi="宋体" w:cs="宋体" w:eastAsia="宋体" w:hint="default"/>
                <w:sz w:val="18"/>
                <w:szCs w:val="18"/>
              </w:rPr>
              <w:t>企业技术 中心创新 能力提升 奖励</w:t>
            </w: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02" w:lineRule="auto"/>
              <w:ind w:left="316" w:right="227" w:hanging="9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834"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71"/>
              <w:jc w:val="both"/>
              <w:rPr>
                <w:rFonts w:ascii="宋体" w:hAnsi="宋体" w:cs="宋体" w:eastAsia="宋体" w:hint="default"/>
                <w:sz w:val="18"/>
                <w:szCs w:val="18"/>
              </w:rPr>
            </w:pPr>
            <w:r>
              <w:rPr>
                <w:rFonts w:ascii="宋体" w:hAnsi="宋体" w:cs="宋体" w:eastAsia="宋体" w:hint="default"/>
                <w:sz w:val="18"/>
                <w:szCs w:val="18"/>
              </w:rPr>
              <w:t>用于补贴 企业研发 投入</w:t>
            </w: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4,298,320.00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969,079.96</w:t>
            </w: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3,329,240.04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17"/>
              <w:ind w:left="316" w:right="227" w:hanging="90"/>
              <w:jc w:val="left"/>
              <w:rPr>
                <w:rFonts w:ascii="宋体" w:hAnsi="宋体" w:cs="宋体" w:eastAsia="宋体" w:hint="default"/>
                <w:sz w:val="18"/>
                <w:szCs w:val="18"/>
              </w:rPr>
            </w:pPr>
            <w:r>
              <w:rPr>
                <w:rFonts w:ascii="宋体" w:hAnsi="宋体" w:cs="宋体" w:eastAsia="宋体" w:hint="default"/>
                <w:sz w:val="18"/>
                <w:szCs w:val="18"/>
              </w:rPr>
              <w:t>与资产 相关</w:t>
            </w:r>
          </w:p>
        </w:tc>
      </w:tr>
      <w:tr>
        <w:trPr>
          <w:trHeight w:val="1535"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7"/>
              <w:ind w:left="103" w:right="12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陕西省中 小企业发 展专项资 金科技创 新项目</w:t>
            </w: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75,000.00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02" w:lineRule="auto"/>
              <w:ind w:left="316" w:right="227"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240"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8"/>
              <w:ind w:left="103" w:right="12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年成 都市第四 批科技项 目（科技 与专利保</w:t>
            </w: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120,000.00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02" w:lineRule="auto"/>
              <w:ind w:left="316" w:right="227"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302"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006"/>
        <w:gridCol w:w="1250"/>
        <w:gridCol w:w="1162"/>
        <w:gridCol w:w="1007"/>
        <w:gridCol w:w="1160"/>
        <w:gridCol w:w="1007"/>
        <w:gridCol w:w="1008"/>
        <w:gridCol w:w="1250"/>
        <w:gridCol w:w="1004"/>
      </w:tblGrid>
      <w:tr>
        <w:trPr>
          <w:trHeight w:val="834"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05" w:right="12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36" w:right="138"/>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26" w:right="12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38"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40"/>
              <w:ind w:left="111" w:right="110"/>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7" w:hRule="exact"/>
        </w:trPr>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险补贴）</w:t>
            </w: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16,956,229.46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7,618,320.00</w:t>
            </w:r>
          </w:p>
        </w:tc>
        <w:tc>
          <w:tcPr>
            <w:tcW w:w="1007"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2,000,309.42</w:t>
            </w:r>
          </w:p>
        </w:tc>
        <w:tc>
          <w:tcPr>
            <w:tcW w:w="1007"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22,574,240.04</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494" w:lineRule="auto" w:before="35"/>
        <w:ind w:left="1553" w:right="8443"/>
        <w:jc w:val="left"/>
      </w:pPr>
      <w:r>
        <w:rPr/>
        <w:t>其他说明： </w:t>
      </w:r>
      <w:bookmarkStart w:name="47、其他非流动负债" w:id="343"/>
      <w:bookmarkEnd w:id="343"/>
      <w:r>
        <w:rPr/>
      </w:r>
      <w:r>
        <w:rPr>
          <w:rFonts w:ascii="Times New Roman" w:hAnsi="Times New Roman" w:cs="Times New Roman" w:eastAsia="Times New Roman" w:hint="default"/>
        </w:rPr>
        <w:t>47</w:t>
      </w:r>
      <w:r>
        <w:rPr>
          <w:rFonts w:ascii="微软雅黑" w:hAnsi="微软雅黑" w:cs="微软雅黑" w:eastAsia="微软雅黑" w:hint="default"/>
        </w:rPr>
        <w:t>、其他非流动负债 </w:t>
      </w:r>
      <w:r>
        <w:rPr/>
        <w:t>无</w:t>
      </w:r>
    </w:p>
    <w:p>
      <w:pPr>
        <w:pStyle w:val="BodyText"/>
        <w:spacing w:line="240" w:lineRule="auto" w:before="53"/>
        <w:ind w:left="1553" w:right="0"/>
        <w:jc w:val="left"/>
        <w:rPr>
          <w:rFonts w:ascii="微软雅黑" w:hAnsi="微软雅黑" w:cs="微软雅黑" w:eastAsia="微软雅黑" w:hint="default"/>
        </w:rPr>
      </w:pPr>
      <w:bookmarkStart w:name="48、股本" w:id="344"/>
      <w:bookmarkEnd w:id="344"/>
      <w:r>
        <w:rPr/>
      </w:r>
      <w:r>
        <w:rPr>
          <w:rFonts w:ascii="Times New Roman" w:hAnsi="Times New Roman" w:cs="Times New Roman" w:eastAsia="Times New Roman" w:hint="default"/>
        </w:rPr>
        <w:t>48</w:t>
      </w:r>
      <w:r>
        <w:rPr>
          <w:rFonts w:ascii="微软雅黑" w:hAnsi="微软雅黑" w:cs="微软雅黑" w:eastAsia="微软雅黑" w:hint="default"/>
        </w:rPr>
        <w:t>、股本</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193"/>
        <w:gridCol w:w="1342"/>
        <w:gridCol w:w="1195"/>
        <w:gridCol w:w="1194"/>
        <w:gridCol w:w="1195"/>
        <w:gridCol w:w="1222"/>
        <w:gridCol w:w="1172"/>
        <w:gridCol w:w="1342"/>
      </w:tblGrid>
      <w:tr>
        <w:trPr>
          <w:trHeight w:val="397" w:hRule="exact"/>
        </w:trPr>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193" w:type="dxa"/>
            <w:vMerge/>
            <w:tcBorders>
              <w:left w:val="single" w:sz="4" w:space="0" w:color="000000"/>
              <w:bottom w:val="single" w:sz="4" w:space="0" w:color="000000"/>
              <w:right w:val="single" w:sz="4" w:space="0" w:color="000000"/>
            </w:tcBorders>
            <w:shd w:val="clear" w:color="auto" w:fill="D2D2D2"/>
          </w:tcPr>
          <w:p>
            <w:pPr/>
          </w:p>
        </w:tc>
        <w:tc>
          <w:tcPr>
            <w:tcW w:w="1342"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single" w:sz="4" w:space="0" w:color="000000"/>
            </w:tcBorders>
            <w:shd w:val="clear" w:color="auto" w:fill="D2D2D2"/>
          </w:tcPr>
          <w:p>
            <w:pPr/>
          </w:p>
        </w:tc>
      </w:tr>
      <w:tr>
        <w:trPr>
          <w:trHeight w:val="418"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4" w:right="0"/>
              <w:jc w:val="left"/>
              <w:rPr>
                <w:rFonts w:ascii="Times New Roman" w:hAnsi="Times New Roman" w:cs="Times New Roman" w:eastAsia="Times New Roman" w:hint="default"/>
                <w:sz w:val="18"/>
                <w:szCs w:val="18"/>
              </w:rPr>
            </w:pPr>
            <w:r>
              <w:rPr>
                <w:rFonts w:ascii="Times New Roman"/>
                <w:sz w:val="18"/>
              </w:rPr>
              <w:t>403,059,644.00</w:t>
            </w:r>
          </w:p>
        </w:tc>
        <w:tc>
          <w:tcPr>
            <w:tcW w:w="119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4"/>
              <w:ind w:left="35" w:right="0"/>
              <w:jc w:val="center"/>
              <w:rPr>
                <w:rFonts w:ascii="Times New Roman" w:hAnsi="Times New Roman" w:cs="Times New Roman" w:eastAsia="Times New Roman" w:hint="default"/>
                <w:sz w:val="18"/>
                <w:szCs w:val="18"/>
              </w:rPr>
            </w:pPr>
            <w:r>
              <w:rPr>
                <w:rFonts w:ascii="Times New Roman"/>
                <w:sz w:val="18"/>
              </w:rPr>
              <w:t>2,685,000.00</w:t>
            </w:r>
          </w:p>
        </w:tc>
        <w:tc>
          <w:tcPr>
            <w:tcW w:w="1194" w:type="dxa"/>
            <w:tcBorders>
              <w:top w:val="single" w:sz="8" w:space="0" w:color="D2D2D2"/>
              <w:left w:val="single" w:sz="4" w:space="0" w:color="000000"/>
              <w:bottom w:val="single" w:sz="4" w:space="0" w:color="000000"/>
              <w:right w:val="single" w:sz="4" w:space="0" w:color="000000"/>
            </w:tcBorders>
          </w:tcPr>
          <w:p>
            <w:pPr/>
          </w:p>
        </w:tc>
        <w:tc>
          <w:tcPr>
            <w:tcW w:w="1195" w:type="dxa"/>
            <w:tcBorders>
              <w:top w:val="single" w:sz="8" w:space="0" w:color="D2D2D2"/>
              <w:left w:val="single" w:sz="4" w:space="0" w:color="000000"/>
              <w:bottom w:val="single" w:sz="4" w:space="0" w:color="000000"/>
              <w:right w:val="single" w:sz="4" w:space="0" w:color="000000"/>
            </w:tcBorders>
          </w:tcPr>
          <w:p>
            <w:pPr/>
          </w:p>
        </w:tc>
        <w:tc>
          <w:tcPr>
            <w:tcW w:w="1222"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8"/>
                <w:szCs w:val="18"/>
              </w:rPr>
            </w:pPr>
            <w:r>
              <w:rPr>
                <w:rFonts w:ascii="Times New Roman"/>
                <w:sz w:val="18"/>
              </w:rPr>
              <w:t>-1,866,022.00</w:t>
            </w:r>
          </w:p>
        </w:tc>
        <w:tc>
          <w:tcPr>
            <w:tcW w:w="1172"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94"/>
              <w:ind w:left="250" w:right="0"/>
              <w:jc w:val="left"/>
              <w:rPr>
                <w:rFonts w:ascii="Times New Roman" w:hAnsi="Times New Roman" w:cs="Times New Roman" w:eastAsia="Times New Roman" w:hint="default"/>
                <w:sz w:val="18"/>
                <w:szCs w:val="18"/>
              </w:rPr>
            </w:pPr>
            <w:r>
              <w:rPr>
                <w:rFonts w:ascii="Times New Roman"/>
                <w:sz w:val="18"/>
              </w:rPr>
              <w:t>818,978.00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4" w:right="0"/>
              <w:jc w:val="left"/>
              <w:rPr>
                <w:rFonts w:ascii="Times New Roman" w:hAnsi="Times New Roman" w:cs="Times New Roman" w:eastAsia="Times New Roman" w:hint="default"/>
                <w:sz w:val="18"/>
                <w:szCs w:val="18"/>
              </w:rPr>
            </w:pPr>
            <w:r>
              <w:rPr>
                <w:rFonts w:ascii="Times New Roman"/>
                <w:sz w:val="18"/>
              </w:rPr>
              <w:t>403,878,622.00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①</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36"/>
        </w:rPr>
        <w:t> </w:t>
      </w:r>
      <w:r>
        <w:rPr>
          <w:rFonts w:ascii="Times New Roman" w:hAnsi="Times New Roman" w:cs="Times New Roman" w:eastAsia="Times New Roman" w:hint="default"/>
        </w:rPr>
        <w:t>11</w:t>
      </w:r>
      <w:r>
        <w:rPr>
          <w:rFonts w:ascii="Times New Roman" w:hAnsi="Times New Roman" w:cs="Times New Roman" w:eastAsia="Times New Roman" w:hint="default"/>
          <w:spacing w:val="-3"/>
        </w:rPr>
        <w:t> </w:t>
      </w:r>
      <w:r>
        <w:rPr/>
        <w:t>日，本公司根据《中科创达软件股份有限公司关于向激励对象授予限制性股票的议</w:t>
      </w:r>
    </w:p>
    <w:p>
      <w:pPr>
        <w:pStyle w:val="BodyText"/>
        <w:spacing w:line="240" w:lineRule="auto" w:before="49"/>
        <w:ind w:left="1133" w:right="0"/>
        <w:jc w:val="both"/>
      </w:pPr>
      <w:r>
        <w:rPr/>
        <w:t>案》有关条款和股东大会授权，向符合条件的 </w:t>
      </w:r>
      <w:r>
        <w:rPr>
          <w:rFonts w:ascii="Times New Roman" w:hAnsi="Times New Roman" w:cs="Times New Roman" w:eastAsia="Times New Roman" w:hint="default"/>
        </w:rPr>
        <w:t>199 </w:t>
      </w:r>
      <w:r>
        <w:rPr/>
        <w:t>名激励对象授予 </w:t>
      </w:r>
      <w:r>
        <w:rPr>
          <w:rFonts w:ascii="Times New Roman" w:hAnsi="Times New Roman" w:cs="Times New Roman" w:eastAsia="Times New Roman" w:hint="default"/>
        </w:rPr>
        <w:t>2,685,000</w:t>
      </w:r>
      <w:r>
        <w:rPr>
          <w:rFonts w:ascii="Times New Roman" w:hAnsi="Times New Roman" w:cs="Times New Roman" w:eastAsia="Times New Roman" w:hint="default"/>
          <w:spacing w:val="-26"/>
        </w:rPr>
        <w:t> </w:t>
      </w:r>
      <w:r>
        <w:rPr/>
        <w:t>股限制性股票，认购价格每</w:t>
      </w:r>
    </w:p>
    <w:p>
      <w:pPr>
        <w:pStyle w:val="BodyText"/>
        <w:spacing w:line="240" w:lineRule="auto" w:before="50"/>
        <w:ind w:left="1133" w:right="0"/>
        <w:jc w:val="both"/>
      </w:pPr>
      <w:r>
        <w:rPr/>
        <w:t>股</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.59</w:t>
      </w:r>
      <w:r>
        <w:rPr>
          <w:rFonts w:ascii="Times New Roman" w:hAnsi="Times New Roman" w:cs="Times New Roman" w:eastAsia="Times New Roman" w:hint="default"/>
          <w:spacing w:val="-10"/>
        </w:rPr>
        <w:t> </w:t>
      </w:r>
      <w:r>
        <w:rPr/>
        <w:t>元</w:t>
      </w:r>
      <w:r>
        <w:rPr>
          <w:spacing w:val="-106"/>
        </w:rPr>
        <w:t>，</w:t>
      </w:r>
      <w:r>
        <w:rPr/>
        <w:t>认购金额合计</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,489,150.00</w:t>
      </w:r>
      <w:r>
        <w:rPr>
          <w:rFonts w:ascii="Times New Roman" w:hAnsi="Times New Roman" w:cs="Times New Roman" w:eastAsia="Times New Roman" w:hint="default"/>
          <w:spacing w:val="-10"/>
        </w:rPr>
        <w:t> </w:t>
      </w:r>
      <w:r>
        <w:rPr>
          <w:spacing w:val="-2"/>
        </w:rPr>
        <w:t>元</w:t>
      </w:r>
      <w:r>
        <w:rPr>
          <w:spacing w:val="-105"/>
        </w:rPr>
        <w:t>，</w:t>
      </w:r>
      <w:r>
        <w:rPr/>
        <w:t>业</w:t>
      </w:r>
      <w:r>
        <w:rPr>
          <w:spacing w:val="-2"/>
        </w:rPr>
        <w:t>经</w:t>
      </w:r>
      <w:r>
        <w:rPr/>
        <w:t>致同会计师事务</w:t>
      </w:r>
      <w:r>
        <w:rPr>
          <w:spacing w:val="-104"/>
        </w:rPr>
        <w:t>所</w:t>
      </w:r>
      <w:r>
        <w:rPr/>
        <w:t>（特</w:t>
      </w:r>
      <w:r>
        <w:rPr>
          <w:spacing w:val="-2"/>
        </w:rPr>
        <w:t>殊</w:t>
      </w:r>
      <w:r>
        <w:rPr/>
        <w:t>普通合伙</w:t>
      </w:r>
      <w:r>
        <w:rPr>
          <w:spacing w:val="-105"/>
        </w:rPr>
        <w:t>）</w:t>
      </w:r>
      <w:r>
        <w:rPr>
          <w:spacing w:val="-2"/>
        </w:rPr>
        <w:t>出</w:t>
      </w:r>
      <w:r>
        <w:rPr/>
        <w:t>具的致同验</w:t>
      </w:r>
      <w:r>
        <w:rPr>
          <w:spacing w:val="-105"/>
        </w:rPr>
        <w:t>字</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w:t>
      </w:r>
      <w:r>
        <w:rPr>
          <w:rFonts w:ascii="Times New Roman" w:hAnsi="Times New Roman" w:cs="Times New Roman" w:eastAsia="Times New Roman" w:hint="default"/>
          <w:spacing w:val="2"/>
        </w:rPr>
        <w:t>7</w:t>
      </w:r>
      <w:r>
        <w:rPr/>
        <w:t>）</w:t>
      </w:r>
    </w:p>
    <w:p>
      <w:pPr>
        <w:pStyle w:val="BodyText"/>
        <w:spacing w:line="240" w:lineRule="auto" w:before="50"/>
        <w:ind w:left="1133" w:right="0"/>
        <w:jc w:val="both"/>
      </w:pPr>
      <w:r>
        <w:rPr/>
        <w:t>第</w:t>
      </w:r>
      <w:r>
        <w:rPr>
          <w:spacing w:val="-53"/>
        </w:rPr>
        <w:t> </w:t>
      </w:r>
      <w:r>
        <w:rPr>
          <w:rFonts w:ascii="Times New Roman" w:hAnsi="Times New Roman" w:cs="Times New Roman" w:eastAsia="Times New Roman" w:hint="default"/>
        </w:rPr>
        <w:t>110ZC0346</w:t>
      </w:r>
      <w:r>
        <w:rPr>
          <w:rFonts w:ascii="Times New Roman" w:hAnsi="Times New Roman" w:cs="Times New Roman" w:eastAsia="Times New Roman" w:hint="default"/>
          <w:spacing w:val="-10"/>
        </w:rPr>
        <w:t> </w:t>
      </w:r>
      <w:r>
        <w:rPr>
          <w:spacing w:val="-4"/>
        </w:rPr>
        <w:t>号验资报告予以验证，并于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日在中国证券登记结算有限责任公司深圳分公司</w:t>
      </w:r>
    </w:p>
    <w:p>
      <w:pPr>
        <w:pStyle w:val="BodyText"/>
        <w:spacing w:line="240" w:lineRule="auto" w:before="49"/>
        <w:ind w:left="1133" w:right="0"/>
        <w:jc w:val="both"/>
      </w:pPr>
      <w:r>
        <w:rPr>
          <w:spacing w:val="10"/>
        </w:rPr>
        <w:t>完成登记。公司相应增加股本 </w:t>
      </w:r>
      <w:r>
        <w:rPr>
          <w:rFonts w:ascii="Times New Roman" w:hAnsi="Times New Roman" w:cs="Times New Roman" w:eastAsia="Times New Roman" w:hint="default"/>
        </w:rPr>
        <w:t>2,685,000  </w:t>
      </w:r>
      <w:r>
        <w:rPr>
          <w:spacing w:val="10"/>
        </w:rPr>
        <w:t>元，增加库存股 </w:t>
      </w:r>
      <w:r>
        <w:rPr>
          <w:rFonts w:ascii="Times New Roman" w:hAnsi="Times New Roman" w:cs="Times New Roman" w:eastAsia="Times New Roman" w:hint="default"/>
        </w:rPr>
        <w:t>36,489,150.00 </w:t>
      </w:r>
      <w:r>
        <w:rPr>
          <w:rFonts w:ascii="Times New Roman" w:hAnsi="Times New Roman" w:cs="Times New Roman" w:eastAsia="Times New Roman" w:hint="default"/>
          <w:spacing w:val="12"/>
        </w:rPr>
        <w:t> </w:t>
      </w:r>
      <w:r>
        <w:rPr>
          <w:spacing w:val="10"/>
        </w:rPr>
        <w:t>元，增加资本公积</w:t>
      </w:r>
      <w:r>
        <w:rPr>
          <w:rFonts w:ascii="Times New Roman" w:hAnsi="Times New Roman" w:cs="Times New Roman" w:eastAsia="Times New Roman" w:hint="default"/>
          <w:spacing w:val="10"/>
        </w:rPr>
        <w:t>-</w:t>
      </w:r>
      <w:r>
        <w:rPr>
          <w:spacing w:val="10"/>
        </w:rPr>
        <w:t>股本溢价</w:t>
      </w:r>
    </w:p>
    <w:p>
      <w:pPr>
        <w:pStyle w:val="BodyText"/>
        <w:spacing w:line="240" w:lineRule="auto" w:before="50"/>
        <w:ind w:left="1133" w:right="0"/>
        <w:jc w:val="both"/>
      </w:pPr>
      <w:r>
        <w:rPr>
          <w:rFonts w:ascii="Times New Roman" w:hAnsi="Times New Roman" w:cs="Times New Roman" w:eastAsia="Times New Roman" w:hint="default"/>
        </w:rPr>
        <w:t>33,804,150.00</w:t>
      </w:r>
      <w:r>
        <w:rPr>
          <w:rFonts w:ascii="Times New Roman" w:hAnsi="Times New Roman" w:cs="Times New Roman" w:eastAsia="Times New Roman" w:hint="default"/>
          <w:spacing w:val="-10"/>
        </w:rPr>
        <w:t> </w:t>
      </w:r>
      <w:r>
        <w:rPr/>
        <w:t>元。</w:t>
      </w:r>
    </w:p>
    <w:p>
      <w:pPr>
        <w:spacing w:line="240" w:lineRule="auto" w:before="6"/>
        <w:rPr>
          <w:rFonts w:ascii="宋体" w:hAnsi="宋体" w:cs="宋体" w:eastAsia="宋体" w:hint="default"/>
          <w:sz w:val="20"/>
          <w:szCs w:val="20"/>
        </w:rPr>
      </w:pPr>
    </w:p>
    <w:p>
      <w:pPr>
        <w:pStyle w:val="BodyText"/>
        <w:spacing w:line="290" w:lineRule="auto"/>
        <w:ind w:left="1134" w:right="1129" w:firstLine="420"/>
        <w:jc w:val="both"/>
      </w:pPr>
      <w:r>
        <w:rPr/>
        <w:t>②</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日，因股权激励计划中被激励对象</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人离职，经本公司第二届董事会第十三次会议 </w:t>
      </w:r>
      <w:r>
        <w:rPr>
          <w:spacing w:val="-1"/>
        </w:rPr>
        <w:t>决议和修改后的公司章程规定，回购并注销其已获授权但尚未解锁的全部限制性股票。由于股权激励授予</w:t>
      </w:r>
      <w:r>
        <w:rPr>
          <w:spacing w:val="-81"/>
        </w:rPr>
        <w:t> </w:t>
      </w:r>
      <w:r>
        <w:rPr>
          <w:spacing w:val="-81"/>
        </w:rPr>
      </w:r>
      <w:r>
        <w:rPr/>
        <w:t>后公司实施权益分派，资本公积转增股本，以上</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名离职员工持股合计由</w:t>
      </w:r>
      <w:r>
        <w:rPr>
          <w:spacing w:val="-48"/>
        </w:rPr>
        <w:t> </w:t>
      </w:r>
      <w:r>
        <w:rPr>
          <w:rFonts w:ascii="Times New Roman" w:hAnsi="Times New Roman" w:cs="Times New Roman" w:eastAsia="Times New Roman" w:hint="default"/>
        </w:rPr>
        <w:t>31,000</w:t>
      </w:r>
      <w:r>
        <w:rPr>
          <w:rFonts w:ascii="Times New Roman" w:hAnsi="Times New Roman" w:cs="Times New Roman" w:eastAsia="Times New Roman" w:hint="default"/>
          <w:spacing w:val="-12"/>
        </w:rPr>
        <w:t> </w:t>
      </w:r>
      <w:r>
        <w:rPr/>
        <w:t>股增加至</w:t>
      </w:r>
      <w:r>
        <w:rPr>
          <w:spacing w:val="-49"/>
        </w:rPr>
        <w:t> </w:t>
      </w:r>
      <w:r>
        <w:rPr>
          <w:rFonts w:ascii="Times New Roman" w:hAnsi="Times New Roman" w:cs="Times New Roman" w:eastAsia="Times New Roman" w:hint="default"/>
        </w:rPr>
        <w:t>121,171</w:t>
      </w:r>
      <w:r>
        <w:rPr>
          <w:rFonts w:ascii="Times New Roman" w:hAnsi="Times New Roman" w:cs="Times New Roman" w:eastAsia="Times New Roman" w:hint="default"/>
          <w:spacing w:val="-12"/>
        </w:rPr>
        <w:t> </w:t>
      </w:r>
      <w:r>
        <w:rPr>
          <w:spacing w:val="-2"/>
        </w:rPr>
        <w:t>股，每</w:t>
      </w:r>
      <w:r>
        <w:rPr/>
      </w:r>
    </w:p>
    <w:p>
      <w:pPr>
        <w:pStyle w:val="BodyText"/>
        <w:spacing w:line="280" w:lineRule="auto"/>
        <w:ind w:left="1133" w:right="1130"/>
        <w:jc w:val="both"/>
      </w:pPr>
      <w:r>
        <w:rPr/>
        <w:t>股回购价格按照激励计划进行调整，回购款总额与合计授予价格一致，回购金额合计 </w:t>
      </w:r>
      <w:r>
        <w:rPr>
          <w:rFonts w:ascii="Times New Roman" w:hAnsi="Times New Roman" w:cs="Times New Roman" w:eastAsia="Times New Roman" w:hint="default"/>
        </w:rPr>
        <w:t>2,649,880.00</w:t>
      </w:r>
      <w:r>
        <w:rPr>
          <w:rFonts w:ascii="Times New Roman" w:hAnsi="Times New Roman" w:cs="Times New Roman" w:eastAsia="Times New Roman" w:hint="default"/>
          <w:spacing w:val="-23"/>
        </w:rPr>
        <w:t> </w:t>
      </w:r>
      <w:r>
        <w:rPr/>
        <w:t>元，业 </w:t>
      </w:r>
      <w:r>
        <w:rPr>
          <w:spacing w:val="-2"/>
        </w:rPr>
        <w:t>经致同会计师事务所（特殊普通合伙）出具的致同验字（</w:t>
      </w:r>
      <w:r>
        <w:rPr>
          <w:rFonts w:ascii="Times New Roman" w:hAnsi="Times New Roman" w:cs="Times New Roman" w:eastAsia="Times New Roman" w:hint="default"/>
          <w:spacing w:val="-2"/>
        </w:rPr>
        <w:t>2017</w:t>
      </w:r>
      <w:r>
        <w:rPr>
          <w:spacing w:val="-2"/>
        </w:rPr>
        <w:t>）第</w:t>
      </w:r>
      <w:r>
        <w:rPr>
          <w:spacing w:val="-49"/>
        </w:rPr>
        <w:t> </w:t>
      </w:r>
      <w:r>
        <w:rPr>
          <w:rFonts w:ascii="Times New Roman" w:hAnsi="Times New Roman" w:cs="Times New Roman" w:eastAsia="Times New Roman" w:hint="default"/>
        </w:rPr>
        <w:t>110ZC0050</w:t>
      </w:r>
      <w:r>
        <w:rPr>
          <w:rFonts w:ascii="Times New Roman" w:hAnsi="Times New Roman" w:cs="Times New Roman" w:eastAsia="Times New Roman" w:hint="default"/>
          <w:spacing w:val="-7"/>
        </w:rPr>
        <w:t> </w:t>
      </w:r>
      <w:r>
        <w:rPr>
          <w:spacing w:val="-2"/>
        </w:rPr>
        <w:t>号验资报告予以验证。公司</w:t>
      </w:r>
      <w:r>
        <w:rPr/>
        <w:t> 相应减少股本</w:t>
      </w:r>
      <w:r>
        <w:rPr>
          <w:spacing w:val="-54"/>
        </w:rPr>
        <w:t> </w:t>
      </w:r>
      <w:r>
        <w:rPr>
          <w:rFonts w:ascii="Times New Roman" w:hAnsi="Times New Roman" w:cs="Times New Roman" w:eastAsia="Times New Roman" w:hint="default"/>
        </w:rPr>
        <w:t>121,171.00</w:t>
      </w:r>
      <w:r>
        <w:rPr>
          <w:rFonts w:ascii="Times New Roman" w:hAnsi="Times New Roman" w:cs="Times New Roman" w:eastAsia="Times New Roman" w:hint="default"/>
          <w:spacing w:val="-12"/>
        </w:rPr>
        <w:t> </w:t>
      </w:r>
      <w:r>
        <w:rPr/>
        <w:t>元，减少库存股</w:t>
      </w:r>
      <w:r>
        <w:rPr>
          <w:spacing w:val="-54"/>
        </w:rPr>
        <w:t> </w:t>
      </w:r>
      <w:r>
        <w:rPr>
          <w:rFonts w:ascii="Times New Roman" w:hAnsi="Times New Roman" w:cs="Times New Roman" w:eastAsia="Times New Roman" w:hint="default"/>
        </w:rPr>
        <w:t>2,649,880.00</w:t>
      </w:r>
      <w:r>
        <w:rPr>
          <w:rFonts w:ascii="Times New Roman" w:hAnsi="Times New Roman" w:cs="Times New Roman" w:eastAsia="Times New Roman" w:hint="default"/>
          <w:spacing w:val="-13"/>
        </w:rPr>
        <w:t> </w:t>
      </w:r>
      <w:r>
        <w:rPr/>
        <w:t>元，减少资本公积</w:t>
      </w:r>
      <w:r>
        <w:rPr>
          <w:rFonts w:ascii="Times New Roman" w:hAnsi="Times New Roman" w:cs="Times New Roman" w:eastAsia="Times New Roman" w:hint="default"/>
        </w:rPr>
        <w:t>-</w:t>
      </w:r>
      <w:r>
        <w:rPr/>
        <w:t>股本溢价</w:t>
      </w:r>
      <w:r>
        <w:rPr>
          <w:spacing w:val="-54"/>
        </w:rPr>
        <w:t> </w:t>
      </w:r>
      <w:r>
        <w:rPr>
          <w:rFonts w:ascii="Times New Roman" w:hAnsi="Times New Roman" w:cs="Times New Roman" w:eastAsia="Times New Roman" w:hint="default"/>
        </w:rPr>
        <w:t>2,528,709.00</w:t>
      </w:r>
      <w:r>
        <w:rPr>
          <w:rFonts w:ascii="Times New Roman" w:hAnsi="Times New Roman" w:cs="Times New Roman" w:eastAsia="Times New Roman" w:hint="default"/>
          <w:spacing w:val="-12"/>
        </w:rPr>
        <w:t> </w:t>
      </w:r>
      <w:r>
        <w:rPr/>
        <w:t>元。</w:t>
      </w:r>
    </w:p>
    <w:p>
      <w:pPr>
        <w:spacing w:line="240" w:lineRule="auto" w:before="5"/>
        <w:rPr>
          <w:rFonts w:ascii="宋体" w:hAnsi="宋体" w:cs="宋体" w:eastAsia="宋体" w:hint="default"/>
          <w:sz w:val="17"/>
          <w:szCs w:val="17"/>
        </w:rPr>
      </w:pPr>
    </w:p>
    <w:p>
      <w:pPr>
        <w:pStyle w:val="BodyText"/>
        <w:spacing w:line="290" w:lineRule="auto"/>
        <w:ind w:left="1134" w:right="1131" w:firstLine="420"/>
        <w:jc w:val="both"/>
      </w:pPr>
      <w:r>
        <w:rPr/>
        <w:t>③</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日，因股权激励计划中被激励对象</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人离职，经本公司第二届董事会第十八次会议 </w:t>
      </w:r>
      <w:r>
        <w:rPr>
          <w:spacing w:val="-1"/>
        </w:rPr>
        <w:t>决议和修改后的公司章程规定，回购并注销其已获授权但尚未解锁的全部限制性股票。由于股权激励授予</w:t>
      </w:r>
      <w:r>
        <w:rPr>
          <w:spacing w:val="-81"/>
        </w:rPr>
        <w:t> </w:t>
      </w:r>
      <w:r>
        <w:rPr>
          <w:spacing w:val="-81"/>
        </w:rPr>
      </w:r>
      <w:r>
        <w:rPr>
          <w:spacing w:val="-4"/>
        </w:rPr>
        <w:t>后公司实施权益分派，资本公积转增股本，以上</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名离职员工持股合计由</w:t>
      </w:r>
      <w:r>
        <w:rPr>
          <w:spacing w:val="-50"/>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8"/>
        </w:rPr>
        <w:t> </w:t>
      </w:r>
      <w:r>
        <w:rPr/>
        <w:t>股增加至</w:t>
      </w:r>
      <w:r>
        <w:rPr>
          <w:spacing w:val="-50"/>
        </w:rPr>
        <w:t> </w:t>
      </w:r>
      <w:r>
        <w:rPr>
          <w:rFonts w:ascii="Times New Roman" w:hAnsi="Times New Roman" w:cs="Times New Roman" w:eastAsia="Times New Roman" w:hint="default"/>
        </w:rPr>
        <w:t>50,815</w:t>
      </w:r>
      <w:r>
        <w:rPr>
          <w:rFonts w:ascii="Times New Roman" w:hAnsi="Times New Roman" w:cs="Times New Roman" w:eastAsia="Times New Roman" w:hint="default"/>
          <w:spacing w:val="-8"/>
        </w:rPr>
        <w:t> </w:t>
      </w:r>
      <w:r>
        <w:rPr>
          <w:spacing w:val="-9"/>
        </w:rPr>
        <w:t>股，每股</w:t>
      </w:r>
    </w:p>
    <w:p>
      <w:pPr>
        <w:pStyle w:val="BodyText"/>
        <w:spacing w:line="280" w:lineRule="auto"/>
        <w:ind w:left="1133" w:right="1129"/>
        <w:jc w:val="both"/>
      </w:pPr>
      <w:r>
        <w:rPr/>
        <w:t>回购价格按照激励计划进行调整，回购款总额与合计授予价格一致，回购金额合计 </w:t>
      </w:r>
      <w:r>
        <w:rPr>
          <w:rFonts w:ascii="Times New Roman" w:hAnsi="Times New Roman" w:cs="Times New Roman" w:eastAsia="Times New Roman" w:hint="default"/>
        </w:rPr>
        <w:t>1,111,240.00</w:t>
      </w:r>
      <w:r>
        <w:rPr>
          <w:rFonts w:ascii="Times New Roman" w:hAnsi="Times New Roman" w:cs="Times New Roman" w:eastAsia="Times New Roman" w:hint="default"/>
          <w:spacing w:val="-21"/>
        </w:rPr>
        <w:t> </w:t>
      </w:r>
      <w:r>
        <w:rPr/>
        <w:t>元，业经 </w:t>
      </w:r>
      <w:r>
        <w:rPr>
          <w:spacing w:val="-2"/>
        </w:rPr>
        <w:t>致同会计师事务所（特殊普通合伙）出具的致同验字（</w:t>
      </w:r>
      <w:r>
        <w:rPr>
          <w:rFonts w:ascii="Times New Roman" w:hAnsi="Times New Roman" w:cs="Times New Roman" w:eastAsia="Times New Roman" w:hint="default"/>
          <w:spacing w:val="-2"/>
        </w:rPr>
        <w:t>2017</w:t>
      </w:r>
      <w:r>
        <w:rPr>
          <w:spacing w:val="-2"/>
        </w:rPr>
        <w:t>）第</w:t>
      </w:r>
      <w:r>
        <w:rPr>
          <w:spacing w:val="-45"/>
        </w:rPr>
        <w:t> </w:t>
      </w:r>
      <w:r>
        <w:rPr>
          <w:rFonts w:ascii="Times New Roman" w:hAnsi="Times New Roman" w:cs="Times New Roman" w:eastAsia="Times New Roman" w:hint="default"/>
          <w:spacing w:val="-1"/>
        </w:rPr>
        <w:t>110ZC0143</w:t>
      </w:r>
      <w:r>
        <w:rPr>
          <w:rFonts w:ascii="Times New Roman" w:hAnsi="Times New Roman" w:cs="Times New Roman" w:eastAsia="Times New Roman" w:hint="default"/>
          <w:spacing w:val="-4"/>
        </w:rPr>
        <w:t> </w:t>
      </w:r>
      <w:r>
        <w:rPr>
          <w:spacing w:val="-2"/>
        </w:rPr>
        <w:t>号验资报告予以验证。公司相</w:t>
      </w:r>
      <w:r>
        <w:rPr>
          <w:spacing w:val="-103"/>
        </w:rPr>
        <w:t> </w:t>
      </w:r>
      <w:r>
        <w:rPr>
          <w:spacing w:val="-103"/>
        </w:rPr>
      </w:r>
      <w:r>
        <w:rPr/>
        <w:t>应减少股本</w:t>
      </w:r>
      <w:r>
        <w:rPr>
          <w:spacing w:val="-53"/>
        </w:rPr>
        <w:t> </w:t>
      </w:r>
      <w:r>
        <w:rPr>
          <w:rFonts w:ascii="Times New Roman" w:hAnsi="Times New Roman" w:cs="Times New Roman" w:eastAsia="Times New Roman" w:hint="default"/>
        </w:rPr>
        <w:t>50,815.00</w:t>
      </w:r>
      <w:r>
        <w:rPr>
          <w:rFonts w:ascii="Times New Roman" w:hAnsi="Times New Roman" w:cs="Times New Roman" w:eastAsia="Times New Roman" w:hint="default"/>
          <w:spacing w:val="-11"/>
        </w:rPr>
        <w:t> </w:t>
      </w:r>
      <w:r>
        <w:rPr/>
        <w:t>元，减少库存股</w:t>
      </w:r>
      <w:r>
        <w:rPr>
          <w:spacing w:val="-54"/>
        </w:rPr>
        <w:t> </w:t>
      </w:r>
      <w:r>
        <w:rPr>
          <w:rFonts w:ascii="Times New Roman" w:hAnsi="Times New Roman" w:cs="Times New Roman" w:eastAsia="Times New Roman" w:hint="default"/>
        </w:rPr>
        <w:t>1,111,240.00</w:t>
      </w:r>
      <w:r>
        <w:rPr>
          <w:rFonts w:ascii="Times New Roman" w:hAnsi="Times New Roman" w:cs="Times New Roman" w:eastAsia="Times New Roman" w:hint="default"/>
          <w:spacing w:val="-12"/>
        </w:rPr>
        <w:t> </w:t>
      </w:r>
      <w:r>
        <w:rPr/>
        <w:t>元，减少资本公积</w:t>
      </w:r>
      <w:r>
        <w:rPr>
          <w:rFonts w:ascii="Times New Roman" w:hAnsi="Times New Roman" w:cs="Times New Roman" w:eastAsia="Times New Roman" w:hint="default"/>
        </w:rPr>
        <w:t>-</w:t>
      </w:r>
      <w:r>
        <w:rPr/>
        <w:t>股本溢价</w:t>
      </w:r>
      <w:r>
        <w:rPr>
          <w:spacing w:val="-53"/>
        </w:rPr>
        <w:t> </w:t>
      </w:r>
      <w:r>
        <w:rPr>
          <w:rFonts w:ascii="Times New Roman" w:hAnsi="Times New Roman" w:cs="Times New Roman" w:eastAsia="Times New Roman" w:hint="default"/>
        </w:rPr>
        <w:t>1,060,425.00</w:t>
      </w:r>
      <w:r>
        <w:rPr>
          <w:rFonts w:ascii="Times New Roman" w:hAnsi="Times New Roman" w:cs="Times New Roman" w:eastAsia="Times New Roman" w:hint="default"/>
          <w:spacing w:val="-12"/>
        </w:rPr>
        <w:t> </w:t>
      </w:r>
      <w:r>
        <w:rPr/>
        <w:t>元。</w:t>
      </w:r>
    </w:p>
    <w:p>
      <w:pPr>
        <w:spacing w:line="240" w:lineRule="auto" w:before="5"/>
        <w:rPr>
          <w:rFonts w:ascii="宋体" w:hAnsi="宋体" w:cs="宋体" w:eastAsia="宋体" w:hint="default"/>
          <w:sz w:val="17"/>
          <w:szCs w:val="17"/>
        </w:rPr>
      </w:pPr>
    </w:p>
    <w:p>
      <w:pPr>
        <w:pStyle w:val="BodyText"/>
        <w:spacing w:line="240" w:lineRule="auto"/>
        <w:ind w:right="0"/>
        <w:jc w:val="left"/>
      </w:pPr>
      <w:r>
        <w:rPr/>
        <w:t>④</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日，经本公司第二届董事会第十九次会议决议通过了《关于公司限制性股票激励计</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88" w:lineRule="auto" w:before="35"/>
        <w:ind w:left="1133" w:right="1109"/>
        <w:jc w:val="both"/>
      </w:pPr>
      <w:r>
        <w:rPr/>
        <w:t>划第一个解锁期解锁条件成就的议案》、《关于回购注销限制性股票激励计划部分限制性股票的议案》， 取消离职人员胡际晓等共计</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人的激励对象资格并回购注销其已获授权但尚未解锁的全部限制性股票；根 </w:t>
      </w:r>
      <w:r>
        <w:rPr>
          <w:spacing w:val="-6"/>
        </w:rPr>
        <w:t>据《限制性股票激励计划》之规定，“考核结果为</w:t>
      </w:r>
      <w:r>
        <w:rPr>
          <w:spacing w:val="-46"/>
        </w:rPr>
        <w:t> </w:t>
      </w:r>
      <w:r>
        <w:rPr>
          <w:rFonts w:ascii="Times New Roman" w:hAnsi="Times New Roman" w:cs="Times New Roman" w:eastAsia="Times New Roman" w:hint="default"/>
        </w:rPr>
        <w:t>C</w:t>
      </w:r>
      <w:r>
        <w:rPr>
          <w:rFonts w:ascii="Times New Roman" w:hAnsi="Times New Roman" w:cs="Times New Roman" w:eastAsia="Times New Roman" w:hint="default"/>
          <w:spacing w:val="-6"/>
        </w:rPr>
        <w:t> </w:t>
      </w:r>
      <w:r>
        <w:rPr>
          <w:spacing w:val="-3"/>
        </w:rPr>
        <w:t>级的股权激励对象，解锁系数为</w:t>
      </w:r>
      <w:r>
        <w:rPr>
          <w:spacing w:val="-46"/>
        </w:rPr>
        <w:t> </w:t>
      </w:r>
      <w:r>
        <w:rPr>
          <w:rFonts w:ascii="Times New Roman" w:hAnsi="Times New Roman" w:cs="Times New Roman" w:eastAsia="Times New Roman" w:hint="default"/>
          <w:spacing w:val="-7"/>
        </w:rPr>
        <w:t>0.8</w:t>
      </w:r>
      <w:r>
        <w:rPr>
          <w:spacing w:val="-7"/>
        </w:rPr>
        <w:t>”，回购注销</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9"/>
        </w:rPr>
        <w:t> </w:t>
      </w:r>
      <w:r>
        <w:rPr/>
        <w:t>年度考核结果为</w:t>
      </w:r>
      <w:r>
        <w:rPr>
          <w:spacing w:val="-61"/>
        </w:rPr>
        <w:t> </w:t>
      </w:r>
      <w:r>
        <w:rPr>
          <w:rFonts w:ascii="Times New Roman" w:hAnsi="Times New Roman" w:cs="Times New Roman" w:eastAsia="Times New Roman" w:hint="default"/>
        </w:rPr>
        <w:t>C</w:t>
      </w:r>
      <w:r>
        <w:rPr>
          <w:rFonts w:ascii="Times New Roman" w:hAnsi="Times New Roman" w:cs="Times New Roman" w:eastAsia="Times New Roman" w:hint="default"/>
          <w:spacing w:val="-18"/>
        </w:rPr>
        <w:t> </w:t>
      </w:r>
      <w:r>
        <w:rPr/>
        <w:t>级的</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名股权激励对象本期未能解锁的限制性股票。由于股权激励授予后公司实施权益 </w:t>
      </w:r>
      <w:r>
        <w:rPr>
          <w:spacing w:val="-1"/>
        </w:rPr>
        <w:t>分派，资本公积转增股本，因而回购每股单价按照激励计划进行调整，本次回购注销上述限制性股票合计</w:t>
      </w:r>
      <w:r>
        <w:rPr>
          <w:spacing w:val="-83"/>
        </w:rPr>
        <w:t> </w:t>
      </w:r>
      <w:r>
        <w:rPr>
          <w:spacing w:val="-83"/>
        </w:rPr>
      </w:r>
      <w:r>
        <w:rPr>
          <w:rFonts w:ascii="Times New Roman" w:hAnsi="Times New Roman" w:cs="Times New Roman" w:eastAsia="Times New Roman" w:hint="default"/>
        </w:rPr>
        <w:t>42,254</w:t>
      </w:r>
      <w:r>
        <w:rPr>
          <w:rFonts w:ascii="Times New Roman" w:hAnsi="Times New Roman" w:cs="Times New Roman" w:eastAsia="Times New Roman" w:hint="default"/>
          <w:spacing w:val="-8"/>
        </w:rPr>
        <w:t> </w:t>
      </w:r>
      <w:r>
        <w:rPr>
          <w:spacing w:val="-4"/>
        </w:rPr>
        <w:t>股，回购款合计</w:t>
      </w:r>
      <w:r>
        <w:rPr>
          <w:spacing w:val="-51"/>
        </w:rPr>
        <w:t> </w:t>
      </w:r>
      <w:r>
        <w:rPr>
          <w:rFonts w:ascii="Times New Roman" w:hAnsi="Times New Roman" w:cs="Times New Roman" w:eastAsia="Times New Roman" w:hint="default"/>
        </w:rPr>
        <w:t>924,038.80</w:t>
      </w:r>
      <w:r>
        <w:rPr>
          <w:rFonts w:ascii="Times New Roman" w:hAnsi="Times New Roman" w:cs="Times New Roman" w:eastAsia="Times New Roman" w:hint="default"/>
          <w:spacing w:val="-8"/>
        </w:rPr>
        <w:t> </w:t>
      </w:r>
      <w:r>
        <w:rPr>
          <w:spacing w:val="-3"/>
        </w:rPr>
        <w:t>元。公司相应减少股本</w:t>
      </w:r>
      <w:r>
        <w:rPr>
          <w:spacing w:val="-50"/>
        </w:rPr>
        <w:t> </w:t>
      </w:r>
      <w:r>
        <w:rPr>
          <w:rFonts w:ascii="Times New Roman" w:hAnsi="Times New Roman" w:cs="Times New Roman" w:eastAsia="Times New Roman" w:hint="default"/>
        </w:rPr>
        <w:t>42,254.00</w:t>
      </w:r>
      <w:r>
        <w:rPr>
          <w:rFonts w:ascii="Times New Roman" w:hAnsi="Times New Roman" w:cs="Times New Roman" w:eastAsia="Times New Roman" w:hint="default"/>
          <w:spacing w:val="-9"/>
        </w:rPr>
        <w:t> </w:t>
      </w:r>
      <w:r>
        <w:rPr>
          <w:spacing w:val="-4"/>
        </w:rPr>
        <w:t>元，减少库存股</w:t>
      </w:r>
      <w:r>
        <w:rPr>
          <w:spacing w:val="-50"/>
        </w:rPr>
        <w:t> </w:t>
      </w:r>
      <w:r>
        <w:rPr>
          <w:rFonts w:ascii="Times New Roman" w:hAnsi="Times New Roman" w:cs="Times New Roman" w:eastAsia="Times New Roman" w:hint="default"/>
        </w:rPr>
        <w:t>924,038.80</w:t>
      </w:r>
      <w:r>
        <w:rPr>
          <w:rFonts w:ascii="Times New Roman" w:hAnsi="Times New Roman" w:cs="Times New Roman" w:eastAsia="Times New Roman" w:hint="default"/>
          <w:spacing w:val="-8"/>
        </w:rPr>
        <w:t> </w:t>
      </w:r>
      <w:r>
        <w:rPr>
          <w:spacing w:val="-5"/>
        </w:rPr>
        <w:t>元，减少资</w:t>
      </w:r>
    </w:p>
    <w:p>
      <w:pPr>
        <w:pStyle w:val="BodyText"/>
        <w:spacing w:line="240" w:lineRule="auto" w:before="3"/>
        <w:ind w:left="1133" w:right="0"/>
        <w:jc w:val="both"/>
      </w:pPr>
      <w:r>
        <w:rPr/>
        <w:t>本公积</w:t>
      </w:r>
      <w:r>
        <w:rPr>
          <w:rFonts w:ascii="Times New Roman" w:hAnsi="Times New Roman" w:cs="Times New Roman" w:eastAsia="Times New Roman" w:hint="default"/>
        </w:rPr>
        <w:t>-</w:t>
      </w:r>
      <w:r>
        <w:rPr/>
        <w:t>股本溢价</w:t>
      </w:r>
      <w:r>
        <w:rPr>
          <w:spacing w:val="-54"/>
        </w:rPr>
        <w:t> </w:t>
      </w:r>
      <w:r>
        <w:rPr>
          <w:rFonts w:ascii="Times New Roman" w:hAnsi="Times New Roman" w:cs="Times New Roman" w:eastAsia="Times New Roman" w:hint="default"/>
        </w:rPr>
        <w:t>881,784.80</w:t>
      </w:r>
      <w:r>
        <w:rPr>
          <w:rFonts w:ascii="Times New Roman" w:hAnsi="Times New Roman" w:cs="Times New Roman" w:eastAsia="Times New Roman" w:hint="default"/>
          <w:spacing w:val="-11"/>
        </w:rPr>
        <w:t> </w:t>
      </w:r>
      <w:r>
        <w:rPr/>
        <w:t>元。</w:t>
      </w:r>
    </w:p>
    <w:p>
      <w:pPr>
        <w:spacing w:line="240" w:lineRule="auto" w:before="7"/>
        <w:rPr>
          <w:rFonts w:ascii="宋体" w:hAnsi="宋体" w:cs="宋体" w:eastAsia="宋体" w:hint="default"/>
          <w:sz w:val="20"/>
          <w:szCs w:val="20"/>
        </w:rPr>
      </w:pPr>
    </w:p>
    <w:p>
      <w:pPr>
        <w:pStyle w:val="BodyText"/>
        <w:spacing w:line="288" w:lineRule="auto"/>
        <w:ind w:left="1133" w:right="1130" w:firstLine="420"/>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t>日，经本公司第二届董事会第二十次会议决议规定，取消离职人员刘世标等共计</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人 </w:t>
      </w:r>
      <w:r>
        <w:rPr>
          <w:spacing w:val="-1"/>
        </w:rPr>
        <w:t>的激励对象资格并回购注销其已获授权但尚未解锁的全部限制性股票。由于股权激励授予后公司实施权益</w:t>
      </w:r>
      <w:r>
        <w:rPr>
          <w:spacing w:val="-81"/>
        </w:rPr>
        <w:t> </w:t>
      </w:r>
      <w:r>
        <w:rPr>
          <w:spacing w:val="-81"/>
        </w:rPr>
      </w:r>
      <w:r>
        <w:rPr>
          <w:spacing w:val="-8"/>
        </w:rPr>
        <w:t>分派，资本公积转增股本，因而回购每股单价按照激励计划进行调整，本次回购注销限制性股票合计</w:t>
      </w:r>
      <w:r>
        <w:rPr>
          <w:spacing w:val="-41"/>
        </w:rPr>
        <w:t> </w:t>
      </w:r>
      <w:r>
        <w:rPr>
          <w:rFonts w:ascii="Times New Roman" w:hAnsi="Times New Roman" w:cs="Times New Roman" w:eastAsia="Times New Roman" w:hint="default"/>
        </w:rPr>
        <w:t>506,176</w:t>
      </w:r>
    </w:p>
    <w:p>
      <w:pPr>
        <w:pStyle w:val="BodyText"/>
        <w:spacing w:line="240" w:lineRule="auto" w:before="3"/>
        <w:ind w:left="1133" w:right="0"/>
        <w:jc w:val="both"/>
      </w:pPr>
      <w:r>
        <w:rPr>
          <w:spacing w:val="-4"/>
        </w:rPr>
        <w:t>股，回购款合计</w:t>
      </w:r>
      <w:r>
        <w:rPr>
          <w:spacing w:val="-50"/>
        </w:rPr>
        <w:t> </w:t>
      </w:r>
      <w:r>
        <w:rPr>
          <w:rFonts w:ascii="Times New Roman" w:hAnsi="Times New Roman" w:cs="Times New Roman" w:eastAsia="Times New Roman" w:hint="default"/>
        </w:rPr>
        <w:t>11,069,660.00</w:t>
      </w:r>
      <w:r>
        <w:rPr>
          <w:rFonts w:ascii="Times New Roman" w:hAnsi="Times New Roman" w:cs="Times New Roman" w:eastAsia="Times New Roman" w:hint="default"/>
          <w:spacing w:val="-9"/>
        </w:rPr>
        <w:t> </w:t>
      </w:r>
      <w:r>
        <w:rPr>
          <w:spacing w:val="-3"/>
        </w:rPr>
        <w:t>元。公司相应减少股本</w:t>
      </w:r>
      <w:r>
        <w:rPr>
          <w:spacing w:val="-50"/>
        </w:rPr>
        <w:t> </w:t>
      </w:r>
      <w:r>
        <w:rPr>
          <w:rFonts w:ascii="Times New Roman" w:hAnsi="Times New Roman" w:cs="Times New Roman" w:eastAsia="Times New Roman" w:hint="default"/>
        </w:rPr>
        <w:t>506,176.00</w:t>
      </w:r>
      <w:r>
        <w:rPr>
          <w:rFonts w:ascii="Times New Roman" w:hAnsi="Times New Roman" w:cs="Times New Roman" w:eastAsia="Times New Roman" w:hint="default"/>
          <w:spacing w:val="-9"/>
        </w:rPr>
        <w:t> </w:t>
      </w:r>
      <w:r>
        <w:rPr>
          <w:spacing w:val="-4"/>
        </w:rPr>
        <w:t>元，减少库存股</w:t>
      </w:r>
      <w:r>
        <w:rPr>
          <w:spacing w:val="-50"/>
        </w:rPr>
        <w:t> </w:t>
      </w:r>
      <w:r>
        <w:rPr>
          <w:rFonts w:ascii="Times New Roman" w:hAnsi="Times New Roman" w:cs="Times New Roman" w:eastAsia="Times New Roman" w:hint="default"/>
        </w:rPr>
        <w:t>11,069,660.00</w:t>
      </w:r>
      <w:r>
        <w:rPr>
          <w:rFonts w:ascii="Times New Roman" w:hAnsi="Times New Roman" w:cs="Times New Roman" w:eastAsia="Times New Roman" w:hint="default"/>
          <w:spacing w:val="-9"/>
        </w:rPr>
        <w:t> </w:t>
      </w:r>
      <w:r>
        <w:rPr>
          <w:spacing w:val="-6"/>
        </w:rPr>
        <w:t>元，减少资</w:t>
      </w:r>
    </w:p>
    <w:p>
      <w:pPr>
        <w:pStyle w:val="BodyText"/>
        <w:spacing w:line="240" w:lineRule="auto" w:before="49"/>
        <w:ind w:left="1133" w:right="0"/>
        <w:jc w:val="both"/>
        <w:rPr>
          <w:rFonts w:ascii="Times New Roman" w:hAnsi="Times New Roman" w:cs="Times New Roman" w:eastAsia="Times New Roman" w:hint="default"/>
        </w:rPr>
      </w:pPr>
      <w:r>
        <w:rPr/>
        <w:t>本公积</w:t>
      </w:r>
      <w:r>
        <w:rPr>
          <w:rFonts w:ascii="Times New Roman" w:hAnsi="Times New Roman" w:cs="Times New Roman" w:eastAsia="Times New Roman" w:hint="default"/>
          <w:spacing w:val="-1"/>
        </w:rPr>
        <w:t>-</w:t>
      </w:r>
      <w:r>
        <w:rPr/>
        <w:t>股本溢价</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563,484.00</w:t>
      </w:r>
      <w:r>
        <w:rPr>
          <w:rFonts w:ascii="Times New Roman" w:hAnsi="Times New Roman" w:cs="Times New Roman" w:eastAsia="Times New Roman" w:hint="default"/>
          <w:spacing w:val="-21"/>
        </w:rPr>
        <w:t> </w:t>
      </w:r>
      <w:r>
        <w:rPr>
          <w:spacing w:val="-2"/>
        </w:rPr>
        <w:t>元</w:t>
      </w:r>
      <w:r>
        <w:rPr>
          <w:spacing w:val="-105"/>
        </w:rPr>
        <w:t>。</w:t>
      </w:r>
      <w:r>
        <w:rPr>
          <w:spacing w:val="-2"/>
        </w:rPr>
        <w:t>上</w:t>
      </w:r>
      <w:r>
        <w:rPr/>
        <w:t>述两次回购注销限制性股票合计</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4</w:t>
      </w:r>
      <w:r>
        <w:rPr>
          <w:rFonts w:ascii="Times New Roman" w:hAnsi="Times New Roman" w:cs="Times New Roman" w:eastAsia="Times New Roman" w:hint="default"/>
        </w:rPr>
        <w:t>8,430</w:t>
      </w:r>
      <w:r>
        <w:rPr>
          <w:rFonts w:ascii="Times New Roman" w:hAnsi="Times New Roman" w:cs="Times New Roman" w:eastAsia="Times New Roman" w:hint="default"/>
          <w:spacing w:val="-21"/>
        </w:rPr>
        <w:t> </w:t>
      </w:r>
      <w:r>
        <w:rPr/>
        <w:t>股</w:t>
      </w:r>
      <w:r>
        <w:rPr>
          <w:spacing w:val="-105"/>
        </w:rPr>
        <w:t>，</w:t>
      </w:r>
      <w:r>
        <w:rPr/>
        <w:t>回</w:t>
      </w:r>
      <w:r>
        <w:rPr>
          <w:spacing w:val="-2"/>
        </w:rPr>
        <w:t>购</w:t>
      </w:r>
      <w:r>
        <w:rPr/>
        <w:t>款合计</w:t>
      </w:r>
      <w:r>
        <w:rPr>
          <w:spacing w:val="-6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993,698.</w:t>
      </w:r>
      <w:r>
        <w:rPr>
          <w:rFonts w:ascii="Times New Roman" w:hAnsi="Times New Roman" w:cs="Times New Roman" w:eastAsia="Times New Roman" w:hint="default"/>
          <w:spacing w:val="-1"/>
        </w:rPr>
        <w:t>8</w:t>
      </w:r>
      <w:r>
        <w:rPr>
          <w:rFonts w:ascii="Times New Roman" w:hAnsi="Times New Roman" w:cs="Times New Roman" w:eastAsia="Times New Roman" w:hint="default"/>
        </w:rPr>
        <w:t>0</w:t>
      </w:r>
    </w:p>
    <w:p>
      <w:pPr>
        <w:pStyle w:val="BodyText"/>
        <w:spacing w:line="240" w:lineRule="auto" w:before="50"/>
        <w:ind w:left="1133" w:right="0"/>
        <w:jc w:val="both"/>
      </w:pPr>
      <w:r>
        <w:rPr>
          <w:spacing w:val="-6"/>
        </w:rPr>
        <w:t>元，业经致同会计师事务所（特殊普通合伙）出具的致同验字（</w:t>
      </w:r>
      <w:r>
        <w:rPr>
          <w:rFonts w:ascii="Times New Roman" w:hAnsi="Times New Roman" w:cs="Times New Roman" w:eastAsia="Times New Roman" w:hint="default"/>
          <w:spacing w:val="-6"/>
        </w:rPr>
        <w:t>2017</w:t>
      </w:r>
      <w:r>
        <w:rPr>
          <w:spacing w:val="-6"/>
        </w:rPr>
        <w:t>）第 </w:t>
      </w:r>
      <w:r>
        <w:rPr>
          <w:rFonts w:ascii="Times New Roman" w:hAnsi="Times New Roman" w:cs="Times New Roman" w:eastAsia="Times New Roman" w:hint="default"/>
        </w:rPr>
        <w:t>110ZC0206</w:t>
      </w:r>
      <w:r>
        <w:rPr>
          <w:rFonts w:ascii="Times New Roman" w:hAnsi="Times New Roman" w:cs="Times New Roman" w:eastAsia="Times New Roman" w:hint="default"/>
          <w:spacing w:val="-30"/>
        </w:rPr>
        <w:t> </w:t>
      </w:r>
      <w:r>
        <w:rPr/>
        <w:t>号验资报告予以验证。</w:t>
      </w:r>
    </w:p>
    <w:p>
      <w:pPr>
        <w:spacing w:line="240" w:lineRule="auto" w:before="6"/>
        <w:rPr>
          <w:rFonts w:ascii="宋体" w:hAnsi="宋体" w:cs="宋体" w:eastAsia="宋体" w:hint="default"/>
          <w:sz w:val="20"/>
          <w:szCs w:val="20"/>
        </w:rPr>
      </w:pPr>
    </w:p>
    <w:p>
      <w:pPr>
        <w:pStyle w:val="BodyText"/>
        <w:spacing w:line="288" w:lineRule="auto"/>
        <w:ind w:left="1133" w:right="1129" w:firstLine="420"/>
        <w:jc w:val="both"/>
      </w:pPr>
      <w:r>
        <w:rPr/>
        <w:t>⑤</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日，经本公司第二届董事会第二十六次会议决议，取消武楠等共计</w:t>
      </w:r>
      <w:r>
        <w:rPr>
          <w:spacing w:val="-37"/>
        </w:rPr>
        <w:t> </w:t>
      </w:r>
      <w:r>
        <w:rPr>
          <w:rFonts w:ascii="Times New Roman" w:hAnsi="Times New Roman" w:cs="Times New Roman" w:eastAsia="Times New Roman" w:hint="default"/>
        </w:rPr>
        <w:t>67</w:t>
      </w:r>
      <w:r>
        <w:rPr>
          <w:rFonts w:ascii="Times New Roman" w:hAnsi="Times New Roman" w:cs="Times New Roman" w:eastAsia="Times New Roman" w:hint="default"/>
          <w:spacing w:val="-5"/>
        </w:rPr>
        <w:t> </w:t>
      </w:r>
      <w:r>
        <w:rPr/>
        <w:t>名已离职人 </w:t>
      </w:r>
      <w:r>
        <w:rPr>
          <w:spacing w:val="-1"/>
        </w:rPr>
        <w:t>员的激励对象资格并回购注销其已获授权但尚未解锁的全部限制性股票。由于股权激励授予后公司实施权</w:t>
      </w:r>
      <w:r>
        <w:rPr>
          <w:spacing w:val="-81"/>
        </w:rPr>
        <w:t> </w:t>
      </w:r>
      <w:r>
        <w:rPr>
          <w:spacing w:val="-81"/>
        </w:rPr>
      </w:r>
      <w:r>
        <w:rPr>
          <w:spacing w:val="-1"/>
        </w:rPr>
        <w:t>益分派，资本公积转增股本，因而回购每股单价按照激励计划进行调整，但回购款总额与合计授予价格一</w:t>
      </w:r>
      <w:r>
        <w:rPr>
          <w:spacing w:val="-83"/>
        </w:rPr>
        <w:t> </w:t>
      </w:r>
      <w:r>
        <w:rPr>
          <w:spacing w:val="-83"/>
        </w:rPr>
      </w:r>
      <w:r>
        <w:rPr>
          <w:spacing w:val="-3"/>
        </w:rPr>
        <w:t>致，本次回购注销限制性股票合计</w:t>
      </w:r>
      <w:r>
        <w:rPr>
          <w:spacing w:val="-52"/>
        </w:rPr>
        <w:t> </w:t>
      </w:r>
      <w:r>
        <w:rPr>
          <w:rFonts w:ascii="Times New Roman" w:hAnsi="Times New Roman" w:cs="Times New Roman" w:eastAsia="Times New Roman" w:hint="default"/>
        </w:rPr>
        <w:t>1,145,606</w:t>
      </w:r>
      <w:r>
        <w:rPr>
          <w:rFonts w:ascii="Times New Roman" w:hAnsi="Times New Roman" w:cs="Times New Roman" w:eastAsia="Times New Roman" w:hint="default"/>
          <w:spacing w:val="-9"/>
        </w:rPr>
        <w:t> </w:t>
      </w:r>
      <w:r>
        <w:rPr>
          <w:spacing w:val="-6"/>
        </w:rPr>
        <w:t>股，回购款合计</w:t>
      </w:r>
      <w:r>
        <w:rPr>
          <w:spacing w:val="-52"/>
        </w:rPr>
        <w:t> </w:t>
      </w:r>
      <w:r>
        <w:rPr>
          <w:rFonts w:ascii="Times New Roman" w:hAnsi="Times New Roman" w:cs="Times New Roman" w:eastAsia="Times New Roman" w:hint="default"/>
        </w:rPr>
        <w:t>25,053,333.20</w:t>
      </w:r>
      <w:r>
        <w:rPr>
          <w:rFonts w:ascii="Times New Roman" w:hAnsi="Times New Roman" w:cs="Times New Roman" w:eastAsia="Times New Roman" w:hint="default"/>
          <w:spacing w:val="-9"/>
        </w:rPr>
        <w:t> </w:t>
      </w:r>
      <w:r>
        <w:rPr>
          <w:spacing w:val="-6"/>
        </w:rPr>
        <w:t>元。业经致同会计师事务所（特</w:t>
      </w:r>
      <w:r>
        <w:rPr/>
        <w:t> </w:t>
      </w:r>
      <w:r>
        <w:rPr>
          <w:spacing w:val="-7"/>
        </w:rPr>
        <w:t>殊普通合伙）出具的致同验字（</w:t>
      </w:r>
      <w:r>
        <w:rPr>
          <w:rFonts w:ascii="Times New Roman" w:hAnsi="Times New Roman" w:cs="Times New Roman" w:eastAsia="Times New Roman" w:hint="default"/>
          <w:spacing w:val="-7"/>
        </w:rPr>
        <w:t>2017</w:t>
      </w:r>
      <w:r>
        <w:rPr>
          <w:spacing w:val="-7"/>
        </w:rPr>
        <w:t>）第</w:t>
      </w:r>
      <w:r>
        <w:rPr>
          <w:spacing w:val="-48"/>
        </w:rPr>
        <w:t> </w:t>
      </w:r>
      <w:r>
        <w:rPr>
          <w:rFonts w:ascii="Times New Roman" w:hAnsi="Times New Roman" w:cs="Times New Roman" w:eastAsia="Times New Roman" w:hint="default"/>
        </w:rPr>
        <w:t>110ZC0455</w:t>
      </w:r>
      <w:r>
        <w:rPr>
          <w:rFonts w:ascii="Times New Roman" w:hAnsi="Times New Roman" w:cs="Times New Roman" w:eastAsia="Times New Roman" w:hint="default"/>
          <w:spacing w:val="-6"/>
        </w:rPr>
        <w:t> </w:t>
      </w:r>
      <w:r>
        <w:rPr>
          <w:spacing w:val="-3"/>
        </w:rPr>
        <w:t>号验资报告予以验证。公司相应减少股本</w:t>
      </w:r>
      <w:r>
        <w:rPr>
          <w:spacing w:val="-47"/>
        </w:rPr>
        <w:t> </w:t>
      </w:r>
      <w:r>
        <w:rPr>
          <w:rFonts w:ascii="Times New Roman" w:hAnsi="Times New Roman" w:cs="Times New Roman" w:eastAsia="Times New Roman" w:hint="default"/>
        </w:rPr>
        <w:t>1,145,606.00 </w:t>
      </w:r>
      <w:r>
        <w:rPr/>
        <w:t>元，减少库存股</w:t>
      </w:r>
      <w:r>
        <w:rPr>
          <w:spacing w:val="-55"/>
        </w:rPr>
        <w:t> </w:t>
      </w:r>
      <w:r>
        <w:rPr>
          <w:rFonts w:ascii="Times New Roman" w:hAnsi="Times New Roman" w:cs="Times New Roman" w:eastAsia="Times New Roman" w:hint="default"/>
        </w:rPr>
        <w:t>25,053,333.20</w:t>
      </w:r>
      <w:r>
        <w:rPr>
          <w:rFonts w:ascii="Times New Roman" w:hAnsi="Times New Roman" w:cs="Times New Roman" w:eastAsia="Times New Roman" w:hint="default"/>
          <w:spacing w:val="-12"/>
        </w:rPr>
        <w:t> </w:t>
      </w:r>
      <w:r>
        <w:rPr/>
        <w:t>元，减少资本公积</w:t>
      </w:r>
      <w:r>
        <w:rPr>
          <w:rFonts w:ascii="Times New Roman" w:hAnsi="Times New Roman" w:cs="Times New Roman" w:eastAsia="Times New Roman" w:hint="default"/>
        </w:rPr>
        <w:t>-</w:t>
      </w:r>
      <w:r>
        <w:rPr/>
        <w:t>股本溢价</w:t>
      </w:r>
      <w:r>
        <w:rPr>
          <w:spacing w:val="-56"/>
        </w:rPr>
        <w:t> </w:t>
      </w:r>
      <w:r>
        <w:rPr>
          <w:rFonts w:ascii="Times New Roman" w:hAnsi="Times New Roman" w:cs="Times New Roman" w:eastAsia="Times New Roman" w:hint="default"/>
        </w:rPr>
        <w:t>23,907,727.20</w:t>
      </w:r>
      <w:r>
        <w:rPr>
          <w:rFonts w:ascii="Times New Roman" w:hAnsi="Times New Roman" w:cs="Times New Roman" w:eastAsia="Times New Roman" w:hint="default"/>
          <w:spacing w:val="-12"/>
        </w:rPr>
        <w:t> </w:t>
      </w:r>
      <w:r>
        <w:rPr/>
        <w:t>元。</w:t>
      </w:r>
    </w:p>
    <w:p>
      <w:pPr>
        <w:spacing w:line="240" w:lineRule="auto" w:before="5"/>
        <w:rPr>
          <w:rFonts w:ascii="宋体" w:hAnsi="宋体" w:cs="宋体" w:eastAsia="宋体" w:hint="default"/>
          <w:sz w:val="16"/>
          <w:szCs w:val="16"/>
        </w:rPr>
      </w:pPr>
    </w:p>
    <w:p>
      <w:pPr>
        <w:pStyle w:val="BodyText"/>
        <w:spacing w:line="240" w:lineRule="auto"/>
        <w:ind w:left="1553" w:right="0"/>
        <w:jc w:val="left"/>
        <w:rPr>
          <w:rFonts w:ascii="微软雅黑" w:hAnsi="微软雅黑" w:cs="微软雅黑" w:eastAsia="微软雅黑" w:hint="default"/>
        </w:rPr>
      </w:pPr>
      <w:bookmarkStart w:name="49、其他权益工具" w:id="345"/>
      <w:bookmarkEnd w:id="345"/>
      <w:r>
        <w:rPr/>
      </w:r>
      <w:r>
        <w:rPr>
          <w:rFonts w:ascii="Times New Roman" w:hAnsi="Times New Roman" w:cs="Times New Roman" w:eastAsia="Times New Roman" w:hint="default"/>
        </w:rPr>
        <w:t>49</w:t>
      </w:r>
      <w:r>
        <w:rPr>
          <w:rFonts w:ascii="微软雅黑" w:hAnsi="微软雅黑" w:cs="微软雅黑" w:eastAsia="微软雅黑" w:hint="default"/>
        </w:rPr>
        <w:t>、其他权益工具</w:t>
      </w:r>
    </w:p>
    <w:p>
      <w:pPr>
        <w:spacing w:line="550" w:lineRule="atLeast" w:before="143"/>
        <w:ind w:left="1554" w:right="1118" w:firstLine="2"/>
        <w:jc w:val="left"/>
        <w:rPr>
          <w:rFonts w:ascii="宋体" w:hAnsi="宋体" w:cs="宋体" w:eastAsia="宋体" w:hint="default"/>
          <w:sz w:val="21"/>
          <w:szCs w:val="21"/>
        </w:rPr>
      </w:pPr>
      <w:bookmarkStart w:name="（1）期末发行在外的优先股、永续债等其他金融工具基本情况"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b/>
          <w:bCs/>
          <w:w w:val="99"/>
          <w:sz w:val="21"/>
          <w:szCs w:val="21"/>
        </w:rPr>
        <w:t> </w:t>
      </w:r>
      <w:r>
        <w:rPr>
          <w:rFonts w:ascii="宋体" w:hAnsi="宋体" w:cs="宋体" w:eastAsia="宋体" w:hint="default"/>
          <w:sz w:val="21"/>
          <w:szCs w:val="21"/>
        </w:rPr>
        <w:t>本公司之子公司重庆创通与高通（中国）投资有限公司（简称“高通中国”公司）于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月签</w:t>
      </w:r>
    </w:p>
    <w:p>
      <w:pPr>
        <w:pStyle w:val="BodyText"/>
        <w:spacing w:line="280" w:lineRule="auto" w:before="50"/>
        <w:ind w:left="1133" w:right="1130"/>
        <w:jc w:val="both"/>
      </w:pPr>
      <w:r>
        <w:rPr>
          <w:spacing w:val="11"/>
        </w:rPr>
        <w:t>订的贷款协议，高通中国作为重庆创通的股东，持有重庆创通</w:t>
      </w:r>
      <w:r>
        <w:rPr>
          <w:spacing w:val="27"/>
        </w:rPr>
        <w:t> </w:t>
      </w:r>
      <w:r>
        <w:rPr>
          <w:rFonts w:ascii="Times New Roman" w:hAnsi="Times New Roman" w:cs="Times New Roman" w:eastAsia="Times New Roman" w:hint="default"/>
          <w:spacing w:val="7"/>
        </w:rPr>
        <w:t>18.03%</w:t>
      </w:r>
      <w:r>
        <w:rPr>
          <w:spacing w:val="7"/>
        </w:rPr>
        <w:t>的股权，向重庆创通提供一笔</w:t>
      </w:r>
      <w:r>
        <w:rPr>
          <w:spacing w:val="-102"/>
        </w:rPr>
        <w:t> </w:t>
      </w:r>
      <w:r>
        <w:rPr>
          <w:spacing w:val="-102"/>
        </w:rPr>
      </w:r>
      <w:r>
        <w:rPr>
          <w:rFonts w:ascii="Times New Roman" w:hAnsi="Times New Roman" w:cs="Times New Roman" w:eastAsia="Times New Roman" w:hint="default"/>
        </w:rPr>
        <w:t>6,860,800.00 </w:t>
      </w:r>
      <w:r>
        <w:rPr/>
        <w:t>元的可转换贷款，并约定贷款指定用于促进并扩展电信产业的合作，借款期限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年，年利率</w:t>
      </w:r>
    </w:p>
    <w:p>
      <w:pPr>
        <w:pStyle w:val="BodyText"/>
        <w:spacing w:line="288" w:lineRule="auto" w:before="10"/>
        <w:ind w:left="1133" w:right="1093"/>
        <w:jc w:val="both"/>
      </w:pPr>
      <w:r>
        <w:rPr>
          <w:rFonts w:ascii="Times New Roman" w:hAnsi="Times New Roman" w:cs="Times New Roman" w:eastAsia="Times New Roman" w:hint="default"/>
        </w:rPr>
        <w:t>3.5%</w:t>
      </w:r>
      <w:r>
        <w:rPr/>
        <w:t>，到期一次还本付息，除高通中国书面同意外，重庆创通不应因任何原因以任何方式提前偿还贷款。 高通中国有权在重庆创通达到协议约定情形时，选择将贷款以初始投资当天同样的股价，将所有未偿还贷 款转为对重庆创通的股份，同时免除贷款利息。</w:t>
      </w:r>
    </w:p>
    <w:p>
      <w:pPr>
        <w:spacing w:line="240" w:lineRule="auto" w:before="6"/>
        <w:rPr>
          <w:rFonts w:ascii="宋体" w:hAnsi="宋体" w:cs="宋体" w:eastAsia="宋体" w:hint="default"/>
          <w:sz w:val="18"/>
          <w:szCs w:val="18"/>
        </w:rPr>
      </w:pPr>
    </w:p>
    <w:p>
      <w:pPr>
        <w:pStyle w:val="BodyText"/>
        <w:spacing w:line="290" w:lineRule="auto"/>
        <w:ind w:left="1133" w:right="1130" w:firstLine="420"/>
        <w:jc w:val="both"/>
      </w:pPr>
      <w:r>
        <w:rPr>
          <w:spacing w:val="-1"/>
        </w:rPr>
        <w:t>本集团根据所发行金融工具的上述合同条款及其所反映的经济实质，符合权益工具的定义，在初始确</w:t>
      </w:r>
      <w:r>
        <w:rPr/>
        <w:t> 认时将该金融工具分类为权益工具。根据央行公布的金融机构</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年期人民币贷款基准年利率</w:t>
      </w:r>
      <w:r>
        <w:rPr>
          <w:spacing w:val="-43"/>
        </w:rPr>
        <w:t> </w:t>
      </w:r>
      <w:r>
        <w:rPr>
          <w:rFonts w:ascii="Times New Roman" w:hAnsi="Times New Roman" w:cs="Times New Roman" w:eastAsia="Times New Roman" w:hint="default"/>
        </w:rPr>
        <w:t>4.75%</w:t>
      </w:r>
      <w:r>
        <w:rPr/>
        <w:t>，计算 上述到期一次还本付息可转换贷款 </w:t>
      </w:r>
      <w:r>
        <w:rPr>
          <w:rFonts w:ascii="Times New Roman" w:hAnsi="Times New Roman" w:cs="Times New Roman" w:eastAsia="Times New Roman" w:hint="default"/>
        </w:rPr>
        <w:t>6,860,800.00 </w:t>
      </w:r>
      <w:r>
        <w:rPr/>
        <w:t>元中负债部分公允价值为 </w:t>
      </w:r>
      <w:r>
        <w:rPr>
          <w:rFonts w:ascii="Times New Roman" w:hAnsi="Times New Roman" w:cs="Times New Roman" w:eastAsia="Times New Roman" w:hint="default"/>
        </w:rPr>
        <w:t>6,391,915.78</w:t>
      </w:r>
      <w:r>
        <w:rPr>
          <w:rFonts w:ascii="Times New Roman" w:hAnsi="Times New Roman" w:cs="Times New Roman" w:eastAsia="Times New Roman" w:hint="default"/>
          <w:spacing w:val="-25"/>
        </w:rPr>
        <w:t> </w:t>
      </w:r>
      <w:r>
        <w:rPr/>
        <w:t>元，权益部分公允</w:t>
      </w:r>
    </w:p>
    <w:p>
      <w:pPr>
        <w:pStyle w:val="BodyText"/>
        <w:spacing w:line="240" w:lineRule="auto"/>
        <w:ind w:left="1133" w:right="0"/>
        <w:jc w:val="both"/>
      </w:pPr>
      <w:r>
        <w:rPr/>
        <w:t>价值为</w:t>
      </w:r>
      <w:r>
        <w:rPr>
          <w:spacing w:val="-53"/>
        </w:rPr>
        <w:t> </w:t>
      </w:r>
      <w:r>
        <w:rPr>
          <w:rFonts w:ascii="Times New Roman" w:hAnsi="Times New Roman" w:cs="Times New Roman" w:eastAsia="Times New Roman" w:hint="default"/>
        </w:rPr>
        <w:t>468,884.22</w:t>
      </w:r>
      <w:r>
        <w:rPr>
          <w:rFonts w:ascii="Times New Roman" w:hAnsi="Times New Roman" w:cs="Times New Roman" w:eastAsia="Times New Roman" w:hint="default"/>
          <w:spacing w:val="-11"/>
        </w:rPr>
        <w:t> </w:t>
      </w:r>
      <w:r>
        <w:rPr/>
        <w:t>元，扣除少数股东影响，相应增加本集团其他权益工具</w:t>
      </w:r>
      <w:r>
        <w:rPr>
          <w:spacing w:val="-53"/>
        </w:rPr>
        <w:t> </w:t>
      </w:r>
      <w:r>
        <w:rPr>
          <w:rFonts w:ascii="Times New Roman" w:hAnsi="Times New Roman" w:cs="Times New Roman" w:eastAsia="Times New Roman" w:hint="default"/>
        </w:rPr>
        <w:t>384,344.40</w:t>
      </w:r>
      <w:r>
        <w:rPr>
          <w:rFonts w:ascii="Times New Roman" w:hAnsi="Times New Roman" w:cs="Times New Roman" w:eastAsia="Times New Roman" w:hint="default"/>
          <w:spacing w:val="-11"/>
        </w:rPr>
        <w:t> </w:t>
      </w:r>
      <w:r>
        <w:rPr/>
        <w:t>元，本期无变化。</w:t>
      </w:r>
    </w:p>
    <w:p>
      <w:pPr>
        <w:spacing w:line="240" w:lineRule="auto" w:before="7"/>
        <w:rPr>
          <w:rFonts w:ascii="宋体" w:hAnsi="宋体" w:cs="宋体" w:eastAsia="宋体" w:hint="default"/>
          <w:sz w:val="20"/>
          <w:szCs w:val="20"/>
        </w:rPr>
      </w:pPr>
    </w:p>
    <w:p>
      <w:pPr>
        <w:pStyle w:val="BodyText"/>
        <w:spacing w:line="240" w:lineRule="auto"/>
        <w:ind w:left="1553" w:right="0"/>
        <w:jc w:val="left"/>
      </w:pPr>
      <w:bookmarkStart w:name="（2）期末发行在外的优先股、永续债等金融工具变动情况表" w:id="347"/>
      <w:bookmarkEnd w:id="347"/>
      <w:r>
        <w:rPr/>
      </w:r>
      <w:r>
        <w:rPr/>
        <w:t>（</w:t>
      </w:r>
      <w:r>
        <w:rPr>
          <w:rFonts w:ascii="Times New Roman" w:hAnsi="Times New Roman" w:cs="Times New Roman" w:eastAsia="Times New Roman" w:hint="default"/>
        </w:rPr>
        <w:t>2</w:t>
      </w:r>
      <w:r>
        <w:rPr/>
        <w:t>）期末发行在外的优先股、永续债等金融工具变动情况表</w:t>
      </w:r>
    </w:p>
    <w:p>
      <w:pPr>
        <w:spacing w:line="240" w:lineRule="auto" w:before="11"/>
        <w:rPr>
          <w:rFonts w:ascii="宋体" w:hAnsi="宋体" w:cs="宋体" w:eastAsia="宋体"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096"/>
        <w:gridCol w:w="1098"/>
        <w:gridCol w:w="1094"/>
        <w:gridCol w:w="1096"/>
        <w:gridCol w:w="1094"/>
        <w:gridCol w:w="1094"/>
        <w:gridCol w:w="1094"/>
        <w:gridCol w:w="1094"/>
        <w:gridCol w:w="1094"/>
      </w:tblGrid>
      <w:tr>
        <w:trPr>
          <w:trHeight w:val="406" w:hRule="exact"/>
        </w:trPr>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272" w:right="183" w:hanging="90"/>
              <w:jc w:val="left"/>
              <w:rPr>
                <w:rFonts w:ascii="宋体" w:hAnsi="宋体" w:cs="宋体" w:eastAsia="宋体" w:hint="default"/>
                <w:sz w:val="18"/>
                <w:szCs w:val="18"/>
              </w:rPr>
            </w:pPr>
            <w:r>
              <w:rPr>
                <w:rFonts w:ascii="宋体" w:hAnsi="宋体" w:cs="宋体" w:eastAsia="宋体" w:hint="default"/>
                <w:sz w:val="18"/>
                <w:szCs w:val="18"/>
              </w:rPr>
              <w:t>发行在外 的金融</w:t>
            </w:r>
          </w:p>
        </w:tc>
        <w:tc>
          <w:tcPr>
            <w:tcW w:w="21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8" w:hRule="exact"/>
        </w:trPr>
        <w:tc>
          <w:tcPr>
            <w:tcW w:w="1096" w:type="dxa"/>
            <w:vMerge/>
            <w:tcBorders>
              <w:left w:val="single" w:sz="4" w:space="0" w:color="000000"/>
              <w:bottom w:val="single" w:sz="4" w:space="0" w:color="000000"/>
              <w:right w:val="single" w:sz="4" w:space="0" w:color="000000"/>
            </w:tcBorders>
            <w:shd w:val="clear" w:color="auto" w:fill="D2D2D2"/>
          </w:tcPr>
          <w:p>
            <w:pP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096"/>
        <w:gridCol w:w="1098"/>
        <w:gridCol w:w="1094"/>
        <w:gridCol w:w="1096"/>
        <w:gridCol w:w="1094"/>
        <w:gridCol w:w="1094"/>
        <w:gridCol w:w="1094"/>
        <w:gridCol w:w="1094"/>
        <w:gridCol w:w="1094"/>
      </w:tblGrid>
      <w:tr>
        <w:trPr>
          <w:trHeight w:val="407" w:hRule="exact"/>
        </w:trPr>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工具</w:t>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转股权</w:t>
            </w:r>
          </w:p>
        </w:tc>
        <w:tc>
          <w:tcPr>
            <w:tcW w:w="109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384,344.40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384,344.40</w:t>
            </w:r>
          </w:p>
        </w:tc>
      </w:tr>
      <w:tr>
        <w:trPr>
          <w:trHeight w:val="408" w:hRule="exact"/>
        </w:trPr>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384,344.40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384,344.40</w:t>
            </w:r>
          </w:p>
        </w:tc>
      </w:tr>
    </w:tbl>
    <w:p>
      <w:pPr>
        <w:spacing w:line="240" w:lineRule="auto" w:before="4"/>
        <w:rPr>
          <w:rFonts w:ascii="宋体" w:hAnsi="宋体" w:cs="宋体" w:eastAsia="宋体" w:hint="default"/>
          <w:sz w:val="11"/>
          <w:szCs w:val="11"/>
        </w:rPr>
      </w:pPr>
    </w:p>
    <w:p>
      <w:pPr>
        <w:pStyle w:val="BodyText"/>
        <w:spacing w:line="487" w:lineRule="auto" w:before="35"/>
        <w:ind w:left="1553" w:right="3193"/>
        <w:jc w:val="left"/>
      </w:pPr>
      <w:r>
        <w:rPr/>
        <w:t>其他权益工具本期增减变动情况、变动原因说明，以及相关会计处理的依据： 其他说明：</w:t>
      </w:r>
    </w:p>
    <w:p>
      <w:pPr>
        <w:pStyle w:val="BodyText"/>
        <w:spacing w:line="240" w:lineRule="auto" w:before="59"/>
        <w:ind w:left="1553" w:right="0"/>
        <w:jc w:val="left"/>
        <w:rPr>
          <w:rFonts w:ascii="微软雅黑" w:hAnsi="微软雅黑" w:cs="微软雅黑" w:eastAsia="微软雅黑" w:hint="default"/>
        </w:rPr>
      </w:pPr>
      <w:bookmarkStart w:name="50、资本公积" w:id="348"/>
      <w:bookmarkEnd w:id="348"/>
      <w:r>
        <w:rPr/>
      </w:r>
      <w:r>
        <w:rPr>
          <w:rFonts w:ascii="Times New Roman" w:hAnsi="Times New Roman" w:cs="Times New Roman" w:eastAsia="Times New Roman" w:hint="default"/>
        </w:rPr>
        <w:t>50</w:t>
      </w:r>
      <w:r>
        <w:rPr>
          <w:rFonts w:ascii="微软雅黑" w:hAnsi="微软雅黑" w:cs="微软雅黑" w:eastAsia="微软雅黑" w:hint="default"/>
        </w:rPr>
        <w:t>、资本公积</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4"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544,836,746.98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78,018,271.34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38,966,881.54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583,888,136.78</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73,978,243.39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39,883,580.53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66,966,504.78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46,895,319.14</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618,814,990.37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117,901,851.87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105,933,386.32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630,783,455.92</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其他说明，包括本期增减变动情况、变动原因说明：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t>（</w:t>
      </w:r>
      <w:r>
        <w:rPr>
          <w:rFonts w:ascii="Times New Roman" w:hAnsi="Times New Roman" w:cs="Times New Roman" w:eastAsia="Times New Roman" w:hint="default"/>
        </w:rPr>
        <w:t>1</w:t>
      </w:r>
      <w:r>
        <w:rPr/>
        <w:t>）股本溢价增减变动：</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1.</w:t>
      </w:r>
      <w:r>
        <w:rPr/>
        <w:t>本公司本期授予激励对象限制性股票增加资本公积</w:t>
      </w:r>
      <w:r>
        <w:rPr>
          <w:rFonts w:ascii="Times New Roman" w:hAnsi="Times New Roman" w:cs="Times New Roman" w:eastAsia="Times New Roman" w:hint="default"/>
        </w:rPr>
        <w:t>-</w:t>
      </w:r>
      <w:r>
        <w:rPr/>
        <w:t>股本溢价</w:t>
      </w:r>
      <w:r>
        <w:rPr>
          <w:spacing w:val="-53"/>
        </w:rPr>
        <w:t> </w:t>
      </w:r>
      <w:r>
        <w:rPr>
          <w:rFonts w:ascii="Times New Roman" w:hAnsi="Times New Roman" w:cs="Times New Roman" w:eastAsia="Times New Roman" w:hint="default"/>
        </w:rPr>
        <w:t>33,804,150.00</w:t>
      </w:r>
      <w:r>
        <w:rPr>
          <w:rFonts w:ascii="Times New Roman" w:hAnsi="Times New Roman" w:cs="Times New Roman" w:eastAsia="Times New Roman" w:hint="default"/>
          <w:spacing w:val="-9"/>
        </w:rPr>
        <w:t> </w:t>
      </w:r>
      <w:r>
        <w:rPr>
          <w:spacing w:val="-8"/>
        </w:rPr>
        <w:t>元，详见本节、</w:t>
      </w:r>
      <w:r>
        <w:rPr>
          <w:rFonts w:ascii="Times New Roman" w:hAnsi="Times New Roman" w:cs="Times New Roman" w:eastAsia="Times New Roman" w:hint="default"/>
          <w:spacing w:val="-8"/>
        </w:rPr>
        <w:t>53</w:t>
      </w:r>
      <w:r>
        <w:rPr>
          <w:rFonts w:ascii="Times New Roman" w:hAnsi="Times New Roman" w:cs="Times New Roman" w:eastAsia="Times New Roman" w:hint="default"/>
          <w:spacing w:val="32"/>
        </w:rPr>
        <w:t> </w:t>
      </w:r>
      <w:r>
        <w:rPr/>
        <w:t>股本。</w:t>
      </w:r>
    </w:p>
    <w:p>
      <w:pPr>
        <w:spacing w:line="240" w:lineRule="auto" w:before="6"/>
        <w:rPr>
          <w:rFonts w:ascii="宋体" w:hAnsi="宋体" w:cs="宋体" w:eastAsia="宋体" w:hint="default"/>
          <w:sz w:val="20"/>
          <w:szCs w:val="20"/>
        </w:rPr>
      </w:pPr>
    </w:p>
    <w:p>
      <w:pPr>
        <w:pStyle w:val="BodyText"/>
        <w:spacing w:line="280" w:lineRule="auto"/>
        <w:ind w:left="1133" w:right="1122" w:firstLine="420"/>
        <w:jc w:val="left"/>
      </w:pPr>
      <w:r>
        <w:rPr>
          <w:rFonts w:ascii="Times New Roman" w:hAnsi="Times New Roman" w:cs="Times New Roman" w:eastAsia="Times New Roman" w:hint="default"/>
        </w:rPr>
        <w:t>2.</w:t>
      </w:r>
      <w:r>
        <w:rPr/>
        <w:t>本公司本期股权激励限制性股票解锁增加资本公积</w:t>
      </w:r>
      <w:r>
        <w:rPr>
          <w:rFonts w:ascii="Times New Roman" w:hAnsi="Times New Roman" w:cs="Times New Roman" w:eastAsia="Times New Roman" w:hint="default"/>
        </w:rPr>
        <w:t>-</w:t>
      </w:r>
      <w:r>
        <w:rPr/>
        <w:t>股本溢价 </w:t>
      </w:r>
      <w:r>
        <w:rPr>
          <w:rFonts w:ascii="Times New Roman" w:hAnsi="Times New Roman" w:cs="Times New Roman" w:eastAsia="Times New Roman" w:hint="default"/>
        </w:rPr>
        <w:t>44,203,425.40 </w:t>
      </w:r>
      <w:r>
        <w:rPr/>
        <w:t>元，详见本节、</w:t>
      </w:r>
      <w:r>
        <w:rPr>
          <w:rFonts w:ascii="Times New Roman" w:hAnsi="Times New Roman" w:cs="Times New Roman" w:eastAsia="Times New Roman" w:hint="default"/>
        </w:rPr>
        <w:t>56</w:t>
      </w:r>
      <w:r>
        <w:rPr>
          <w:rFonts w:ascii="Times New Roman" w:hAnsi="Times New Roman" w:cs="Times New Roman" w:eastAsia="Times New Roman" w:hint="default"/>
          <w:spacing w:val="6"/>
        </w:rPr>
        <w:t> </w:t>
      </w:r>
      <w:r>
        <w:rPr/>
        <w:t>库存 股。</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spacing w:val="3"/>
        </w:rPr>
        <w:t>3.</w:t>
      </w:r>
      <w:r>
        <w:rPr>
          <w:spacing w:val="3"/>
        </w:rPr>
        <w:t>本公司之子公司北京创思远达科技有限公司本期其他股东出资 </w:t>
      </w:r>
      <w:r>
        <w:rPr>
          <w:rFonts w:ascii="Times New Roman" w:hAnsi="Times New Roman" w:cs="Times New Roman" w:eastAsia="Times New Roman" w:hint="default"/>
        </w:rPr>
        <w:t>100,000.00</w:t>
      </w:r>
      <w:r>
        <w:rPr>
          <w:rFonts w:ascii="Times New Roman" w:hAnsi="Times New Roman" w:cs="Times New Roman" w:eastAsia="Times New Roman" w:hint="default"/>
          <w:spacing w:val="47"/>
        </w:rPr>
        <w:t> </w:t>
      </w:r>
      <w:r>
        <w:rPr>
          <w:spacing w:val="3"/>
        </w:rPr>
        <w:t>元，本公司持股比例由</w:t>
      </w:r>
    </w:p>
    <w:p>
      <w:pPr>
        <w:pStyle w:val="BodyText"/>
        <w:spacing w:line="240" w:lineRule="auto" w:before="50"/>
        <w:ind w:left="1133" w:right="0"/>
        <w:jc w:val="left"/>
      </w:pPr>
      <w:r>
        <w:rPr>
          <w:rFonts w:ascii="Times New Roman" w:hAnsi="Times New Roman" w:cs="Times New Roman" w:eastAsia="Times New Roman" w:hint="default"/>
        </w:rPr>
        <w:t>100%</w:t>
      </w:r>
      <w:r>
        <w:rPr/>
        <w:t>被动稀释至</w:t>
      </w:r>
      <w:r>
        <w:rPr>
          <w:spacing w:val="-56"/>
        </w:rPr>
        <w:t> </w:t>
      </w:r>
      <w:r>
        <w:rPr>
          <w:rFonts w:ascii="Times New Roman" w:hAnsi="Times New Roman" w:cs="Times New Roman" w:eastAsia="Times New Roman" w:hint="default"/>
        </w:rPr>
        <w:t>95%</w:t>
      </w:r>
      <w:r>
        <w:rPr/>
        <w:t>，因权益性交易，增加本集团资本公积</w:t>
      </w:r>
      <w:r>
        <w:rPr>
          <w:rFonts w:ascii="Times New Roman" w:hAnsi="Times New Roman" w:cs="Times New Roman" w:eastAsia="Times New Roman" w:hint="default"/>
        </w:rPr>
        <w:t>-</w:t>
      </w:r>
      <w:r>
        <w:rPr/>
        <w:t>股本溢价</w:t>
      </w:r>
      <w:r>
        <w:rPr>
          <w:spacing w:val="-56"/>
        </w:rPr>
        <w:t> </w:t>
      </w:r>
      <w:r>
        <w:rPr>
          <w:rFonts w:ascii="Times New Roman" w:hAnsi="Times New Roman" w:cs="Times New Roman" w:eastAsia="Times New Roman" w:hint="default"/>
        </w:rPr>
        <w:t>10,695.94</w:t>
      </w:r>
      <w:r>
        <w:rPr>
          <w:rFonts w:ascii="Times New Roman" w:hAnsi="Times New Roman" w:cs="Times New Roman" w:eastAsia="Times New Roman" w:hint="default"/>
          <w:spacing w:val="-13"/>
        </w:rPr>
        <w:t> </w:t>
      </w:r>
      <w:r>
        <w:rPr/>
        <w:t>元。</w:t>
      </w:r>
    </w:p>
    <w:p>
      <w:pPr>
        <w:spacing w:line="240" w:lineRule="auto" w:before="7"/>
        <w:rPr>
          <w:rFonts w:ascii="宋体" w:hAnsi="宋体" w:cs="宋体" w:eastAsia="宋体" w:hint="default"/>
          <w:sz w:val="20"/>
          <w:szCs w:val="20"/>
        </w:rPr>
      </w:pPr>
    </w:p>
    <w:p>
      <w:pPr>
        <w:pStyle w:val="BodyText"/>
        <w:spacing w:line="280" w:lineRule="auto"/>
        <w:ind w:left="1133" w:right="1025" w:firstLine="420"/>
        <w:jc w:val="left"/>
      </w:pPr>
      <w:r>
        <w:rPr>
          <w:rFonts w:ascii="Times New Roman" w:hAnsi="Times New Roman" w:cs="Times New Roman" w:eastAsia="Times New Roman" w:hint="default"/>
          <w:spacing w:val="13"/>
        </w:rPr>
        <w:t>4.</w:t>
      </w:r>
      <w:r>
        <w:rPr>
          <w:spacing w:val="13"/>
        </w:rPr>
        <w:t>本公司本期通过附属全资子公司 </w:t>
      </w:r>
      <w:r>
        <w:rPr>
          <w:rFonts w:ascii="Times New Roman" w:hAnsi="Times New Roman" w:cs="Times New Roman" w:eastAsia="Times New Roman" w:hint="default"/>
        </w:rPr>
        <w:t>Achieve Europe SARL </w:t>
      </w:r>
      <w:r>
        <w:rPr>
          <w:spacing w:val="13"/>
        </w:rPr>
        <w:t>的下属子公司 </w:t>
      </w:r>
      <w:r>
        <w:rPr>
          <w:rFonts w:ascii="Times New Roman" w:hAnsi="Times New Roman" w:cs="Times New Roman" w:eastAsia="Times New Roman" w:hint="default"/>
        </w:rPr>
        <w:t>ThunderSoft</w:t>
      </w:r>
      <w:r>
        <w:rPr>
          <w:rFonts w:ascii="Times New Roman" w:hAnsi="Times New Roman" w:cs="Times New Roman" w:eastAsia="Times New Roman" w:hint="default"/>
          <w:spacing w:val="46"/>
        </w:rPr>
        <w:t> </w:t>
      </w:r>
      <w:r>
        <w:rPr>
          <w:rFonts w:ascii="Times New Roman" w:hAnsi="Times New Roman" w:cs="Times New Roman" w:eastAsia="Times New Roman" w:hint="default"/>
        </w:rPr>
        <w:t>Automotive</w:t>
      </w:r>
      <w:r>
        <w:rPr>
          <w:rFonts w:ascii="Times New Roman" w:hAnsi="Times New Roman" w:cs="Times New Roman" w:eastAsia="Times New Roman" w:hint="default"/>
          <w:w w:val="99"/>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5"/>
        </w:rPr>
        <w:t> </w:t>
      </w:r>
      <w:r>
        <w:rPr>
          <w:rFonts w:ascii="Times New Roman" w:hAnsi="Times New Roman" w:cs="Times New Roman" w:eastAsia="Times New Roman" w:hint="default"/>
        </w:rPr>
        <w:t>Luxemboung</w:t>
      </w:r>
      <w:r>
        <w:rPr>
          <w:rFonts w:ascii="Times New Roman" w:hAnsi="Times New Roman" w:cs="Times New Roman" w:eastAsia="Times New Roman" w:hint="default"/>
          <w:spacing w:val="-15"/>
        </w:rPr>
        <w:t> </w:t>
      </w:r>
      <w:r>
        <w:rPr>
          <w:rFonts w:ascii="Times New Roman" w:hAnsi="Times New Roman" w:cs="Times New Roman" w:eastAsia="Times New Roman" w:hint="default"/>
        </w:rPr>
        <w:t>SARL</w:t>
      </w:r>
      <w:r>
        <w:rPr>
          <w:rFonts w:ascii="Times New Roman" w:hAnsi="Times New Roman" w:cs="Times New Roman" w:eastAsia="Times New Roman" w:hint="default"/>
          <w:spacing w:val="-14"/>
        </w:rPr>
        <w:t> </w:t>
      </w:r>
      <w:r>
        <w:rPr/>
        <w:t>对</w:t>
      </w:r>
      <w:r>
        <w:rPr>
          <w:spacing w:val="-58"/>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5"/>
        </w:rPr>
        <w:t> </w:t>
      </w:r>
      <w:r>
        <w:rPr>
          <w:rFonts w:ascii="Times New Roman" w:hAnsi="Times New Roman" w:cs="Times New Roman" w:eastAsia="Times New Roman" w:hint="default"/>
        </w:rPr>
        <w:t>Oy</w:t>
      </w:r>
      <w:r>
        <w:rPr>
          <w:rFonts w:ascii="Times New Roman" w:hAnsi="Times New Roman" w:cs="Times New Roman" w:eastAsia="Times New Roman" w:hint="default"/>
          <w:spacing w:val="-15"/>
        </w:rPr>
        <w:t> </w:t>
      </w:r>
      <w:r>
        <w:rPr/>
        <w:t>进行全资收购，根据股份购买协议，</w:t>
      </w:r>
      <w:r>
        <w:rPr>
          <w:rFonts w:ascii="Times New Roman" w:hAnsi="Times New Roman" w:cs="Times New Roman" w:eastAsia="Times New Roman" w:hint="default"/>
        </w:rPr>
        <w:t>Rightware</w:t>
      </w:r>
      <w:r>
        <w:rPr>
          <w:rFonts w:ascii="Times New Roman" w:hAnsi="Times New Roman" w:cs="Times New Roman" w:eastAsia="Times New Roman" w:hint="default"/>
          <w:spacing w:val="-15"/>
        </w:rPr>
        <w:t> </w:t>
      </w:r>
      <w:r>
        <w:rPr>
          <w:rFonts w:ascii="Times New Roman" w:hAnsi="Times New Roman" w:cs="Times New Roman" w:eastAsia="Times New Roman" w:hint="default"/>
        </w:rPr>
        <w:t>Oy</w:t>
      </w:r>
      <w:r>
        <w:rPr>
          <w:rFonts w:ascii="Times New Roman" w:hAnsi="Times New Roman" w:cs="Times New Roman" w:eastAsia="Times New Roman" w:hint="default"/>
          <w:spacing w:val="-16"/>
        </w:rPr>
        <w:t> </w:t>
      </w:r>
      <w:r>
        <w:rPr/>
        <w:t>部分原股 东返投</w:t>
      </w:r>
      <w:r>
        <w:rPr>
          <w:spacing w:val="-51"/>
        </w:rPr>
        <w:t> </w:t>
      </w:r>
      <w:r>
        <w:rPr>
          <w:rFonts w:ascii="Times New Roman" w:hAnsi="Times New Roman" w:cs="Times New Roman" w:eastAsia="Times New Roman" w:hint="default"/>
        </w:rPr>
        <w:t>ThunderSoft</w:t>
      </w:r>
      <w:r>
        <w:rPr>
          <w:rFonts w:ascii="Times New Roman" w:hAnsi="Times New Roman" w:cs="Times New Roman" w:eastAsia="Times New Roman" w:hint="default"/>
          <w:spacing w:val="-10"/>
        </w:rPr>
        <w:t> </w:t>
      </w:r>
      <w:r>
        <w:rPr>
          <w:rFonts w:ascii="Times New Roman" w:hAnsi="Times New Roman" w:cs="Times New Roman" w:eastAsia="Times New Roman" w:hint="default"/>
        </w:rPr>
        <w:t>Automotive</w:t>
      </w:r>
      <w:r>
        <w:rPr>
          <w:rFonts w:ascii="Times New Roman" w:hAnsi="Times New Roman" w:cs="Times New Roman" w:eastAsia="Times New Roman" w:hint="default"/>
          <w:spacing w:val="-10"/>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2"/>
        </w:rPr>
        <w:t> </w:t>
      </w:r>
      <w:r>
        <w:rPr>
          <w:rFonts w:ascii="Times New Roman" w:hAnsi="Times New Roman" w:cs="Times New Roman" w:eastAsia="Times New Roman" w:hint="default"/>
        </w:rPr>
        <w:t>Luxemboung</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5"/>
        </w:rPr>
        <w:t>SARL</w:t>
      </w:r>
      <w:r>
        <w:rPr>
          <w:spacing w:val="-5"/>
        </w:rPr>
        <w:t>，拥有其股权比例为</w:t>
      </w:r>
      <w:r>
        <w:rPr>
          <w:spacing w:val="-51"/>
        </w:rPr>
        <w:t> </w:t>
      </w:r>
      <w:r>
        <w:rPr>
          <w:rFonts w:ascii="Times New Roman" w:hAnsi="Times New Roman" w:cs="Times New Roman" w:eastAsia="Times New Roman" w:hint="default"/>
          <w:spacing w:val="-4"/>
        </w:rPr>
        <w:t>11.67%</w:t>
      </w:r>
      <w:r>
        <w:rPr>
          <w:spacing w:val="-4"/>
        </w:rPr>
        <w:t>，因权益性交易，</w:t>
      </w:r>
      <w:r>
        <w:rPr/>
        <w:t> 减少本集团其他资本公积</w:t>
      </w:r>
      <w:r>
        <w:rPr>
          <w:spacing w:val="-53"/>
        </w:rPr>
        <w:t> </w:t>
      </w:r>
      <w:r>
        <w:rPr>
          <w:rFonts w:ascii="Times New Roman" w:hAnsi="Times New Roman" w:cs="Times New Roman" w:eastAsia="Times New Roman" w:hint="default"/>
        </w:rPr>
        <w:t>24,751.54</w:t>
      </w:r>
      <w:r>
        <w:rPr>
          <w:rFonts w:ascii="Times New Roman" w:hAnsi="Times New Roman" w:cs="Times New Roman" w:eastAsia="Times New Roman" w:hint="default"/>
          <w:spacing w:val="-12"/>
        </w:rPr>
        <w:t> </w:t>
      </w:r>
      <w:r>
        <w:rPr/>
        <w:t>元。</w:t>
      </w:r>
    </w:p>
    <w:p>
      <w:pPr>
        <w:spacing w:line="240" w:lineRule="auto" w:before="5"/>
        <w:rPr>
          <w:rFonts w:ascii="宋体" w:hAnsi="宋体" w:cs="宋体" w:eastAsia="宋体" w:hint="default"/>
          <w:sz w:val="17"/>
          <w:szCs w:val="17"/>
        </w:rPr>
      </w:pPr>
    </w:p>
    <w:p>
      <w:pPr>
        <w:pStyle w:val="BodyText"/>
        <w:spacing w:line="280" w:lineRule="auto"/>
        <w:ind w:left="1134" w:right="1116" w:firstLine="420"/>
        <w:jc w:val="left"/>
      </w:pPr>
      <w:r>
        <w:rPr>
          <w:rFonts w:ascii="Times New Roman" w:hAnsi="Times New Roman" w:cs="Times New Roman" w:eastAsia="Times New Roman" w:hint="default"/>
        </w:rPr>
        <w:t>5.</w:t>
      </w:r>
      <w:r>
        <w:rPr/>
        <w:t>本公司本期回购并注销股权激励限制性股票，相应减少资本公积</w:t>
      </w:r>
      <w:r>
        <w:rPr>
          <w:rFonts w:ascii="Times New Roman" w:hAnsi="Times New Roman" w:cs="Times New Roman" w:eastAsia="Times New Roman" w:hint="default"/>
        </w:rPr>
        <w:t>-</w:t>
      </w:r>
      <w:r>
        <w:rPr/>
        <w:t>股本溢价</w:t>
      </w:r>
      <w:r>
        <w:rPr>
          <w:spacing w:val="-74"/>
        </w:rPr>
        <w:t> </w:t>
      </w:r>
      <w:r>
        <w:rPr>
          <w:rFonts w:ascii="Times New Roman" w:hAnsi="Times New Roman" w:cs="Times New Roman" w:eastAsia="Times New Roman" w:hint="default"/>
        </w:rPr>
        <w:t>38,942,130.00</w:t>
      </w:r>
      <w:r>
        <w:rPr>
          <w:rFonts w:ascii="Times New Roman" w:hAnsi="Times New Roman" w:cs="Times New Roman" w:eastAsia="Times New Roman" w:hint="default"/>
          <w:spacing w:val="-28"/>
        </w:rPr>
        <w:t> </w:t>
      </w:r>
      <w:r>
        <w:rPr>
          <w:spacing w:val="-9"/>
        </w:rPr>
        <w:t>元，详见本</w:t>
      </w:r>
      <w:r>
        <w:rPr/>
        <w:t> 节、</w:t>
      </w:r>
      <w:r>
        <w:rPr>
          <w:rFonts w:ascii="Times New Roman" w:hAnsi="Times New Roman" w:cs="Times New Roman" w:eastAsia="Times New Roman" w:hint="default"/>
        </w:rPr>
        <w:t>53</w:t>
      </w:r>
      <w:r>
        <w:rPr>
          <w:rFonts w:ascii="Times New Roman" w:hAnsi="Times New Roman" w:cs="Times New Roman" w:eastAsia="Times New Roman" w:hint="default"/>
          <w:spacing w:val="30"/>
        </w:rPr>
        <w:t> </w:t>
      </w:r>
      <w:r>
        <w:rPr/>
        <w:t>股本。</w:t>
      </w:r>
    </w:p>
    <w:p>
      <w:pPr>
        <w:spacing w:line="240" w:lineRule="auto" w:before="5"/>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2</w:t>
      </w:r>
      <w:r>
        <w:rPr/>
        <w:t>）其他资本公积增减变动：</w:t>
      </w:r>
    </w:p>
    <w:p>
      <w:pPr>
        <w:spacing w:line="240" w:lineRule="auto" w:before="6"/>
        <w:rPr>
          <w:rFonts w:ascii="宋体" w:hAnsi="宋体" w:cs="宋体" w:eastAsia="宋体" w:hint="default"/>
          <w:sz w:val="20"/>
          <w:szCs w:val="20"/>
        </w:rPr>
      </w:pPr>
    </w:p>
    <w:p>
      <w:pPr>
        <w:pStyle w:val="BodyText"/>
        <w:spacing w:line="280" w:lineRule="auto"/>
        <w:ind w:left="1133" w:right="1122" w:firstLine="420"/>
        <w:jc w:val="left"/>
      </w:pPr>
      <w:r>
        <w:rPr>
          <w:rFonts w:ascii="Times New Roman" w:hAnsi="Times New Roman" w:cs="Times New Roman" w:eastAsia="Times New Roman" w:hint="default"/>
        </w:rPr>
        <w:t>1.</w:t>
      </w:r>
      <w:r>
        <w:rPr/>
        <w:t>本公司之间接控制全资子公司</w:t>
      </w:r>
      <w:r>
        <w:rPr>
          <w:spacing w:val="-64"/>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1"/>
        </w:rPr>
        <w:t> </w:t>
      </w:r>
      <w:r>
        <w:rPr>
          <w:rFonts w:ascii="Times New Roman" w:hAnsi="Times New Roman" w:cs="Times New Roman" w:eastAsia="Times New Roman" w:hint="default"/>
        </w:rPr>
        <w:t>Focus</w:t>
      </w:r>
      <w:r>
        <w:rPr>
          <w:rFonts w:ascii="Times New Roman" w:hAnsi="Times New Roman" w:cs="Times New Roman" w:eastAsia="Times New Roman" w:hint="default"/>
          <w:spacing w:val="-1"/>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t>的联营公司</w:t>
      </w:r>
      <w:r>
        <w:rPr>
          <w:spacing w:val="-64"/>
        </w:rPr>
        <w:t> </w:t>
      </w:r>
      <w:r>
        <w:rPr>
          <w:rFonts w:ascii="Times New Roman" w:hAnsi="Times New Roman" w:cs="Times New Roman" w:eastAsia="Times New Roman" w:hint="default"/>
        </w:rPr>
        <w:t>Point</w:t>
      </w:r>
      <w:r>
        <w:rPr>
          <w:rFonts w:ascii="Times New Roman" w:hAnsi="Times New Roman" w:cs="Times New Roman" w:eastAsia="Times New Roman" w:hint="default"/>
          <w:spacing w:val="-1"/>
        </w:rPr>
        <w:t> </w:t>
      </w:r>
      <w:r>
        <w:rPr>
          <w:rFonts w:ascii="Times New Roman" w:hAnsi="Times New Roman" w:cs="Times New Roman" w:eastAsia="Times New Roman" w:hint="default"/>
        </w:rPr>
        <w:t>Mobile</w:t>
      </w:r>
      <w:r>
        <w:rPr>
          <w:rFonts w:ascii="Times New Roman" w:hAnsi="Times New Roman" w:cs="Times New Roman" w:eastAsia="Times New Roman" w:hint="default"/>
          <w:spacing w:val="-1"/>
        </w:rPr>
        <w:t> </w:t>
      </w:r>
      <w:r>
        <w:rPr>
          <w:rFonts w:ascii="Times New Roman" w:hAnsi="Times New Roman" w:cs="Times New Roman" w:eastAsia="Times New Roman" w:hint="default"/>
        </w:rPr>
        <w:t>Co.</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t>因实施股份 支付增加资本公积</w:t>
      </w:r>
      <w:r>
        <w:rPr>
          <w:spacing w:val="-53"/>
        </w:rPr>
        <w:t> </w:t>
      </w:r>
      <w:r>
        <w:rPr>
          <w:rFonts w:ascii="Times New Roman" w:hAnsi="Times New Roman" w:cs="Times New Roman" w:eastAsia="Times New Roman" w:hint="default"/>
        </w:rPr>
        <w:t>1,682,048.61</w:t>
      </w:r>
      <w:r>
        <w:rPr>
          <w:rFonts w:ascii="Times New Roman" w:hAnsi="Times New Roman" w:cs="Times New Roman" w:eastAsia="Times New Roman" w:hint="default"/>
          <w:spacing w:val="-1"/>
        </w:rPr>
        <w:t> </w:t>
      </w:r>
      <w:r>
        <w:rPr/>
        <w:t>元，相应增加本集团其他资本公积</w:t>
      </w:r>
      <w:r>
        <w:rPr>
          <w:spacing w:val="-53"/>
        </w:rPr>
        <w:t> </w:t>
      </w:r>
      <w:r>
        <w:rPr>
          <w:rFonts w:ascii="Times New Roman" w:hAnsi="Times New Roman" w:cs="Times New Roman" w:eastAsia="Times New Roman" w:hint="default"/>
        </w:rPr>
        <w:t>1,682,048.61 </w:t>
      </w:r>
      <w:r>
        <w:rPr/>
        <w:t>元。</w:t>
      </w:r>
    </w:p>
    <w:p>
      <w:pPr>
        <w:spacing w:line="240" w:lineRule="auto" w:before="6"/>
        <w:rPr>
          <w:rFonts w:ascii="宋体" w:hAnsi="宋体" w:cs="宋体" w:eastAsia="宋体" w:hint="default"/>
          <w:sz w:val="17"/>
          <w:szCs w:val="17"/>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上述股份支付权益法核算增加资本公积</w:t>
      </w:r>
      <w:r>
        <w:rPr>
          <w:spacing w:val="-61"/>
        </w:rPr>
        <w:t> </w:t>
      </w:r>
      <w:r>
        <w:rPr>
          <w:rFonts w:ascii="Times New Roman" w:hAnsi="Times New Roman" w:cs="Times New Roman" w:eastAsia="Times New Roman" w:hint="default"/>
        </w:rPr>
        <w:t>1,114,373.43</w:t>
      </w:r>
      <w:r>
        <w:rPr>
          <w:rFonts w:ascii="Times New Roman" w:hAnsi="Times New Roman" w:cs="Times New Roman" w:eastAsia="Times New Roman" w:hint="default"/>
          <w:spacing w:val="-9"/>
        </w:rPr>
        <w:t> </w:t>
      </w:r>
      <w:r>
        <w:rPr/>
        <w:t>元，相应增加本集团其他资本公积</w:t>
      </w:r>
      <w:r>
        <w:rPr>
          <w:spacing w:val="-61"/>
        </w:rPr>
        <w:t> </w:t>
      </w:r>
      <w:r>
        <w:rPr>
          <w:rFonts w:ascii="Times New Roman" w:hAnsi="Times New Roman" w:cs="Times New Roman" w:eastAsia="Times New Roman" w:hint="default"/>
        </w:rPr>
        <w:t>1,114,373.43</w:t>
      </w:r>
    </w:p>
    <w:p>
      <w:pPr>
        <w:pStyle w:val="BodyText"/>
        <w:spacing w:line="240" w:lineRule="auto" w:before="50"/>
        <w:ind w:left="1133" w:right="0"/>
        <w:jc w:val="left"/>
      </w:pPr>
      <w:r>
        <w:rPr/>
        <w:t>元。</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80" w:lineRule="auto" w:before="35"/>
        <w:ind w:left="1134" w:right="1116" w:firstLine="420"/>
        <w:jc w:val="left"/>
      </w:pPr>
      <w:r>
        <w:rPr>
          <w:rFonts w:ascii="Times New Roman" w:hAnsi="Times New Roman" w:cs="Times New Roman" w:eastAsia="Times New Roman" w:hint="default"/>
        </w:rPr>
        <w:t>3.</w:t>
      </w:r>
      <w:r>
        <w:rPr/>
        <w:t>本公司本期依据股权激励计划确认股权激励费用形成资本公积，扣除少数股东的影响，相应增加其 他资本公积</w:t>
      </w:r>
      <w:r>
        <w:rPr>
          <w:spacing w:val="-53"/>
        </w:rPr>
        <w:t> </w:t>
      </w:r>
      <w:r>
        <w:rPr>
          <w:rFonts w:ascii="Times New Roman" w:hAnsi="Times New Roman" w:cs="Times New Roman" w:eastAsia="Times New Roman" w:hint="default"/>
        </w:rPr>
        <w:t>24,472,121.63</w:t>
      </w:r>
      <w:r>
        <w:rPr>
          <w:rFonts w:ascii="Times New Roman" w:hAnsi="Times New Roman" w:cs="Times New Roman" w:eastAsia="Times New Roman" w:hint="default"/>
          <w:spacing w:val="-2"/>
        </w:rPr>
        <w:t> </w:t>
      </w:r>
      <w:r>
        <w:rPr/>
        <w:t>元。</w:t>
      </w:r>
    </w:p>
    <w:p>
      <w:pPr>
        <w:spacing w:line="240" w:lineRule="auto" w:before="5"/>
        <w:rPr>
          <w:rFonts w:ascii="宋体" w:hAnsi="宋体" w:cs="宋体" w:eastAsia="宋体" w:hint="default"/>
          <w:sz w:val="17"/>
          <w:szCs w:val="17"/>
        </w:rPr>
      </w:pPr>
    </w:p>
    <w:p>
      <w:pPr>
        <w:pStyle w:val="BodyText"/>
        <w:spacing w:line="280" w:lineRule="auto"/>
        <w:ind w:left="1133" w:right="1130" w:firstLine="420"/>
        <w:jc w:val="both"/>
      </w:pPr>
      <w:r>
        <w:rPr>
          <w:rFonts w:ascii="Times New Roman" w:hAnsi="Times New Roman" w:cs="Times New Roman" w:eastAsia="Times New Roman" w:hint="default"/>
        </w:rPr>
        <w:t>4.</w:t>
      </w:r>
      <w:r>
        <w:rPr/>
        <w:t>本公司之全资子公司北京信恒创科技发展有限公司（简称“信恒创”）本期将持有的北京云创远景 软件有限责任公司</w:t>
      </w:r>
      <w:r>
        <w:rPr>
          <w:spacing w:val="-64"/>
        </w:rPr>
        <w:t> </w:t>
      </w:r>
      <w:r>
        <w:rPr>
          <w:rFonts w:ascii="Times New Roman" w:hAnsi="Times New Roman" w:cs="Times New Roman" w:eastAsia="Times New Roman" w:hint="default"/>
        </w:rPr>
        <w:t>16.99%</w:t>
      </w:r>
      <w:r>
        <w:rPr/>
        <w:t>股权转给自然人，相应减少长期股权投资</w:t>
      </w:r>
      <w:r>
        <w:rPr>
          <w:spacing w:val="-64"/>
        </w:rPr>
        <w:t> </w:t>
      </w:r>
      <w:r>
        <w:rPr>
          <w:rFonts w:ascii="Times New Roman" w:hAnsi="Times New Roman" w:cs="Times New Roman" w:eastAsia="Times New Roman" w:hint="default"/>
        </w:rPr>
        <w:t>361,522.70</w:t>
      </w:r>
      <w:r>
        <w:rPr>
          <w:rFonts w:ascii="Times New Roman" w:hAnsi="Times New Roman" w:cs="Times New Roman" w:eastAsia="Times New Roman" w:hint="default"/>
          <w:spacing w:val="-11"/>
        </w:rPr>
        <w:t> </w:t>
      </w:r>
      <w:r>
        <w:rPr>
          <w:spacing w:val="-5"/>
        </w:rPr>
        <w:t>元。因北京云创远景软件有</w:t>
      </w:r>
      <w:r>
        <w:rPr/>
        <w:t> 限责任公司其他净资产变动，相应增加本集团其他资本公积</w:t>
      </w:r>
      <w:r>
        <w:rPr>
          <w:spacing w:val="-64"/>
        </w:rPr>
        <w:t> </w:t>
      </w:r>
      <w:r>
        <w:rPr>
          <w:rFonts w:ascii="Times New Roman" w:hAnsi="Times New Roman" w:cs="Times New Roman" w:eastAsia="Times New Roman" w:hint="default"/>
        </w:rPr>
        <w:t>9,578.15</w:t>
      </w:r>
      <w:r>
        <w:rPr>
          <w:rFonts w:ascii="Times New Roman" w:hAnsi="Times New Roman" w:cs="Times New Roman" w:eastAsia="Times New Roman" w:hint="default"/>
          <w:spacing w:val="-12"/>
        </w:rPr>
        <w:t> </w:t>
      </w:r>
      <w:r>
        <w:rPr/>
        <w:t>元。本公司对联营企业云创远景实施</w:t>
      </w:r>
    </w:p>
    <w:p>
      <w:pPr>
        <w:pStyle w:val="BodyText"/>
        <w:spacing w:line="240" w:lineRule="auto" w:before="10"/>
        <w:ind w:left="1133" w:right="0"/>
        <w:jc w:val="left"/>
      </w:pPr>
      <w:r>
        <w:rPr/>
        <w:t>股份支付，因权益法核算，相应增加本集团其他资本公积</w:t>
      </w:r>
      <w:r>
        <w:rPr>
          <w:spacing w:val="-52"/>
        </w:rPr>
        <w:t> </w:t>
      </w:r>
      <w:r>
        <w:rPr>
          <w:rFonts w:ascii="Times New Roman" w:hAnsi="Times New Roman" w:cs="Times New Roman" w:eastAsia="Times New Roman" w:hint="default"/>
        </w:rPr>
        <w:t>10,055.19 </w:t>
      </w:r>
      <w:r>
        <w:rPr/>
        <w:t>元。</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rPr>
        <w:t>5.</w:t>
      </w:r>
      <w:r>
        <w:rPr/>
        <w:t>本公司对合营企业中天智慧科技有限公司实施股份支付，增加本集团其他资本公积</w:t>
      </w:r>
      <w:r>
        <w:rPr>
          <w:spacing w:val="-71"/>
        </w:rPr>
        <w:t> </w:t>
      </w:r>
      <w:r>
        <w:rPr>
          <w:rFonts w:ascii="Times New Roman" w:hAnsi="Times New Roman" w:cs="Times New Roman" w:eastAsia="Times New Roman" w:hint="default"/>
        </w:rPr>
        <w:t>66,506.44</w:t>
      </w:r>
      <w:r>
        <w:rPr>
          <w:rFonts w:ascii="Times New Roman" w:hAnsi="Times New Roman" w:cs="Times New Roman" w:eastAsia="Times New Roman" w:hint="default"/>
          <w:spacing w:val="-25"/>
        </w:rPr>
        <w:t> </w:t>
      </w:r>
      <w:r>
        <w:rPr>
          <w:spacing w:val="-12"/>
        </w:rPr>
        <w:t>元，上</w:t>
      </w:r>
    </w:p>
    <w:p>
      <w:pPr>
        <w:pStyle w:val="BodyText"/>
        <w:spacing w:line="240" w:lineRule="auto" w:before="50"/>
        <w:ind w:left="1133" w:right="0"/>
        <w:jc w:val="left"/>
      </w:pPr>
      <w:r>
        <w:rPr/>
        <w:t>述股份支付因权益法核算相应增加本集团其他资本公积</w:t>
      </w:r>
      <w:r>
        <w:rPr>
          <w:spacing w:val="-53"/>
        </w:rPr>
        <w:t> </w:t>
      </w:r>
      <w:r>
        <w:rPr>
          <w:rFonts w:ascii="Times New Roman" w:hAnsi="Times New Roman" w:cs="Times New Roman" w:eastAsia="Times New Roman" w:hint="default"/>
        </w:rPr>
        <w:t>4,849.48</w:t>
      </w:r>
      <w:r>
        <w:rPr>
          <w:rFonts w:ascii="Times New Roman" w:hAnsi="Times New Roman" w:cs="Times New Roman" w:eastAsia="Times New Roman" w:hint="default"/>
          <w:spacing w:val="-11"/>
        </w:rPr>
        <w:t> </w:t>
      </w:r>
      <w:r>
        <w:rPr/>
        <w:t>元。</w:t>
      </w:r>
    </w:p>
    <w:p>
      <w:pPr>
        <w:spacing w:line="240" w:lineRule="auto" w:before="7"/>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spacing w:val="9"/>
        </w:rPr>
        <w:t>6.</w:t>
      </w:r>
      <w:r>
        <w:rPr>
          <w:spacing w:val="9"/>
        </w:rPr>
        <w:t>本公司本期因联营企业杭州格像科技有限公司其他净资产变动，相应增加本集团其他资本公积</w:t>
      </w:r>
      <w:r>
        <w:rPr/>
      </w:r>
    </w:p>
    <w:p>
      <w:pPr>
        <w:pStyle w:val="BodyText"/>
        <w:spacing w:line="240" w:lineRule="auto" w:before="49"/>
        <w:ind w:left="1133" w:right="0"/>
        <w:jc w:val="left"/>
      </w:pPr>
      <w:r>
        <w:rPr>
          <w:rFonts w:ascii="Times New Roman" w:hAnsi="Times New Roman" w:cs="Times New Roman" w:eastAsia="Times New Roman" w:hint="default"/>
        </w:rPr>
        <w:t>12,176,716.35</w:t>
      </w:r>
      <w:r>
        <w:rPr>
          <w:rFonts w:ascii="Times New Roman" w:hAnsi="Times New Roman" w:cs="Times New Roman" w:eastAsia="Times New Roman" w:hint="default"/>
          <w:spacing w:val="-10"/>
        </w:rPr>
        <w:t> </w:t>
      </w:r>
      <w:r>
        <w:rPr/>
        <w:t>元。</w:t>
      </w:r>
    </w:p>
    <w:p>
      <w:pPr>
        <w:spacing w:line="240" w:lineRule="auto" w:before="7"/>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spacing w:val="9"/>
        </w:rPr>
        <w:t>7.</w:t>
      </w:r>
      <w:r>
        <w:rPr>
          <w:spacing w:val="9"/>
        </w:rPr>
        <w:t>本公司本期因联营企业深圳互连科技有限公司其他净资产变动，相应增加本集团其他资本公积</w:t>
      </w:r>
      <w:r>
        <w:rPr/>
      </w:r>
    </w:p>
    <w:p>
      <w:pPr>
        <w:pStyle w:val="BodyText"/>
        <w:spacing w:line="240" w:lineRule="auto" w:before="49"/>
        <w:ind w:left="1134" w:right="0"/>
        <w:jc w:val="left"/>
      </w:pPr>
      <w:r>
        <w:rPr>
          <w:rFonts w:ascii="Times New Roman" w:hAnsi="Times New Roman" w:cs="Times New Roman" w:eastAsia="Times New Roman" w:hint="default"/>
        </w:rPr>
        <w:t>347,331.25</w:t>
      </w:r>
      <w:r>
        <w:rPr>
          <w:rFonts w:ascii="Times New Roman" w:hAnsi="Times New Roman" w:cs="Times New Roman" w:eastAsia="Times New Roman" w:hint="default"/>
          <w:spacing w:val="-11"/>
        </w:rPr>
        <w:t> </w:t>
      </w:r>
      <w:r>
        <w:rPr/>
        <w:t>元。</w:t>
      </w:r>
    </w:p>
    <w:p>
      <w:pPr>
        <w:spacing w:line="240" w:lineRule="auto" w:before="7"/>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spacing w:val="-3"/>
        </w:rPr>
        <w:t>8.</w:t>
      </w:r>
      <w:r>
        <w:rPr>
          <w:spacing w:val="-3"/>
        </w:rPr>
        <w:t>本公司本期限制性股票解锁，相应减少本集团其他资本公积 </w:t>
      </w:r>
      <w:r>
        <w:rPr>
          <w:rFonts w:ascii="Times New Roman" w:hAnsi="Times New Roman" w:cs="Times New Roman" w:eastAsia="Times New Roman" w:hint="default"/>
        </w:rPr>
        <w:t>44,203,425.40 </w:t>
      </w:r>
      <w:r>
        <w:rPr>
          <w:spacing w:val="-16"/>
        </w:rPr>
        <w:t>元，详见本节、</w:t>
      </w:r>
      <w:r>
        <w:rPr>
          <w:rFonts w:ascii="Times New Roman" w:hAnsi="Times New Roman" w:cs="Times New Roman" w:eastAsia="Times New Roman" w:hint="default"/>
          <w:spacing w:val="-16"/>
        </w:rPr>
        <w:t>56</w:t>
      </w:r>
      <w:r>
        <w:rPr>
          <w:rFonts w:ascii="Times New Roman" w:hAnsi="Times New Roman" w:cs="Times New Roman" w:eastAsia="Times New Roman" w:hint="default"/>
          <w:spacing w:val="-7"/>
        </w:rPr>
        <w:t> </w:t>
      </w:r>
      <w:r>
        <w:rPr/>
        <w:t>库存股。</w:t>
      </w:r>
    </w:p>
    <w:p>
      <w:pPr>
        <w:spacing w:line="240" w:lineRule="auto" w:before="6"/>
        <w:rPr>
          <w:rFonts w:ascii="宋体" w:hAnsi="宋体" w:cs="宋体" w:eastAsia="宋体" w:hint="default"/>
          <w:sz w:val="20"/>
          <w:szCs w:val="20"/>
        </w:rPr>
      </w:pPr>
    </w:p>
    <w:p>
      <w:pPr>
        <w:pStyle w:val="BodyText"/>
        <w:spacing w:line="280" w:lineRule="auto"/>
        <w:ind w:left="1133" w:right="1121" w:firstLine="420"/>
        <w:jc w:val="left"/>
      </w:pPr>
      <w:r>
        <w:rPr>
          <w:rFonts w:ascii="Times New Roman" w:hAnsi="Times New Roman" w:cs="Times New Roman" w:eastAsia="Times New Roman" w:hint="default"/>
        </w:rPr>
        <w:t>9.</w:t>
      </w:r>
      <w:r>
        <w:rPr/>
        <w:t>本期计提持有待售资产减值准备，相应减少本集团其他资本公积</w:t>
      </w:r>
      <w:r>
        <w:rPr>
          <w:spacing w:val="-61"/>
        </w:rPr>
        <w:t> </w:t>
      </w:r>
      <w:r>
        <w:rPr>
          <w:rFonts w:ascii="Times New Roman" w:hAnsi="Times New Roman" w:cs="Times New Roman" w:eastAsia="Times New Roman" w:hint="default"/>
        </w:rPr>
        <w:t>22,763,079.38</w:t>
      </w:r>
      <w:r>
        <w:rPr>
          <w:rFonts w:ascii="Times New Roman" w:hAnsi="Times New Roman" w:cs="Times New Roman" w:eastAsia="Times New Roman" w:hint="default"/>
          <w:spacing w:val="-17"/>
        </w:rPr>
        <w:t> </w:t>
      </w:r>
      <w:r>
        <w:rPr>
          <w:spacing w:val="-8"/>
        </w:rPr>
        <w:t>元，详见本节、</w:t>
      </w:r>
      <w:r>
        <w:rPr>
          <w:rFonts w:ascii="Times New Roman" w:hAnsi="Times New Roman" w:cs="Times New Roman" w:eastAsia="Times New Roman" w:hint="default"/>
          <w:spacing w:val="-8"/>
        </w:rPr>
        <w:t>11</w:t>
      </w:r>
      <w:r>
        <w:rPr>
          <w:rFonts w:ascii="Times New Roman" w:hAnsi="Times New Roman" w:cs="Times New Roman" w:eastAsia="Times New Roman" w:hint="default"/>
          <w:spacing w:val="17"/>
        </w:rPr>
        <w:t> </w:t>
      </w:r>
      <w:r>
        <w:rPr/>
        <w:t>持 有待售的资产。</w:t>
      </w:r>
    </w:p>
    <w:p>
      <w:pPr>
        <w:spacing w:line="240" w:lineRule="auto" w:before="5"/>
        <w:rPr>
          <w:rFonts w:ascii="宋体" w:hAnsi="宋体" w:cs="宋体" w:eastAsia="宋体" w:hint="default"/>
          <w:sz w:val="18"/>
          <w:szCs w:val="18"/>
        </w:rPr>
      </w:pPr>
    </w:p>
    <w:p>
      <w:pPr>
        <w:pStyle w:val="BodyText"/>
        <w:spacing w:line="240" w:lineRule="auto"/>
        <w:ind w:left="1553" w:right="0"/>
        <w:jc w:val="left"/>
        <w:rPr>
          <w:rFonts w:ascii="微软雅黑" w:hAnsi="微软雅黑" w:cs="微软雅黑" w:eastAsia="微软雅黑" w:hint="default"/>
        </w:rPr>
      </w:pPr>
      <w:bookmarkStart w:name="51、库存股" w:id="349"/>
      <w:bookmarkEnd w:id="349"/>
      <w:r>
        <w:rPr/>
      </w:r>
      <w:r>
        <w:rPr>
          <w:rFonts w:ascii="Times New Roman" w:hAnsi="Times New Roman" w:cs="Times New Roman" w:eastAsia="Times New Roman" w:hint="default"/>
        </w:rPr>
        <w:t>51</w:t>
      </w:r>
      <w:r>
        <w:rPr>
          <w:rFonts w:ascii="微软雅黑" w:hAnsi="微软雅黑" w:cs="微软雅黑" w:eastAsia="微软雅黑" w:hint="default"/>
        </w:rPr>
        <w:t>、库存股</w:t>
      </w:r>
    </w:p>
    <w:p>
      <w:pPr>
        <w:spacing w:line="240" w:lineRule="auto" w:before="1"/>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4"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库存股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265,017,689.99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36,824,191.76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119,453,864.08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182,388,017.67</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265,017,689.99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36,824,191.76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119,453,864.08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182,388,017.67</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其他说明，包括本期增减变动情况、变动原因说明：</w:t>
      </w:r>
    </w:p>
    <w:p>
      <w:pPr>
        <w:spacing w:line="240" w:lineRule="auto" w:before="8"/>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spacing w:val="8"/>
        </w:rPr>
        <w:t>1.</w:t>
      </w:r>
      <w:r>
        <w:rPr>
          <w:spacing w:val="8"/>
        </w:rPr>
        <w:t>本期增加中 </w:t>
      </w:r>
      <w:r>
        <w:rPr>
          <w:rFonts w:ascii="Times New Roman" w:hAnsi="Times New Roman" w:cs="Times New Roman" w:eastAsia="Times New Roman" w:hint="default"/>
        </w:rPr>
        <w:t>36,489,150.00  </w:t>
      </w:r>
      <w:r>
        <w:rPr>
          <w:spacing w:val="10"/>
        </w:rPr>
        <w:t>元系本公司授予限制性股票形成，详见本节、</w:t>
      </w:r>
      <w:r>
        <w:rPr>
          <w:rFonts w:ascii="Times New Roman" w:hAnsi="Times New Roman" w:cs="Times New Roman" w:eastAsia="Times New Roman" w:hint="default"/>
          <w:spacing w:val="10"/>
        </w:rPr>
        <w:t>53</w:t>
      </w:r>
      <w:r>
        <w:rPr>
          <w:rFonts w:ascii="Times New Roman" w:hAnsi="Times New Roman" w:cs="Times New Roman" w:eastAsia="Times New Roman" w:hint="default"/>
          <w:spacing w:val="67"/>
        </w:rPr>
        <w:t> </w:t>
      </w:r>
      <w:r>
        <w:rPr>
          <w:spacing w:val="10"/>
        </w:rPr>
        <w:t>股本；本期增加中</w:t>
      </w:r>
    </w:p>
    <w:p>
      <w:pPr>
        <w:pStyle w:val="BodyText"/>
        <w:spacing w:line="240" w:lineRule="auto" w:before="50"/>
        <w:ind w:left="1134" w:right="0"/>
        <w:jc w:val="both"/>
      </w:pPr>
      <w:r>
        <w:rPr>
          <w:rFonts w:ascii="Times New Roman" w:hAnsi="Times New Roman" w:cs="Times New Roman" w:eastAsia="Times New Roman" w:hint="default"/>
        </w:rPr>
        <w:t>335,041.76</w:t>
      </w:r>
      <w:r>
        <w:rPr>
          <w:rFonts w:ascii="Times New Roman" w:hAnsi="Times New Roman" w:cs="Times New Roman" w:eastAsia="Times New Roman" w:hint="default"/>
          <w:spacing w:val="-11"/>
        </w:rPr>
        <w:t> </w:t>
      </w:r>
      <w:r>
        <w:rPr/>
        <w:t>元系回购限制性股票对应不予分配现金股利增加回购义务及库存股形成。</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spacing w:val="8"/>
        </w:rPr>
        <w:t>2.</w:t>
      </w:r>
      <w:r>
        <w:rPr>
          <w:spacing w:val="8"/>
        </w:rPr>
        <w:t>本期减少中 </w:t>
      </w:r>
      <w:r>
        <w:rPr>
          <w:rFonts w:ascii="Times New Roman" w:hAnsi="Times New Roman" w:cs="Times New Roman" w:eastAsia="Times New Roman" w:hint="default"/>
        </w:rPr>
        <w:t>77,804,313.98 </w:t>
      </w:r>
      <w:r>
        <w:rPr>
          <w:rFonts w:ascii="Times New Roman" w:hAnsi="Times New Roman" w:cs="Times New Roman" w:eastAsia="Times New Roman" w:hint="default"/>
          <w:spacing w:val="5"/>
        </w:rPr>
        <w:t> </w:t>
      </w:r>
      <w:r>
        <w:rPr>
          <w:spacing w:val="12"/>
        </w:rPr>
        <w:t>元系限制性股票解锁，解除回购义务，相应增加资本公积</w:t>
      </w:r>
      <w:r>
        <w:rPr>
          <w:rFonts w:ascii="Times New Roman" w:hAnsi="Times New Roman" w:cs="Times New Roman" w:eastAsia="Times New Roman" w:hint="default"/>
          <w:spacing w:val="12"/>
        </w:rPr>
        <w:t>-</w:t>
      </w:r>
      <w:r>
        <w:rPr>
          <w:spacing w:val="12"/>
        </w:rPr>
        <w:t>股本溢价</w:t>
      </w:r>
      <w:r>
        <w:rPr/>
      </w:r>
    </w:p>
    <w:p>
      <w:pPr>
        <w:pStyle w:val="BodyText"/>
        <w:spacing w:line="280" w:lineRule="auto" w:before="50"/>
        <w:ind w:left="1133" w:right="1131"/>
        <w:jc w:val="both"/>
      </w:pPr>
      <w:r>
        <w:rPr>
          <w:rFonts w:ascii="Times New Roman" w:hAnsi="Times New Roman" w:cs="Times New Roman" w:eastAsia="Times New Roman" w:hint="default"/>
        </w:rPr>
        <w:t>44,203,425.40</w:t>
      </w:r>
      <w:r>
        <w:rPr>
          <w:rFonts w:ascii="Times New Roman" w:hAnsi="Times New Roman" w:cs="Times New Roman" w:eastAsia="Times New Roman" w:hint="default"/>
          <w:spacing w:val="-7"/>
        </w:rPr>
        <w:t> </w:t>
      </w:r>
      <w:r>
        <w:rPr/>
        <w:t>元、减少资本公积</w:t>
      </w:r>
      <w:r>
        <w:rPr>
          <w:rFonts w:ascii="Times New Roman" w:hAnsi="Times New Roman" w:cs="Times New Roman" w:eastAsia="Times New Roman" w:hint="default"/>
        </w:rPr>
        <w:t>-</w:t>
      </w:r>
      <w:r>
        <w:rPr/>
        <w:t>其他资本公积</w:t>
      </w:r>
      <w:r>
        <w:rPr>
          <w:spacing w:val="-40"/>
        </w:rPr>
        <w:t> </w:t>
      </w:r>
      <w:r>
        <w:rPr>
          <w:rFonts w:ascii="Times New Roman" w:hAnsi="Times New Roman" w:cs="Times New Roman" w:eastAsia="Times New Roman" w:hint="default"/>
        </w:rPr>
        <w:t>44,203,425.40</w:t>
      </w:r>
      <w:r>
        <w:rPr>
          <w:rFonts w:ascii="Times New Roman" w:hAnsi="Times New Roman" w:cs="Times New Roman" w:eastAsia="Times New Roman" w:hint="default"/>
          <w:spacing w:val="-7"/>
        </w:rPr>
        <w:t> </w:t>
      </w:r>
      <w:r>
        <w:rPr/>
        <w:t>元；本期减少中</w:t>
      </w:r>
      <w:r>
        <w:rPr>
          <w:spacing w:val="-40"/>
        </w:rPr>
        <w:t> </w:t>
      </w:r>
      <w:r>
        <w:rPr>
          <w:rFonts w:ascii="Times New Roman" w:hAnsi="Times New Roman" w:cs="Times New Roman" w:eastAsia="Times New Roman" w:hint="default"/>
        </w:rPr>
        <w:t>40,808,152.00</w:t>
      </w:r>
      <w:r>
        <w:rPr>
          <w:rFonts w:ascii="Times New Roman" w:hAnsi="Times New Roman" w:cs="Times New Roman" w:eastAsia="Times New Roman" w:hint="default"/>
          <w:spacing w:val="-7"/>
        </w:rPr>
        <w:t> </w:t>
      </w:r>
      <w:r>
        <w:rPr/>
        <w:t>元系回购注销 </w:t>
      </w:r>
      <w:r>
        <w:rPr>
          <w:spacing w:val="-4"/>
        </w:rPr>
        <w:t>离职激励对象限制性股票形成，详见本节、</w:t>
      </w:r>
      <w:r>
        <w:rPr>
          <w:rFonts w:ascii="Times New Roman" w:hAnsi="Times New Roman" w:cs="Times New Roman" w:eastAsia="Times New Roman" w:hint="default"/>
          <w:spacing w:val="-4"/>
        </w:rPr>
        <w:t>53 </w:t>
      </w:r>
      <w:r>
        <w:rPr>
          <w:spacing w:val="-5"/>
        </w:rPr>
        <w:t>股本；本期减少中 </w:t>
      </w:r>
      <w:r>
        <w:rPr>
          <w:rFonts w:ascii="Times New Roman" w:hAnsi="Times New Roman" w:cs="Times New Roman" w:eastAsia="Times New Roman" w:hint="default"/>
        </w:rPr>
        <w:t>841,398.10</w:t>
      </w:r>
      <w:r>
        <w:rPr>
          <w:rFonts w:ascii="Times New Roman" w:hAnsi="Times New Roman" w:cs="Times New Roman" w:eastAsia="Times New Roman" w:hint="default"/>
          <w:spacing w:val="2"/>
        </w:rPr>
        <w:t> </w:t>
      </w:r>
      <w:r>
        <w:rPr/>
        <w:t>元系本公司限制性股票分配现 金红利形成。</w:t>
      </w:r>
    </w:p>
    <w:p>
      <w:pPr>
        <w:spacing w:line="240" w:lineRule="auto" w:before="6"/>
        <w:rPr>
          <w:rFonts w:ascii="宋体" w:hAnsi="宋体" w:cs="宋体" w:eastAsia="宋体" w:hint="default"/>
          <w:sz w:val="18"/>
          <w:szCs w:val="18"/>
        </w:rPr>
      </w:pPr>
    </w:p>
    <w:p>
      <w:pPr>
        <w:pStyle w:val="BodyText"/>
        <w:spacing w:line="240" w:lineRule="auto"/>
        <w:ind w:left="1553" w:right="0"/>
        <w:jc w:val="left"/>
        <w:rPr>
          <w:rFonts w:ascii="微软雅黑" w:hAnsi="微软雅黑" w:cs="微软雅黑" w:eastAsia="微软雅黑" w:hint="default"/>
        </w:rPr>
      </w:pPr>
      <w:bookmarkStart w:name="52、其他综合收益" w:id="350"/>
      <w:bookmarkEnd w:id="350"/>
      <w:r>
        <w:rPr/>
      </w:r>
      <w:r>
        <w:rPr>
          <w:rFonts w:ascii="Times New Roman" w:hAnsi="Times New Roman" w:cs="Times New Roman" w:eastAsia="Times New Roman" w:hint="default"/>
        </w:rPr>
        <w:t>52</w:t>
      </w:r>
      <w:r>
        <w:rPr>
          <w:rFonts w:ascii="微软雅黑" w:hAnsi="微软雅黑" w:cs="微软雅黑" w:eastAsia="微软雅黑" w:hint="default"/>
        </w:rPr>
        <w:t>、其他综合收益</w:t>
      </w:r>
    </w:p>
    <w:p>
      <w:pPr>
        <w:spacing w:line="240" w:lineRule="auto" w:before="1"/>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667"/>
        <w:gridCol w:w="1153"/>
        <w:gridCol w:w="1166"/>
        <w:gridCol w:w="960"/>
        <w:gridCol w:w="738"/>
        <w:gridCol w:w="1167"/>
        <w:gridCol w:w="896"/>
        <w:gridCol w:w="1109"/>
      </w:tblGrid>
      <w:tr>
        <w:trPr>
          <w:trHeight w:val="406" w:hRule="exact"/>
        </w:trPr>
        <w:tc>
          <w:tcPr>
            <w:tcW w:w="2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1" w:right="0"/>
              <w:jc w:val="left"/>
              <w:rPr>
                <w:rFonts w:ascii="宋体" w:hAnsi="宋体" w:cs="宋体" w:eastAsia="宋体" w:hint="default"/>
                <w:sz w:val="17"/>
                <w:szCs w:val="17"/>
              </w:rPr>
            </w:pPr>
            <w:r>
              <w:rPr>
                <w:rFonts w:ascii="宋体" w:hAnsi="宋体" w:cs="宋体" w:eastAsia="宋体" w:hint="default"/>
                <w:sz w:val="17"/>
                <w:szCs w:val="17"/>
              </w:rPr>
              <w:t>期初余额</w:t>
            </w:r>
          </w:p>
        </w:tc>
        <w:tc>
          <w:tcPr>
            <w:tcW w:w="49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7"/>
                <w:szCs w:val="17"/>
              </w:rPr>
            </w:pPr>
            <w:r>
              <w:rPr>
                <w:rFonts w:ascii="宋体" w:hAnsi="宋体" w:cs="宋体" w:eastAsia="宋体" w:hint="default"/>
                <w:sz w:val="17"/>
                <w:szCs w:val="17"/>
              </w:rPr>
              <w:t>本期发生额</w:t>
            </w:r>
          </w:p>
        </w:tc>
        <w:tc>
          <w:tcPr>
            <w:tcW w:w="11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07" w:right="0"/>
              <w:jc w:val="left"/>
              <w:rPr>
                <w:rFonts w:ascii="宋体" w:hAnsi="宋体" w:cs="宋体" w:eastAsia="宋体" w:hint="default"/>
                <w:sz w:val="17"/>
                <w:szCs w:val="17"/>
              </w:rPr>
            </w:pPr>
            <w:r>
              <w:rPr>
                <w:rFonts w:ascii="宋体" w:hAnsi="宋体" w:cs="宋体" w:eastAsia="宋体" w:hint="default"/>
                <w:sz w:val="17"/>
                <w:szCs w:val="17"/>
              </w:rPr>
              <w:t>期末余额</w:t>
            </w:r>
          </w:p>
        </w:tc>
      </w:tr>
      <w:tr>
        <w:trPr>
          <w:trHeight w:val="408" w:hRule="exact"/>
        </w:trPr>
        <w:tc>
          <w:tcPr>
            <w:tcW w:w="2667"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 w:right="0"/>
              <w:jc w:val="left"/>
              <w:rPr>
                <w:rFonts w:ascii="宋体" w:hAnsi="宋体" w:cs="宋体" w:eastAsia="宋体" w:hint="default"/>
                <w:sz w:val="17"/>
                <w:szCs w:val="17"/>
              </w:rPr>
            </w:pPr>
            <w:r>
              <w:rPr>
                <w:rFonts w:ascii="宋体" w:hAnsi="宋体" w:cs="宋体" w:eastAsia="宋体" w:hint="default"/>
                <w:sz w:val="17"/>
                <w:szCs w:val="17"/>
              </w:rPr>
              <w:t>本期所得税</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4" w:right="0"/>
              <w:jc w:val="left"/>
              <w:rPr>
                <w:rFonts w:ascii="宋体" w:hAnsi="宋体" w:cs="宋体" w:eastAsia="宋体" w:hint="default"/>
                <w:sz w:val="17"/>
                <w:szCs w:val="17"/>
              </w:rPr>
            </w:pPr>
            <w:r>
              <w:rPr>
                <w:rFonts w:ascii="宋体" w:hAnsi="宋体" w:cs="宋体" w:eastAsia="宋体" w:hint="default"/>
                <w:sz w:val="17"/>
                <w:szCs w:val="17"/>
              </w:rPr>
              <w:t>减：前期</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9" w:right="0"/>
              <w:jc w:val="left"/>
              <w:rPr>
                <w:rFonts w:ascii="宋体" w:hAnsi="宋体" w:cs="宋体" w:eastAsia="宋体" w:hint="default"/>
                <w:sz w:val="17"/>
                <w:szCs w:val="17"/>
              </w:rPr>
            </w:pPr>
            <w:r>
              <w:rPr>
                <w:rFonts w:ascii="宋体" w:hAnsi="宋体" w:cs="宋体" w:eastAsia="宋体" w:hint="default"/>
                <w:sz w:val="17"/>
                <w:szCs w:val="17"/>
              </w:rPr>
              <w:t>减：所</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3" w:right="0"/>
              <w:jc w:val="left"/>
              <w:rPr>
                <w:rFonts w:ascii="宋体" w:hAnsi="宋体" w:cs="宋体" w:eastAsia="宋体" w:hint="default"/>
                <w:sz w:val="17"/>
                <w:szCs w:val="17"/>
              </w:rPr>
            </w:pPr>
            <w:r>
              <w:rPr>
                <w:rFonts w:ascii="宋体" w:hAnsi="宋体" w:cs="宋体" w:eastAsia="宋体" w:hint="default"/>
                <w:sz w:val="17"/>
                <w:szCs w:val="17"/>
              </w:rPr>
              <w:t>税后归属于</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3" w:right="0"/>
              <w:jc w:val="left"/>
              <w:rPr>
                <w:rFonts w:ascii="宋体" w:hAnsi="宋体" w:cs="宋体" w:eastAsia="宋体" w:hint="default"/>
                <w:sz w:val="17"/>
                <w:szCs w:val="17"/>
              </w:rPr>
            </w:pPr>
            <w:r>
              <w:rPr>
                <w:rFonts w:ascii="宋体" w:hAnsi="宋体" w:cs="宋体" w:eastAsia="宋体" w:hint="default"/>
                <w:sz w:val="17"/>
                <w:szCs w:val="17"/>
              </w:rPr>
              <w:t>税后归属</w:t>
            </w:r>
          </w:p>
        </w:tc>
        <w:tc>
          <w:tcPr>
            <w:tcW w:w="110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667"/>
        <w:gridCol w:w="1153"/>
        <w:gridCol w:w="1166"/>
        <w:gridCol w:w="960"/>
        <w:gridCol w:w="738"/>
        <w:gridCol w:w="1167"/>
        <w:gridCol w:w="896"/>
        <w:gridCol w:w="1109"/>
      </w:tblGrid>
      <w:tr>
        <w:trPr>
          <w:trHeight w:val="954" w:hRule="exact"/>
        </w:trPr>
        <w:tc>
          <w:tcPr>
            <w:tcW w:w="26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right="0"/>
              <w:jc w:val="center"/>
              <w:rPr>
                <w:rFonts w:ascii="宋体" w:hAnsi="宋体" w:cs="宋体" w:eastAsia="宋体" w:hint="default"/>
                <w:sz w:val="17"/>
                <w:szCs w:val="17"/>
              </w:rPr>
            </w:pPr>
            <w:r>
              <w:rPr>
                <w:rFonts w:ascii="宋体" w:hAnsi="宋体" w:cs="宋体" w:eastAsia="宋体" w:hint="default"/>
                <w:sz w:val="17"/>
                <w:szCs w:val="17"/>
              </w:rPr>
              <w:t>前发生额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right="0"/>
              <w:jc w:val="center"/>
              <w:rPr>
                <w:rFonts w:ascii="宋体" w:hAnsi="宋体" w:cs="宋体" w:eastAsia="宋体" w:hint="default"/>
                <w:sz w:val="17"/>
                <w:szCs w:val="17"/>
              </w:rPr>
            </w:pPr>
            <w:r>
              <w:rPr>
                <w:rFonts w:ascii="宋体" w:hAnsi="宋体" w:cs="宋体" w:eastAsia="宋体" w:hint="default"/>
                <w:sz w:val="17"/>
                <w:szCs w:val="17"/>
              </w:rPr>
              <w:t>计入其他</w:t>
            </w:r>
          </w:p>
          <w:p>
            <w:pPr>
              <w:pStyle w:val="TableParagraph"/>
              <w:spacing w:line="240" w:lineRule="auto"/>
              <w:ind w:left="134" w:right="132"/>
              <w:jc w:val="center"/>
              <w:rPr>
                <w:rFonts w:ascii="宋体" w:hAnsi="宋体" w:cs="宋体" w:eastAsia="宋体" w:hint="default"/>
                <w:sz w:val="17"/>
                <w:szCs w:val="17"/>
              </w:rPr>
            </w:pPr>
            <w:r>
              <w:rPr>
                <w:rFonts w:ascii="宋体" w:hAnsi="宋体" w:cs="宋体" w:eastAsia="宋体" w:hint="default"/>
                <w:sz w:val="17"/>
                <w:szCs w:val="17"/>
              </w:rPr>
              <w:t>综合收益</w:t>
            </w:r>
            <w:r>
              <w:rPr>
                <w:rFonts w:ascii="宋体" w:hAnsi="宋体" w:cs="宋体" w:eastAsia="宋体" w:hint="default"/>
                <w:w w:val="100"/>
                <w:sz w:val="17"/>
                <w:szCs w:val="17"/>
              </w:rPr>
              <w:t> </w:t>
            </w:r>
            <w:r>
              <w:rPr>
                <w:rFonts w:ascii="宋体" w:hAnsi="宋体" w:cs="宋体" w:eastAsia="宋体" w:hint="default"/>
                <w:sz w:val="17"/>
                <w:szCs w:val="17"/>
              </w:rPr>
              <w:t>当期转入</w:t>
            </w:r>
            <w:r>
              <w:rPr>
                <w:rFonts w:ascii="宋体" w:hAnsi="宋体" w:cs="宋体" w:eastAsia="宋体" w:hint="default"/>
                <w:w w:val="100"/>
                <w:sz w:val="17"/>
                <w:szCs w:val="17"/>
              </w:rPr>
              <w:t> </w:t>
            </w:r>
            <w:r>
              <w:rPr>
                <w:rFonts w:ascii="宋体" w:hAnsi="宋体" w:cs="宋体" w:eastAsia="宋体" w:hint="default"/>
                <w:sz w:val="17"/>
                <w:szCs w:val="17"/>
              </w:rPr>
              <w:t>损益</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 w:right="0"/>
              <w:jc w:val="center"/>
              <w:rPr>
                <w:rFonts w:ascii="宋体" w:hAnsi="宋体" w:cs="宋体" w:eastAsia="宋体" w:hint="default"/>
                <w:sz w:val="17"/>
                <w:szCs w:val="17"/>
              </w:rPr>
            </w:pPr>
            <w:r>
              <w:rPr>
                <w:rFonts w:ascii="宋体" w:hAnsi="宋体" w:cs="宋体" w:eastAsia="宋体" w:hint="default"/>
                <w:sz w:val="17"/>
                <w:szCs w:val="17"/>
              </w:rPr>
              <w:t>得税费</w:t>
            </w:r>
          </w:p>
          <w:p>
            <w:pPr>
              <w:pStyle w:val="TableParagraph"/>
              <w:spacing w:line="222" w:lineRule="exact"/>
              <w:ind w:right="1"/>
              <w:jc w:val="center"/>
              <w:rPr>
                <w:rFonts w:ascii="宋体" w:hAnsi="宋体" w:cs="宋体" w:eastAsia="宋体" w:hint="default"/>
                <w:sz w:val="17"/>
                <w:szCs w:val="17"/>
              </w:rPr>
            </w:pPr>
            <w:r>
              <w:rPr>
                <w:rFonts w:ascii="宋体" w:hAnsi="宋体" w:cs="宋体" w:eastAsia="宋体" w:hint="default"/>
                <w:w w:val="100"/>
                <w:sz w:val="17"/>
                <w:szCs w:val="17"/>
              </w:rPr>
              <w:t>用</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322" w:right="0"/>
              <w:jc w:val="left"/>
              <w:rPr>
                <w:rFonts w:ascii="宋体" w:hAnsi="宋体" w:cs="宋体" w:eastAsia="宋体" w:hint="default"/>
                <w:sz w:val="17"/>
                <w:szCs w:val="17"/>
              </w:rPr>
            </w:pPr>
            <w:r>
              <w:rPr>
                <w:rFonts w:ascii="宋体" w:hAnsi="宋体" w:cs="宋体" w:eastAsia="宋体" w:hint="default"/>
                <w:sz w:val="17"/>
                <w:szCs w:val="17"/>
              </w:rPr>
              <w:t>母公司</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273" w:right="0" w:hanging="86"/>
              <w:jc w:val="left"/>
              <w:rPr>
                <w:rFonts w:ascii="宋体" w:hAnsi="宋体" w:cs="宋体" w:eastAsia="宋体" w:hint="default"/>
                <w:sz w:val="17"/>
                <w:szCs w:val="17"/>
              </w:rPr>
            </w:pPr>
            <w:r>
              <w:rPr>
                <w:rFonts w:ascii="宋体" w:hAnsi="宋体" w:cs="宋体" w:eastAsia="宋体" w:hint="default"/>
                <w:sz w:val="17"/>
                <w:szCs w:val="17"/>
              </w:rPr>
              <w:t>于少数</w:t>
            </w:r>
          </w:p>
          <w:p>
            <w:pPr>
              <w:pStyle w:val="TableParagraph"/>
              <w:spacing w:line="240" w:lineRule="auto" w:before="60"/>
              <w:ind w:left="273" w:right="0"/>
              <w:jc w:val="left"/>
              <w:rPr>
                <w:rFonts w:ascii="宋体" w:hAnsi="宋体" w:cs="宋体" w:eastAsia="宋体" w:hint="default"/>
                <w:sz w:val="17"/>
                <w:szCs w:val="17"/>
              </w:rPr>
            </w:pPr>
            <w:r>
              <w:rPr>
                <w:rFonts w:ascii="宋体" w:hAnsi="宋体" w:cs="宋体" w:eastAsia="宋体" w:hint="default"/>
                <w:sz w:val="17"/>
                <w:szCs w:val="17"/>
              </w:rPr>
              <w:t>股东</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575" w:hRule="exact"/>
        </w:trPr>
        <w:tc>
          <w:tcPr>
            <w:tcW w:w="2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3" w:right="169"/>
              <w:jc w:val="left"/>
              <w:rPr>
                <w:rFonts w:ascii="宋体" w:hAnsi="宋体" w:cs="宋体" w:eastAsia="宋体" w:hint="default"/>
                <w:sz w:val="17"/>
                <w:szCs w:val="17"/>
              </w:rPr>
            </w:pPr>
            <w:r>
              <w:rPr>
                <w:rFonts w:ascii="宋体" w:hAnsi="宋体" w:cs="宋体" w:eastAsia="宋体" w:hint="default"/>
                <w:sz w:val="17"/>
                <w:szCs w:val="17"/>
              </w:rPr>
              <w:t>二、以后将重分类进损益的其他</w:t>
            </w:r>
            <w:r>
              <w:rPr>
                <w:rFonts w:ascii="宋体" w:hAnsi="宋体" w:cs="宋体" w:eastAsia="宋体" w:hint="default"/>
                <w:w w:val="100"/>
                <w:sz w:val="17"/>
                <w:szCs w:val="17"/>
              </w:rPr>
              <w:t> </w:t>
            </w:r>
            <w:r>
              <w:rPr>
                <w:rFonts w:ascii="宋体" w:hAnsi="宋体" w:cs="宋体" w:eastAsia="宋体" w:hint="default"/>
                <w:sz w:val="17"/>
                <w:szCs w:val="17"/>
              </w:rPr>
              <w:t>综合收益</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12"/>
              <w:jc w:val="center"/>
              <w:rPr>
                <w:rFonts w:ascii="Times New Roman" w:hAnsi="Times New Roman" w:cs="Times New Roman" w:eastAsia="Times New Roman" w:hint="default"/>
                <w:sz w:val="17"/>
                <w:szCs w:val="17"/>
              </w:rPr>
            </w:pPr>
            <w:r>
              <w:rPr>
                <w:rFonts w:ascii="Times New Roman"/>
                <w:sz w:val="17"/>
              </w:rPr>
              <w:t>-871,839.05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55"/>
              <w:jc w:val="center"/>
              <w:rPr>
                <w:rFonts w:ascii="Times New Roman" w:hAnsi="Times New Roman" w:cs="Times New Roman" w:eastAsia="Times New Roman" w:hint="default"/>
                <w:sz w:val="17"/>
                <w:szCs w:val="17"/>
              </w:rPr>
            </w:pPr>
            <w:r>
              <w:rPr>
                <w:rFonts w:ascii="Times New Roman"/>
                <w:sz w:val="17"/>
              </w:rPr>
              <w:t>4,196,180.64</w:t>
            </w:r>
          </w:p>
        </w:tc>
        <w:tc>
          <w:tcPr>
            <w:tcW w:w="96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sz w:val="17"/>
              </w:rPr>
              <w:t>4,130,662.06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sz w:val="17"/>
              </w:rPr>
              <w:t>65,518.58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3,258,823.01</w:t>
            </w:r>
          </w:p>
        </w:tc>
      </w:tr>
      <w:tr>
        <w:trPr>
          <w:trHeight w:val="796" w:hRule="exact"/>
        </w:trPr>
        <w:tc>
          <w:tcPr>
            <w:tcW w:w="2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6"/>
              <w:ind w:left="103" w:right="169"/>
              <w:jc w:val="both"/>
              <w:rPr>
                <w:rFonts w:ascii="宋体" w:hAnsi="宋体" w:cs="宋体" w:eastAsia="宋体" w:hint="default"/>
                <w:sz w:val="17"/>
                <w:szCs w:val="17"/>
              </w:rPr>
            </w:pPr>
            <w:r>
              <w:rPr>
                <w:rFonts w:ascii="宋体" w:hAnsi="宋体" w:cs="宋体" w:eastAsia="宋体" w:hint="default"/>
                <w:sz w:val="17"/>
                <w:szCs w:val="17"/>
              </w:rPr>
              <w:t>其中：权益法下在被投资单位以</w:t>
            </w:r>
            <w:r>
              <w:rPr>
                <w:rFonts w:ascii="宋体" w:hAnsi="宋体" w:cs="宋体" w:eastAsia="宋体" w:hint="default"/>
                <w:w w:val="100"/>
                <w:sz w:val="17"/>
                <w:szCs w:val="17"/>
              </w:rPr>
              <w:t> </w:t>
            </w:r>
            <w:r>
              <w:rPr>
                <w:rFonts w:ascii="宋体" w:hAnsi="宋体" w:cs="宋体" w:eastAsia="宋体" w:hint="default"/>
                <w:sz w:val="17"/>
                <w:szCs w:val="17"/>
              </w:rPr>
              <w:t>后将重分类进损益的其他综合收</w:t>
            </w:r>
            <w:r>
              <w:rPr>
                <w:rFonts w:ascii="宋体" w:hAnsi="宋体" w:cs="宋体" w:eastAsia="宋体" w:hint="default"/>
                <w:w w:val="100"/>
                <w:sz w:val="17"/>
                <w:szCs w:val="17"/>
              </w:rPr>
              <w:t> </w:t>
            </w:r>
            <w:r>
              <w:rPr>
                <w:rFonts w:ascii="宋体" w:hAnsi="宋体" w:cs="宋体" w:eastAsia="宋体" w:hint="default"/>
                <w:sz w:val="17"/>
                <w:szCs w:val="17"/>
              </w:rPr>
              <w:t>益中享有的份额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1"/>
              <w:jc w:val="center"/>
              <w:rPr>
                <w:rFonts w:ascii="Times New Roman" w:hAnsi="Times New Roman" w:cs="Times New Roman" w:eastAsia="Times New Roman" w:hint="default"/>
                <w:sz w:val="17"/>
                <w:szCs w:val="17"/>
              </w:rPr>
            </w:pPr>
            <w:r>
              <w:rPr>
                <w:rFonts w:ascii="Times New Roman"/>
                <w:sz w:val="17"/>
              </w:rPr>
              <w:t>3,239,457.48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sz w:val="17"/>
              </w:rPr>
              <w:t>-3,347,484.69</w:t>
            </w:r>
          </w:p>
        </w:tc>
        <w:tc>
          <w:tcPr>
            <w:tcW w:w="96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sz w:val="17"/>
              </w:rPr>
              <w:t>-3,347,484.69</w:t>
            </w:r>
          </w:p>
        </w:tc>
        <w:tc>
          <w:tcPr>
            <w:tcW w:w="89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70"/>
              <w:jc w:val="center"/>
              <w:rPr>
                <w:rFonts w:ascii="Times New Roman" w:hAnsi="Times New Roman" w:cs="Times New Roman" w:eastAsia="Times New Roman" w:hint="default"/>
                <w:sz w:val="17"/>
                <w:szCs w:val="17"/>
              </w:rPr>
            </w:pPr>
            <w:r>
              <w:rPr>
                <w:rFonts w:ascii="Times New Roman"/>
                <w:sz w:val="17"/>
              </w:rPr>
              <w:t>-108,027.21</w:t>
            </w:r>
          </w:p>
        </w:tc>
      </w:tr>
      <w:tr>
        <w:trPr>
          <w:trHeight w:val="407" w:hRule="exact"/>
        </w:trPr>
        <w:tc>
          <w:tcPr>
            <w:tcW w:w="2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614" w:right="0"/>
              <w:jc w:val="left"/>
              <w:rPr>
                <w:rFonts w:ascii="宋体" w:hAnsi="宋体" w:cs="宋体" w:eastAsia="宋体" w:hint="default"/>
                <w:sz w:val="17"/>
                <w:szCs w:val="17"/>
              </w:rPr>
            </w:pPr>
            <w:r>
              <w:rPr>
                <w:rFonts w:ascii="宋体" w:hAnsi="宋体" w:cs="宋体" w:eastAsia="宋体" w:hint="default"/>
                <w:sz w:val="17"/>
                <w:szCs w:val="17"/>
              </w:rPr>
              <w:t>外币财务报表折算差额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sz w:val="17"/>
              </w:rPr>
              <w:t>-4,111,296.53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5"/>
              <w:jc w:val="center"/>
              <w:rPr>
                <w:rFonts w:ascii="Times New Roman" w:hAnsi="Times New Roman" w:cs="Times New Roman" w:eastAsia="Times New Roman" w:hint="default"/>
                <w:sz w:val="17"/>
                <w:szCs w:val="17"/>
              </w:rPr>
            </w:pPr>
            <w:r>
              <w:rPr>
                <w:rFonts w:ascii="Times New Roman"/>
                <w:sz w:val="17"/>
              </w:rPr>
              <w:t>7,543,665.33</w:t>
            </w:r>
          </w:p>
        </w:tc>
        <w:tc>
          <w:tcPr>
            <w:tcW w:w="96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17"/>
                <w:szCs w:val="17"/>
              </w:rPr>
            </w:pPr>
            <w:r>
              <w:rPr>
                <w:rFonts w:ascii="Times New Roman"/>
                <w:sz w:val="17"/>
              </w:rPr>
              <w:t>7,478,146.75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sz w:val="17"/>
              </w:rPr>
              <w:t>65,518.58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sz w:val="17"/>
              </w:rPr>
              <w:t>3,366,850.22</w:t>
            </w:r>
          </w:p>
        </w:tc>
      </w:tr>
      <w:tr>
        <w:trPr>
          <w:trHeight w:val="408" w:hRule="exact"/>
        </w:trPr>
        <w:tc>
          <w:tcPr>
            <w:tcW w:w="2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7"/>
                <w:szCs w:val="17"/>
              </w:rPr>
            </w:pPr>
            <w:r>
              <w:rPr>
                <w:rFonts w:ascii="宋体" w:hAnsi="宋体" w:cs="宋体" w:eastAsia="宋体" w:hint="default"/>
                <w:sz w:val="17"/>
                <w:szCs w:val="17"/>
              </w:rPr>
              <w:t>其他综合收益合计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2"/>
              <w:jc w:val="center"/>
              <w:rPr>
                <w:rFonts w:ascii="Times New Roman" w:hAnsi="Times New Roman" w:cs="Times New Roman" w:eastAsia="Times New Roman" w:hint="default"/>
                <w:sz w:val="17"/>
                <w:szCs w:val="17"/>
              </w:rPr>
            </w:pPr>
            <w:r>
              <w:rPr>
                <w:rFonts w:ascii="Times New Roman"/>
                <w:sz w:val="17"/>
              </w:rPr>
              <w:t>-871,839.05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5"/>
              <w:jc w:val="center"/>
              <w:rPr>
                <w:rFonts w:ascii="Times New Roman" w:hAnsi="Times New Roman" w:cs="Times New Roman" w:eastAsia="Times New Roman" w:hint="default"/>
                <w:sz w:val="17"/>
                <w:szCs w:val="17"/>
              </w:rPr>
            </w:pPr>
            <w:r>
              <w:rPr>
                <w:rFonts w:ascii="Times New Roman"/>
                <w:sz w:val="17"/>
              </w:rPr>
              <w:t>4,196,180.64</w:t>
            </w:r>
          </w:p>
        </w:tc>
        <w:tc>
          <w:tcPr>
            <w:tcW w:w="96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Times New Roman" w:hAnsi="Times New Roman" w:cs="Times New Roman" w:eastAsia="Times New Roman" w:hint="default"/>
                <w:sz w:val="17"/>
                <w:szCs w:val="17"/>
              </w:rPr>
            </w:pPr>
            <w:r>
              <w:rPr>
                <w:rFonts w:ascii="Times New Roman"/>
                <w:sz w:val="17"/>
              </w:rPr>
              <w:t>4,130,662.06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Times New Roman" w:hAnsi="Times New Roman" w:cs="Times New Roman" w:eastAsia="Times New Roman" w:hint="default"/>
                <w:sz w:val="17"/>
                <w:szCs w:val="17"/>
              </w:rPr>
            </w:pPr>
            <w:r>
              <w:rPr>
                <w:rFonts w:ascii="Times New Roman"/>
                <w:sz w:val="17"/>
              </w:rPr>
              <w:t>65,518.58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7"/>
                <w:szCs w:val="17"/>
              </w:rPr>
            </w:pPr>
            <w:r>
              <w:rPr>
                <w:rFonts w:ascii="Times New Roman"/>
                <w:sz w:val="17"/>
              </w:rPr>
              <w:t>3,258,823.01</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其他说明，包括对现金流量套期损益的有效部分转为被套期项目初始确认金额调整：</w:t>
      </w:r>
    </w:p>
    <w:p>
      <w:pPr>
        <w:spacing w:line="240" w:lineRule="auto" w:before="8"/>
        <w:rPr>
          <w:rFonts w:ascii="宋体" w:hAnsi="宋体" w:cs="宋体" w:eastAsia="宋体" w:hint="default"/>
          <w:sz w:val="21"/>
          <w:szCs w:val="21"/>
        </w:rPr>
      </w:pPr>
    </w:p>
    <w:p>
      <w:pPr>
        <w:pStyle w:val="BodyText"/>
        <w:spacing w:line="280" w:lineRule="auto"/>
        <w:ind w:left="1133" w:right="1119" w:firstLine="420"/>
        <w:jc w:val="left"/>
      </w:pPr>
      <w:r>
        <w:rPr/>
        <w:t>本期因持有待售资产计提减值准备，相应减少其他综合收益</w:t>
      </w:r>
      <w:r>
        <w:rPr>
          <w:spacing w:val="-55"/>
        </w:rPr>
        <w:t> </w:t>
      </w:r>
      <w:r>
        <w:rPr>
          <w:rFonts w:ascii="Times New Roman" w:hAnsi="Times New Roman" w:cs="Times New Roman" w:eastAsia="Times New Roman" w:hint="default"/>
        </w:rPr>
        <w:t>5,942,864.89</w:t>
      </w:r>
      <w:r>
        <w:rPr>
          <w:rFonts w:ascii="Times New Roman" w:hAnsi="Times New Roman" w:cs="Times New Roman" w:eastAsia="Times New Roman" w:hint="default"/>
          <w:spacing w:val="-11"/>
        </w:rPr>
        <w:t> </w:t>
      </w:r>
      <w:r>
        <w:rPr>
          <w:spacing w:val="-4"/>
        </w:rPr>
        <w:t>元，详见附注七、</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7"/>
        </w:rPr>
        <w:t> </w:t>
      </w:r>
      <w:r>
        <w:rPr/>
        <w:t>持有待 售的资产。</w:t>
      </w:r>
    </w:p>
    <w:p>
      <w:pPr>
        <w:spacing w:line="240" w:lineRule="auto" w:before="6"/>
        <w:rPr>
          <w:rFonts w:ascii="宋体" w:hAnsi="宋体" w:cs="宋体" w:eastAsia="宋体" w:hint="default"/>
          <w:sz w:val="18"/>
          <w:szCs w:val="18"/>
        </w:rPr>
      </w:pPr>
    </w:p>
    <w:p>
      <w:pPr>
        <w:pStyle w:val="BodyText"/>
        <w:spacing w:line="494" w:lineRule="auto"/>
        <w:ind w:left="1553" w:right="9073"/>
        <w:jc w:val="left"/>
        <w:rPr>
          <w:rFonts w:ascii="微软雅黑" w:hAnsi="微软雅黑" w:cs="微软雅黑" w:eastAsia="微软雅黑" w:hint="default"/>
        </w:rPr>
      </w:pPr>
      <w:bookmarkStart w:name="53、专项储备" w:id="351"/>
      <w:bookmarkEnd w:id="351"/>
      <w:r>
        <w:rPr/>
      </w:r>
      <w:r>
        <w:rPr>
          <w:rFonts w:ascii="Times New Roman" w:hAnsi="Times New Roman" w:cs="Times New Roman" w:eastAsia="Times New Roman" w:hint="default"/>
        </w:rPr>
        <w:t>53</w:t>
      </w:r>
      <w:r>
        <w:rPr>
          <w:rFonts w:ascii="微软雅黑" w:hAnsi="微软雅黑" w:cs="微软雅黑" w:eastAsia="微软雅黑" w:hint="default"/>
        </w:rPr>
        <w:t>、专项储备 </w:t>
      </w:r>
      <w:r>
        <w:rPr/>
        <w:t>无 </w:t>
      </w:r>
      <w:bookmarkStart w:name="54、盈余公积" w:id="352"/>
      <w:bookmarkEnd w:id="352"/>
      <w:r>
        <w:rPr/>
      </w:r>
      <w:r>
        <w:rPr>
          <w:rFonts w:ascii="Times New Roman" w:hAnsi="Times New Roman" w:cs="Times New Roman" w:eastAsia="Times New Roman" w:hint="default"/>
        </w:rPr>
        <w:t>54</w:t>
      </w:r>
      <w:r>
        <w:rPr>
          <w:rFonts w:ascii="微软雅黑" w:hAnsi="微软雅黑" w:cs="微软雅黑" w:eastAsia="微软雅黑" w:hint="default"/>
        </w:rPr>
        <w:t>、盈余公积</w:t>
      </w:r>
    </w:p>
    <w:p>
      <w:pPr>
        <w:spacing w:before="52"/>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4"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7"/>
              <w:jc w:val="right"/>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9"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773"/>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48,530,257.74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5,902,323.41</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54,432,581.15</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97"/>
              <w:jc w:val="righ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48,530,257.74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5,902,323.41</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54,432,581.15</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盈余公积说明，包括本期增减变动情况、变动原因说明：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55、未分配利润" w:id="353"/>
      <w:bookmarkEnd w:id="353"/>
      <w:r>
        <w:rPr/>
      </w:r>
      <w:r>
        <w:rPr>
          <w:rFonts w:ascii="Times New Roman" w:hAnsi="Times New Roman" w:cs="Times New Roman" w:eastAsia="Times New Roman" w:hint="default"/>
        </w:rPr>
        <w:t>55</w:t>
      </w:r>
      <w:r>
        <w:rPr>
          <w:rFonts w:ascii="微软雅黑" w:hAnsi="微软雅黑" w:cs="微软雅黑" w:eastAsia="微软雅黑" w:hint="default"/>
        </w:rPr>
        <w:t>、未分配利润</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837"/>
        <w:gridCol w:w="3012"/>
        <w:gridCol w:w="3006"/>
      </w:tblGrid>
      <w:tr>
        <w:trPr>
          <w:trHeight w:val="406"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298,062,242.14</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242,423,206.15</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43,995.02</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298,062,242.14</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242,467,201.17</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78,044,301.23</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120,282,199.78</w:t>
            </w:r>
          </w:p>
        </w:tc>
      </w:tr>
      <w:tr>
        <w:trPr>
          <w:trHeight w:val="408"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5,902,323.41</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14,711,882.99</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27,876,174.32</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49,975,275.82</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342,328,045.64</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298,062,242.14</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调整期初未分配利润明细：</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rFonts w:ascii="Times New Roman" w:hAnsi="Times New Roman" w:cs="Times New Roman" w:eastAsia="Times New Roman" w:hint="default"/>
        </w:rPr>
        <w:t>2</w:t>
      </w:r>
      <w:r>
        <w:rPr/>
        <w:t>）由于会计政策变更，影响期初未分配利润</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7"/>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w:t>
      </w:r>
      <w:r>
        <w:rPr>
          <w:spacing w:val="-53"/>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）由于同一控制导致的合并范围变更，影响期初未分配利润</w:t>
      </w:r>
      <w:r>
        <w:rPr>
          <w:spacing w:val="-53"/>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w:t>
      </w:r>
      <w:r>
        <w:rPr>
          <w:spacing w:val="-53"/>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19"/>
          <w:szCs w:val="19"/>
        </w:rPr>
      </w:pPr>
    </w:p>
    <w:p>
      <w:pPr>
        <w:pStyle w:val="BodyText"/>
        <w:spacing w:line="240" w:lineRule="auto"/>
        <w:ind w:left="1553" w:right="0"/>
        <w:jc w:val="left"/>
        <w:rPr>
          <w:rFonts w:ascii="微软雅黑" w:hAnsi="微软雅黑" w:cs="微软雅黑" w:eastAsia="微软雅黑" w:hint="default"/>
        </w:rPr>
      </w:pPr>
      <w:bookmarkStart w:name="56、营业收入和营业成本" w:id="354"/>
      <w:bookmarkEnd w:id="354"/>
      <w:r>
        <w:rPr/>
      </w:r>
      <w:r>
        <w:rPr>
          <w:rFonts w:ascii="Times New Roman" w:hAnsi="Times New Roman" w:cs="Times New Roman" w:eastAsia="Times New Roman" w:hint="default"/>
        </w:rPr>
        <w:t>56</w:t>
      </w:r>
      <w:r>
        <w:rPr>
          <w:rFonts w:ascii="微软雅黑" w:hAnsi="微软雅黑" w:cs="微软雅黑" w:eastAsia="微软雅黑" w:hint="default"/>
        </w:rPr>
        <w:t>、营业收入和营业成本</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6"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1,161,268,528.67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739,468,480.16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843,638,981.64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447,883,062.45</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1,058,712.21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38,588.58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4,263,200.03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6,455,476.42</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739,507,068.74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847,902,181.67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454,338,538.87</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57、税金及附加" w:id="355"/>
      <w:bookmarkEnd w:id="355"/>
      <w:r>
        <w:rPr/>
      </w:r>
      <w:r>
        <w:rPr>
          <w:rFonts w:ascii="Times New Roman" w:hAnsi="Times New Roman" w:cs="Times New Roman" w:eastAsia="Times New Roman" w:hint="default"/>
        </w:rPr>
        <w:t>57</w:t>
      </w:r>
      <w:r>
        <w:rPr>
          <w:rFonts w:ascii="微软雅黑" w:hAnsi="微软雅黑" w:cs="微软雅黑" w:eastAsia="微软雅黑" w:hint="default"/>
        </w:rPr>
        <w:t>、税金及附加</w:t>
      </w:r>
    </w:p>
    <w:p>
      <w:pPr>
        <w:spacing w:line="240" w:lineRule="auto" w:before="16"/>
        <w:rPr>
          <w:rFonts w:ascii="微软雅黑" w:hAnsi="微软雅黑" w:cs="微软雅黑" w:eastAsia="微软雅黑" w:hint="default"/>
          <w:sz w:val="19"/>
          <w:szCs w:val="1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2,055,202.80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2,321,284.10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1,461,628.75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1,653,997.43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608,208.57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225,865.98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516,614.26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263,016.86</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2,337.94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78,943.96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174,697.00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4,720,598.34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4,641,199.31</w:t>
            </w:r>
          </w:p>
        </w:tc>
      </w:tr>
    </w:tbl>
    <w:p>
      <w:pPr>
        <w:spacing w:line="240" w:lineRule="auto" w:before="4"/>
        <w:rPr>
          <w:rFonts w:ascii="宋体" w:hAnsi="宋体" w:cs="宋体" w:eastAsia="宋体" w:hint="default"/>
          <w:sz w:val="11"/>
          <w:szCs w:val="11"/>
        </w:rPr>
      </w:pPr>
    </w:p>
    <w:p>
      <w:pPr>
        <w:pStyle w:val="BodyText"/>
        <w:spacing w:line="484" w:lineRule="auto" w:before="35"/>
        <w:ind w:left="1553" w:right="6343"/>
        <w:jc w:val="left"/>
        <w:rPr>
          <w:rFonts w:ascii="微软雅黑" w:hAnsi="微软雅黑" w:cs="微软雅黑" w:eastAsia="微软雅黑" w:hint="default"/>
        </w:rPr>
      </w:pPr>
      <w:r>
        <w:rPr/>
        <w:t>其他说明： 各项税金及附加的计缴标准详见六、税项。 </w:t>
      </w:r>
      <w:bookmarkStart w:name="58、销售费用" w:id="356"/>
      <w:bookmarkEnd w:id="356"/>
      <w:r>
        <w:rPr/>
      </w:r>
      <w:r>
        <w:rPr>
          <w:rFonts w:ascii="Times New Roman" w:hAnsi="Times New Roman" w:cs="Times New Roman" w:eastAsia="Times New Roman" w:hint="default"/>
        </w:rPr>
        <w:t>58</w:t>
      </w:r>
      <w:r>
        <w:rPr>
          <w:rFonts w:ascii="微软雅黑" w:hAnsi="微软雅黑" w:cs="微软雅黑" w:eastAsia="微软雅黑" w:hint="default"/>
        </w:rPr>
        <w:t>、销售费用</w:t>
      </w:r>
    </w:p>
    <w:p>
      <w:pPr>
        <w:spacing w:before="6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25,436,160.39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19,291,822.45</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5,118,163.19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2,930,229.91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4,989,573.51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2,420,420.99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7,860,400.35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3,818,650.55</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折旧及日常办公费用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3,804,422.26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1,942,439.99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-755,418.74</w:t>
            </w:r>
            <w:r>
              <w:rPr>
                <w:rFonts w:ascii="Times New Roman"/>
                <w:sz w:val="18"/>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16,316,263.76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46,453,300.96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46,719,827.65</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59、管理费用" w:id="357"/>
      <w:bookmarkEnd w:id="357"/>
      <w:r>
        <w:rPr/>
      </w:r>
      <w:r>
        <w:rPr>
          <w:rFonts w:ascii="Times New Roman" w:hAnsi="Times New Roman" w:cs="Times New Roman" w:eastAsia="Times New Roman" w:hint="default"/>
        </w:rPr>
        <w:t>59</w:t>
      </w:r>
      <w:r>
        <w:rPr>
          <w:rFonts w:ascii="微软雅黑" w:hAnsi="微软雅黑" w:cs="微软雅黑" w:eastAsia="微软雅黑" w:hint="default"/>
        </w:rPr>
        <w:t>、管理费用</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57"/>
              <w:jc w:val="right"/>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145,093,275.90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143,175,421.78</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41,273,147.13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11,085,605.56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6,695,672.54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6,146,221.04</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27,532,845.97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22,352,359.82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房租及物业维护费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14,379,398.33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11,515,528.97</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日常办公费用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20,725,739.05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20,348,771.40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20,161,686.59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49,260,097.54</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研发物料</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7,130,512.22</w:t>
            </w:r>
          </w:p>
        </w:tc>
        <w:tc>
          <w:tcPr>
            <w:tcW w:w="32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457"/>
              <w:jc w:val="righ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282,992,277.73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263,884,006.11</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60、财务费用" w:id="358"/>
      <w:bookmarkEnd w:id="358"/>
      <w:r>
        <w:rPr/>
      </w:r>
      <w:r>
        <w:rPr>
          <w:rFonts w:ascii="Times New Roman" w:hAnsi="Times New Roman" w:cs="Times New Roman" w:eastAsia="Times New Roman" w:hint="default"/>
        </w:rPr>
        <w:t>60</w:t>
      </w:r>
      <w:r>
        <w:rPr>
          <w:rFonts w:ascii="微软雅黑" w:hAnsi="微软雅黑" w:cs="微软雅黑" w:eastAsia="微软雅黑" w:hint="default"/>
        </w:rPr>
        <w:t>、财务费用</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7"/>
              <w:jc w:val="right"/>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15,515,987.76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2,760,832.89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9,449,209.50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8,499,193.33</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19,293,196.03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-6,863,989.72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6,586,142.65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2,426,728.51</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7"/>
              <w:jc w:val="righ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31,946,116.94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-10,175,621.65</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61、资产减值损失" w:id="359"/>
      <w:bookmarkEnd w:id="359"/>
      <w:r>
        <w:rPr/>
      </w:r>
      <w:r>
        <w:rPr>
          <w:rFonts w:ascii="Times New Roman" w:hAnsi="Times New Roman" w:cs="Times New Roman" w:eastAsia="Times New Roman" w:hint="default"/>
        </w:rPr>
        <w:t>61</w:t>
      </w:r>
      <w:r>
        <w:rPr>
          <w:rFonts w:ascii="微软雅黑" w:hAnsi="微软雅黑" w:cs="微软雅黑" w:eastAsia="微软雅黑" w:hint="default"/>
        </w:rPr>
        <w:t>、资产减值损失</w:t>
      </w:r>
    </w:p>
    <w:p>
      <w:pPr>
        <w:spacing w:after="0" w:line="240" w:lineRule="auto"/>
        <w:jc w:val="left"/>
        <w:rPr>
          <w:rFonts w:ascii="微软雅黑" w:hAnsi="微软雅黑" w:cs="微软雅黑" w:eastAsia="微软雅黑" w:hint="default"/>
        </w:rPr>
        <w:sectPr>
          <w:pgSz w:w="11910" w:h="16840"/>
          <w:pgMar w:header="877" w:footer="979" w:top="1100" w:bottom="1160" w:left="0" w:right="0"/>
        </w:sectPr>
      </w:pPr>
    </w:p>
    <w:p>
      <w:pPr>
        <w:spacing w:line="240" w:lineRule="auto" w:before="4"/>
        <w:rPr>
          <w:rFonts w:ascii="微软雅黑" w:hAnsi="微软雅黑" w:cs="微软雅黑" w:eastAsia="微软雅黑" w:hint="default"/>
          <w:sz w:val="14"/>
          <w:szCs w:val="14"/>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10,305,940.40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2,248,901.81</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250,941.75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-145.98</w:t>
            </w:r>
            <w:r>
              <w:rPr>
                <w:rFonts w:ascii="Times New Roman"/>
                <w:sz w:val="18"/>
              </w:rPr>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9,044,944.72</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445,580.90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974,934.22</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21,022,341.99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2,248,755.83</w:t>
            </w:r>
          </w:p>
        </w:tc>
      </w:tr>
    </w:tbl>
    <w:p>
      <w:pPr>
        <w:spacing w:line="240" w:lineRule="auto" w:before="4"/>
        <w:rPr>
          <w:rFonts w:ascii="宋体" w:hAnsi="宋体" w:cs="宋体" w:eastAsia="宋体" w:hint="default"/>
          <w:sz w:val="11"/>
          <w:szCs w:val="11"/>
        </w:rPr>
      </w:pPr>
    </w:p>
    <w:p>
      <w:pPr>
        <w:pStyle w:val="BodyText"/>
        <w:spacing w:line="484" w:lineRule="auto" w:before="35"/>
        <w:ind w:left="1553" w:right="6343"/>
        <w:jc w:val="left"/>
        <w:rPr>
          <w:rFonts w:ascii="微软雅黑" w:hAnsi="微软雅黑" w:cs="微软雅黑" w:eastAsia="微软雅黑" w:hint="default"/>
        </w:rPr>
      </w:pPr>
      <w:r>
        <w:rPr/>
        <w:t>其他说明： 其他为持有待售资产减值损失，详见附注。 </w:t>
      </w:r>
      <w:bookmarkStart w:name="62、公允价值变动收益" w:id="360"/>
      <w:bookmarkEnd w:id="360"/>
      <w:r>
        <w:rPr/>
      </w:r>
      <w:r>
        <w:rPr>
          <w:rFonts w:ascii="Times New Roman" w:hAnsi="Times New Roman" w:cs="Times New Roman" w:eastAsia="Times New Roman" w:hint="default"/>
        </w:rPr>
        <w:t>62</w:t>
      </w:r>
      <w:r>
        <w:rPr>
          <w:rFonts w:ascii="微软雅黑" w:hAnsi="微软雅黑" w:cs="微软雅黑" w:eastAsia="微软雅黑" w:hint="default"/>
        </w:rPr>
        <w:t>、公允价值变动收益</w:t>
      </w:r>
    </w:p>
    <w:p>
      <w:pPr>
        <w:spacing w:before="6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01"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07"/>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17,918,900.00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-1,261,200.00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外汇远期合约公允价值</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-13,928,616.26</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股票增值权</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797,432.31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-135,212.31</w:t>
            </w:r>
            <w:r>
              <w:rPr>
                <w:rFonts w:ascii="Times New Roman"/>
                <w:sz w:val="18"/>
              </w:rPr>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4,787,716.05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-1,396,412.31</w:t>
            </w:r>
          </w:p>
        </w:tc>
      </w:tr>
    </w:tbl>
    <w:p>
      <w:pPr>
        <w:spacing w:line="240" w:lineRule="auto" w:before="4"/>
        <w:rPr>
          <w:rFonts w:ascii="宋体" w:hAnsi="宋体" w:cs="宋体" w:eastAsia="宋体" w:hint="default"/>
          <w:sz w:val="11"/>
          <w:szCs w:val="11"/>
        </w:rPr>
      </w:pPr>
    </w:p>
    <w:p>
      <w:pPr>
        <w:pStyle w:val="BodyText"/>
        <w:spacing w:line="484" w:lineRule="auto" w:before="35"/>
        <w:ind w:left="1553" w:right="2983"/>
        <w:jc w:val="left"/>
        <w:rPr>
          <w:rFonts w:ascii="微软雅黑" w:hAnsi="微软雅黑" w:cs="微软雅黑" w:eastAsia="微软雅黑" w:hint="default"/>
        </w:rPr>
      </w:pPr>
      <w:r>
        <w:rPr/>
        <w:t>其他说明： 其中以公允价值计量且其变动计入当期损益的金融负债为收购产生的或有对价。 </w:t>
      </w:r>
      <w:bookmarkStart w:name="63、投资收益" w:id="361"/>
      <w:bookmarkEnd w:id="361"/>
      <w:r>
        <w:rPr/>
      </w:r>
      <w:r>
        <w:rPr>
          <w:rFonts w:ascii="Times New Roman" w:hAnsi="Times New Roman" w:cs="Times New Roman" w:eastAsia="Times New Roman" w:hint="default"/>
        </w:rPr>
        <w:t>63</w:t>
      </w:r>
      <w:r>
        <w:rPr>
          <w:rFonts w:ascii="微软雅黑" w:hAnsi="微软雅黑" w:cs="微软雅黑" w:eastAsia="微软雅黑" w:hint="default"/>
        </w:rPr>
        <w:t>、投资收益</w:t>
      </w:r>
    </w:p>
    <w:p>
      <w:pPr>
        <w:spacing w:before="63"/>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564"/>
        <w:gridCol w:w="3286"/>
        <w:gridCol w:w="3005"/>
      </w:tblGrid>
      <w:tr>
        <w:trPr>
          <w:trHeight w:val="404"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7,839,750.46</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-1,456,178.53</w:t>
            </w:r>
          </w:p>
        </w:tc>
      </w:tr>
      <w:tr>
        <w:trPr>
          <w:trHeight w:val="408"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86"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4,425,995.86</w:t>
            </w:r>
          </w:p>
        </w:tc>
      </w:tr>
      <w:tr>
        <w:trPr>
          <w:trHeight w:val="600"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20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86"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773,664.85</w:t>
            </w:r>
          </w:p>
        </w:tc>
      </w:tr>
      <w:tr>
        <w:trPr>
          <w:trHeight w:val="408"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拆借款利息收入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115,166.28</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43,238.98</w:t>
            </w:r>
          </w:p>
        </w:tc>
      </w:tr>
      <w:tr>
        <w:trPr>
          <w:trHeight w:val="407"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7,954,916.74</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3,786,721.16</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64、资产处置收益" w:id="362"/>
      <w:bookmarkEnd w:id="362"/>
      <w:r>
        <w:rPr/>
      </w:r>
      <w:r>
        <w:rPr>
          <w:rFonts w:ascii="Times New Roman" w:hAnsi="Times New Roman" w:cs="Times New Roman" w:eastAsia="Times New Roman" w:hint="default"/>
        </w:rPr>
        <w:t>64</w:t>
      </w:r>
      <w:r>
        <w:rPr>
          <w:rFonts w:ascii="微软雅黑" w:hAnsi="微软雅黑" w:cs="微软雅黑" w:eastAsia="微软雅黑" w:hint="default"/>
        </w:rPr>
        <w:t>、资产处置收益</w:t>
      </w:r>
    </w:p>
    <w:p>
      <w:pPr>
        <w:spacing w:after="0" w:line="240" w:lineRule="auto"/>
        <w:jc w:val="left"/>
        <w:rPr>
          <w:rFonts w:ascii="微软雅黑" w:hAnsi="微软雅黑" w:cs="微软雅黑" w:eastAsia="微软雅黑" w:hint="default"/>
        </w:rPr>
        <w:sectPr>
          <w:pgSz w:w="11910" w:h="16840"/>
          <w:pgMar w:header="877" w:footer="979" w:top="1100" w:bottom="1160" w:left="0" w:right="0"/>
        </w:sectPr>
      </w:pPr>
    </w:p>
    <w:p>
      <w:pPr>
        <w:spacing w:line="240" w:lineRule="auto" w:before="4"/>
        <w:rPr>
          <w:rFonts w:ascii="微软雅黑" w:hAnsi="微软雅黑" w:cs="微软雅黑" w:eastAsia="微软雅黑" w:hint="default"/>
          <w:sz w:val="14"/>
          <w:szCs w:val="14"/>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1" w:right="0"/>
              <w:jc w:val="center"/>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w w:val="95"/>
                <w:sz w:val="18"/>
              </w:rPr>
              <w:t>-54,582.66</w:t>
            </w:r>
            <w:r>
              <w:rPr>
                <w:rFonts w:ascii="Times New Roman"/>
                <w:sz w:val="18"/>
              </w:rPr>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25,299.85</w:t>
            </w:r>
          </w:p>
        </w:tc>
      </w:tr>
    </w:tbl>
    <w:p>
      <w:pPr>
        <w:spacing w:line="240" w:lineRule="auto" w:before="9"/>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65、其他收益" w:id="363"/>
      <w:bookmarkEnd w:id="363"/>
      <w:r>
        <w:rPr/>
      </w:r>
      <w:r>
        <w:rPr>
          <w:rFonts w:ascii="Times New Roman" w:hAnsi="Times New Roman" w:cs="Times New Roman" w:eastAsia="Times New Roman" w:hint="default"/>
        </w:rPr>
        <w:t>65</w:t>
      </w:r>
      <w:r>
        <w:rPr>
          <w:rFonts w:ascii="微软雅黑" w:hAnsi="微软雅黑" w:cs="微软雅黑" w:eastAsia="微软雅黑" w:hint="default"/>
        </w:rPr>
        <w:t>、其他收益</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4"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7"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z w:val="18"/>
              </w:rPr>
              <w:t>969,079.96</w:t>
            </w:r>
          </w:p>
        </w:tc>
        <w:tc>
          <w:tcPr>
            <w:tcW w:w="32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29,525,909.54</w:t>
            </w:r>
          </w:p>
        </w:tc>
        <w:tc>
          <w:tcPr>
            <w:tcW w:w="32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30,494,989.50</w:t>
            </w:r>
          </w:p>
        </w:tc>
        <w:tc>
          <w:tcPr>
            <w:tcW w:w="32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66、营业外收入" w:id="364"/>
      <w:bookmarkEnd w:id="364"/>
      <w:r>
        <w:rPr/>
      </w:r>
      <w:r>
        <w:rPr>
          <w:rFonts w:ascii="Times New Roman" w:hAnsi="Times New Roman" w:cs="Times New Roman" w:eastAsia="Times New Roman" w:hint="default"/>
        </w:rPr>
        <w:t>66</w:t>
      </w:r>
      <w:r>
        <w:rPr>
          <w:rFonts w:ascii="微软雅黑" w:hAnsi="微软雅黑" w:cs="微软雅黑" w:eastAsia="微软雅黑" w:hint="default"/>
        </w:rPr>
        <w:t>、营业外收入</w:t>
      </w:r>
    </w:p>
    <w:p>
      <w:pPr>
        <w:spacing w:line="240" w:lineRule="auto" w:before="9"/>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459"/>
        <w:gridCol w:w="2468"/>
        <w:gridCol w:w="2140"/>
        <w:gridCol w:w="2789"/>
      </w:tblGrid>
      <w:tr>
        <w:trPr>
          <w:trHeight w:val="358"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1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1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31"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68"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412,500.00</w:t>
            </w:r>
          </w:p>
        </w:tc>
        <w:tc>
          <w:tcPr>
            <w:tcW w:w="214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33,148,505.83</w:t>
            </w:r>
          </w:p>
        </w:tc>
        <w:tc>
          <w:tcPr>
            <w:tcW w:w="2789"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412,500.00</w:t>
            </w:r>
          </w:p>
        </w:tc>
      </w:tr>
      <w:tr>
        <w:trPr>
          <w:trHeight w:val="407" w:hRule="exact"/>
        </w:trPr>
        <w:tc>
          <w:tcPr>
            <w:tcW w:w="2459"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非流动资产毁损报废收益</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6,997.05</w:t>
            </w:r>
          </w:p>
        </w:tc>
        <w:tc>
          <w:tcPr>
            <w:tcW w:w="2140"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6,997.05</w:t>
            </w:r>
          </w:p>
        </w:tc>
      </w:tr>
      <w:tr>
        <w:trPr>
          <w:trHeight w:val="408"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533,956.55</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10,289,784.08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533,956.55</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953,453.60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43,438,289.91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953,453.60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计入当期损益的政府补助：</w:t>
      </w:r>
    </w:p>
    <w:p>
      <w:pPr>
        <w:spacing w:line="240" w:lineRule="auto" w:before="8"/>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078"/>
        <w:gridCol w:w="1074"/>
        <w:gridCol w:w="1074"/>
        <w:gridCol w:w="1532"/>
        <w:gridCol w:w="982"/>
        <w:gridCol w:w="716"/>
        <w:gridCol w:w="1077"/>
        <w:gridCol w:w="1250"/>
        <w:gridCol w:w="1073"/>
      </w:tblGrid>
      <w:tr>
        <w:trPr>
          <w:trHeight w:val="833"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26" w:right="12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73" w:right="170"/>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52" w:right="172"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6"/>
              <w:ind w:left="440" w:right="258"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45" w:right="145"/>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243"/>
              <w:jc w:val="both"/>
              <w:rPr>
                <w:rFonts w:ascii="宋体" w:hAnsi="宋体" w:cs="宋体" w:eastAsia="宋体" w:hint="default"/>
                <w:sz w:val="18"/>
                <w:szCs w:val="18"/>
              </w:rPr>
            </w:pPr>
            <w:r>
              <w:rPr>
                <w:rFonts w:ascii="宋体" w:hAnsi="宋体" w:cs="宋体" w:eastAsia="宋体" w:hint="default"/>
                <w:sz w:val="18"/>
                <w:szCs w:val="18"/>
              </w:rPr>
              <w:t>第五届中 国创新创 业大赛优 秀企业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2" w:right="240"/>
              <w:jc w:val="both"/>
              <w:rPr>
                <w:rFonts w:ascii="宋体" w:hAnsi="宋体" w:cs="宋体" w:eastAsia="宋体" w:hint="default"/>
                <w:sz w:val="18"/>
                <w:szCs w:val="18"/>
              </w:rPr>
            </w:pPr>
            <w:r>
              <w:rPr>
                <w:rFonts w:ascii="宋体" w:hAnsi="宋体" w:cs="宋体" w:eastAsia="宋体" w:hint="default"/>
                <w:sz w:val="18"/>
                <w:szCs w:val="18"/>
              </w:rPr>
              <w:t>沈阳科学 技术部资 源配置与 管理司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156"/>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300,000.00</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300"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32" w:lineRule="exact"/>
              <w:ind w:left="103" w:right="243"/>
              <w:jc w:val="left"/>
              <w:rPr>
                <w:rFonts w:ascii="宋体" w:hAnsi="宋体" w:cs="宋体" w:eastAsia="宋体" w:hint="default"/>
                <w:sz w:val="18"/>
                <w:szCs w:val="18"/>
              </w:rPr>
            </w:pPr>
            <w:r>
              <w:rPr>
                <w:rFonts w:ascii="宋体" w:hAnsi="宋体" w:cs="宋体" w:eastAsia="宋体" w:hint="default"/>
                <w:sz w:val="18"/>
                <w:szCs w:val="18"/>
              </w:rPr>
              <w:t>增值税即 征即退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32" w:lineRule="exact"/>
              <w:ind w:left="102" w:right="240"/>
              <w:jc w:val="left"/>
              <w:rPr>
                <w:rFonts w:ascii="宋体" w:hAnsi="宋体" w:cs="宋体" w:eastAsia="宋体" w:hint="default"/>
                <w:sz w:val="18"/>
                <w:szCs w:val="18"/>
              </w:rPr>
            </w:pPr>
            <w:r>
              <w:rPr>
                <w:rFonts w:ascii="宋体" w:hAnsi="宋体" w:cs="宋体" w:eastAsia="宋体" w:hint="default"/>
                <w:sz w:val="18"/>
                <w:szCs w:val="18"/>
              </w:rPr>
              <w:t>国家税务 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23,328,811.72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243"/>
              <w:jc w:val="both"/>
              <w:rPr>
                <w:rFonts w:ascii="宋体" w:hAnsi="宋体" w:cs="宋体" w:eastAsia="宋体" w:hint="default"/>
                <w:sz w:val="18"/>
                <w:szCs w:val="18"/>
              </w:rPr>
            </w:pPr>
            <w:r>
              <w:rPr>
                <w:rFonts w:ascii="宋体" w:hAnsi="宋体" w:cs="宋体" w:eastAsia="宋体" w:hint="default"/>
                <w:sz w:val="18"/>
                <w:szCs w:val="18"/>
              </w:rPr>
              <w:t>中关村智 能硬件公 共技术与 产业服务 平台资金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49"/>
              <w:ind w:left="102" w:right="240"/>
              <w:jc w:val="both"/>
              <w:rPr>
                <w:rFonts w:ascii="宋体" w:hAnsi="宋体" w:cs="宋体" w:eastAsia="宋体" w:hint="default"/>
                <w:sz w:val="18"/>
                <w:szCs w:val="18"/>
              </w:rPr>
            </w:pPr>
            <w:r>
              <w:rPr>
                <w:rFonts w:ascii="宋体" w:hAnsi="宋体" w:cs="宋体" w:eastAsia="宋体" w:hint="default"/>
                <w:sz w:val="18"/>
                <w:szCs w:val="18"/>
              </w:rPr>
              <w:t>中关村科 技园区管 理委员会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2,345,600.00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773"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243"/>
              <w:jc w:val="both"/>
              <w:rPr>
                <w:rFonts w:ascii="宋体" w:hAnsi="宋体" w:cs="宋体" w:eastAsia="宋体" w:hint="default"/>
                <w:sz w:val="18"/>
                <w:szCs w:val="18"/>
              </w:rPr>
            </w:pPr>
            <w:r>
              <w:rPr>
                <w:rFonts w:ascii="宋体" w:hAnsi="宋体" w:cs="宋体" w:eastAsia="宋体" w:hint="default"/>
                <w:sz w:val="18"/>
                <w:szCs w:val="18"/>
              </w:rPr>
              <w:t>雨花台区 软件产业 综合发展</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1,312,621.00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86"/>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302"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078"/>
        <w:gridCol w:w="1074"/>
        <w:gridCol w:w="1074"/>
        <w:gridCol w:w="1532"/>
        <w:gridCol w:w="982"/>
        <w:gridCol w:w="716"/>
        <w:gridCol w:w="1077"/>
        <w:gridCol w:w="1250"/>
        <w:gridCol w:w="1073"/>
      </w:tblGrid>
      <w:tr>
        <w:trPr>
          <w:trHeight w:val="834"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6" w:right="12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73" w:right="170"/>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352" w:right="172"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440" w:right="258"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40"/>
              <w:ind w:left="145" w:right="145"/>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得的补助</w:t>
            </w:r>
          </w:p>
        </w:tc>
        <w:tc>
          <w:tcPr>
            <w:tcW w:w="98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54"/>
              <w:ind w:left="103" w:right="198"/>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 级工业和 信息产业 转型升级 引导资金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32" w:lineRule="exact"/>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6"/>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763,770.54</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243"/>
              <w:jc w:val="both"/>
              <w:rPr>
                <w:rFonts w:ascii="宋体" w:hAnsi="宋体" w:cs="宋体" w:eastAsia="宋体" w:hint="default"/>
                <w:sz w:val="18"/>
                <w:szCs w:val="18"/>
              </w:rPr>
            </w:pPr>
            <w:r>
              <w:rPr>
                <w:rFonts w:ascii="宋体" w:hAnsi="宋体" w:cs="宋体" w:eastAsia="宋体" w:hint="default"/>
                <w:sz w:val="18"/>
                <w:szCs w:val="18"/>
              </w:rPr>
              <w:t>中关村国 际化发展 专项资金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2" w:right="240"/>
              <w:jc w:val="both"/>
              <w:rPr>
                <w:rFonts w:ascii="宋体" w:hAnsi="宋体" w:cs="宋体" w:eastAsia="宋体" w:hint="default"/>
                <w:sz w:val="18"/>
                <w:szCs w:val="18"/>
              </w:rPr>
            </w:pPr>
            <w:r>
              <w:rPr>
                <w:rFonts w:ascii="宋体" w:hAnsi="宋体" w:cs="宋体" w:eastAsia="宋体" w:hint="default"/>
                <w:sz w:val="18"/>
                <w:szCs w:val="18"/>
              </w:rPr>
              <w:t>北京中关 村海外科 技园有限 责任公司</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156"/>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612,406.00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外经贸发 展专项资 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2" w:right="240"/>
              <w:jc w:val="left"/>
              <w:rPr>
                <w:rFonts w:ascii="宋体" w:hAnsi="宋体" w:cs="宋体" w:eastAsia="宋体" w:hint="default"/>
                <w:sz w:val="18"/>
                <w:szCs w:val="18"/>
              </w:rPr>
            </w:pPr>
            <w:r>
              <w:rPr>
                <w:rFonts w:ascii="宋体" w:hAnsi="宋体" w:cs="宋体" w:eastAsia="宋体" w:hint="default"/>
                <w:sz w:val="18"/>
                <w:szCs w:val="18"/>
              </w:rPr>
              <w:t>北京市商 务委员会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593,458.00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38"/>
              <w:ind w:left="103" w:right="198"/>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 兴产业专 项引导资 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3" w:right="156"/>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03" w:right="243"/>
              <w:jc w:val="both"/>
              <w:rPr>
                <w:rFonts w:ascii="宋体" w:hAnsi="宋体" w:cs="宋体" w:eastAsia="宋体" w:hint="default"/>
                <w:sz w:val="18"/>
                <w:szCs w:val="18"/>
              </w:rPr>
            </w:pPr>
            <w:r>
              <w:rPr>
                <w:rFonts w:ascii="宋体" w:hAnsi="宋体" w:cs="宋体" w:eastAsia="宋体" w:hint="default"/>
                <w:sz w:val="18"/>
                <w:szCs w:val="18"/>
              </w:rPr>
              <w:t>成都高新 区人才补 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34" w:lineRule="exact"/>
              <w:ind w:left="102" w:right="240"/>
              <w:jc w:val="left"/>
              <w:rPr>
                <w:rFonts w:ascii="宋体" w:hAnsi="宋体" w:cs="宋体" w:eastAsia="宋体" w:hint="default"/>
                <w:sz w:val="18"/>
                <w:szCs w:val="18"/>
              </w:rPr>
            </w:pPr>
            <w:r>
              <w:rPr>
                <w:rFonts w:ascii="宋体" w:hAnsi="宋体" w:cs="宋体" w:eastAsia="宋体" w:hint="default"/>
                <w:sz w:val="18"/>
                <w:szCs w:val="18"/>
              </w:rPr>
              <w:t>成都高新 区财政局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352,500.00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39"/>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成都高新 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CMMI</w:t>
            </w:r>
          </w:p>
          <w:p>
            <w:pPr>
              <w:pStyle w:val="TableParagraph"/>
              <w:spacing w:line="232" w:lineRule="exact" w:before="2"/>
              <w:ind w:left="103" w:right="243"/>
              <w:jc w:val="left"/>
              <w:rPr>
                <w:rFonts w:ascii="宋体" w:hAnsi="宋体" w:cs="宋体" w:eastAsia="宋体" w:hint="default"/>
                <w:sz w:val="18"/>
                <w:szCs w:val="18"/>
              </w:rPr>
            </w:pPr>
            <w:r>
              <w:rPr>
                <w:rFonts w:ascii="宋体" w:hAnsi="宋体" w:cs="宋体" w:eastAsia="宋体" w:hint="default"/>
                <w:sz w:val="18"/>
                <w:szCs w:val="18"/>
              </w:rPr>
              <w:t>三级资质 认定补贴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2" w:right="240"/>
              <w:jc w:val="both"/>
              <w:rPr>
                <w:rFonts w:ascii="宋体" w:hAnsi="宋体" w:cs="宋体" w:eastAsia="宋体" w:hint="default"/>
                <w:sz w:val="18"/>
                <w:szCs w:val="18"/>
              </w:rPr>
            </w:pPr>
            <w:r>
              <w:rPr>
                <w:rFonts w:ascii="宋体" w:hAnsi="宋体" w:cs="宋体" w:eastAsia="宋体" w:hint="default"/>
                <w:sz w:val="18"/>
                <w:szCs w:val="18"/>
              </w:rPr>
              <w:t>成都高新 技术产业 开发区经 贸发展局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0"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243"/>
              <w:jc w:val="both"/>
              <w:rPr>
                <w:rFonts w:ascii="宋体" w:hAnsi="宋体" w:cs="宋体" w:eastAsia="宋体" w:hint="default"/>
                <w:sz w:val="18"/>
                <w:szCs w:val="18"/>
              </w:rPr>
            </w:pPr>
            <w:r>
              <w:rPr>
                <w:rFonts w:ascii="宋体" w:hAnsi="宋体" w:cs="宋体" w:eastAsia="宋体" w:hint="default"/>
                <w:sz w:val="18"/>
                <w:szCs w:val="18"/>
              </w:rPr>
              <w:t>成都高新 区高新技 术企业奖 励</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2" w:right="240"/>
              <w:jc w:val="both"/>
              <w:rPr>
                <w:rFonts w:ascii="宋体" w:hAnsi="宋体" w:cs="宋体" w:eastAsia="宋体" w:hint="default"/>
                <w:sz w:val="18"/>
                <w:szCs w:val="18"/>
              </w:rPr>
            </w:pPr>
            <w:r>
              <w:rPr>
                <w:rFonts w:ascii="宋体" w:hAnsi="宋体" w:cs="宋体" w:eastAsia="宋体" w:hint="default"/>
                <w:sz w:val="18"/>
                <w:szCs w:val="18"/>
              </w:rPr>
              <w:t>成都高新 技术产业 开发区科 技局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江苏省服 务外包专 项资金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37" w:lineRule="auto"/>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3" w:right="243"/>
              <w:jc w:val="both"/>
              <w:rPr>
                <w:rFonts w:ascii="宋体" w:hAnsi="宋体" w:cs="宋体" w:eastAsia="宋体" w:hint="default"/>
                <w:sz w:val="18"/>
                <w:szCs w:val="18"/>
              </w:rPr>
            </w:pPr>
            <w:r>
              <w:rPr>
                <w:rFonts w:ascii="宋体" w:hAnsi="宋体" w:cs="宋体" w:eastAsia="宋体" w:hint="default"/>
                <w:sz w:val="18"/>
                <w:szCs w:val="18"/>
              </w:rPr>
              <w:t>研发机构 法人化注 册奖励</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2" w:right="240"/>
              <w:jc w:val="both"/>
              <w:rPr>
                <w:rFonts w:ascii="宋体" w:hAnsi="宋体" w:cs="宋体" w:eastAsia="宋体" w:hint="default"/>
                <w:sz w:val="18"/>
                <w:szCs w:val="18"/>
              </w:rPr>
            </w:pPr>
            <w:r>
              <w:rPr>
                <w:rFonts w:ascii="宋体" w:hAnsi="宋体" w:cs="宋体" w:eastAsia="宋体" w:hint="default"/>
                <w:sz w:val="18"/>
                <w:szCs w:val="18"/>
              </w:rPr>
              <w:t>重庆市科 学技术委 员会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8"/>
                <w:sz w:val="18"/>
                <w:szCs w:val="18"/>
              </w:rPr>
              <w:t>京）软件谷</w:t>
            </w:r>
            <w:r>
              <w:rPr>
                <w:rFonts w:ascii="宋体" w:hAnsi="宋体" w:cs="宋体" w:eastAsia="宋体" w:hint="default"/>
                <w:sz w:val="18"/>
                <w:szCs w:val="18"/>
              </w:rPr>
              <w:t> 管委会江 苏省双创 人才扶持 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7" w:lineRule="auto"/>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302"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078"/>
        <w:gridCol w:w="1074"/>
        <w:gridCol w:w="1074"/>
        <w:gridCol w:w="1532"/>
        <w:gridCol w:w="982"/>
        <w:gridCol w:w="716"/>
        <w:gridCol w:w="1077"/>
        <w:gridCol w:w="1250"/>
        <w:gridCol w:w="1073"/>
      </w:tblGrid>
      <w:tr>
        <w:trPr>
          <w:trHeight w:val="834"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6" w:right="12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73" w:right="170"/>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352" w:right="172"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440" w:right="258"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40"/>
              <w:ind w:left="145" w:right="145"/>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海淀区服 务外包扶 持资金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11"/>
              <w:ind w:left="102" w:right="240"/>
              <w:jc w:val="left"/>
              <w:rPr>
                <w:rFonts w:ascii="宋体" w:hAnsi="宋体" w:cs="宋体" w:eastAsia="宋体" w:hint="default"/>
                <w:sz w:val="18"/>
                <w:szCs w:val="18"/>
              </w:rPr>
            </w:pPr>
            <w:r>
              <w:rPr>
                <w:rFonts w:ascii="宋体" w:hAnsi="宋体" w:cs="宋体" w:eastAsia="宋体" w:hint="default"/>
                <w:sz w:val="18"/>
                <w:szCs w:val="18"/>
              </w:rPr>
              <w:t>海淀区商 务委</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290,000.00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301"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32" w:lineRule="exact"/>
              <w:ind w:left="103" w:right="243"/>
              <w:jc w:val="left"/>
              <w:rPr>
                <w:rFonts w:ascii="宋体" w:hAnsi="宋体" w:cs="宋体" w:eastAsia="宋体" w:hint="default"/>
                <w:sz w:val="18"/>
                <w:szCs w:val="18"/>
              </w:rPr>
            </w:pPr>
            <w:r>
              <w:rPr>
                <w:rFonts w:ascii="宋体" w:hAnsi="宋体" w:cs="宋体" w:eastAsia="宋体" w:hint="default"/>
                <w:sz w:val="18"/>
                <w:szCs w:val="18"/>
              </w:rPr>
              <w:t>成都稳岗 补贴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2" w:right="240"/>
              <w:jc w:val="both"/>
              <w:rPr>
                <w:rFonts w:ascii="宋体" w:hAnsi="宋体" w:cs="宋体" w:eastAsia="宋体" w:hint="default"/>
                <w:sz w:val="18"/>
                <w:szCs w:val="18"/>
              </w:rPr>
            </w:pPr>
            <w:r>
              <w:rPr>
                <w:rFonts w:ascii="宋体" w:hAnsi="宋体" w:cs="宋体" w:eastAsia="宋体" w:hint="default"/>
                <w:sz w:val="18"/>
                <w:szCs w:val="18"/>
              </w:rPr>
              <w:t>成都高新 技术产业 开发区人 事劳动和 社会保障</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z w:val="18"/>
              </w:rPr>
              <w:t>272,378.68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3"/>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243"/>
              <w:jc w:val="both"/>
              <w:rPr>
                <w:rFonts w:ascii="宋体" w:hAnsi="宋体" w:cs="宋体" w:eastAsia="宋体" w:hint="default"/>
                <w:sz w:val="18"/>
                <w:szCs w:val="18"/>
              </w:rPr>
            </w:pPr>
            <w:r>
              <w:rPr>
                <w:rFonts w:ascii="宋体" w:hAnsi="宋体" w:cs="宋体" w:eastAsia="宋体" w:hint="default"/>
                <w:sz w:val="18"/>
                <w:szCs w:val="18"/>
              </w:rPr>
              <w:t>市级企业 技术中心 奖励</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2" w:right="240"/>
              <w:jc w:val="both"/>
              <w:rPr>
                <w:rFonts w:ascii="宋体" w:hAnsi="宋体" w:cs="宋体" w:eastAsia="宋体" w:hint="default"/>
                <w:sz w:val="18"/>
                <w:szCs w:val="18"/>
              </w:rPr>
            </w:pPr>
            <w:r>
              <w:rPr>
                <w:rFonts w:ascii="宋体" w:hAnsi="宋体" w:cs="宋体" w:eastAsia="宋体" w:hint="default"/>
                <w:sz w:val="18"/>
                <w:szCs w:val="18"/>
              </w:rPr>
              <w:t>成都高新 技术产业 开发区科 技局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243"/>
              <w:jc w:val="both"/>
              <w:rPr>
                <w:rFonts w:ascii="宋体" w:hAnsi="宋体" w:cs="宋体" w:eastAsia="宋体" w:hint="default"/>
                <w:sz w:val="18"/>
                <w:szCs w:val="18"/>
              </w:rPr>
            </w:pPr>
            <w:r>
              <w:rPr>
                <w:rFonts w:ascii="宋体" w:hAnsi="宋体" w:cs="宋体" w:eastAsia="宋体" w:hint="default"/>
                <w:sz w:val="18"/>
                <w:szCs w:val="18"/>
              </w:rPr>
              <w:t>南京软件 谷科技创 业扶持资 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199,300.00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3" w:right="243"/>
              <w:jc w:val="both"/>
              <w:rPr>
                <w:rFonts w:ascii="宋体" w:hAnsi="宋体" w:cs="宋体" w:eastAsia="宋体" w:hint="default"/>
                <w:sz w:val="18"/>
                <w:szCs w:val="18"/>
              </w:rPr>
            </w:pPr>
            <w:r>
              <w:rPr>
                <w:rFonts w:ascii="宋体" w:hAnsi="宋体" w:cs="宋体" w:eastAsia="宋体" w:hint="default"/>
                <w:sz w:val="18"/>
                <w:szCs w:val="18"/>
              </w:rPr>
              <w:t>科技型中 小企业创 新基金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2" w:right="240"/>
              <w:jc w:val="both"/>
              <w:rPr>
                <w:rFonts w:ascii="宋体" w:hAnsi="宋体" w:cs="宋体" w:eastAsia="宋体" w:hint="default"/>
                <w:sz w:val="18"/>
                <w:szCs w:val="18"/>
              </w:rPr>
            </w:pPr>
            <w:r>
              <w:rPr>
                <w:rFonts w:ascii="宋体" w:hAnsi="宋体" w:cs="宋体" w:eastAsia="宋体" w:hint="default"/>
                <w:sz w:val="18"/>
                <w:szCs w:val="18"/>
              </w:rPr>
              <w:t>中关村科 技园区海 淀园管理 委员会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3" w:right="156"/>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068"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243"/>
              <w:jc w:val="both"/>
              <w:rPr>
                <w:rFonts w:ascii="宋体" w:hAnsi="宋体" w:cs="宋体" w:eastAsia="宋体" w:hint="default"/>
                <w:sz w:val="18"/>
                <w:szCs w:val="18"/>
              </w:rPr>
            </w:pPr>
            <w:r>
              <w:rPr>
                <w:rFonts w:ascii="宋体" w:hAnsi="宋体" w:cs="宋体" w:eastAsia="宋体" w:hint="default"/>
                <w:sz w:val="18"/>
                <w:szCs w:val="18"/>
              </w:rPr>
              <w:t>自主创新 示范区建 设专项资 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1"/>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1"/>
              <w:ind w:left="103" w:right="156"/>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301"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36"/>
              <w:ind w:left="103" w:right="198"/>
              <w:jc w:val="left"/>
              <w:rPr>
                <w:rFonts w:ascii="宋体" w:hAnsi="宋体" w:cs="宋体" w:eastAsia="宋体" w:hint="default"/>
                <w:sz w:val="18"/>
                <w:szCs w:val="18"/>
              </w:rPr>
            </w:pPr>
            <w:r>
              <w:rPr>
                <w:rFonts w:ascii="宋体" w:hAnsi="宋体" w:cs="宋体" w:eastAsia="宋体" w:hint="default"/>
                <w:sz w:val="18"/>
                <w:szCs w:val="18"/>
              </w:rPr>
              <w:t>软件谷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 京市国际 服务贸易 专项资金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37" w:lineRule="auto"/>
              <w:ind w:left="102" w:right="101"/>
              <w:jc w:val="left"/>
              <w:rPr>
                <w:rFonts w:ascii="宋体" w:hAnsi="宋体" w:cs="宋体" w:eastAsia="宋体" w:hint="default"/>
                <w:sz w:val="18"/>
                <w:szCs w:val="18"/>
              </w:rPr>
            </w:pPr>
            <w:r>
              <w:rPr>
                <w:rFonts w:ascii="宋体" w:hAnsi="宋体" w:cs="宋体" w:eastAsia="宋体" w:hint="default"/>
                <w:sz w:val="18"/>
                <w:szCs w:val="18"/>
              </w:rPr>
              <w:t>中国（南 </w:t>
            </w:r>
            <w:r>
              <w:rPr>
                <w:rFonts w:ascii="宋体" w:hAnsi="宋体" w:cs="宋体" w:eastAsia="宋体" w:hint="default"/>
                <w:spacing w:val="-9"/>
                <w:sz w:val="18"/>
                <w:szCs w:val="18"/>
              </w:rPr>
              <w:t>京）软件谷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管委会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0"/>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z w:val="18"/>
              </w:rPr>
              <w:t>150,000.00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43"/>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2234"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8"/>
                <w:sz w:val="18"/>
                <w:szCs w:val="18"/>
              </w:rPr>
              <w:t>专利、软著</w:t>
            </w:r>
            <w:r>
              <w:rPr>
                <w:rFonts w:ascii="宋体" w:hAnsi="宋体" w:cs="宋体" w:eastAsia="宋体" w:hint="default"/>
                <w:sz w:val="18"/>
                <w:szCs w:val="18"/>
              </w:rPr>
              <w:t> 补贴</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2" w:right="101"/>
              <w:jc w:val="left"/>
              <w:rPr>
                <w:rFonts w:ascii="宋体" w:hAnsi="宋体" w:cs="宋体" w:eastAsia="宋体" w:hint="default"/>
                <w:sz w:val="18"/>
                <w:szCs w:val="18"/>
              </w:rPr>
            </w:pPr>
            <w:r>
              <w:rPr>
                <w:rFonts w:ascii="宋体" w:hAnsi="宋体" w:cs="宋体" w:eastAsia="宋体" w:hint="default"/>
                <w:sz w:val="18"/>
                <w:szCs w:val="18"/>
              </w:rPr>
              <w:t>成都高新 技术产业 开发区科 </w:t>
            </w:r>
            <w:r>
              <w:rPr>
                <w:rFonts w:ascii="宋体" w:hAnsi="宋体" w:cs="宋体" w:eastAsia="宋体" w:hint="default"/>
                <w:spacing w:val="-9"/>
                <w:sz w:val="18"/>
                <w:szCs w:val="18"/>
              </w:rPr>
              <w:t>技局、四川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省知识产 </w:t>
            </w:r>
            <w:r>
              <w:rPr>
                <w:rFonts w:ascii="宋体" w:hAnsi="宋体" w:cs="宋体" w:eastAsia="宋体" w:hint="default"/>
                <w:spacing w:val="-9"/>
                <w:sz w:val="18"/>
                <w:szCs w:val="18"/>
              </w:rPr>
              <w:t>权局、成都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市知识产 权服务中 心</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110,818.00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成都市服 务外包发 展项目支 持资金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11"/>
              <w:ind w:left="102" w:right="240"/>
              <w:jc w:val="left"/>
              <w:rPr>
                <w:rFonts w:ascii="宋体" w:hAnsi="宋体" w:cs="宋体" w:eastAsia="宋体" w:hint="default"/>
                <w:sz w:val="18"/>
                <w:szCs w:val="18"/>
              </w:rPr>
            </w:pPr>
            <w:r>
              <w:rPr>
                <w:rFonts w:ascii="宋体" w:hAnsi="宋体" w:cs="宋体" w:eastAsia="宋体" w:hint="default"/>
                <w:sz w:val="18"/>
                <w:szCs w:val="18"/>
              </w:rPr>
              <w:t>成都市财 政局</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奖励</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8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5"/>
              <w:ind w:left="103" w:right="243"/>
              <w:jc w:val="both"/>
              <w:rPr>
                <w:rFonts w:ascii="宋体" w:hAnsi="宋体" w:cs="宋体" w:eastAsia="宋体" w:hint="default"/>
                <w:sz w:val="18"/>
                <w:szCs w:val="18"/>
              </w:rPr>
            </w:pPr>
            <w:r>
              <w:rPr>
                <w:rFonts w:ascii="宋体" w:hAnsi="宋体" w:cs="宋体" w:eastAsia="宋体" w:hint="default"/>
                <w:sz w:val="18"/>
                <w:szCs w:val="18"/>
              </w:rPr>
              <w:t>经信委移 动互联网 应用示范</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5"/>
              <w:ind w:left="102" w:right="240"/>
              <w:jc w:val="both"/>
              <w:rPr>
                <w:rFonts w:ascii="宋体" w:hAnsi="宋体" w:cs="宋体" w:eastAsia="宋体" w:hint="default"/>
                <w:sz w:val="18"/>
                <w:szCs w:val="18"/>
              </w:rPr>
            </w:pPr>
            <w:r>
              <w:rPr>
                <w:rFonts w:ascii="宋体" w:hAnsi="宋体" w:cs="宋体" w:eastAsia="宋体" w:hint="default"/>
                <w:sz w:val="18"/>
                <w:szCs w:val="18"/>
              </w:rPr>
              <w:t>成都高新 技术产业 开发区经</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56"/>
              <w:jc w:val="both"/>
              <w:rPr>
                <w:rFonts w:ascii="宋体" w:hAnsi="宋体" w:cs="宋体" w:eastAsia="宋体" w:hint="default"/>
                <w:sz w:val="18"/>
                <w:szCs w:val="18"/>
              </w:rPr>
            </w:pPr>
            <w:r>
              <w:rPr>
                <w:rFonts w:ascii="宋体" w:hAnsi="宋体" w:cs="宋体" w:eastAsia="宋体" w:hint="default"/>
                <w:sz w:val="18"/>
                <w:szCs w:val="18"/>
              </w:rPr>
              <w:t>因研究开发、技 术更新及改造等 获得的补助</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17"/>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bl>
    <w:p>
      <w:pPr>
        <w:spacing w:after="0" w:line="302"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078"/>
        <w:gridCol w:w="1074"/>
        <w:gridCol w:w="1074"/>
        <w:gridCol w:w="1532"/>
        <w:gridCol w:w="982"/>
        <w:gridCol w:w="716"/>
        <w:gridCol w:w="1077"/>
        <w:gridCol w:w="1250"/>
        <w:gridCol w:w="1073"/>
      </w:tblGrid>
      <w:tr>
        <w:trPr>
          <w:trHeight w:val="834"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6" w:right="12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73" w:right="170"/>
              <w:jc w:val="both"/>
              <w:rPr>
                <w:rFonts w:ascii="宋体" w:hAnsi="宋体" w:cs="宋体" w:eastAsia="宋体" w:hint="default"/>
                <w:sz w:val="18"/>
                <w:szCs w:val="18"/>
              </w:rPr>
            </w:pPr>
            <w:r>
              <w:rPr>
                <w:rFonts w:ascii="宋体" w:hAnsi="宋体" w:cs="宋体" w:eastAsia="宋体" w:hint="default"/>
                <w:sz w:val="18"/>
                <w:szCs w:val="18"/>
              </w:rPr>
              <w:t>是否 特殊 补贴</w:t>
            </w:r>
          </w:p>
        </w:tc>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352" w:right="172"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17"/>
              <w:ind w:left="440" w:right="258"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40"/>
              <w:ind w:left="145" w:right="145"/>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贸发展局</w:t>
            </w:r>
          </w:p>
        </w:tc>
        <w:tc>
          <w:tcPr>
            <w:tcW w:w="107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52"/>
              <w:ind w:left="103" w:right="243"/>
              <w:jc w:val="both"/>
              <w:rPr>
                <w:rFonts w:ascii="宋体" w:hAnsi="宋体" w:cs="宋体" w:eastAsia="宋体" w:hint="default"/>
                <w:sz w:val="18"/>
                <w:szCs w:val="18"/>
              </w:rPr>
            </w:pPr>
            <w:r>
              <w:rPr>
                <w:rFonts w:ascii="宋体" w:hAnsi="宋体" w:cs="宋体" w:eastAsia="宋体" w:hint="default"/>
                <w:sz w:val="18"/>
                <w:szCs w:val="18"/>
              </w:rPr>
              <w:t>北京市服 务外包企 业人才补 助配套资 金</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11"/>
              <w:ind w:left="102" w:right="240"/>
              <w:jc w:val="left"/>
              <w:rPr>
                <w:rFonts w:ascii="宋体" w:hAnsi="宋体" w:cs="宋体" w:eastAsia="宋体" w:hint="default"/>
                <w:sz w:val="18"/>
                <w:szCs w:val="18"/>
              </w:rPr>
            </w:pPr>
            <w:r>
              <w:rPr>
                <w:rFonts w:ascii="宋体" w:hAnsi="宋体" w:cs="宋体" w:eastAsia="宋体" w:hint="default"/>
                <w:sz w:val="18"/>
                <w:szCs w:val="18"/>
              </w:rPr>
              <w:t>北京市商 务委员会</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6"/>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54,000.00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1535" w:hRule="exact"/>
        </w:trPr>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56"/>
              <w:jc w:val="left"/>
              <w:rPr>
                <w:rFonts w:ascii="宋体" w:hAnsi="宋体" w:cs="宋体" w:eastAsia="宋体" w:hint="default"/>
                <w:sz w:val="18"/>
                <w:szCs w:val="18"/>
              </w:rPr>
            </w:pPr>
            <w:r>
              <w:rPr>
                <w:rFonts w:ascii="宋体" w:hAnsi="宋体" w:cs="宋体" w:eastAsia="宋体" w:hint="default"/>
                <w:sz w:val="18"/>
                <w:szCs w:val="18"/>
              </w:rPr>
              <w:t>因从事国家鼓励 和扶持特定行 业、产业而获得 的补助（按国家 级政策规定依法 取得）</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112,500.00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87,841.89</w:t>
            </w:r>
          </w:p>
        </w:tc>
        <w:tc>
          <w:tcPr>
            <w:tcW w:w="1073"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2" w:lineRule="auto"/>
              <w:ind w:left="350" w:right="260" w:hanging="90"/>
              <w:jc w:val="left"/>
              <w:rPr>
                <w:rFonts w:ascii="宋体" w:hAnsi="宋体" w:cs="宋体" w:eastAsia="宋体" w:hint="default"/>
                <w:sz w:val="18"/>
                <w:szCs w:val="18"/>
              </w:rPr>
            </w:pPr>
            <w:r>
              <w:rPr>
                <w:rFonts w:ascii="宋体" w:hAnsi="宋体" w:cs="宋体" w:eastAsia="宋体" w:hint="default"/>
                <w:sz w:val="18"/>
                <w:szCs w:val="18"/>
              </w:rPr>
              <w:t>与收益 相关</w:t>
            </w:r>
          </w:p>
        </w:tc>
      </w:tr>
      <w:tr>
        <w:trPr>
          <w:trHeight w:val="407" w:hRule="exact"/>
        </w:trPr>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426" w:right="0"/>
              <w:jc w:val="left"/>
              <w:rPr>
                <w:rFonts w:ascii="Times New Roman" w:hAnsi="Times New Roman" w:cs="Times New Roman" w:eastAsia="Times New Roman" w:hint="default"/>
                <w:sz w:val="18"/>
                <w:szCs w:val="18"/>
              </w:rPr>
            </w:pPr>
            <w:r>
              <w:rPr>
                <w:rFonts w:ascii="Times New Roman"/>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93" w:right="0"/>
              <w:jc w:val="left"/>
              <w:rPr>
                <w:rFonts w:ascii="Times New Roman" w:hAnsi="Times New Roman" w:cs="Times New Roman" w:eastAsia="Times New Roman" w:hint="default"/>
                <w:sz w:val="18"/>
                <w:szCs w:val="18"/>
              </w:rPr>
            </w:pPr>
            <w:r>
              <w:rPr>
                <w:rFonts w:ascii="Times New Roman"/>
                <w:sz w:val="18"/>
              </w:rPr>
              <w:t>--</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412,500.00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33,148,505.83</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Times New Roman" w:hAnsi="Times New Roman" w:cs="Times New Roman" w:eastAsia="Times New Roman" w:hint="default"/>
          <w:sz w:val="12"/>
          <w:szCs w:val="12"/>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67、营业外支出" w:id="365"/>
      <w:bookmarkEnd w:id="365"/>
      <w:r>
        <w:rPr/>
      </w:r>
      <w:r>
        <w:rPr>
          <w:rFonts w:ascii="Times New Roman" w:hAnsi="Times New Roman" w:cs="Times New Roman" w:eastAsia="Times New Roman" w:hint="default"/>
        </w:rPr>
        <w:t>67</w:t>
      </w:r>
      <w:r>
        <w:rPr>
          <w:rFonts w:ascii="微软雅黑" w:hAnsi="微软雅黑" w:cs="微软雅黑" w:eastAsia="微软雅黑" w:hint="default"/>
        </w:rPr>
        <w:t>、营业外支出</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459"/>
        <w:gridCol w:w="2468"/>
        <w:gridCol w:w="2266"/>
        <w:gridCol w:w="2663"/>
      </w:tblGrid>
      <w:tr>
        <w:trPr>
          <w:trHeight w:val="358"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5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31"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68"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14"/>
              <w:ind w:right="100"/>
              <w:jc w:val="right"/>
              <w:rPr>
                <w:rFonts w:ascii="Times New Roman" w:hAnsi="Times New Roman" w:cs="Times New Roman" w:eastAsia="Times New Roman" w:hint="default"/>
                <w:sz w:val="18"/>
                <w:szCs w:val="18"/>
              </w:rPr>
            </w:pPr>
            <w:r>
              <w:rPr>
                <w:rFonts w:ascii="Times New Roman"/>
                <w:sz w:val="18"/>
              </w:rPr>
              <w:t>7,000.00</w:t>
            </w:r>
          </w:p>
        </w:tc>
        <w:tc>
          <w:tcPr>
            <w:tcW w:w="2266"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18"/>
                <w:szCs w:val="18"/>
              </w:rPr>
            </w:pPr>
            <w:r>
              <w:rPr>
                <w:rFonts w:ascii="Times New Roman"/>
                <w:sz w:val="18"/>
              </w:rPr>
              <w:t>750,000.00</w:t>
            </w:r>
          </w:p>
        </w:tc>
        <w:tc>
          <w:tcPr>
            <w:tcW w:w="266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14"/>
              <w:ind w:right="101"/>
              <w:jc w:val="right"/>
              <w:rPr>
                <w:rFonts w:ascii="Times New Roman" w:hAnsi="Times New Roman" w:cs="Times New Roman" w:eastAsia="Times New Roman" w:hint="default"/>
                <w:sz w:val="18"/>
                <w:szCs w:val="18"/>
              </w:rPr>
            </w:pPr>
            <w:r>
              <w:rPr>
                <w:rFonts w:ascii="Times New Roman"/>
                <w:sz w:val="18"/>
              </w:rPr>
              <w:t>7,000.00</w:t>
            </w:r>
          </w:p>
        </w:tc>
      </w:tr>
      <w:tr>
        <w:trPr>
          <w:trHeight w:val="408"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153,400.76</w:t>
            </w:r>
          </w:p>
        </w:tc>
        <w:tc>
          <w:tcPr>
            <w:tcW w:w="2266"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153,400.76</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33,847.73</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22,694.14</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33,847.73</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365,071.34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54,928.36</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365,071.34</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559,319.83</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827,622.50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559,319.83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68、所得税费用" w:id="366"/>
      <w:bookmarkEnd w:id="366"/>
      <w:r>
        <w:rPr/>
      </w:r>
      <w:r>
        <w:rPr>
          <w:rFonts w:ascii="Times New Roman" w:hAnsi="Times New Roman" w:cs="Times New Roman" w:eastAsia="Times New Roman" w:hint="default"/>
        </w:rPr>
        <w:t>68</w:t>
      </w:r>
      <w:r>
        <w:rPr>
          <w:rFonts w:ascii="微软雅黑" w:hAnsi="微软雅黑" w:cs="微软雅黑" w:eastAsia="微软雅黑" w:hint="default"/>
        </w:rPr>
        <w:t>、所得税费用</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所得税费用表" w:id="367"/>
      <w:bookmarkEnd w:id="36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10,661,586.75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15,718,862.69</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-7,537,518.57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-4,511,471.44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3,124,068.18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11,207,391.25</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会计利润与所得税费用调整过程" w:id="368"/>
      <w:bookmarkEnd w:id="36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4923"/>
        <w:gridCol w:w="4932"/>
      </w:tblGrid>
      <w:tr>
        <w:trPr>
          <w:trHeight w:val="406"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79,262,709.58</w:t>
            </w:r>
          </w:p>
        </w:tc>
      </w:tr>
      <w:tr>
        <w:trPr>
          <w:trHeight w:val="408"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7,926,270.96</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-573,671.42</w:t>
            </w:r>
            <w:r>
              <w:rPr>
                <w:rFonts w:ascii="Times New Roman"/>
                <w:sz w:val="18"/>
              </w:rPr>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316,563.78</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-2,152,672.64</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1,585,763.63</w:t>
            </w:r>
          </w:p>
        </w:tc>
      </w:tr>
      <w:tr>
        <w:trPr>
          <w:trHeight w:val="406"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-2,159,664.93</w:t>
            </w:r>
          </w:p>
        </w:tc>
      </w:tr>
      <w:tr>
        <w:trPr>
          <w:trHeight w:val="716"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128"/>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9,068,270.97</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-1,215,816.27</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-526,794.14</w:t>
            </w:r>
            <w:r>
              <w:rPr>
                <w:rFonts w:ascii="Times New Roman"/>
                <w:sz w:val="18"/>
              </w:rPr>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-9,011,948.63</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-132,233.13</w:t>
            </w:r>
            <w:r>
              <w:rPr>
                <w:rFonts w:ascii="Times New Roman"/>
                <w:sz w:val="18"/>
              </w:rPr>
            </w:r>
          </w:p>
        </w:tc>
      </w:tr>
      <w:tr>
        <w:trPr>
          <w:trHeight w:val="408"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3,124,068.18</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69、其他综合收益" w:id="369"/>
      <w:bookmarkEnd w:id="369"/>
      <w:r>
        <w:rPr/>
      </w:r>
      <w:r>
        <w:rPr>
          <w:rFonts w:ascii="Times New Roman" w:hAnsi="Times New Roman" w:cs="Times New Roman" w:eastAsia="Times New Roman" w:hint="default"/>
        </w:rPr>
        <w:t>69</w:t>
      </w:r>
      <w:r>
        <w:rPr>
          <w:rFonts w:ascii="微软雅黑" w:hAnsi="微软雅黑" w:cs="微软雅黑" w:eastAsia="微软雅黑" w:hint="default"/>
        </w:rPr>
        <w:t>、其他综合收益</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t>详见附注七、</w:t>
      </w:r>
      <w:r>
        <w:rPr>
          <w:rFonts w:ascii="Times New Roman" w:hAnsi="Times New Roman" w:cs="Times New Roman" w:eastAsia="Times New Roman" w:hint="default"/>
        </w:rPr>
        <w:t>57</w:t>
      </w:r>
      <w:r>
        <w:rPr>
          <w:rFonts w:ascii="Times New Roman" w:hAnsi="Times New Roman" w:cs="Times New Roman" w:eastAsia="Times New Roman" w:hint="default"/>
          <w:spacing w:val="50"/>
        </w:rPr>
        <w:t> </w:t>
      </w:r>
      <w:r>
        <w:rPr/>
        <w:t>其他综合收益。</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70、现金流量表项目" w:id="370"/>
      <w:bookmarkEnd w:id="370"/>
      <w:r>
        <w:rPr/>
      </w:r>
      <w:r>
        <w:rPr>
          <w:rFonts w:ascii="Times New Roman" w:hAnsi="Times New Roman" w:cs="Times New Roman" w:eastAsia="Times New Roman" w:hint="default"/>
        </w:rPr>
        <w:t>70</w:t>
      </w:r>
      <w:r>
        <w:rPr>
          <w:rFonts w:ascii="微软雅黑" w:hAnsi="微软雅黑" w:cs="微软雅黑" w:eastAsia="微软雅黑" w:hint="default"/>
        </w:rPr>
        <w:t>、现金流量表项目</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收到的其他与经营活动有关的现金" w:id="371"/>
      <w:bookmarkEnd w:id="37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13,248,431.85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9,975,923.57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保证金及其他往来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13,411,135.08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1,416,494.48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4,083,128.22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8,498,499.08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72,346.69</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30,815,041.84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19,890,917.13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收到的其他与经营活动有关的现金说明：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2）支付的其他与经营活动有关的现金" w:id="372"/>
      <w:bookmarkEnd w:id="37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9"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84,621,331.03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68,300,262.66</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保证金及其他往来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2,540,791.63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19,645,892.63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2,025,000.00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5,550,000.00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52,101.87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781,488.24</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89,239,224.53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94,277,643.53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支付的其他与经营活动有关的现金说明：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3）收到的其他与投资活动有关的现金" w:id="373"/>
      <w:bookmarkEnd w:id="37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7,298,320.00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拆借款项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2,156,402.74</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9,454,722.74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1,800,000.00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收到的其他与投资活动有关的现金说明：</w:t>
      </w:r>
    </w:p>
    <w:p>
      <w:pPr>
        <w:spacing w:line="240" w:lineRule="auto" w:before="9"/>
        <w:rPr>
          <w:rFonts w:ascii="宋体" w:hAnsi="宋体" w:cs="宋体" w:eastAsia="宋体" w:hint="default"/>
          <w:sz w:val="21"/>
          <w:szCs w:val="21"/>
        </w:rPr>
      </w:pPr>
    </w:p>
    <w:p>
      <w:pPr>
        <w:pStyle w:val="Heading4"/>
        <w:spacing w:line="240" w:lineRule="auto"/>
        <w:ind w:right="0"/>
        <w:jc w:val="left"/>
        <w:rPr>
          <w:b w:val="0"/>
          <w:bCs w:val="0"/>
        </w:rPr>
      </w:pPr>
      <w:bookmarkStart w:name="（4）支付的其他与投资活动有关的现金" w:id="374"/>
      <w:bookmarkEnd w:id="37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处置子公司支付的现金</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2,318,784.13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拆借款项</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2,041,666.66</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4,360,450.79</w:t>
            </w:r>
          </w:p>
        </w:tc>
      </w:tr>
    </w:tbl>
    <w:p>
      <w:pPr>
        <w:spacing w:line="240" w:lineRule="auto" w:before="4"/>
        <w:rPr>
          <w:rFonts w:ascii="宋体" w:hAnsi="宋体" w:cs="宋体" w:eastAsia="宋体" w:hint="default"/>
          <w:sz w:val="11"/>
          <w:szCs w:val="11"/>
        </w:rPr>
      </w:pPr>
    </w:p>
    <w:p>
      <w:pPr>
        <w:pStyle w:val="BodyText"/>
        <w:spacing w:line="487" w:lineRule="auto" w:before="35"/>
        <w:ind w:right="6552"/>
        <w:jc w:val="left"/>
      </w:pPr>
      <w:r>
        <w:rPr/>
        <w:t>支付的其他与投资活动有关的现金说明： 借入拆借款项</w:t>
      </w:r>
    </w:p>
    <w:p>
      <w:pPr>
        <w:pStyle w:val="Heading4"/>
        <w:spacing w:line="240" w:lineRule="auto" w:before="67"/>
        <w:ind w:right="0"/>
        <w:jc w:val="left"/>
        <w:rPr>
          <w:b w:val="0"/>
          <w:bCs w:val="0"/>
        </w:rPr>
      </w:pPr>
      <w:bookmarkStart w:name="（5）收到的其他与筹资活动有关的现金" w:id="375"/>
      <w:bookmarkEnd w:id="37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借入拆借款项</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6,860,800.00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受到限制的存款</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10,281,370.68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500,000.00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17,642,170.68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收到的其他与筹资活动有关的现金说明：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6）支付的其他与筹资活动有关的现金" w:id="376"/>
      <w:bookmarkEnd w:id="37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7"/>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2"/>
        <w:gridCol w:w="3288"/>
        <w:gridCol w:w="3285"/>
      </w:tblGrid>
      <w:tr>
        <w:trPr>
          <w:trHeight w:val="404"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454"/>
              <w:jc w:val="right"/>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受到限制的存款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395,113,495.90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3,062,800.00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支付贷款手续费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4,629,503.39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540,937.72</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38,158,272.00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4,359,480.00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归还拆借款项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2,063,000.00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54"/>
              <w:jc w:val="righ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439,964,271.29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8,963,217.72</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支付的其他与筹资活动有关的现金说明：</w:t>
      </w:r>
    </w:p>
    <w:p>
      <w:pPr>
        <w:spacing w:line="240" w:lineRule="auto" w:before="1"/>
        <w:rPr>
          <w:rFonts w:ascii="宋体" w:hAnsi="宋体" w:cs="宋体" w:eastAsia="宋体" w:hint="default"/>
          <w:sz w:val="21"/>
          <w:szCs w:val="21"/>
        </w:rPr>
      </w:pPr>
    </w:p>
    <w:p>
      <w:pPr>
        <w:pStyle w:val="BodyText"/>
        <w:spacing w:line="240" w:lineRule="auto"/>
        <w:ind w:right="0"/>
        <w:jc w:val="left"/>
        <w:rPr>
          <w:rFonts w:ascii="微软雅黑" w:hAnsi="微软雅黑" w:cs="微软雅黑" w:eastAsia="微软雅黑" w:hint="default"/>
        </w:rPr>
      </w:pPr>
      <w:bookmarkStart w:name="71、现金流量表补充资料" w:id="377"/>
      <w:bookmarkEnd w:id="377"/>
      <w:r>
        <w:rPr/>
      </w:r>
      <w:r>
        <w:rPr>
          <w:rFonts w:ascii="Times New Roman" w:hAnsi="Times New Roman" w:cs="Times New Roman" w:eastAsia="Times New Roman" w:hint="default"/>
        </w:rPr>
        <w:t>71</w:t>
      </w:r>
      <w:r>
        <w:rPr>
          <w:rFonts w:ascii="微软雅黑" w:hAnsi="微软雅黑" w:cs="微软雅黑" w:eastAsia="微软雅黑" w:hint="default"/>
        </w:rPr>
        <w:t>、现金流量表补充资料</w:t>
      </w:r>
    </w:p>
    <w:p>
      <w:pPr>
        <w:spacing w:line="240" w:lineRule="auto" w:before="7"/>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现金流量表补充资料" w:id="378"/>
      <w:bookmarkEnd w:id="37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861"/>
        <w:gridCol w:w="2996"/>
        <w:gridCol w:w="2998"/>
      </w:tblGrid>
      <w:tr>
        <w:trPr>
          <w:trHeight w:val="388"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5"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w:t>
            </w:r>
          </w:p>
        </w:tc>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76,138,641.40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120,064,360.41</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21,022,341.99</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2,248,755.83</w:t>
            </w:r>
          </w:p>
        </w:tc>
      </w:tr>
      <w:tr>
        <w:trPr>
          <w:trHeight w:val="601"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46"/>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 产折旧</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11,952,805.37</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9,421,804.17</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37,790,399.08</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3,716,193.11</w:t>
            </w:r>
          </w:p>
        </w:tc>
      </w:tr>
      <w:tr>
        <w:trPr>
          <w:trHeight w:val="408"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5,731,361.02</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3,177,587.29</w:t>
            </w:r>
          </w:p>
        </w:tc>
      </w:tr>
      <w:tr>
        <w:trPr>
          <w:trHeight w:val="600"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46"/>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 失（收益以“－”号填列）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54,582.66</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-25,299.85</w:t>
            </w:r>
            <w:r>
              <w:rPr>
                <w:rFonts w:ascii="Times New Roman"/>
                <w:sz w:val="18"/>
              </w:rPr>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z w:val="18"/>
              </w:rPr>
              <w:t>146,403.71</w:t>
            </w:r>
          </w:p>
        </w:tc>
        <w:tc>
          <w:tcPr>
            <w:tcW w:w="299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-4,787,716.05</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1,396,412.31</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30,770,823.51</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7,720,145.61</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-7,954,916.74</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-3,786,721.16</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-1,211,695.53</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-4,324,291.39</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-6,439,114.20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-187,180.05</w:t>
            </w:r>
            <w:r>
              <w:rPr>
                <w:rFonts w:ascii="Times New Roman"/>
                <w:sz w:val="18"/>
              </w:rPr>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18"/>
                <w:szCs w:val="18"/>
              </w:rPr>
            </w:pPr>
            <w:r>
              <w:rPr>
                <w:rFonts w:ascii="Times New Roman"/>
                <w:spacing w:val="-1"/>
                <w:sz w:val="18"/>
              </w:rPr>
              <w:t>7,994,690.68</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-12,430,703.88</w:t>
            </w:r>
          </w:p>
        </w:tc>
      </w:tr>
      <w:tr>
        <w:trPr>
          <w:trHeight w:val="408"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-27,742,172.93</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-101,996,461.83</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经营性应付项目的增加（减少以“－”号填列）</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18,490,071.38</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8,491,842.06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3"/>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3861"/>
        <w:gridCol w:w="2996"/>
        <w:gridCol w:w="2998"/>
      </w:tblGrid>
      <w:tr>
        <w:trPr>
          <w:trHeight w:val="38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16"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9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19,406,267.85</w:t>
            </w:r>
          </w:p>
        </w:tc>
        <w:tc>
          <w:tcPr>
            <w:tcW w:w="299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40,476,479.56</w:t>
            </w:r>
          </w:p>
        </w:tc>
      </w:tr>
      <w:tr>
        <w:trPr>
          <w:trHeight w:val="409"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181,362,773.20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73,962,922.19</w:t>
            </w:r>
          </w:p>
        </w:tc>
      </w:tr>
      <w:tr>
        <w:trPr>
          <w:trHeight w:val="406"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2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815,198,600.90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1,062,419,515.50</w:t>
            </w:r>
          </w:p>
        </w:tc>
      </w:tr>
      <w:tr>
        <w:trPr>
          <w:trHeight w:val="407"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1,062,419,515.50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667,435,328.68</w:t>
            </w:r>
          </w:p>
        </w:tc>
      </w:tr>
      <w:tr>
        <w:trPr>
          <w:trHeight w:val="408" w:hRule="exact"/>
        </w:trPr>
        <w:tc>
          <w:tcPr>
            <w:tcW w:w="3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-247,220,914.60</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394,984,186.82</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本期支付的取得子公司的现金净额" w:id="379"/>
      <w:bookmarkEnd w:id="37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5138"/>
        <w:gridCol w:w="4718"/>
      </w:tblGrid>
      <w:tr>
        <w:trPr>
          <w:trHeight w:val="406"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5"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374,437,045.84</w:t>
            </w:r>
          </w:p>
        </w:tc>
      </w:tr>
      <w:tr>
        <w:trPr>
          <w:trHeight w:val="397"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374,437,045.84</w:t>
            </w:r>
          </w:p>
        </w:tc>
      </w:tr>
      <w:tr>
        <w:trPr>
          <w:trHeight w:val="414"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30,287,622.21</w:t>
            </w:r>
          </w:p>
        </w:tc>
      </w:tr>
      <w:tr>
        <w:trPr>
          <w:trHeight w:val="398"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30,287,622.21</w:t>
            </w:r>
          </w:p>
        </w:tc>
      </w:tr>
      <w:tr>
        <w:trPr>
          <w:trHeight w:val="415"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97"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北京爱普新思电子技术有限公司及北京慧驰科技有限公司</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346,549,423.63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3）本期收到的处置子公司的现金净额" w:id="380"/>
      <w:bookmarkEnd w:id="38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5138"/>
        <w:gridCol w:w="4718"/>
      </w:tblGrid>
      <w:tr>
        <w:trPr>
          <w:trHeight w:val="406"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15"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500,000.00</w:t>
            </w:r>
          </w:p>
        </w:tc>
      </w:tr>
      <w:tr>
        <w:trPr>
          <w:trHeight w:val="398"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深圳互连科技有限公司</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z w:val="18"/>
              </w:rPr>
              <w:t>500,000.00</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500,000.00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4"/>
        <w:spacing w:line="240" w:lineRule="auto" w:before="35"/>
        <w:ind w:right="0"/>
        <w:jc w:val="left"/>
        <w:rPr>
          <w:b w:val="0"/>
          <w:bCs w:val="0"/>
        </w:rPr>
      </w:pPr>
      <w:bookmarkStart w:name="（4）现金和现金等价物的构成" w:id="381"/>
      <w:bookmarkEnd w:id="38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428"/>
        <w:gridCol w:w="3148"/>
        <w:gridCol w:w="3280"/>
      </w:tblGrid>
      <w:tr>
        <w:trPr>
          <w:trHeight w:val="404"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815,198,600.90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Times New Roman" w:hAnsi="Times New Roman" w:cs="Times New Roman" w:eastAsia="Times New Roman" w:hint="default"/>
                <w:sz w:val="18"/>
                <w:szCs w:val="18"/>
              </w:rPr>
            </w:pPr>
            <w:r>
              <w:rPr>
                <w:rFonts w:ascii="Times New Roman"/>
                <w:spacing w:val="-1"/>
                <w:sz w:val="18"/>
              </w:rPr>
              <w:t>1,062,419,515.50</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217,876.94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251,200.68</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814,162,594.36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1,061,254,277.09</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818,129.60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914,037.73</w:t>
            </w:r>
          </w:p>
        </w:tc>
      </w:tr>
      <w:tr>
        <w:trPr>
          <w:trHeight w:val="40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815,198,600.90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3"/>
              <w:jc w:val="right"/>
              <w:rPr>
                <w:rFonts w:ascii="Times New Roman" w:hAnsi="Times New Roman" w:cs="Times New Roman" w:eastAsia="Times New Roman" w:hint="default"/>
                <w:sz w:val="18"/>
                <w:szCs w:val="18"/>
              </w:rPr>
            </w:pPr>
            <w:r>
              <w:rPr>
                <w:rFonts w:ascii="Times New Roman"/>
                <w:spacing w:val="-1"/>
                <w:sz w:val="18"/>
              </w:rPr>
              <w:t>1,062,419,515.50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496" w:lineRule="auto"/>
        <w:ind w:left="1553" w:right="3823"/>
        <w:jc w:val="left"/>
      </w:pPr>
      <w:bookmarkStart w:name="72、所有者权益变动表项目注释" w:id="382"/>
      <w:bookmarkEnd w:id="382"/>
      <w:r>
        <w:rPr/>
      </w:r>
      <w:r>
        <w:rPr>
          <w:rFonts w:ascii="Times New Roman" w:hAnsi="Times New Roman" w:cs="Times New Roman" w:eastAsia="Times New Roman" w:hint="default"/>
        </w:rPr>
        <w:t>72</w:t>
      </w:r>
      <w:r>
        <w:rPr>
          <w:rFonts w:ascii="微软雅黑" w:hAnsi="微软雅黑" w:cs="微软雅黑" w:eastAsia="微软雅黑" w:hint="default"/>
        </w:rPr>
        <w:t>、所有者权益变动表项目注释 </w:t>
      </w:r>
      <w:r>
        <w:rPr/>
        <w:t>说明对上年期末余额进行调整的“其他”项目名称及调整金额等事项： 无。</w:t>
      </w:r>
    </w:p>
    <w:p>
      <w:pPr>
        <w:pStyle w:val="BodyText"/>
        <w:spacing w:line="240" w:lineRule="auto" w:before="52"/>
        <w:ind w:left="1553" w:right="0"/>
        <w:jc w:val="left"/>
        <w:rPr>
          <w:rFonts w:ascii="微软雅黑" w:hAnsi="微软雅黑" w:cs="微软雅黑" w:eastAsia="微软雅黑" w:hint="default"/>
        </w:rPr>
      </w:pPr>
      <w:bookmarkStart w:name="73、所有权或使用权受到限制的资产" w:id="383"/>
      <w:bookmarkEnd w:id="383"/>
      <w:r>
        <w:rPr/>
      </w:r>
      <w:r>
        <w:rPr>
          <w:rFonts w:ascii="Times New Roman" w:hAnsi="Times New Roman" w:cs="Times New Roman" w:eastAsia="Times New Roman" w:hint="default"/>
        </w:rPr>
        <w:t>73</w:t>
      </w:r>
      <w:r>
        <w:rPr>
          <w:rFonts w:ascii="微软雅黑" w:hAnsi="微软雅黑" w:cs="微软雅黑" w:eastAsia="微软雅黑" w:hint="default"/>
        </w:rPr>
        <w:t>、所有权或使用权受到限制的资产</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428"/>
        <w:gridCol w:w="3148"/>
        <w:gridCol w:w="3280"/>
      </w:tblGrid>
      <w:tr>
        <w:trPr>
          <w:trHeight w:val="405"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26"/>
              <w:jc w:val="right"/>
              <w:rPr>
                <w:rFonts w:ascii="宋体" w:hAnsi="宋体" w:cs="宋体" w:eastAsia="宋体" w:hint="default"/>
                <w:sz w:val="18"/>
                <w:szCs w:val="18"/>
              </w:rPr>
            </w:pPr>
            <w:r>
              <w:rPr>
                <w:rFonts w:ascii="宋体" w:hAnsi="宋体" w:cs="宋体" w:eastAsia="宋体" w:hint="default"/>
                <w:sz w:val="18"/>
                <w:szCs w:val="18"/>
              </w:rPr>
              <w:t>项目</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2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459,404,395.90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开立备用信用证质押</w:t>
            </w:r>
          </w:p>
        </w:tc>
      </w:tr>
      <w:tr>
        <w:trPr>
          <w:trHeight w:val="40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29,987,481.71</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26"/>
              <w:jc w:val="right"/>
              <w:rPr>
                <w:rFonts w:ascii="宋体" w:hAnsi="宋体" w:cs="宋体" w:eastAsia="宋体" w:hint="default"/>
                <w:sz w:val="18"/>
                <w:szCs w:val="18"/>
              </w:rPr>
            </w:pPr>
            <w:r>
              <w:rPr>
                <w:rFonts w:ascii="宋体" w:hAnsi="宋体" w:cs="宋体" w:eastAsia="宋体" w:hint="default"/>
                <w:sz w:val="18"/>
                <w:szCs w:val="18"/>
              </w:rPr>
              <w:t>合计</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489,391,877.61</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74、外币货币性项目" w:id="384"/>
      <w:bookmarkEnd w:id="384"/>
      <w:r>
        <w:rPr/>
      </w:r>
      <w:r>
        <w:rPr>
          <w:rFonts w:ascii="Times New Roman" w:hAnsi="Times New Roman" w:cs="Times New Roman" w:eastAsia="Times New Roman" w:hint="default"/>
        </w:rPr>
        <w:t>74</w:t>
      </w:r>
      <w:r>
        <w:rPr>
          <w:rFonts w:ascii="微软雅黑" w:hAnsi="微软雅黑" w:cs="微软雅黑" w:eastAsia="微软雅黑" w:hint="default"/>
        </w:rPr>
        <w:t>、外币货币性项目</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外币货币性项目" w:id="385"/>
      <w:bookmarkEnd w:id="38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571"/>
        <w:gridCol w:w="2362"/>
        <w:gridCol w:w="2462"/>
        <w:gridCol w:w="2461"/>
      </w:tblGrid>
      <w:tr>
        <w:trPr>
          <w:trHeight w:val="421"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76"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644,186,067.76</w:t>
            </w:r>
          </w:p>
        </w:tc>
      </w:tr>
      <w:tr>
        <w:trPr>
          <w:trHeight w:val="422"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30,875,082.93</w:t>
            </w:r>
          </w:p>
        </w:tc>
        <w:tc>
          <w:tcPr>
            <w:tcW w:w="2462"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6.5342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201,743,966.88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46,865,557.11</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7.8023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365,659,136.24</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1,214,345.17</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0.83591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1,015,083.27</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3"/>
              <w:jc w:val="center"/>
              <w:rPr>
                <w:rFonts w:ascii="宋体" w:hAnsi="宋体" w:cs="宋体" w:eastAsia="宋体" w:hint="default"/>
                <w:sz w:val="18"/>
                <w:szCs w:val="18"/>
              </w:rPr>
            </w:pPr>
            <w:r>
              <w:rPr>
                <w:rFonts w:ascii="宋体" w:hAnsi="宋体" w:cs="宋体" w:eastAsia="宋体" w:hint="default"/>
                <w:sz w:val="18"/>
                <w:szCs w:val="18"/>
              </w:rPr>
              <w:t>日元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1,212,313,377.73</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0.057883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70,172,335.25</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360,320,228.76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0.006109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2,201,196.28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8"/>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571"/>
        <w:gridCol w:w="2362"/>
        <w:gridCol w:w="2462"/>
        <w:gridCol w:w="2461"/>
      </w:tblGrid>
      <w:tr>
        <w:trPr>
          <w:trHeight w:val="404"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6"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25"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3"/>
              <w:jc w:val="center"/>
              <w:rPr>
                <w:rFonts w:ascii="宋体" w:hAnsi="宋体" w:cs="宋体" w:eastAsia="宋体" w:hint="default"/>
                <w:sz w:val="18"/>
                <w:szCs w:val="18"/>
              </w:rPr>
            </w:pPr>
            <w:r>
              <w:rPr>
                <w:rFonts w:ascii="宋体" w:hAnsi="宋体" w:cs="宋体" w:eastAsia="宋体" w:hint="default"/>
                <w:sz w:val="18"/>
                <w:szCs w:val="18"/>
              </w:rPr>
              <w:t>新台币</w:t>
            </w:r>
          </w:p>
        </w:tc>
        <w:tc>
          <w:tcPr>
            <w:tcW w:w="236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15,435,879.23</w:t>
            </w:r>
          </w:p>
        </w:tc>
        <w:tc>
          <w:tcPr>
            <w:tcW w:w="246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0.2199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3,394,349.84</w:t>
            </w:r>
          </w:p>
        </w:tc>
      </w:tr>
      <w:tr>
        <w:trPr>
          <w:trHeight w:val="376"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58,886,804.50</w:t>
            </w:r>
          </w:p>
        </w:tc>
      </w:tr>
      <w:tr>
        <w:trPr>
          <w:trHeight w:val="423"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8,087,309.81</w:t>
            </w:r>
          </w:p>
        </w:tc>
        <w:tc>
          <w:tcPr>
            <w:tcW w:w="2462"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6.5342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pacing w:val="-1"/>
                <w:sz w:val="18"/>
              </w:rPr>
              <w:t>52,844,099.76</w:t>
            </w:r>
          </w:p>
        </w:tc>
      </w:tr>
      <w:tr>
        <w:trPr>
          <w:trHeight w:val="424"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989,147,935.66</w:t>
            </w:r>
          </w:p>
        </w:tc>
        <w:tc>
          <w:tcPr>
            <w:tcW w:w="246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0.006109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6,042,704.74</w:t>
            </w:r>
          </w:p>
        </w:tc>
      </w:tr>
      <w:tr>
        <w:trPr>
          <w:trHeight w:val="375"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0"/>
              <w:jc w:val="right"/>
              <w:rPr>
                <w:rFonts w:ascii="Times New Roman" w:hAnsi="Times New Roman" w:cs="Times New Roman" w:eastAsia="Times New Roman" w:hint="default"/>
                <w:sz w:val="18"/>
                <w:szCs w:val="18"/>
              </w:rPr>
            </w:pPr>
            <w:r>
              <w:rPr>
                <w:rFonts w:ascii="Times New Roman"/>
                <w:spacing w:val="-1"/>
                <w:sz w:val="18"/>
              </w:rPr>
              <w:t>166,006,416.18</w:t>
            </w:r>
          </w:p>
        </w:tc>
      </w:tr>
      <w:tr>
        <w:trPr>
          <w:trHeight w:val="422"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21,276,600.00</w:t>
            </w:r>
          </w:p>
        </w:tc>
        <w:tc>
          <w:tcPr>
            <w:tcW w:w="2462"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7.8023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166,006,416.18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5,880,780.00</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6.5342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5,880,780.00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1,513,825.33</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90,711.62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6.5342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592,727.87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150,777,126.00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0.006109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921,097.46</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80,068.28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49,584.00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0.057883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2,870.07</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12,636,799.98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0.006109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77,198.21</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70,399,769.84</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10,309,949.19</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6.5342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67,367,270.00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424,460,986.35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0.006109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2,593,032.17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56,325.40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7.8023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439,467.67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106,774,850.16</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4,410,425.65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6.5342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28,818,603.28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644,969,473.00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0.006109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3,940,118.51</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9,486,449.94</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7.8023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74,016,128.37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219,688.19</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28,156.85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7.8023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219,688.19</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386,543,140.00</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10,200,000.00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6.5342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66,648,840.00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3"/>
              <w:jc w:val="center"/>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Times New Roman" w:hAnsi="Times New Roman" w:cs="Times New Roman" w:eastAsia="Times New Roman" w:hint="default"/>
                <w:sz w:val="18"/>
                <w:szCs w:val="18"/>
              </w:rPr>
            </w:pPr>
            <w:r>
              <w:rPr>
                <w:rFonts w:ascii="Times New Roman"/>
                <w:spacing w:val="-1"/>
                <w:sz w:val="18"/>
              </w:rPr>
              <w:t>41,000,000.00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7.8023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319,894,300.00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3,360,378.28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430,690.73</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7.8023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3,360,378.28</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after="0" w:line="240" w:lineRule="auto"/>
        <w:jc w:val="left"/>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Heading4"/>
        <w:spacing w:line="280" w:lineRule="auto" w:before="35"/>
        <w:ind w:left="1134" w:right="0" w:firstLine="422"/>
        <w:jc w:val="left"/>
        <w:rPr>
          <w:b w:val="0"/>
          <w:bCs w:val="0"/>
        </w:rPr>
      </w:pPr>
      <w:bookmarkStart w:name="（2）境外经营实体说明，包括对于重要的境外经营实体，应披露其境外主要经营地、记账" w:id="386"/>
      <w:bookmarkEnd w:id="38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w:t>
      </w:r>
      <w:r>
        <w:rPr>
          <w:w w:val="99"/>
        </w:rPr>
        <w:t> </w:t>
      </w:r>
      <w:r>
        <w:rPr/>
        <w:t>选择依据，记账本位币发生变化的还应披露原因。</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20"/>
          <w:szCs w:val="20"/>
        </w:rPr>
      </w:pPr>
    </w:p>
    <w:p>
      <w:pPr>
        <w:pStyle w:val="BodyText"/>
        <w:spacing w:line="280" w:lineRule="auto"/>
        <w:ind w:left="1133" w:right="1010" w:firstLine="420"/>
        <w:jc w:val="left"/>
      </w:pPr>
      <w:r>
        <w:rPr>
          <w:rFonts w:ascii="Times New Roman" w:hAnsi="Times New Roman" w:cs="Times New Roman" w:eastAsia="Times New Roman" w:hint="default"/>
        </w:rPr>
        <w:t>1.</w:t>
      </w:r>
      <w:r>
        <w:rPr/>
        <w:t>本公司重要境外经营实体为中科创达软件科技（日本）有限公司，主要经营地在日本，记账本位币 </w:t>
      </w:r>
      <w:r>
        <w:rPr>
          <w:spacing w:val="-4"/>
        </w:rPr>
        <w:t>为日元，本报告期记账本位币未发生变化。选择依据为该公司来源于集团外收入占集团总收入的</w:t>
      </w:r>
      <w:r>
        <w:rPr>
          <w:spacing w:val="-29"/>
        </w:rPr>
        <w:t> </w:t>
      </w:r>
      <w:r>
        <w:rPr>
          <w:rFonts w:ascii="Times New Roman" w:hAnsi="Times New Roman" w:cs="Times New Roman" w:eastAsia="Times New Roman" w:hint="default"/>
        </w:rPr>
        <w:t>10%</w:t>
      </w:r>
      <w:r>
        <w:rPr/>
        <w:t>以上。</w:t>
      </w:r>
    </w:p>
    <w:p>
      <w:pPr>
        <w:spacing w:line="240" w:lineRule="auto" w:before="5"/>
        <w:rPr>
          <w:rFonts w:ascii="宋体" w:hAnsi="宋体" w:cs="宋体" w:eastAsia="宋体" w:hint="default"/>
          <w:sz w:val="17"/>
          <w:szCs w:val="17"/>
        </w:rPr>
      </w:pPr>
    </w:p>
    <w:p>
      <w:pPr>
        <w:pStyle w:val="BodyText"/>
        <w:spacing w:line="280" w:lineRule="auto"/>
        <w:ind w:left="1134" w:right="0" w:firstLine="420"/>
        <w:jc w:val="left"/>
      </w:pPr>
      <w:r>
        <w:rPr>
          <w:rFonts w:ascii="Times New Roman" w:hAnsi="Times New Roman" w:cs="Times New Roman" w:eastAsia="Times New Roman" w:hint="default"/>
        </w:rPr>
        <w:t>2.</w:t>
      </w:r>
      <w:r>
        <w:rPr/>
        <w:t>本公司重要境外经营实体为中科创达香港有限公司，主要经营地在香港，记账本位币为人民币，本 报告期记账本位币未发生变化。选择依据为该公司来源于集团外收入占集团总收入的</w:t>
      </w:r>
      <w:r>
        <w:rPr>
          <w:spacing w:val="-53"/>
        </w:rPr>
        <w:t> </w:t>
      </w:r>
      <w:r>
        <w:rPr>
          <w:rFonts w:ascii="Times New Roman" w:hAnsi="Times New Roman" w:cs="Times New Roman" w:eastAsia="Times New Roman" w:hint="default"/>
        </w:rPr>
        <w:t>10%</w:t>
      </w:r>
      <w:r>
        <w:rPr/>
        <w:t>以上。</w:t>
      </w:r>
    </w:p>
    <w:p>
      <w:pPr>
        <w:spacing w:line="240" w:lineRule="auto" w:before="12"/>
        <w:rPr>
          <w:rFonts w:ascii="宋体" w:hAnsi="宋体" w:cs="宋体" w:eastAsia="宋体" w:hint="default"/>
          <w:sz w:val="16"/>
          <w:szCs w:val="16"/>
        </w:rPr>
      </w:pPr>
    </w:p>
    <w:p>
      <w:pPr>
        <w:pStyle w:val="BodyText"/>
        <w:spacing w:line="494" w:lineRule="auto"/>
        <w:ind w:right="9492"/>
        <w:jc w:val="left"/>
        <w:rPr>
          <w:rFonts w:ascii="微软雅黑" w:hAnsi="微软雅黑" w:cs="微软雅黑" w:eastAsia="微软雅黑" w:hint="default"/>
        </w:rPr>
      </w:pPr>
      <w:bookmarkStart w:name="75、套期" w:id="387"/>
      <w:bookmarkEnd w:id="387"/>
      <w:r>
        <w:rPr/>
      </w:r>
      <w:r>
        <w:rPr>
          <w:rFonts w:ascii="Times New Roman" w:hAnsi="Times New Roman" w:cs="Times New Roman" w:eastAsia="Times New Roman" w:hint="default"/>
        </w:rPr>
        <w:t>75</w:t>
      </w:r>
      <w:r>
        <w:rPr>
          <w:rFonts w:ascii="微软雅黑" w:hAnsi="微软雅黑" w:cs="微软雅黑" w:eastAsia="微软雅黑" w:hint="default"/>
        </w:rPr>
        <w:t>、套期 </w:t>
      </w:r>
      <w:r>
        <w:rPr/>
        <w:t>无 </w:t>
      </w:r>
      <w:bookmarkStart w:name="76、其他" w:id="388"/>
      <w:bookmarkEnd w:id="388"/>
      <w:r>
        <w:rPr/>
      </w:r>
      <w:r>
        <w:rPr>
          <w:rFonts w:ascii="Times New Roman" w:hAnsi="Times New Roman" w:cs="Times New Roman" w:eastAsia="Times New Roman" w:hint="default"/>
        </w:rPr>
        <w:t>76</w:t>
      </w:r>
      <w:r>
        <w:rPr>
          <w:rFonts w:ascii="微软雅黑" w:hAnsi="微软雅黑" w:cs="微软雅黑" w:eastAsia="微软雅黑" w:hint="default"/>
        </w:rPr>
        <w:t>、其他</w:t>
      </w:r>
    </w:p>
    <w:p>
      <w:pPr>
        <w:spacing w:line="240" w:lineRule="auto" w:before="8"/>
        <w:rPr>
          <w:rFonts w:ascii="微软雅黑" w:hAnsi="微软雅黑" w:cs="微软雅黑" w:eastAsia="微软雅黑" w:hint="default"/>
          <w:sz w:val="10"/>
          <w:szCs w:val="10"/>
        </w:rPr>
      </w:pPr>
    </w:p>
    <w:p>
      <w:pPr>
        <w:pStyle w:val="Heading2"/>
        <w:spacing w:line="240" w:lineRule="auto"/>
        <w:ind w:left="2" w:right="7120"/>
        <w:jc w:val="center"/>
      </w:pPr>
      <w:bookmarkStart w:name="八、合并范围的变更" w:id="389"/>
      <w:bookmarkEnd w:id="389"/>
      <w:r>
        <w:rPr/>
      </w:r>
      <w:r>
        <w:rPr/>
        <w:t>八、合并范围的变更</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非同一控制下企业合并" w:id="390"/>
      <w:bookmarkEnd w:id="390"/>
      <w:r>
        <w:rPr/>
      </w:r>
      <w:r>
        <w:rPr>
          <w:rFonts w:ascii="Times New Roman" w:hAnsi="Times New Roman" w:cs="Times New Roman" w:eastAsia="Times New Roman" w:hint="default"/>
        </w:rPr>
        <w:t>1</w:t>
      </w:r>
      <w:r>
        <w:rPr>
          <w:rFonts w:ascii="微软雅黑" w:hAnsi="微软雅黑" w:cs="微软雅黑" w:eastAsia="微软雅黑" w:hint="default"/>
        </w:rPr>
        <w:t>、非同一控制下企业合并</w:t>
      </w:r>
    </w:p>
    <w:p>
      <w:pPr>
        <w:spacing w:line="240" w:lineRule="auto" w:before="7"/>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本期发生的非同一控制下企业合并" w:id="391"/>
      <w:bookmarkEnd w:id="39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036"/>
        <w:gridCol w:w="1037"/>
        <w:gridCol w:w="1250"/>
        <w:gridCol w:w="1037"/>
        <w:gridCol w:w="1038"/>
        <w:gridCol w:w="1038"/>
        <w:gridCol w:w="1037"/>
        <w:gridCol w:w="1160"/>
        <w:gridCol w:w="1222"/>
      </w:tblGrid>
      <w:tr>
        <w:trPr>
          <w:trHeight w:val="834" w:hRule="exact"/>
        </w:trPr>
        <w:tc>
          <w:tcPr>
            <w:tcW w:w="1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32" w:right="153"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32" w:right="152"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530" w:right="168"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33" w:right="153"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333" w:right="152"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52" w:right="153"/>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25" w:right="122"/>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56" w:right="155"/>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601" w:hRule="exact"/>
        </w:trPr>
        <w:tc>
          <w:tcPr>
            <w:tcW w:w="10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103" w:right="170"/>
              <w:jc w:val="left"/>
              <w:rPr>
                <w:rFonts w:ascii="Times New Roman" w:hAnsi="Times New Roman" w:cs="Times New Roman" w:eastAsia="Times New Roman" w:hint="default"/>
                <w:sz w:val="18"/>
                <w:szCs w:val="18"/>
              </w:rPr>
            </w:pPr>
            <w:r>
              <w:rPr>
                <w:rFonts w:ascii="Times New Roman"/>
                <w:sz w:val="18"/>
              </w:rPr>
              <w:t>Rightware Oy</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3"/>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1" w:lineRule="exact"/>
              <w:ind w:left="1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53,745,577.06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03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2" w:lineRule="exact"/>
              <w:ind w:left="103" w:right="202"/>
              <w:jc w:val="both"/>
              <w:rPr>
                <w:rFonts w:ascii="宋体" w:hAnsi="宋体" w:cs="宋体" w:eastAsia="宋体" w:hint="default"/>
                <w:sz w:val="18"/>
                <w:szCs w:val="18"/>
              </w:rPr>
            </w:pPr>
            <w:r>
              <w:rPr>
                <w:rFonts w:ascii="宋体" w:hAnsi="宋体" w:cs="宋体" w:eastAsia="宋体" w:hint="default"/>
                <w:sz w:val="18"/>
                <w:szCs w:val="18"/>
              </w:rPr>
              <w:t>股权变更 手续办理 完毕</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8,057,644.47</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-3,153,073.27</w:t>
            </w:r>
          </w:p>
        </w:tc>
      </w:tr>
      <w:tr>
        <w:trPr>
          <w:trHeight w:val="601" w:hRule="exact"/>
        </w:trPr>
        <w:tc>
          <w:tcPr>
            <w:tcW w:w="1036" w:type="dxa"/>
            <w:vMerge/>
            <w:tcBorders>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2"/>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1" w:lineRule="exact"/>
              <w:ind w:left="19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0"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038" w:type="dxa"/>
            <w:tcBorders>
              <w:top w:val="single" w:sz="4" w:space="0" w:color="000000"/>
              <w:left w:val="single" w:sz="4" w:space="0" w:color="000000"/>
              <w:bottom w:val="single" w:sz="4" w:space="0" w:color="000000"/>
              <w:right w:val="single" w:sz="4" w:space="0" w:color="000000"/>
            </w:tcBorders>
          </w:tcPr>
          <w:p>
            <w:pPr/>
          </w:p>
        </w:tc>
        <w:tc>
          <w:tcPr>
            <w:tcW w:w="1038" w:type="dxa"/>
            <w:vMerge/>
            <w:tcBorders>
              <w:left w:val="single" w:sz="4" w:space="0" w:color="000000"/>
              <w:bottom w:val="single" w:sz="4" w:space="0" w:color="000000"/>
              <w:right w:val="single" w:sz="4" w:space="0" w:color="000000"/>
            </w:tcBorders>
          </w:tcPr>
          <w:p>
            <w:pPr/>
          </w:p>
        </w:tc>
        <w:tc>
          <w:tcPr>
            <w:tcW w:w="1037"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487" w:lineRule="auto" w:before="35"/>
        <w:ind w:left="1553" w:right="6133"/>
        <w:jc w:val="left"/>
      </w:pPr>
      <w:r>
        <w:rPr/>
        <w:t>其他说明： 本期发生的非同一控制下企业合并单位：欧元</w:t>
      </w:r>
    </w:p>
    <w:p>
      <w:pPr>
        <w:pStyle w:val="Heading4"/>
        <w:spacing w:line="240" w:lineRule="auto" w:before="67"/>
        <w:ind w:right="0"/>
        <w:jc w:val="left"/>
        <w:rPr>
          <w:b w:val="0"/>
          <w:bCs w:val="0"/>
        </w:rPr>
      </w:pPr>
      <w:bookmarkStart w:name="（2）合并成本及商誉" w:id="392"/>
      <w:bookmarkEnd w:id="39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5191"/>
        <w:gridCol w:w="4665"/>
      </w:tblGrid>
      <w:tr>
        <w:trPr>
          <w:trHeight w:val="407" w:hRule="exact"/>
        </w:trPr>
        <w:tc>
          <w:tcPr>
            <w:tcW w:w="5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665"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7" w:hRule="exact"/>
        </w:trPr>
        <w:tc>
          <w:tcPr>
            <w:tcW w:w="5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52,958,097.06</w:t>
            </w:r>
          </w:p>
        </w:tc>
      </w:tr>
      <w:tr>
        <w:trPr>
          <w:trHeight w:val="407" w:hRule="exact"/>
        </w:trPr>
        <w:tc>
          <w:tcPr>
            <w:tcW w:w="5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787,480.00</w:t>
            </w:r>
          </w:p>
        </w:tc>
      </w:tr>
      <w:tr>
        <w:trPr>
          <w:trHeight w:val="408" w:hRule="exact"/>
        </w:trPr>
        <w:tc>
          <w:tcPr>
            <w:tcW w:w="5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53,745,577.06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5191"/>
        <w:gridCol w:w="4665"/>
      </w:tblGrid>
      <w:tr>
        <w:trPr>
          <w:trHeight w:val="407" w:hRule="exact"/>
        </w:trPr>
        <w:tc>
          <w:tcPr>
            <w:tcW w:w="5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665" w:type="dxa"/>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7" w:hRule="exact"/>
        </w:trPr>
        <w:tc>
          <w:tcPr>
            <w:tcW w:w="5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26,876,805.33</w:t>
            </w:r>
          </w:p>
        </w:tc>
      </w:tr>
      <w:tr>
        <w:trPr>
          <w:trHeight w:val="408" w:hRule="exact"/>
        </w:trPr>
        <w:tc>
          <w:tcPr>
            <w:tcW w:w="5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26,868,771.73</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合并成本公允价值的确定方法、或有对价及其变动的说明：</w:t>
      </w:r>
    </w:p>
    <w:p>
      <w:pPr>
        <w:spacing w:line="240" w:lineRule="auto" w:before="8"/>
        <w:rPr>
          <w:rFonts w:ascii="宋体" w:hAnsi="宋体" w:cs="宋体" w:eastAsia="宋体" w:hint="default"/>
          <w:sz w:val="21"/>
          <w:szCs w:val="21"/>
        </w:rPr>
      </w:pPr>
    </w:p>
    <w:p>
      <w:pPr>
        <w:pStyle w:val="BodyText"/>
        <w:spacing w:line="280" w:lineRule="auto"/>
        <w:ind w:left="1133" w:right="1130" w:firstLine="420"/>
        <w:jc w:val="both"/>
      </w:pPr>
      <w:r>
        <w:rPr/>
        <w:t>本公司通过附属子公司</w:t>
      </w:r>
      <w:r>
        <w:rPr>
          <w:spacing w:val="-53"/>
        </w:rPr>
        <w:t> </w:t>
      </w:r>
      <w:r>
        <w:rPr>
          <w:rFonts w:ascii="Times New Roman" w:hAnsi="Times New Roman" w:cs="Times New Roman" w:eastAsia="Times New Roman" w:hint="default"/>
        </w:rPr>
        <w:t>ThunderSoft</w:t>
      </w:r>
      <w:r>
        <w:rPr>
          <w:rFonts w:ascii="Times New Roman" w:hAnsi="Times New Roman" w:cs="Times New Roman" w:eastAsia="Times New Roman" w:hint="default"/>
          <w:spacing w:val="6"/>
        </w:rPr>
        <w:t> </w:t>
      </w:r>
      <w:r>
        <w:rPr>
          <w:rFonts w:ascii="Times New Roman" w:hAnsi="Times New Roman" w:cs="Times New Roman" w:eastAsia="Times New Roman" w:hint="default"/>
        </w:rPr>
        <w:t>AutomotiveTechnology</w:t>
      </w:r>
      <w:r>
        <w:rPr>
          <w:rFonts w:ascii="Times New Roman" w:hAnsi="Times New Roman" w:cs="Times New Roman" w:eastAsia="Times New Roman" w:hint="default"/>
          <w:spacing w:val="7"/>
        </w:rPr>
        <w:t> </w:t>
      </w:r>
      <w:r>
        <w:rPr>
          <w:rFonts w:ascii="Times New Roman" w:hAnsi="Times New Roman" w:cs="Times New Roman" w:eastAsia="Times New Roman" w:hint="default"/>
        </w:rPr>
        <w:t>Luxembourg</w:t>
      </w:r>
      <w:r>
        <w:rPr>
          <w:rFonts w:ascii="Times New Roman" w:hAnsi="Times New Roman" w:cs="Times New Roman" w:eastAsia="Times New Roman" w:hint="default"/>
          <w:spacing w:val="8"/>
        </w:rPr>
        <w:t> </w:t>
      </w:r>
      <w:r>
        <w:rPr>
          <w:rFonts w:ascii="Times New Roman" w:hAnsi="Times New Roman" w:cs="Times New Roman" w:eastAsia="Times New Roman" w:hint="default"/>
        </w:rPr>
        <w:t>SARL</w:t>
      </w:r>
      <w:r>
        <w:rPr>
          <w:rFonts w:ascii="Times New Roman" w:hAnsi="Times New Roman" w:cs="Times New Roman" w:eastAsia="Times New Roman" w:hint="default"/>
          <w:spacing w:val="1"/>
        </w:rPr>
        <w:t> </w:t>
      </w:r>
      <w:r>
        <w:rPr/>
        <w:t>收购</w:t>
      </w:r>
      <w:r>
        <w:rPr>
          <w:spacing w:val="-54"/>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7"/>
        </w:rPr>
        <w:t> </w:t>
      </w:r>
      <w:r>
        <w:rPr>
          <w:rFonts w:ascii="Times New Roman" w:hAnsi="Times New Roman" w:cs="Times New Roman" w:eastAsia="Times New Roman" w:hint="default"/>
        </w:rPr>
        <w:t>Oy</w:t>
      </w:r>
      <w:r>
        <w:rPr>
          <w:rFonts w:ascii="Times New Roman" w:hAnsi="Times New Roman" w:cs="Times New Roman" w:eastAsia="Times New Roman" w:hint="default"/>
          <w:spacing w:val="-2"/>
        </w:rPr>
        <w:t> </w:t>
      </w:r>
      <w:r>
        <w:rPr/>
        <w:t>及其 子公司</w:t>
      </w:r>
      <w:r>
        <w:rPr>
          <w:spacing w:val="-50"/>
        </w:rPr>
        <w:t> </w:t>
      </w:r>
      <w:r>
        <w:rPr>
          <w:rFonts w:ascii="Times New Roman" w:hAnsi="Times New Roman" w:cs="Times New Roman" w:eastAsia="Times New Roman" w:hint="default"/>
        </w:rPr>
        <w:t>100%</w:t>
      </w:r>
      <w:r>
        <w:rPr/>
        <w:t>股权转让协议涉及或有对价</w:t>
      </w:r>
      <w:r>
        <w:rPr>
          <w:spacing w:val="-50"/>
        </w:rPr>
        <w:t> </w:t>
      </w:r>
      <w:r>
        <w:rPr>
          <w:rFonts w:ascii="Times New Roman" w:hAnsi="Times New Roman" w:cs="Times New Roman" w:eastAsia="Times New Roman" w:hint="default"/>
        </w:rPr>
        <w:t>13,500,000.00</w:t>
      </w:r>
      <w:r>
        <w:rPr>
          <w:rFonts w:ascii="Times New Roman" w:hAnsi="Times New Roman" w:cs="Times New Roman" w:eastAsia="Times New Roman" w:hint="default"/>
          <w:spacing w:val="3"/>
        </w:rPr>
        <w:t> </w:t>
      </w:r>
      <w:r>
        <w:rPr/>
        <w:t>欧元，业经中水致远资产评估有限公司进行评估， 予以确定或有对价公允价值为 </w:t>
      </w:r>
      <w:r>
        <w:rPr>
          <w:rFonts w:ascii="Times New Roman" w:hAnsi="Times New Roman" w:cs="Times New Roman" w:eastAsia="Times New Roman" w:hint="default"/>
        </w:rPr>
        <w:t>787,480.00 </w:t>
      </w:r>
      <w:r>
        <w:rPr/>
        <w:t>欧元，并出具了中水致远评报字</w:t>
      </w:r>
      <w:r>
        <w:rPr>
          <w:rFonts w:ascii="Times New Roman" w:hAnsi="Times New Roman" w:cs="Times New Roman" w:eastAsia="Times New Roman" w:hint="default"/>
        </w:rPr>
        <w:t>[2018] </w:t>
      </w:r>
      <w:r>
        <w:rPr/>
        <w:t>第 </w:t>
      </w:r>
      <w:r>
        <w:rPr>
          <w:rFonts w:ascii="Times New Roman" w:hAnsi="Times New Roman" w:cs="Times New Roman" w:eastAsia="Times New Roman" w:hint="default"/>
        </w:rPr>
        <w:t>010064</w:t>
      </w:r>
      <w:r>
        <w:rPr>
          <w:rFonts w:ascii="Times New Roman" w:hAnsi="Times New Roman" w:cs="Times New Roman" w:eastAsia="Times New Roman" w:hint="default"/>
          <w:spacing w:val="-11"/>
        </w:rPr>
        <w:t> </w:t>
      </w:r>
      <w:r>
        <w:rPr/>
        <w:t>号或有对价资 产评估报告。</w:t>
      </w:r>
    </w:p>
    <w:p>
      <w:pPr>
        <w:spacing w:line="240" w:lineRule="auto" w:before="12"/>
        <w:rPr>
          <w:rFonts w:ascii="宋体" w:hAnsi="宋体" w:cs="宋体" w:eastAsia="宋体" w:hint="default"/>
          <w:sz w:val="18"/>
          <w:szCs w:val="18"/>
        </w:rPr>
      </w:pPr>
    </w:p>
    <w:p>
      <w:pPr>
        <w:pStyle w:val="BodyText"/>
        <w:spacing w:line="487" w:lineRule="auto"/>
        <w:ind w:right="7812"/>
        <w:jc w:val="left"/>
      </w:pPr>
      <w:r>
        <w:rPr/>
        <w:t>大额商誉形成的主要原因： 其他说明：</w:t>
      </w:r>
    </w:p>
    <w:p>
      <w:pPr>
        <w:pStyle w:val="Heading4"/>
        <w:spacing w:line="240" w:lineRule="auto" w:before="67"/>
        <w:ind w:right="0"/>
        <w:jc w:val="left"/>
        <w:rPr>
          <w:b w:val="0"/>
          <w:bCs w:val="0"/>
        </w:rPr>
      </w:pPr>
      <w:bookmarkStart w:name="（3）被购买方于购买日可辨认资产、负债" w:id="393"/>
      <w:bookmarkEnd w:id="39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71" w:type="dxa"/>
            <w:gridSpan w:val="2"/>
            <w:tcBorders>
              <w:top w:val="single" w:sz="4" w:space="0" w:color="000000"/>
              <w:left w:val="single" w:sz="4" w:space="0" w:color="000000"/>
              <w:bottom w:val="single" w:sz="4" w:space="0" w:color="000000"/>
              <w:right w:val="single" w:sz="4" w:space="0" w:color="000000"/>
            </w:tcBorders>
            <w:shd w:val="clear" w:color="auto" w:fill="D9D9D9"/>
          </w:tcPr>
          <w:p>
            <w:pPr/>
          </w:p>
        </w:tc>
      </w:tr>
      <w:tr>
        <w:trPr>
          <w:trHeight w:val="40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4,161,874.05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4,161,874.05</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1,890,620.16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1,890,620.16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118,390.58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120,566.73</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29,708,958.58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8,958.58</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73,846.33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73,846.33</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272,910.79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272,910.79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498,007.00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498,007.00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159,791.90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159,791.90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长期应收账款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71,317.79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71,317.79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1,068,566.00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5,001.42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5,001.42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1,524,800.00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1,524,800.00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366,873.47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366,873.47</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5,939,564.77</w:t>
            </w:r>
          </w:p>
        </w:tc>
        <w:tc>
          <w:tcPr>
            <w:tcW w:w="32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z w:val="18"/>
              </w:rPr>
              <w:t>656,287.04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z w:val="18"/>
              </w:rPr>
              <w:t>656,287.04</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55,398.93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55,398.93</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7,081.98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7,081.98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480,543.56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480,543.56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377,553.00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377,553.00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652,199.97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652,199.97</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23,610.55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23,610.55</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26,876,805.33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4,187,112.25</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26,876,805.33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4,187,112.25</w:t>
            </w:r>
          </w:p>
        </w:tc>
      </w:tr>
    </w:tbl>
    <w:p>
      <w:pPr>
        <w:spacing w:line="240" w:lineRule="auto" w:before="4"/>
        <w:rPr>
          <w:rFonts w:ascii="宋体" w:hAnsi="宋体" w:cs="宋体" w:eastAsia="宋体" w:hint="default"/>
          <w:sz w:val="11"/>
          <w:szCs w:val="11"/>
        </w:rPr>
      </w:pPr>
    </w:p>
    <w:p>
      <w:pPr>
        <w:pStyle w:val="BodyText"/>
        <w:spacing w:line="487" w:lineRule="auto" w:before="35"/>
        <w:ind w:right="6569"/>
        <w:jc w:val="both"/>
      </w:pPr>
      <w:r>
        <w:rPr/>
        <w:t>可辨认资产、负债公允价值的确定方法： 企业合并中承担的被购买方的或有负债： 其他说明：</w:t>
      </w:r>
    </w:p>
    <w:p>
      <w:pPr>
        <w:pStyle w:val="BodyText"/>
        <w:spacing w:line="280" w:lineRule="auto" w:before="67"/>
        <w:ind w:left="1133" w:right="1128" w:firstLine="420"/>
        <w:jc w:val="left"/>
      </w:pPr>
      <w:r>
        <w:rPr/>
        <w:t>收购</w:t>
      </w:r>
      <w:r>
        <w:rPr>
          <w:spacing w:val="-52"/>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Oy</w:t>
      </w:r>
      <w:r>
        <w:rPr>
          <w:spacing w:val="-3"/>
        </w:rPr>
        <w:t>，业经中水致远资产评估有限公司进行评估，并于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06</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08</w:t>
      </w:r>
      <w:r>
        <w:rPr>
          <w:rFonts w:ascii="Times New Roman" w:hAnsi="Times New Roman" w:cs="Times New Roman" w:eastAsia="Times New Roman" w:hint="default"/>
          <w:spacing w:val="-12"/>
        </w:rPr>
        <w:t> </w:t>
      </w:r>
      <w:r>
        <w:rPr/>
        <w:t>日出具了中水致 远评咨字（</w:t>
      </w:r>
      <w:r>
        <w:rPr>
          <w:rFonts w:ascii="Times New Roman" w:hAnsi="Times New Roman" w:cs="Times New Roman" w:eastAsia="Times New Roman" w:hint="default"/>
        </w:rPr>
        <w:t>2017</w:t>
      </w:r>
      <w:r>
        <w:rPr/>
        <w:t>）第</w:t>
      </w:r>
      <w:r>
        <w:rPr>
          <w:spacing w:val="-55"/>
        </w:rPr>
        <w:t> </w:t>
      </w:r>
      <w:r>
        <w:rPr>
          <w:rFonts w:ascii="Times New Roman" w:hAnsi="Times New Roman" w:cs="Times New Roman" w:eastAsia="Times New Roman" w:hint="default"/>
        </w:rPr>
        <w:t>010019-1</w:t>
      </w:r>
      <w:r>
        <w:rPr>
          <w:rFonts w:ascii="Times New Roman" w:hAnsi="Times New Roman" w:cs="Times New Roman" w:eastAsia="Times New Roman" w:hint="default"/>
          <w:spacing w:val="-12"/>
        </w:rPr>
        <w:t> </w:t>
      </w:r>
      <w:r>
        <w:rPr/>
        <w:t>号</w:t>
      </w:r>
      <w:r>
        <w:rPr>
          <w:spacing w:val="-56"/>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2"/>
        </w:rPr>
        <w:t> </w:t>
      </w:r>
      <w:r>
        <w:rPr>
          <w:rFonts w:ascii="Times New Roman" w:hAnsi="Times New Roman" w:cs="Times New Roman" w:eastAsia="Times New Roman" w:hint="default"/>
        </w:rPr>
        <w:t>Oy</w:t>
      </w:r>
      <w:r>
        <w:rPr/>
        <w:t>（</w:t>
      </w:r>
      <w:r>
        <w:rPr>
          <w:rFonts w:ascii="Times New Roman" w:hAnsi="Times New Roman" w:cs="Times New Roman" w:eastAsia="Times New Roman" w:hint="default"/>
        </w:rPr>
        <w:t>CAS</w:t>
      </w:r>
      <w:r>
        <w:rPr/>
        <w:t>）可辨识净资产估值报告书。</w:t>
      </w:r>
    </w:p>
    <w:p>
      <w:pPr>
        <w:spacing w:line="240" w:lineRule="auto" w:before="5"/>
        <w:rPr>
          <w:rFonts w:ascii="宋体" w:hAnsi="宋体" w:cs="宋体" w:eastAsia="宋体" w:hint="default"/>
          <w:sz w:val="17"/>
          <w:szCs w:val="17"/>
        </w:rPr>
      </w:pPr>
    </w:p>
    <w:p>
      <w:pPr>
        <w:spacing w:line="460" w:lineRule="auto" w:before="0"/>
        <w:ind w:left="1554" w:right="3612" w:firstLine="2"/>
        <w:jc w:val="left"/>
        <w:rPr>
          <w:rFonts w:ascii="宋体" w:hAnsi="宋体" w:cs="宋体" w:eastAsia="宋体" w:hint="default"/>
          <w:sz w:val="21"/>
          <w:szCs w:val="21"/>
        </w:rPr>
      </w:pPr>
      <w:bookmarkStart w:name="（4）购买日之前持有的股权按照公允价值重新计量产生的利得或损失" w:id="394"/>
      <w:bookmarkEnd w:id="3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40" w:lineRule="auto" w:before="91"/>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0"/>
        <w:rPr>
          <w:rFonts w:ascii="宋体" w:hAnsi="宋体" w:cs="宋体" w:eastAsia="宋体" w:hint="default"/>
          <w:sz w:val="17"/>
          <w:szCs w:val="17"/>
        </w:rPr>
      </w:pPr>
    </w:p>
    <w:p>
      <w:pPr>
        <w:pStyle w:val="Heading4"/>
        <w:spacing w:line="240" w:lineRule="auto" w:before="35"/>
        <w:ind w:right="0"/>
        <w:jc w:val="left"/>
        <w:rPr>
          <w:b w:val="0"/>
          <w:bCs w:val="0"/>
        </w:rPr>
      </w:pPr>
      <w:bookmarkStart w:name="（5）购买日或合并当期期末无法合理确定合并对价或被购买方可辨认资产、负债公允价值" w:id="395"/>
      <w:bookmarkEnd w:id="39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w:t>
      </w:r>
      <w:r>
        <w:rPr>
          <w:b w:val="0"/>
          <w:bCs w:val="0"/>
        </w:rPr>
      </w:r>
    </w:p>
    <w:p>
      <w:pPr>
        <w:pStyle w:val="Heading4"/>
        <w:spacing w:line="240" w:lineRule="auto" w:before="50"/>
        <w:ind w:left="1133" w:right="0"/>
        <w:jc w:val="left"/>
        <w:rPr>
          <w:b w:val="0"/>
          <w:bCs w:val="0"/>
        </w:rPr>
      </w:pPr>
      <w:r>
        <w:rPr>
          <w:w w:val="99"/>
        </w:rPr>
        <w:t>明</w:t>
      </w:r>
      <w:r>
        <w:rPr>
          <w:b w:val="0"/>
          <w:bCs w:val="0"/>
        </w:rPr>
      </w:r>
    </w:p>
    <w:p>
      <w:pPr>
        <w:spacing w:line="240" w:lineRule="auto" w:before="12"/>
        <w:rPr>
          <w:rFonts w:ascii="宋体" w:hAnsi="宋体" w:cs="宋体" w:eastAsia="宋体" w:hint="default"/>
          <w:b/>
          <w:bCs/>
          <w:sz w:val="18"/>
          <w:szCs w:val="18"/>
        </w:rPr>
      </w:pPr>
    </w:p>
    <w:p>
      <w:pPr>
        <w:pStyle w:val="Heading4"/>
        <w:spacing w:line="240" w:lineRule="auto" w:before="35"/>
        <w:ind w:right="0"/>
        <w:jc w:val="left"/>
        <w:rPr>
          <w:b w:val="0"/>
          <w:bCs w:val="0"/>
        </w:rPr>
      </w:pPr>
      <w:bookmarkStart w:name="（6）其他说明" w:id="396"/>
      <w:bookmarkEnd w:id="39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ind w:left="1553" w:right="0"/>
        <w:jc w:val="left"/>
        <w:rPr>
          <w:rFonts w:ascii="微软雅黑" w:hAnsi="微软雅黑" w:cs="微软雅黑" w:eastAsia="微软雅黑" w:hint="default"/>
        </w:rPr>
      </w:pPr>
      <w:bookmarkStart w:name="2、处置子公司" w:id="397"/>
      <w:bookmarkEnd w:id="397"/>
      <w:r>
        <w:rPr/>
      </w:r>
      <w:r>
        <w:rPr>
          <w:rFonts w:ascii="Times New Roman" w:hAnsi="Times New Roman" w:cs="Times New Roman" w:eastAsia="Times New Roman" w:hint="default"/>
        </w:rPr>
        <w:t>2</w:t>
      </w:r>
      <w:r>
        <w:rPr>
          <w:rFonts w:ascii="微软雅黑" w:hAnsi="微软雅黑" w:cs="微软雅黑" w:eastAsia="微软雅黑" w:hint="default"/>
        </w:rPr>
        <w:t>、处置子公司</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t>是否存在单次处置对子公司投资即丧失控制权的情形</w:t>
      </w:r>
    </w:p>
    <w:p>
      <w:pPr>
        <w:spacing w:line="240" w:lineRule="auto" w:before="8"/>
        <w:rPr>
          <w:rFonts w:ascii="宋体" w:hAnsi="宋体" w:cs="宋体" w:eastAsia="宋体" w:hint="default"/>
          <w:sz w:val="21"/>
          <w:szCs w:val="21"/>
        </w:rPr>
      </w:pPr>
    </w:p>
    <w:p>
      <w:pPr>
        <w:pStyle w:val="BodyText"/>
        <w:spacing w:line="460" w:lineRule="auto"/>
        <w:ind w:right="3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是否存在通过多次交易分步处置对子公司投资且在本期丧失控制权的情形</w:t>
      </w:r>
    </w:p>
    <w:p>
      <w:pPr>
        <w:pStyle w:val="BodyText"/>
        <w:spacing w:line="240" w:lineRule="auto" w:before="91"/>
        <w:ind w:left="15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1"/>
        <w:rPr>
          <w:rFonts w:ascii="宋体" w:hAnsi="宋体" w:cs="宋体" w:eastAsia="宋体" w:hint="default"/>
          <w:sz w:val="19"/>
          <w:szCs w:val="19"/>
        </w:rPr>
      </w:pPr>
    </w:p>
    <w:p>
      <w:pPr>
        <w:pStyle w:val="BodyText"/>
        <w:spacing w:line="496" w:lineRule="auto"/>
        <w:ind w:left="1553" w:right="2353"/>
        <w:jc w:val="left"/>
      </w:pPr>
      <w:bookmarkStart w:name="3、其他原因的合并范围变动" w:id="398"/>
      <w:bookmarkEnd w:id="398"/>
      <w:r>
        <w:rPr/>
      </w:r>
      <w:r>
        <w:rPr>
          <w:rFonts w:ascii="Times New Roman" w:hAnsi="Times New Roman" w:cs="Times New Roman" w:eastAsia="Times New Roman" w:hint="default"/>
        </w:rPr>
        <w:t>3</w:t>
      </w:r>
      <w:r>
        <w:rPr>
          <w:rFonts w:ascii="微软雅黑" w:hAnsi="微软雅黑" w:cs="微软雅黑" w:eastAsia="微软雅黑" w:hint="default"/>
        </w:rPr>
        <w:t>、其他原因的合并范围变动 </w:t>
      </w:r>
      <w:r>
        <w:rPr/>
        <w:t>说明其他原因导致的合并范围变动（如，新设子公司、清算子公司等）及其相关情况：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年度因新设子公司合并范围变动情况如下：</w:t>
      </w:r>
    </w:p>
    <w:p>
      <w:pPr>
        <w:spacing w:line="240" w:lineRule="auto" w:before="11"/>
        <w:rPr>
          <w:rFonts w:ascii="宋体" w:hAnsi="宋体" w:cs="宋体" w:eastAsia="宋体" w:hint="default"/>
          <w:sz w:val="3"/>
          <w:szCs w:val="3"/>
        </w:rPr>
      </w:pPr>
    </w:p>
    <w:p>
      <w:pPr>
        <w:spacing w:line="446" w:lineRule="exact"/>
        <w:ind w:left="101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3.8pt;height:22.35pt;mso-position-horizontal-relative:char;mso-position-vertical-relative:line" coordorigin="0,0" coordsize="9876,447">
            <v:group style="position:absolute;left:15;top:29;width:9846;height:2" coordorigin="15,29" coordsize="9846,2">
              <v:shape style="position:absolute;left:15;top:29;width:9846;height:2" coordorigin="15,29" coordsize="9846,0" path="m15,29l9861,29e" filled="false" stroked="true" strokeweight="1.5pt" strokecolor="#d9d9d9">
                <v:path arrowok="t"/>
              </v:shape>
            </v:group>
            <v:group style="position:absolute;left:15;top:44;width:104;height:358" coordorigin="15,44" coordsize="104,358">
              <v:shape style="position:absolute;left:15;top:44;width:104;height:358" coordorigin="15,44" coordsize="104,358" path="m15,402l118,402,118,44,15,44,15,402xe" filled="true" fillcolor="#d9d9d9" stroked="false">
                <v:path arrowok="t"/>
                <v:fill type="solid"/>
              </v:shape>
            </v:group>
            <v:group style="position:absolute;left:9758;top:44;width:104;height:358" coordorigin="9758,44" coordsize="104,358">
              <v:shape style="position:absolute;left:9758;top:44;width:104;height:358" coordorigin="9758,44" coordsize="104,358" path="m9758,402l9861,402,9861,44,9758,44,9758,402xe" filled="true" fillcolor="#d9d9d9" stroked="false">
                <v:path arrowok="t"/>
                <v:fill type="solid"/>
              </v:shape>
            </v:group>
            <v:group style="position:absolute;left:15;top:416;width:9846;height:2" coordorigin="15,416" coordsize="9846,2">
              <v:shape style="position:absolute;left:15;top:416;width:9846;height:2" coordorigin="15,416" coordsize="9846,0" path="m15,416l9861,416e" filled="false" stroked="true" strokeweight="1.44pt" strokecolor="#d9d9d9">
                <v:path arrowok="t"/>
              </v:shape>
            </v:group>
            <v:group style="position:absolute;left:118;top:44;width:9640;height:358" coordorigin="118,44" coordsize="9640,358">
              <v:shape style="position:absolute;left:118;top:44;width:9640;height:358" coordorigin="118,44" coordsize="9640,358" path="m118,402l9758,402,9758,44,118,44,118,402xe" filled="true" fillcolor="#d9d9d9" stroked="false">
                <v:path arrowok="t"/>
                <v:fill type="solid"/>
              </v:shape>
            </v:group>
            <v:group style="position:absolute;left:15;top:10;width:9846;height:2" coordorigin="15,10" coordsize="9846,2">
              <v:shape style="position:absolute;left:15;top:10;width:9846;height:2" coordorigin="15,10" coordsize="9846,0" path="m15,10l9861,10e" filled="false" stroked="true" strokeweight=".48pt" strokecolor="#000000">
                <v:path arrowok="t"/>
              </v:shape>
            </v:group>
            <v:group style="position:absolute;left:15;top:20;width:9846;height:2" coordorigin="15,20" coordsize="9846,2">
              <v:shape style="position:absolute;left:15;top:20;width:9846;height:2" coordorigin="15,20" coordsize="9846,0" path="m15,20l9861,20e" filled="false" stroked="true" strokeweight=".54pt" strokecolor="#d9d9d9">
                <v:path arrowok="t"/>
              </v:shape>
            </v:group>
            <v:group style="position:absolute;left:10;top:426;width:9856;height:2" coordorigin="10,426" coordsize="9856,2">
              <v:shape style="position:absolute;left:10;top:426;width:9856;height:2" coordorigin="10,426" coordsize="9856,0" path="m10,426l9866,426e" filled="false" stroked="true" strokeweight=".48pt" strokecolor="#d9d9d9">
                <v:path arrowok="t"/>
              </v:shape>
            </v:group>
            <v:group style="position:absolute;left:10;top:5;width:2;height:437" coordorigin="10,5" coordsize="2,437">
              <v:shape style="position:absolute;left:10;top:5;width:2;height:437" coordorigin="10,5" coordsize="0,437" path="m10,5l10,442e" filled="false" stroked="true" strokeweight=".48pt" strokecolor="#000000">
                <v:path arrowok="t"/>
              </v:shape>
            </v:group>
            <v:group style="position:absolute;left:15;top:437;width:9846;height:2" coordorigin="15,437" coordsize="9846,2">
              <v:shape style="position:absolute;left:15;top:437;width:9846;height:2" coordorigin="15,437" coordsize="9846,0" path="m15,437l9861,437e" filled="false" stroked="true" strokeweight=".48pt" strokecolor="#000000">
                <v:path arrowok="t"/>
              </v:shape>
            </v:group>
            <v:group style="position:absolute;left:9866;top:5;width:2;height:437" coordorigin="9866,5" coordsize="2,437">
              <v:shape style="position:absolute;left:9866;top:5;width:2;height:437" coordorigin="9866,5" coordsize="0,437" path="m9866,5l9866,442e" filled="false" stroked="true" strokeweight=".48pt" strokecolor="#000000">
                <v:path arrowok="t"/>
              </v:shape>
              <v:shape style="position:absolute;left:10;top:10;width:9856;height:422" type="#_x0000_t202" filled="false" stroked="false">
                <v:textbox inset="0,0,0,0">
                  <w:txbxContent>
                    <w:p>
                      <w:pPr>
                        <w:spacing w:before="65"/>
                        <w:ind w:left="108" w:right="0" w:firstLine="0"/>
                        <w:jc w:val="left"/>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group>
          </v:group>
        </w:pict>
      </w:r>
      <w:r>
        <w:rPr>
          <w:rFonts w:ascii="宋体" w:hAnsi="宋体" w:cs="宋体" w:eastAsia="宋体" w:hint="default"/>
          <w:position w:val="-8"/>
          <w:sz w:val="20"/>
          <w:szCs w:val="20"/>
        </w:rPr>
      </w:r>
    </w:p>
    <w:p>
      <w:pPr>
        <w:spacing w:after="0" w:line="446" w:lineRule="exact"/>
        <w:rPr>
          <w:rFonts w:ascii="宋体" w:hAnsi="宋体" w:cs="宋体" w:eastAsia="宋体" w:hint="default"/>
          <w:sz w:val="20"/>
          <w:szCs w:val="20"/>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9856"/>
      </w:tblGrid>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中科创达（重庆）汽车科技有限公司</w:t>
            </w:r>
          </w:p>
        </w:tc>
      </w:tr>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南京中创盎赛软件科技有限公司</w:t>
            </w:r>
          </w:p>
        </w:tc>
      </w:tr>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QuantumX</w:t>
            </w:r>
          </w:p>
        </w:tc>
      </w:tr>
      <w:tr>
        <w:trPr>
          <w:trHeight w:val="426"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南京慧行汽车科技有限公司</w:t>
            </w:r>
          </w:p>
        </w:tc>
      </w:tr>
      <w:tr>
        <w:trPr>
          <w:trHeight w:val="428"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重庆协同创新智能汽车研究院有限公司</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九、在其他主体中的权益" w:id="399"/>
      <w:bookmarkEnd w:id="399"/>
      <w:r>
        <w:rPr/>
      </w:r>
      <w:r>
        <w:rPr/>
        <w:t>九、在其他主体中的权益</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在子公司中的权益" w:id="400"/>
      <w:bookmarkEnd w:id="400"/>
      <w:r>
        <w:rPr/>
      </w:r>
      <w:r>
        <w:rPr>
          <w:rFonts w:ascii="Times New Roman" w:hAnsi="Times New Roman" w:cs="Times New Roman" w:eastAsia="Times New Roman" w:hint="default"/>
        </w:rPr>
        <w:t>1</w:t>
      </w:r>
      <w:r>
        <w:rPr>
          <w:rFonts w:ascii="微软雅黑" w:hAnsi="微软雅黑" w:cs="微软雅黑" w:eastAsia="微软雅黑" w:hint="default"/>
        </w:rPr>
        <w:t>、在子公司中的权益</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企业集团的构成" w:id="401"/>
      <w:bookmarkEnd w:id="40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2"/>
        <w:rPr>
          <w:rFonts w:ascii="宋体" w:hAnsi="宋体" w:cs="宋体" w:eastAsia="宋体" w:hint="default"/>
          <w:b/>
          <w:bCs/>
          <w:sz w:val="23"/>
          <w:szCs w:val="23"/>
        </w:rPr>
      </w:pPr>
    </w:p>
    <w:tbl>
      <w:tblPr>
        <w:tblW w:w="0" w:type="auto"/>
        <w:jc w:val="left"/>
        <w:tblInd w:w="1021" w:type="dxa"/>
        <w:tblLayout w:type="fixed"/>
        <w:tblCellMar>
          <w:top w:w="0" w:type="dxa"/>
          <w:left w:w="0" w:type="dxa"/>
          <w:bottom w:w="0" w:type="dxa"/>
          <w:right w:w="0" w:type="dxa"/>
        </w:tblCellMar>
        <w:tblLook w:val="01E0"/>
      </w:tblPr>
      <w:tblGrid>
        <w:gridCol w:w="1593"/>
        <w:gridCol w:w="1229"/>
        <w:gridCol w:w="1166"/>
        <w:gridCol w:w="1649"/>
        <w:gridCol w:w="1406"/>
        <w:gridCol w:w="1407"/>
        <w:gridCol w:w="1406"/>
      </w:tblGrid>
      <w:tr>
        <w:trPr>
          <w:trHeight w:val="406" w:hRule="exact"/>
        </w:trPr>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8" w:hRule="exact"/>
        </w:trPr>
        <w:tc>
          <w:tcPr>
            <w:tcW w:w="1593"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649"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06" w:type="dxa"/>
            <w:vMerge/>
            <w:tcBorders>
              <w:left w:val="single" w:sz="4" w:space="0" w:color="000000"/>
              <w:bottom w:val="single" w:sz="4" w:space="0" w:color="000000"/>
              <w:right w:val="single" w:sz="4" w:space="0" w:color="000000"/>
            </w:tcBorders>
            <w:shd w:val="clear" w:color="auto" w:fill="D2D2D2"/>
          </w:tcPr>
          <w:p>
            <w:pP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01"/>
              <w:jc w:val="left"/>
              <w:rPr>
                <w:rFonts w:ascii="宋体" w:hAnsi="宋体" w:cs="宋体" w:eastAsia="宋体" w:hint="default"/>
                <w:sz w:val="18"/>
                <w:szCs w:val="18"/>
              </w:rPr>
            </w:pPr>
            <w:r>
              <w:rPr>
                <w:rFonts w:ascii="宋体" w:hAnsi="宋体" w:cs="宋体" w:eastAsia="宋体" w:hint="default"/>
                <w:spacing w:val="-8"/>
                <w:sz w:val="18"/>
                <w:szCs w:val="18"/>
              </w:rPr>
              <w:t>畅索软件科技（上</w:t>
            </w:r>
            <w:r>
              <w:rPr>
                <w:rFonts w:ascii="宋体" w:hAnsi="宋体" w:cs="宋体" w:eastAsia="宋体" w:hint="default"/>
                <w:sz w:val="18"/>
                <w:szCs w:val="18"/>
              </w:rPr>
              <w:t> 海）有限公司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35"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1"/>
              <w:jc w:val="left"/>
              <w:rPr>
                <w:rFonts w:ascii="宋体" w:hAnsi="宋体" w:cs="宋体" w:eastAsia="宋体" w:hint="default"/>
                <w:sz w:val="18"/>
                <w:szCs w:val="18"/>
              </w:rPr>
            </w:pPr>
            <w:r>
              <w:rPr>
                <w:rFonts w:ascii="宋体" w:hAnsi="宋体" w:cs="宋体" w:eastAsia="宋体" w:hint="default"/>
                <w:sz w:val="18"/>
                <w:szCs w:val="18"/>
              </w:rPr>
              <w:t>中科创达软件科 </w:t>
            </w:r>
            <w:r>
              <w:rPr>
                <w:rFonts w:ascii="宋体" w:hAnsi="宋体" w:cs="宋体" w:eastAsia="宋体" w:hint="default"/>
                <w:spacing w:val="-9"/>
                <w:sz w:val="18"/>
                <w:szCs w:val="18"/>
              </w:rPr>
              <w:t>技（深圳）有限公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19"/>
              <w:jc w:val="left"/>
              <w:rPr>
                <w:rFonts w:ascii="宋体" w:hAnsi="宋体" w:cs="宋体" w:eastAsia="宋体" w:hint="default"/>
                <w:sz w:val="18"/>
                <w:szCs w:val="18"/>
              </w:rPr>
            </w:pPr>
            <w:r>
              <w:rPr>
                <w:rFonts w:ascii="宋体" w:hAnsi="宋体" w:cs="宋体" w:eastAsia="宋体" w:hint="default"/>
                <w:sz w:val="18"/>
                <w:szCs w:val="18"/>
              </w:rPr>
              <w:t>北京信恒创科技 发展有限公司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left"/>
              <w:rPr>
                <w:rFonts w:ascii="宋体" w:hAnsi="宋体" w:cs="宋体" w:eastAsia="宋体" w:hint="default"/>
                <w:sz w:val="18"/>
                <w:szCs w:val="18"/>
              </w:rPr>
            </w:pPr>
            <w:r>
              <w:rPr>
                <w:rFonts w:ascii="宋体" w:hAnsi="宋体" w:cs="宋体" w:eastAsia="宋体" w:hint="default"/>
                <w:sz w:val="18"/>
                <w:szCs w:val="18"/>
              </w:rPr>
              <w:t>北京润信恒达科 技有限公司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19"/>
              <w:jc w:val="left"/>
              <w:rPr>
                <w:rFonts w:ascii="宋体" w:hAnsi="宋体" w:cs="宋体" w:eastAsia="宋体" w:hint="default"/>
                <w:sz w:val="18"/>
                <w:szCs w:val="18"/>
              </w:rPr>
            </w:pPr>
            <w:r>
              <w:rPr>
                <w:rFonts w:ascii="宋体" w:hAnsi="宋体" w:cs="宋体" w:eastAsia="宋体" w:hint="default"/>
                <w:sz w:val="18"/>
                <w:szCs w:val="18"/>
              </w:rPr>
              <w:t>成都中科创达软 件有限公司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成都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9"/>
              <w:jc w:val="left"/>
              <w:rPr>
                <w:rFonts w:ascii="宋体" w:hAnsi="宋体" w:cs="宋体" w:eastAsia="宋体" w:hint="default"/>
                <w:sz w:val="18"/>
                <w:szCs w:val="18"/>
              </w:rPr>
            </w:pPr>
            <w:r>
              <w:rPr>
                <w:rFonts w:ascii="宋体" w:hAnsi="宋体" w:cs="宋体" w:eastAsia="宋体" w:hint="default"/>
                <w:sz w:val="18"/>
                <w:szCs w:val="18"/>
              </w:rPr>
              <w:t>南京中科创达软 件科技有限公司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left"/>
              <w:rPr>
                <w:rFonts w:ascii="宋体" w:hAnsi="宋体" w:cs="宋体" w:eastAsia="宋体" w:hint="default"/>
                <w:sz w:val="18"/>
                <w:szCs w:val="18"/>
              </w:rPr>
            </w:pPr>
            <w:r>
              <w:rPr>
                <w:rFonts w:ascii="宋体" w:hAnsi="宋体" w:cs="宋体" w:eastAsia="宋体" w:hint="default"/>
                <w:sz w:val="18"/>
                <w:szCs w:val="18"/>
              </w:rPr>
              <w:t>西安中科创达软 件有限公司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西安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left"/>
              <w:rPr>
                <w:rFonts w:ascii="宋体" w:hAnsi="宋体" w:cs="宋体" w:eastAsia="宋体" w:hint="default"/>
                <w:sz w:val="18"/>
                <w:szCs w:val="18"/>
              </w:rPr>
            </w:pPr>
            <w:r>
              <w:rPr>
                <w:rFonts w:ascii="宋体" w:hAnsi="宋体" w:cs="宋体" w:eastAsia="宋体" w:hint="default"/>
                <w:sz w:val="18"/>
                <w:szCs w:val="18"/>
              </w:rPr>
              <w:t>香港天集有限公 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企业管理服务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19"/>
              <w:jc w:val="left"/>
              <w:rPr>
                <w:rFonts w:ascii="宋体" w:hAnsi="宋体" w:cs="宋体" w:eastAsia="宋体" w:hint="default"/>
                <w:sz w:val="18"/>
                <w:szCs w:val="18"/>
              </w:rPr>
            </w:pPr>
            <w:r>
              <w:rPr>
                <w:rFonts w:ascii="宋体" w:hAnsi="宋体" w:cs="宋体" w:eastAsia="宋体" w:hint="default"/>
                <w:sz w:val="18"/>
                <w:szCs w:val="18"/>
              </w:rPr>
              <w:t>中科创达香港有 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75"/>
              <w:jc w:val="left"/>
              <w:rPr>
                <w:rFonts w:ascii="宋体" w:hAnsi="宋体" w:cs="宋体" w:eastAsia="宋体" w:hint="default"/>
                <w:sz w:val="18"/>
                <w:szCs w:val="18"/>
              </w:rPr>
            </w:pPr>
            <w:r>
              <w:rPr>
                <w:rFonts w:ascii="宋体" w:hAnsi="宋体" w:cs="宋体" w:eastAsia="宋体" w:hint="default"/>
                <w:sz w:val="18"/>
                <w:szCs w:val="18"/>
              </w:rPr>
              <w:t>移动操作系统解 决方案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19"/>
              <w:jc w:val="left"/>
              <w:rPr>
                <w:rFonts w:ascii="宋体" w:hAnsi="宋体" w:cs="宋体" w:eastAsia="宋体" w:hint="default"/>
                <w:sz w:val="18"/>
                <w:szCs w:val="18"/>
              </w:rPr>
            </w:pPr>
            <w:r>
              <w:rPr>
                <w:rFonts w:ascii="宋体" w:hAnsi="宋体" w:cs="宋体" w:eastAsia="宋体" w:hint="default"/>
                <w:sz w:val="18"/>
                <w:szCs w:val="18"/>
              </w:rPr>
              <w:t>香港天盛有限公 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香港</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75"/>
              <w:jc w:val="left"/>
              <w:rPr>
                <w:rFonts w:ascii="宋体" w:hAnsi="宋体" w:cs="宋体" w:eastAsia="宋体" w:hint="default"/>
                <w:sz w:val="18"/>
                <w:szCs w:val="18"/>
              </w:rPr>
            </w:pPr>
            <w:r>
              <w:rPr>
                <w:rFonts w:ascii="宋体" w:hAnsi="宋体" w:cs="宋体" w:eastAsia="宋体" w:hint="default"/>
                <w:sz w:val="18"/>
                <w:szCs w:val="18"/>
              </w:rPr>
              <w:t>移动智能终端解 决方案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35"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both"/>
              <w:rPr>
                <w:rFonts w:ascii="宋体" w:hAnsi="宋体" w:cs="宋体" w:eastAsia="宋体" w:hint="default"/>
                <w:sz w:val="18"/>
                <w:szCs w:val="18"/>
              </w:rPr>
            </w:pPr>
            <w:r>
              <w:rPr>
                <w:rFonts w:ascii="宋体" w:hAnsi="宋体" w:cs="宋体" w:eastAsia="宋体" w:hint="default"/>
                <w:sz w:val="18"/>
                <w:szCs w:val="18"/>
              </w:rPr>
              <w:t>深圳市创达天盛 智能科技有限公 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482"/>
              <w:jc w:val="left"/>
              <w:rPr>
                <w:rFonts w:ascii="Times New Roman" w:hAnsi="Times New Roman" w:cs="Times New Roman" w:eastAsia="Times New Roman" w:hint="default"/>
                <w:sz w:val="18"/>
                <w:szCs w:val="18"/>
              </w:rPr>
            </w:pPr>
            <w:r>
              <w:rPr>
                <w:rFonts w:ascii="Times New Roman"/>
                <w:sz w:val="18"/>
              </w:rPr>
              <w:t>Mobile Focus</w:t>
            </w:r>
            <w:r>
              <w:rPr>
                <w:rFonts w:ascii="Times New Roman"/>
                <w:w w:val="99"/>
                <w:sz w:val="18"/>
              </w:rPr>
              <w:t> </w:t>
            </w:r>
            <w:r>
              <w:rPr>
                <w:rFonts w:ascii="Times New Roman"/>
                <w:sz w:val="18"/>
              </w:rPr>
              <w:t>Holding</w:t>
            </w:r>
            <w:r>
              <w:rPr>
                <w:rFonts w:ascii="Times New Roman"/>
                <w:spacing w:val="-2"/>
                <w:sz w:val="18"/>
              </w:rPr>
              <w:t> </w:t>
            </w:r>
            <w:r>
              <w:rPr>
                <w:rFonts w:ascii="Times New Roman"/>
                <w:sz w:val="18"/>
              </w:rPr>
              <w:t>Ltd.</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429" w:right="157" w:hanging="270"/>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397" w:right="126" w:hanging="270"/>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left"/>
              <w:rPr>
                <w:rFonts w:ascii="宋体" w:hAnsi="宋体" w:cs="宋体" w:eastAsia="宋体" w:hint="default"/>
                <w:sz w:val="18"/>
                <w:szCs w:val="18"/>
              </w:rPr>
            </w:pPr>
            <w:r>
              <w:rPr>
                <w:rFonts w:ascii="宋体" w:hAnsi="宋体" w:cs="宋体" w:eastAsia="宋体" w:hint="default"/>
                <w:sz w:val="18"/>
                <w:szCs w:val="18"/>
              </w:rPr>
              <w:t>日本天集有限公 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593"/>
        <w:gridCol w:w="1229"/>
        <w:gridCol w:w="1166"/>
        <w:gridCol w:w="1649"/>
        <w:gridCol w:w="1406"/>
        <w:gridCol w:w="1407"/>
        <w:gridCol w:w="1406"/>
      </w:tblGrid>
      <w:tr>
        <w:trPr>
          <w:trHeight w:val="407" w:hRule="exact"/>
        </w:trPr>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593"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649"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06" w:type="dxa"/>
            <w:vMerge/>
            <w:tcBorders>
              <w:left w:val="single" w:sz="4" w:space="0" w:color="000000"/>
              <w:bottom w:val="single" w:sz="4" w:space="0" w:color="000000"/>
              <w:right w:val="single" w:sz="4" w:space="0" w:color="000000"/>
            </w:tcBorders>
            <w:shd w:val="clear" w:color="auto" w:fill="D2D2D2"/>
          </w:tcPr>
          <w:p>
            <w:pPr/>
          </w:p>
        </w:tc>
      </w:tr>
      <w:tr>
        <w:trPr>
          <w:trHeight w:val="602"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114"/>
              <w:jc w:val="left"/>
              <w:rPr>
                <w:rFonts w:ascii="Times New Roman" w:hAnsi="Times New Roman" w:cs="Times New Roman" w:eastAsia="Times New Roman" w:hint="default"/>
                <w:sz w:val="18"/>
                <w:szCs w:val="18"/>
              </w:rPr>
            </w:pPr>
            <w:r>
              <w:rPr>
                <w:rFonts w:ascii="Times New Roman"/>
                <w:sz w:val="18"/>
              </w:rPr>
              <w:t>Longtrans</w:t>
            </w:r>
            <w:r>
              <w:rPr>
                <w:rFonts w:ascii="Times New Roman"/>
                <w:spacing w:val="-3"/>
                <w:sz w:val="18"/>
              </w:rPr>
              <w:t> </w:t>
            </w:r>
            <w:r>
              <w:rPr>
                <w:rFonts w:ascii="Times New Roman"/>
                <w:sz w:val="18"/>
              </w:rPr>
              <w:t>Holding</w:t>
            </w:r>
            <w:r>
              <w:rPr>
                <w:rFonts w:ascii="Times New Roman"/>
                <w:sz w:val="18"/>
              </w:rPr>
              <w:t> Ltd.</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429" w:right="157" w:hanging="270"/>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397" w:right="126" w:hanging="270"/>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80.10%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19"/>
              <w:jc w:val="left"/>
              <w:rPr>
                <w:rFonts w:ascii="宋体" w:hAnsi="宋体" w:cs="宋体" w:eastAsia="宋体" w:hint="default"/>
                <w:sz w:val="18"/>
                <w:szCs w:val="18"/>
              </w:rPr>
            </w:pPr>
            <w:r>
              <w:rPr>
                <w:rFonts w:ascii="宋体" w:hAnsi="宋体" w:cs="宋体" w:eastAsia="宋体" w:hint="default"/>
                <w:sz w:val="18"/>
                <w:szCs w:val="18"/>
              </w:rPr>
              <w:t>台湾聚引移动有 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台湾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台湾</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75"/>
              <w:jc w:val="left"/>
              <w:rPr>
                <w:rFonts w:ascii="宋体" w:hAnsi="宋体" w:cs="宋体" w:eastAsia="宋体" w:hint="default"/>
                <w:sz w:val="18"/>
                <w:szCs w:val="18"/>
              </w:rPr>
            </w:pPr>
            <w:r>
              <w:rPr>
                <w:rFonts w:ascii="宋体" w:hAnsi="宋体" w:cs="宋体" w:eastAsia="宋体" w:hint="default"/>
                <w:sz w:val="18"/>
                <w:szCs w:val="18"/>
              </w:rPr>
              <w:t>移动智能终端解 决方案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19"/>
              <w:jc w:val="left"/>
              <w:rPr>
                <w:rFonts w:ascii="宋体" w:hAnsi="宋体" w:cs="宋体" w:eastAsia="宋体" w:hint="default"/>
                <w:sz w:val="18"/>
                <w:szCs w:val="18"/>
              </w:rPr>
            </w:pPr>
            <w:r>
              <w:rPr>
                <w:rFonts w:ascii="宋体" w:hAnsi="宋体" w:cs="宋体" w:eastAsia="宋体" w:hint="default"/>
                <w:sz w:val="18"/>
                <w:szCs w:val="18"/>
              </w:rPr>
              <w:t>中科创达韩国有 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韩国</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韩国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47"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452"/>
              <w:jc w:val="left"/>
              <w:rPr>
                <w:rFonts w:ascii="Times New Roman" w:hAnsi="Times New Roman" w:cs="Times New Roman" w:eastAsia="Times New Roman" w:hint="default"/>
                <w:sz w:val="18"/>
                <w:szCs w:val="18"/>
              </w:rPr>
            </w:pPr>
            <w:r>
              <w:rPr>
                <w:rFonts w:ascii="Times New Roman"/>
                <w:sz w:val="18"/>
              </w:rPr>
              <w:t>Achieve</w:t>
            </w:r>
            <w:r>
              <w:rPr>
                <w:rFonts w:ascii="Times New Roman"/>
                <w:spacing w:val="-2"/>
                <w:sz w:val="18"/>
              </w:rPr>
              <w:t> </w:t>
            </w:r>
            <w:r>
              <w:rPr>
                <w:rFonts w:ascii="Times New Roman"/>
                <w:sz w:val="18"/>
              </w:rPr>
              <w:t>Sky</w:t>
            </w:r>
            <w:r>
              <w:rPr>
                <w:rFonts w:ascii="Times New Roman"/>
                <w:w w:val="99"/>
                <w:sz w:val="18"/>
              </w:rPr>
              <w:t> </w:t>
            </w:r>
            <w:r>
              <w:rPr>
                <w:rFonts w:ascii="Times New Roman"/>
                <w:sz w:val="18"/>
              </w:rPr>
              <w:t>Europe</w:t>
            </w:r>
            <w:r>
              <w:rPr>
                <w:rFonts w:ascii="Times New Roman"/>
                <w:spacing w:val="-1"/>
                <w:sz w:val="18"/>
              </w:rPr>
              <w:t> </w:t>
            </w:r>
            <w:r>
              <w:rPr>
                <w:rFonts w:ascii="Times New Roman"/>
                <w:sz w:val="18"/>
              </w:rPr>
              <w:t>SARL</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卢森堡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卢森堡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962"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137"/>
              <w:jc w:val="left"/>
              <w:rPr>
                <w:rFonts w:ascii="Times New Roman" w:hAnsi="Times New Roman" w:cs="Times New Roman" w:eastAsia="Times New Roman" w:hint="default"/>
                <w:sz w:val="18"/>
                <w:szCs w:val="18"/>
              </w:rPr>
            </w:pPr>
            <w:r>
              <w:rPr>
                <w:rFonts w:ascii="Times New Roman"/>
                <w:sz w:val="18"/>
              </w:rPr>
              <w:t>ThunderSoft</w:t>
            </w:r>
            <w:r>
              <w:rPr>
                <w:rFonts w:ascii="Times New Roman"/>
                <w:w w:val="99"/>
                <w:sz w:val="18"/>
              </w:rPr>
              <w:t> </w:t>
            </w:r>
            <w:r>
              <w:rPr>
                <w:rFonts w:ascii="Times New Roman"/>
                <w:sz w:val="18"/>
              </w:rPr>
              <w:t>Automotive</w:t>
            </w:r>
            <w:r>
              <w:rPr>
                <w:rFonts w:ascii="Times New Roman"/>
                <w:w w:val="99"/>
                <w:sz w:val="18"/>
              </w:rPr>
              <w:t> </w:t>
            </w:r>
            <w:r>
              <w:rPr>
                <w:rFonts w:ascii="Times New Roman"/>
                <w:sz w:val="18"/>
              </w:rPr>
              <w:t>Technology</w:t>
            </w:r>
            <w:r>
              <w:rPr>
                <w:rFonts w:ascii="Times New Roman"/>
                <w:w w:val="99"/>
                <w:sz w:val="18"/>
              </w:rPr>
              <w:t> </w:t>
            </w:r>
            <w:r>
              <w:rPr>
                <w:rFonts w:ascii="Times New Roman"/>
                <w:sz w:val="18"/>
              </w:rPr>
              <w:t>Luxemburg</w:t>
            </w:r>
            <w:r>
              <w:rPr>
                <w:rFonts w:ascii="Times New Roman"/>
                <w:spacing w:val="-7"/>
                <w:sz w:val="18"/>
              </w:rPr>
              <w:t> </w:t>
            </w:r>
            <w:r>
              <w:rPr>
                <w:rFonts w:ascii="Times New Roman"/>
                <w:sz w:val="18"/>
              </w:rPr>
              <w:t>SARL</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卢森堡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卢森堡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9"/>
              <w:jc w:val="left"/>
              <w:rPr>
                <w:rFonts w:ascii="宋体" w:hAnsi="宋体" w:cs="宋体" w:eastAsia="宋体" w:hint="default"/>
                <w:sz w:val="18"/>
                <w:szCs w:val="18"/>
              </w:rPr>
            </w:pPr>
            <w:r>
              <w:rPr>
                <w:rFonts w:ascii="宋体" w:hAnsi="宋体" w:cs="宋体" w:eastAsia="宋体" w:hint="default"/>
                <w:sz w:val="18"/>
                <w:szCs w:val="18"/>
              </w:rPr>
              <w:t>中科创达美国有 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美国</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美国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市场调研</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9"/>
              <w:jc w:val="left"/>
              <w:rPr>
                <w:rFonts w:ascii="宋体" w:hAnsi="宋体" w:cs="宋体" w:eastAsia="宋体" w:hint="default"/>
                <w:sz w:val="18"/>
                <w:szCs w:val="18"/>
              </w:rPr>
            </w:pPr>
            <w:r>
              <w:rPr>
                <w:rFonts w:ascii="宋体" w:hAnsi="宋体" w:cs="宋体" w:eastAsia="宋体" w:hint="default"/>
                <w:sz w:val="18"/>
                <w:szCs w:val="18"/>
              </w:rPr>
              <w:t>沈阳中科创达软 件有限公司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left"/>
              <w:rPr>
                <w:rFonts w:ascii="宋体" w:hAnsi="宋体" w:cs="宋体" w:eastAsia="宋体" w:hint="default"/>
                <w:sz w:val="18"/>
                <w:szCs w:val="18"/>
              </w:rPr>
            </w:pPr>
            <w:r>
              <w:rPr>
                <w:rFonts w:ascii="宋体" w:hAnsi="宋体" w:cs="宋体" w:eastAsia="宋体" w:hint="default"/>
                <w:sz w:val="18"/>
                <w:szCs w:val="18"/>
              </w:rPr>
              <w:t>大连中科创达软 件有限公司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大连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大连</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01"/>
              <w:jc w:val="left"/>
              <w:rPr>
                <w:rFonts w:ascii="宋体" w:hAnsi="宋体" w:cs="宋体" w:eastAsia="宋体" w:hint="default"/>
                <w:sz w:val="18"/>
                <w:szCs w:val="18"/>
              </w:rPr>
            </w:pPr>
            <w:r>
              <w:rPr>
                <w:rFonts w:ascii="宋体" w:hAnsi="宋体" w:cs="宋体" w:eastAsia="宋体" w:hint="default"/>
                <w:spacing w:val="-8"/>
                <w:sz w:val="18"/>
                <w:szCs w:val="18"/>
              </w:rPr>
              <w:t>青柠优视科技（北</w:t>
            </w:r>
            <w:r>
              <w:rPr>
                <w:rFonts w:ascii="宋体" w:hAnsi="宋体" w:cs="宋体" w:eastAsia="宋体" w:hint="default"/>
                <w:sz w:val="18"/>
                <w:szCs w:val="18"/>
              </w:rPr>
              <w:t> 京）有限公司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219"/>
              <w:jc w:val="left"/>
              <w:rPr>
                <w:rFonts w:ascii="宋体" w:hAnsi="宋体" w:cs="宋体" w:eastAsia="宋体" w:hint="default"/>
                <w:sz w:val="18"/>
                <w:szCs w:val="18"/>
              </w:rPr>
            </w:pPr>
            <w:r>
              <w:rPr>
                <w:rFonts w:ascii="宋体" w:hAnsi="宋体" w:cs="宋体" w:eastAsia="宋体" w:hint="default"/>
                <w:sz w:val="18"/>
                <w:szCs w:val="18"/>
              </w:rPr>
              <w:t>北京创思远达科 技有限公司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95.00%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left"/>
              <w:rPr>
                <w:rFonts w:ascii="宋体" w:hAnsi="宋体" w:cs="宋体" w:eastAsia="宋体" w:hint="default"/>
                <w:sz w:val="18"/>
                <w:szCs w:val="18"/>
              </w:rPr>
            </w:pPr>
            <w:r>
              <w:rPr>
                <w:rFonts w:ascii="宋体" w:hAnsi="宋体" w:cs="宋体" w:eastAsia="宋体" w:hint="default"/>
                <w:sz w:val="18"/>
                <w:szCs w:val="18"/>
              </w:rPr>
              <w:t>重庆创通联达智 能技术有限公司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81.97%</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9"/>
              <w:jc w:val="left"/>
              <w:rPr>
                <w:rFonts w:ascii="宋体" w:hAnsi="宋体" w:cs="宋体" w:eastAsia="宋体" w:hint="default"/>
                <w:sz w:val="18"/>
                <w:szCs w:val="18"/>
              </w:rPr>
            </w:pPr>
            <w:r>
              <w:rPr>
                <w:rFonts w:ascii="宋体" w:hAnsi="宋体" w:cs="宋体" w:eastAsia="宋体" w:hint="default"/>
                <w:sz w:val="18"/>
                <w:szCs w:val="18"/>
              </w:rPr>
              <w:t>北京爱普新思电 子技术有限公司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9"/>
              <w:jc w:val="left"/>
              <w:rPr>
                <w:rFonts w:ascii="宋体" w:hAnsi="宋体" w:cs="宋体" w:eastAsia="宋体" w:hint="default"/>
                <w:sz w:val="18"/>
                <w:szCs w:val="18"/>
              </w:rPr>
            </w:pPr>
            <w:r>
              <w:rPr>
                <w:rFonts w:ascii="宋体" w:hAnsi="宋体" w:cs="宋体" w:eastAsia="宋体" w:hint="default"/>
                <w:sz w:val="18"/>
                <w:szCs w:val="18"/>
              </w:rPr>
              <w:t>北京慧驰科技有 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834"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01"/>
              <w:jc w:val="left"/>
              <w:rPr>
                <w:rFonts w:ascii="宋体" w:hAnsi="宋体" w:cs="宋体" w:eastAsia="宋体" w:hint="default"/>
                <w:sz w:val="18"/>
                <w:szCs w:val="18"/>
              </w:rPr>
            </w:pPr>
            <w:r>
              <w:rPr>
                <w:rFonts w:ascii="宋体" w:hAnsi="宋体" w:cs="宋体" w:eastAsia="宋体" w:hint="default"/>
                <w:sz w:val="18"/>
                <w:szCs w:val="18"/>
              </w:rPr>
              <w:t>中科创达软件科 </w:t>
            </w:r>
            <w:r>
              <w:rPr>
                <w:rFonts w:ascii="宋体" w:hAnsi="宋体" w:cs="宋体" w:eastAsia="宋体" w:hint="default"/>
                <w:spacing w:val="-9"/>
                <w:sz w:val="18"/>
                <w:szCs w:val="18"/>
              </w:rPr>
              <w:t>技（日本）有限公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1"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9"/>
              <w:jc w:val="left"/>
              <w:rPr>
                <w:rFonts w:ascii="宋体" w:hAnsi="宋体" w:cs="宋体" w:eastAsia="宋体" w:hint="default"/>
                <w:sz w:val="18"/>
                <w:szCs w:val="18"/>
              </w:rPr>
            </w:pPr>
            <w:r>
              <w:rPr>
                <w:rFonts w:ascii="宋体" w:hAnsi="宋体" w:cs="宋体" w:eastAsia="宋体" w:hint="default"/>
                <w:sz w:val="18"/>
                <w:szCs w:val="18"/>
              </w:rPr>
              <w:t>武汉中科创达软 件有限公司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武汉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武汉</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9"/>
              <w:jc w:val="left"/>
              <w:rPr>
                <w:rFonts w:ascii="宋体" w:hAnsi="宋体" w:cs="宋体" w:eastAsia="宋体" w:hint="default"/>
                <w:sz w:val="18"/>
                <w:szCs w:val="18"/>
              </w:rPr>
            </w:pPr>
            <w:r>
              <w:rPr>
                <w:rFonts w:ascii="宋体" w:hAnsi="宋体" w:cs="宋体" w:eastAsia="宋体" w:hint="default"/>
                <w:sz w:val="18"/>
                <w:szCs w:val="18"/>
              </w:rPr>
              <w:t>杭州聚引投资管 理有限公司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835"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37"/>
              <w:jc w:val="left"/>
              <w:rPr>
                <w:rFonts w:ascii="宋体" w:hAnsi="宋体" w:cs="宋体" w:eastAsia="宋体" w:hint="default"/>
                <w:sz w:val="18"/>
                <w:szCs w:val="18"/>
              </w:rPr>
            </w:pPr>
            <w:r>
              <w:rPr>
                <w:rFonts w:ascii="宋体" w:hAnsi="宋体" w:cs="宋体" w:eastAsia="宋体" w:hint="default"/>
                <w:sz w:val="18"/>
                <w:szCs w:val="18"/>
              </w:rPr>
              <w:t>中科创达（重庆） 汽车科技有限公</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2" w:lineRule="exact"/>
              <w:ind w:left="103" w:right="275"/>
              <w:jc w:val="left"/>
              <w:rPr>
                <w:rFonts w:ascii="宋体" w:hAnsi="宋体" w:cs="宋体" w:eastAsia="宋体" w:hint="default"/>
                <w:sz w:val="18"/>
                <w:szCs w:val="18"/>
              </w:rPr>
            </w:pPr>
            <w:r>
              <w:rPr>
                <w:rFonts w:ascii="宋体" w:hAnsi="宋体" w:cs="宋体" w:eastAsia="宋体" w:hint="default"/>
                <w:sz w:val="18"/>
                <w:szCs w:val="18"/>
              </w:rPr>
              <w:t>移动智能终端解 决方案</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0"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19"/>
              <w:jc w:val="left"/>
              <w:rPr>
                <w:rFonts w:ascii="宋体" w:hAnsi="宋体" w:cs="宋体" w:eastAsia="宋体" w:hint="default"/>
                <w:sz w:val="18"/>
                <w:szCs w:val="18"/>
              </w:rPr>
            </w:pPr>
            <w:r>
              <w:rPr>
                <w:rFonts w:ascii="宋体" w:hAnsi="宋体" w:cs="宋体" w:eastAsia="宋体" w:hint="default"/>
                <w:sz w:val="18"/>
                <w:szCs w:val="18"/>
              </w:rPr>
              <w:t>南京中创盎赛软 件科技有限公司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602"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芬兰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芬兰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75"/>
              <w:jc w:val="left"/>
              <w:rPr>
                <w:rFonts w:ascii="宋体" w:hAnsi="宋体" w:cs="宋体" w:eastAsia="宋体" w:hint="default"/>
                <w:sz w:val="18"/>
                <w:szCs w:val="18"/>
              </w:rPr>
            </w:pPr>
            <w:r>
              <w:rPr>
                <w:rFonts w:ascii="宋体" w:hAnsi="宋体" w:cs="宋体" w:eastAsia="宋体" w:hint="default"/>
                <w:sz w:val="18"/>
                <w:szCs w:val="18"/>
              </w:rPr>
              <w:t>车载电子解决方 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88.33%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企业合并</w:t>
            </w:r>
          </w:p>
        </w:tc>
      </w:tr>
      <w:tr>
        <w:trPr>
          <w:trHeight w:val="407"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QuantumX</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韩国</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韩国</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95.00%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8"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南京慧行汽车科</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南京</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593"/>
        <w:gridCol w:w="1229"/>
        <w:gridCol w:w="1166"/>
        <w:gridCol w:w="1649"/>
        <w:gridCol w:w="1406"/>
        <w:gridCol w:w="1407"/>
        <w:gridCol w:w="1406"/>
      </w:tblGrid>
      <w:tr>
        <w:trPr>
          <w:trHeight w:val="407" w:hRule="exact"/>
        </w:trPr>
        <w:tc>
          <w:tcPr>
            <w:tcW w:w="1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593"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649"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06"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219"/>
              <w:jc w:val="both"/>
              <w:rPr>
                <w:rFonts w:ascii="宋体" w:hAnsi="宋体" w:cs="宋体" w:eastAsia="宋体" w:hint="default"/>
                <w:sz w:val="18"/>
                <w:szCs w:val="18"/>
              </w:rPr>
            </w:pPr>
            <w:r>
              <w:rPr>
                <w:rFonts w:ascii="宋体" w:hAnsi="宋体" w:cs="宋体" w:eastAsia="宋体" w:hint="default"/>
                <w:sz w:val="18"/>
                <w:szCs w:val="18"/>
              </w:rPr>
              <w:t>重庆协同创新智 能汽车研究院有 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销售及开发服务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12"/>
          <w:szCs w:val="12"/>
        </w:rPr>
      </w:pPr>
    </w:p>
    <w:p>
      <w:pPr>
        <w:pStyle w:val="Heading4"/>
        <w:spacing w:line="240" w:lineRule="auto" w:before="35"/>
        <w:ind w:right="0"/>
        <w:jc w:val="left"/>
        <w:rPr>
          <w:b w:val="0"/>
          <w:bCs w:val="0"/>
        </w:rPr>
      </w:pPr>
      <w:bookmarkStart w:name="（2）不重要的合营企业和联营企业的汇总财务信息" w:id="402"/>
      <w:bookmarkEnd w:id="402"/>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3424"/>
        <w:gridCol w:w="3150"/>
        <w:gridCol w:w="3281"/>
      </w:tblGrid>
      <w:tr>
        <w:trPr>
          <w:trHeight w:val="382"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73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79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15"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r>
      <w:tr>
        <w:trPr>
          <w:trHeight w:val="409"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21,654,192.20</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20,859,556.16</w:t>
            </w:r>
          </w:p>
        </w:tc>
      </w:tr>
      <w:tr>
        <w:trPr>
          <w:trHeight w:val="404"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723,280.12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-5,248,968.92</w:t>
            </w:r>
          </w:p>
        </w:tc>
      </w:tr>
      <w:tr>
        <w:trPr>
          <w:trHeight w:val="409"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723,280.12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-5,248,968.92</w:t>
            </w:r>
          </w:p>
        </w:tc>
      </w:tr>
      <w:tr>
        <w:trPr>
          <w:trHeight w:val="404"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10"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75,888,555.68</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83,764,832.70</w:t>
            </w:r>
          </w:p>
        </w:tc>
      </w:tr>
      <w:tr>
        <w:trPr>
          <w:trHeight w:val="404"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4,683,564.92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18"/>
                <w:szCs w:val="18"/>
              </w:rPr>
            </w:pPr>
            <w:r>
              <w:rPr>
                <w:rFonts w:ascii="Times New Roman"/>
                <w:spacing w:val="-1"/>
                <w:sz w:val="18"/>
              </w:rPr>
              <w:t>3,792,790.39</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2,595,380.20</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2,181,411.65</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7,278,945.12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5,974,202.04</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3）合营企业或联营企业向本公司转移资金的能力存在重大限制的说明" w:id="403"/>
      <w:bookmarkEnd w:id="403"/>
      <w:r>
        <w:rPr>
          <w:b w:val="0"/>
          <w:bCs w:val="0"/>
        </w:rPr>
      </w:r>
      <w:r>
        <w:rPr/>
        <w:t>（</w:t>
      </w:r>
      <w:r>
        <w:rPr>
          <w:rFonts w:ascii="Times New Roman" w:hAnsi="Times New Roman" w:cs="Times New Roman" w:eastAsia="Times New Roman" w:hint="default"/>
        </w:rPr>
        <w:t>3</w:t>
      </w:r>
      <w:r>
        <w:rPr/>
        <w:t>）合营企业或联营企业向本公司转移资金的能力存在重大限制的说明</w:t>
      </w:r>
      <w:r>
        <w:rPr>
          <w:b w:val="0"/>
          <w:bCs w:val="0"/>
        </w:rPr>
      </w:r>
    </w:p>
    <w:p>
      <w:pPr>
        <w:spacing w:line="240" w:lineRule="auto" w:before="6"/>
        <w:rPr>
          <w:rFonts w:ascii="宋体" w:hAnsi="宋体" w:cs="宋体" w:eastAsia="宋体" w:hint="default"/>
          <w:b/>
          <w:bCs/>
          <w:sz w:val="20"/>
          <w:szCs w:val="20"/>
        </w:rPr>
      </w:pPr>
    </w:p>
    <w:p>
      <w:pPr>
        <w:pStyle w:val="Heading4"/>
        <w:spacing w:line="240" w:lineRule="auto"/>
        <w:ind w:right="0"/>
        <w:jc w:val="left"/>
        <w:rPr>
          <w:b w:val="0"/>
          <w:bCs w:val="0"/>
        </w:rPr>
      </w:pPr>
      <w:bookmarkStart w:name="（4）合营企业或联营企业发生的超额亏损" w:id="404"/>
      <w:bookmarkEnd w:id="404"/>
      <w:r>
        <w:rPr>
          <w:b w:val="0"/>
          <w:bCs w:val="0"/>
        </w:rPr>
      </w:r>
      <w:r>
        <w:rPr/>
        <w:t>（</w:t>
      </w:r>
      <w:r>
        <w:rPr>
          <w:rFonts w:ascii="Times New Roman" w:hAnsi="Times New Roman" w:cs="Times New Roman" w:eastAsia="Times New Roman" w:hint="default"/>
        </w:rPr>
        <w:t>4</w:t>
      </w:r>
      <w:r>
        <w:rPr/>
        <w:t>）合营企业或联营企业发生的超额亏损</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460"/>
        <w:gridCol w:w="2464"/>
        <w:gridCol w:w="2465"/>
        <w:gridCol w:w="2466"/>
      </w:tblGrid>
      <w:tr>
        <w:trPr>
          <w:trHeight w:val="662"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31"/>
              <w:ind w:left="1046" w:right="237" w:hanging="810"/>
              <w:jc w:val="left"/>
              <w:rPr>
                <w:rFonts w:ascii="宋体" w:hAnsi="宋体" w:cs="宋体" w:eastAsia="宋体" w:hint="default"/>
                <w:sz w:val="18"/>
                <w:szCs w:val="18"/>
              </w:rPr>
            </w:pPr>
            <w:r>
              <w:rPr>
                <w:rFonts w:ascii="宋体" w:hAnsi="宋体" w:cs="宋体" w:eastAsia="宋体" w:hint="default"/>
                <w:sz w:val="18"/>
                <w:szCs w:val="18"/>
              </w:rPr>
              <w:t>累积未确认前期累计认的 损失</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88"/>
              <w:ind w:left="596" w:right="147" w:hanging="450"/>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5）与合营企业投资相关的未确认承诺" w:id="405"/>
      <w:bookmarkEnd w:id="405"/>
      <w:r>
        <w:rPr>
          <w:b w:val="0"/>
          <w:bCs w:val="0"/>
        </w:rPr>
      </w:r>
      <w:r>
        <w:rPr/>
        <w:t>（</w:t>
      </w:r>
      <w:r>
        <w:rPr>
          <w:rFonts w:ascii="Times New Roman" w:hAnsi="Times New Roman" w:cs="Times New Roman" w:eastAsia="Times New Roman" w:hint="default"/>
        </w:rPr>
        <w:t>5</w:t>
      </w:r>
      <w:r>
        <w:rPr/>
        <w:t>）与合营企业投资相关的未确认承诺</w:t>
      </w:r>
      <w:r>
        <w:rPr>
          <w:b w:val="0"/>
          <w:bCs w:val="0"/>
        </w:rPr>
      </w:r>
    </w:p>
    <w:p>
      <w:pPr>
        <w:spacing w:line="240" w:lineRule="auto" w:before="7"/>
        <w:rPr>
          <w:rFonts w:ascii="宋体" w:hAnsi="宋体" w:cs="宋体" w:eastAsia="宋体" w:hint="default"/>
          <w:b/>
          <w:bCs/>
          <w:sz w:val="20"/>
          <w:szCs w:val="20"/>
        </w:rPr>
      </w:pPr>
    </w:p>
    <w:p>
      <w:pPr>
        <w:pStyle w:val="Heading4"/>
        <w:spacing w:line="240" w:lineRule="auto"/>
        <w:ind w:right="0"/>
        <w:jc w:val="left"/>
        <w:rPr>
          <w:b w:val="0"/>
          <w:bCs w:val="0"/>
        </w:rPr>
      </w:pPr>
      <w:bookmarkStart w:name="（6）与合营企业或联营企业投资相关的或有负债" w:id="406"/>
      <w:bookmarkEnd w:id="406"/>
      <w:r>
        <w:rPr>
          <w:b w:val="0"/>
          <w:bCs w:val="0"/>
        </w:rPr>
      </w:r>
      <w:r>
        <w:rPr/>
        <w:t>（</w:t>
      </w:r>
      <w:r>
        <w:rPr>
          <w:rFonts w:ascii="Times New Roman" w:hAnsi="Times New Roman" w:cs="Times New Roman" w:eastAsia="Times New Roman" w:hint="default"/>
        </w:rPr>
        <w:t>6</w:t>
      </w:r>
      <w:r>
        <w:rPr/>
        <w:t>）与合营企业或联营企业投资相关的或有负债</w:t>
      </w:r>
      <w:r>
        <w:rPr>
          <w:b w:val="0"/>
          <w:bCs w:val="0"/>
        </w:rPr>
      </w:r>
    </w:p>
    <w:p>
      <w:pPr>
        <w:spacing w:line="240" w:lineRule="auto" w:before="12"/>
        <w:rPr>
          <w:rFonts w:ascii="宋体" w:hAnsi="宋体" w:cs="宋体" w:eastAsia="宋体" w:hint="default"/>
          <w:b/>
          <w:bCs/>
          <w:sz w:val="25"/>
          <w:szCs w:val="25"/>
        </w:rPr>
      </w:pPr>
    </w:p>
    <w:p>
      <w:pPr>
        <w:pStyle w:val="Heading2"/>
        <w:spacing w:line="240" w:lineRule="auto"/>
        <w:ind w:right="0"/>
        <w:jc w:val="left"/>
      </w:pPr>
      <w:bookmarkStart w:name="十、与金融工具相关的风险" w:id="407"/>
      <w:bookmarkEnd w:id="407"/>
      <w:r>
        <w:rPr/>
      </w:r>
      <w:r>
        <w:rPr/>
        <w:t>十、与金融工具相关的风险</w:t>
      </w:r>
    </w:p>
    <w:p>
      <w:pPr>
        <w:spacing w:after="0" w:line="240" w:lineRule="auto"/>
        <w:jc w:val="left"/>
        <w:sectPr>
          <w:pgSz w:w="11910" w:h="16840"/>
          <w:pgMar w:header="877" w:footer="979" w:top="1100" w:bottom="1160" w:left="0" w:right="0"/>
        </w:sectPr>
      </w:pPr>
    </w:p>
    <w:p>
      <w:pPr>
        <w:spacing w:line="240" w:lineRule="auto" w:before="8"/>
        <w:rPr>
          <w:rFonts w:ascii="微软雅黑" w:hAnsi="微软雅黑" w:cs="微软雅黑" w:eastAsia="微软雅黑" w:hint="default"/>
          <w:sz w:val="14"/>
          <w:szCs w:val="14"/>
        </w:rPr>
      </w:pPr>
    </w:p>
    <w:p>
      <w:pPr>
        <w:pStyle w:val="BodyText"/>
        <w:spacing w:line="297" w:lineRule="auto" w:before="35"/>
        <w:ind w:left="1134" w:right="1017" w:firstLine="420"/>
        <w:jc w:val="left"/>
      </w:pPr>
      <w:r>
        <w:rPr>
          <w:spacing w:val="-3"/>
        </w:rPr>
        <w:t>本集团的主要金融工具包括货币资金、应收账款、应收票据、其他应收款、一年内到期的非流动资产、</w:t>
      </w:r>
      <w:r>
        <w:rPr/>
        <w:t> 其他流动资产、长期应收款、可供出售金融资产、应付账款、应付股利、其他应付款、短期借款、以公允 价值计量且其变动计入当期损益的金融负债、其他流动负债、长期借款、长期应付款及一年内到期的非流 动负债。各项金融工具的详细情况已于相关附注内披露。与这些金融工具有关的风险，以及本集团为降低 这些风险所采取的风险管理政策如下所述。本集团管理层对这些风险敞口进行管理和监控以确保将上述风 险控制在限定的范围之内。</w:t>
      </w:r>
    </w:p>
    <w:p>
      <w:pPr>
        <w:pStyle w:val="BodyText"/>
        <w:spacing w:line="558" w:lineRule="exact" w:before="33"/>
        <w:ind w:right="0"/>
        <w:jc w:val="left"/>
      </w:pPr>
      <w:r>
        <w:rPr>
          <w:rFonts w:ascii="Times New Roman" w:hAnsi="Times New Roman" w:cs="Times New Roman" w:eastAsia="Times New Roman" w:hint="default"/>
        </w:rPr>
        <w:t>1</w:t>
      </w:r>
      <w:r>
        <w:rPr/>
        <w:t>、风险管理目标和政策 </w:t>
      </w:r>
      <w:r>
        <w:rPr>
          <w:spacing w:val="-1"/>
        </w:rPr>
        <w:t>本集团从事风险管理的目标是在风险和收益之间取得适当的平衡，力求降低金融风险对本集团财务业</w:t>
      </w:r>
    </w:p>
    <w:p>
      <w:pPr>
        <w:pStyle w:val="BodyText"/>
        <w:spacing w:line="259" w:lineRule="exact"/>
        <w:ind w:left="1134" w:right="0"/>
        <w:jc w:val="both"/>
      </w:pPr>
      <w:r>
        <w:rPr/>
        <w:t>绩的不利影响。基于该风险管理目标，本集团已制定风险管理政策以辨别和分析本集团所面临的风险，设</w:t>
      </w:r>
    </w:p>
    <w:p>
      <w:pPr>
        <w:pStyle w:val="BodyText"/>
        <w:spacing w:line="297" w:lineRule="auto" w:before="66"/>
        <w:ind w:left="1134" w:right="1131"/>
        <w:jc w:val="both"/>
      </w:pPr>
      <w:r>
        <w:rPr>
          <w:spacing w:val="-1"/>
        </w:rPr>
        <w:t>定适当的风险可接受水平并设计相应的内部控制程序，以监控本集团的风险水平。本集团会定期审阅这些</w:t>
      </w:r>
      <w:r>
        <w:rPr>
          <w:spacing w:val="-81"/>
        </w:rPr>
        <w:t> </w:t>
      </w:r>
      <w:r>
        <w:rPr>
          <w:spacing w:val="-81"/>
        </w:rPr>
      </w:r>
      <w:r>
        <w:rPr>
          <w:spacing w:val="-1"/>
        </w:rPr>
        <w:t>风险管理政策及有关内部控制系统，以适应市场情况或本集团经营活动的改变。本集团的内部审计部门也</w:t>
      </w:r>
      <w:r>
        <w:rPr>
          <w:spacing w:val="-81"/>
        </w:rPr>
        <w:t> </w:t>
      </w:r>
      <w:r>
        <w:rPr>
          <w:spacing w:val="-81"/>
        </w:rPr>
      </w:r>
      <w:r>
        <w:rPr/>
        <w:t>定期或随机检查内部控制系统的执行是否符合风险管理政策。</w:t>
      </w:r>
    </w:p>
    <w:p>
      <w:pPr>
        <w:spacing w:line="240" w:lineRule="auto" w:before="10"/>
        <w:rPr>
          <w:rFonts w:ascii="宋体" w:hAnsi="宋体" w:cs="宋体" w:eastAsia="宋体" w:hint="default"/>
          <w:sz w:val="17"/>
          <w:szCs w:val="17"/>
        </w:rPr>
      </w:pPr>
    </w:p>
    <w:p>
      <w:pPr>
        <w:pStyle w:val="BodyText"/>
        <w:spacing w:line="297" w:lineRule="auto"/>
        <w:ind w:left="1134" w:right="1132" w:firstLine="420"/>
        <w:jc w:val="both"/>
      </w:pPr>
      <w:r>
        <w:rPr>
          <w:spacing w:val="-1"/>
        </w:rPr>
        <w:t>本集团的金融工具导致的主要风险是信用风险、流动性风险、市场风险（包括利率风险、汇率风险和</w:t>
      </w:r>
      <w:r>
        <w:rPr/>
        <w:t> 商品价格风险</w:t>
      </w:r>
      <w:r>
        <w:rPr>
          <w:rFonts w:ascii="Times New Roman" w:hAnsi="Times New Roman" w:cs="Times New Roman" w:eastAsia="Times New Roman" w:hint="default"/>
        </w:rPr>
        <w:t>/</w:t>
      </w:r>
      <w:r>
        <w:rPr/>
        <w:t>权益工具价格风险）。</w:t>
      </w:r>
    </w:p>
    <w:p>
      <w:pPr>
        <w:spacing w:line="240" w:lineRule="auto" w:before="2"/>
        <w:rPr>
          <w:rFonts w:ascii="宋体" w:hAnsi="宋体" w:cs="宋体" w:eastAsia="宋体" w:hint="default"/>
          <w:sz w:val="16"/>
          <w:szCs w:val="16"/>
        </w:rPr>
      </w:pPr>
    </w:p>
    <w:p>
      <w:pPr>
        <w:pStyle w:val="BodyText"/>
        <w:spacing w:line="297" w:lineRule="auto"/>
        <w:ind w:left="1133" w:right="1131" w:firstLine="420"/>
        <w:jc w:val="both"/>
      </w:pPr>
      <w:r>
        <w:rPr>
          <w:spacing w:val="-1"/>
        </w:rPr>
        <w:t>董事会负责规划并建立本集团的风险管理架构，指定本集团的风险管理政策和相关指引并监督风险管</w:t>
      </w:r>
      <w:r>
        <w:rPr/>
        <w:t> </w:t>
      </w:r>
      <w:r>
        <w:rPr>
          <w:spacing w:val="-1"/>
        </w:rPr>
        <w:t>理措施的执行情况。本集团已制定风险管理政策以识别和分析本集团所面临的风险，这些风险管理政策对</w:t>
      </w:r>
      <w:r>
        <w:rPr>
          <w:spacing w:val="-81"/>
        </w:rPr>
        <w:t> </w:t>
      </w:r>
      <w:r>
        <w:rPr>
          <w:spacing w:val="-81"/>
        </w:rPr>
      </w:r>
      <w:r>
        <w:rPr>
          <w:spacing w:val="-1"/>
        </w:rPr>
        <w:t>特定风险进行了明确规定，涵盖了信用风险、流动性风险和市场风险管理等诸多方面。本集团定期评估市</w:t>
      </w:r>
      <w:r>
        <w:rPr>
          <w:spacing w:val="-83"/>
        </w:rPr>
        <w:t> </w:t>
      </w:r>
      <w:r>
        <w:rPr>
          <w:spacing w:val="-83"/>
        </w:rPr>
      </w:r>
      <w:r>
        <w:rPr>
          <w:spacing w:val="-1"/>
        </w:rPr>
        <w:t>场环境及本集团经营活动的变化以决定是否对风险管理政策及系统进行更新。本集团的风险管理由风险管</w:t>
      </w:r>
      <w:r>
        <w:rPr>
          <w:spacing w:val="-81"/>
        </w:rPr>
        <w:t> </w:t>
      </w:r>
      <w:r>
        <w:rPr>
          <w:spacing w:val="-81"/>
        </w:rPr>
      </w:r>
      <w:r>
        <w:rPr>
          <w:spacing w:val="-1"/>
        </w:rPr>
        <w:t>理委员会按照董事会批准的政策开展。风险管理委员会通过与本集团其他业务部门的紧密合作来识别、评</w:t>
      </w:r>
      <w:r>
        <w:rPr>
          <w:spacing w:val="-81"/>
        </w:rPr>
        <w:t> </w:t>
      </w:r>
      <w:r>
        <w:rPr>
          <w:spacing w:val="-81"/>
        </w:rPr>
      </w:r>
      <w:r>
        <w:rPr>
          <w:spacing w:val="-1"/>
        </w:rPr>
        <w:t>价和规避相关风险。本集团内部审计部门就风险管理控制及程序进行定期的审核，并将审核结果上报本集</w:t>
      </w:r>
      <w:r>
        <w:rPr>
          <w:spacing w:val="-81"/>
        </w:rPr>
        <w:t> </w:t>
      </w:r>
      <w:r>
        <w:rPr>
          <w:spacing w:val="-81"/>
        </w:rPr>
      </w:r>
      <w:r>
        <w:rPr/>
        <w:t>团的审计委员会。</w:t>
      </w:r>
    </w:p>
    <w:p>
      <w:pPr>
        <w:spacing w:line="240" w:lineRule="auto" w:before="12"/>
        <w:rPr>
          <w:rFonts w:ascii="宋体" w:hAnsi="宋体" w:cs="宋体" w:eastAsia="宋体" w:hint="default"/>
          <w:sz w:val="17"/>
          <w:szCs w:val="17"/>
        </w:rPr>
      </w:pPr>
    </w:p>
    <w:p>
      <w:pPr>
        <w:pStyle w:val="BodyText"/>
        <w:spacing w:line="297" w:lineRule="auto"/>
        <w:ind w:left="1133" w:right="1132" w:firstLine="420"/>
        <w:jc w:val="both"/>
      </w:pPr>
      <w:r>
        <w:rPr>
          <w:spacing w:val="-1"/>
        </w:rPr>
        <w:t>本集团通过适当的多样化投资及业务组合来分散金融工具风险，并通过制定相应的风险管理政策减少</w:t>
      </w:r>
      <w:r>
        <w:rPr/>
        <w:t> 集中于任何单一行业、特定地区或特定交易对手方的风险。</w:t>
      </w:r>
    </w:p>
    <w:p>
      <w:pPr>
        <w:spacing w:line="240" w:lineRule="auto" w:before="10"/>
        <w:rPr>
          <w:rFonts w:ascii="宋体" w:hAnsi="宋体" w:cs="宋体" w:eastAsia="宋体" w:hint="default"/>
          <w:sz w:val="17"/>
          <w:szCs w:val="17"/>
        </w:rPr>
      </w:pPr>
    </w:p>
    <w:p>
      <w:pPr>
        <w:pStyle w:val="BodyText"/>
        <w:spacing w:line="460" w:lineRule="auto"/>
        <w:ind w:right="2772"/>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w:t>
      </w:r>
    </w:p>
    <w:p>
      <w:pPr>
        <w:pStyle w:val="BodyText"/>
        <w:spacing w:line="240" w:lineRule="auto" w:before="91"/>
        <w:ind w:right="0"/>
        <w:jc w:val="left"/>
      </w:pPr>
      <w:r>
        <w:rPr>
          <w:spacing w:val="-3"/>
        </w:rPr>
        <w:t>本集团对信用风险按组合分类进行管理。信用风险主要产生于银行存款、衍生金融工具和应收款项等。</w:t>
      </w:r>
    </w:p>
    <w:p>
      <w:pPr>
        <w:spacing w:line="240" w:lineRule="auto" w:before="8"/>
        <w:rPr>
          <w:rFonts w:ascii="宋体" w:hAnsi="宋体" w:cs="宋体" w:eastAsia="宋体" w:hint="default"/>
          <w:sz w:val="21"/>
          <w:szCs w:val="21"/>
        </w:rPr>
      </w:pPr>
    </w:p>
    <w:p>
      <w:pPr>
        <w:pStyle w:val="BodyText"/>
        <w:spacing w:line="297" w:lineRule="auto"/>
        <w:ind w:left="1134" w:right="1132" w:firstLine="420"/>
        <w:jc w:val="both"/>
      </w:pPr>
      <w:r>
        <w:rPr>
          <w:spacing w:val="-1"/>
        </w:rPr>
        <w:t>本集团银行存款主要存放于国有银行和其它大中型上市银行，本集团预期银行存款不存在重大的信用</w:t>
      </w:r>
      <w:r>
        <w:rPr/>
        <w:t> 风险。</w:t>
      </w:r>
    </w:p>
    <w:p>
      <w:pPr>
        <w:spacing w:line="240" w:lineRule="auto" w:before="10"/>
        <w:rPr>
          <w:rFonts w:ascii="宋体" w:hAnsi="宋体" w:cs="宋体" w:eastAsia="宋体" w:hint="default"/>
          <w:sz w:val="17"/>
          <w:szCs w:val="17"/>
        </w:rPr>
      </w:pPr>
    </w:p>
    <w:p>
      <w:pPr>
        <w:pStyle w:val="BodyText"/>
        <w:spacing w:line="297" w:lineRule="auto"/>
        <w:ind w:left="1134" w:right="1131" w:firstLine="420"/>
        <w:jc w:val="both"/>
      </w:pPr>
      <w:r>
        <w:rPr>
          <w:spacing w:val="-1"/>
        </w:rPr>
        <w:t>对于应收款项，本集团设定相关政策以控制信用风险敞口。本集团基于对债务人的财务状况、外部评</w:t>
      </w:r>
      <w:r>
        <w:rPr/>
        <w:t> </w:t>
      </w:r>
      <w:r>
        <w:rPr>
          <w:spacing w:val="-1"/>
        </w:rPr>
        <w:t>级、从第三方获取担保的可能性、信用记录及其它因素诸如目前市场状况等评估债务人的信用资质并设置</w:t>
      </w:r>
      <w:r>
        <w:rPr>
          <w:spacing w:val="-81"/>
        </w:rPr>
        <w:t> </w:t>
      </w:r>
      <w:r>
        <w:rPr>
          <w:spacing w:val="-81"/>
        </w:rPr>
      </w:r>
      <w:r>
        <w:rPr>
          <w:spacing w:val="-1"/>
        </w:rPr>
        <w:t>相应欠款额度与信用期限。本集团已采取政策只与信用良好的交易对手方合作并在有必要时获取足够的抵</w:t>
      </w:r>
      <w:r>
        <w:rPr>
          <w:spacing w:val="-81"/>
        </w:rPr>
        <w:t> </w:t>
      </w:r>
      <w:r>
        <w:rPr>
          <w:spacing w:val="-81"/>
        </w:rPr>
      </w:r>
      <w:r>
        <w:rPr>
          <w:spacing w:val="-1"/>
        </w:rPr>
        <w:t>押品，以此缓解因交易对手方未能履行合同义务而产生财务损失的风险。本集团会定期对债务人信用记录</w:t>
      </w:r>
      <w:r>
        <w:rPr>
          <w:spacing w:val="-81"/>
        </w:rPr>
        <w:t> </w:t>
      </w:r>
      <w:r>
        <w:rPr>
          <w:spacing w:val="-81"/>
        </w:rPr>
      </w:r>
      <w:r>
        <w:rPr>
          <w:spacing w:val="-1"/>
        </w:rPr>
        <w:t>进行监控，对于信用记录不良的债务人，本集团会采用书面催款、缩短信用期或取消信用期等方式，以确</w:t>
      </w:r>
      <w:r>
        <w:rPr>
          <w:spacing w:val="-86"/>
        </w:rPr>
        <w:t> </w:t>
      </w:r>
      <w:r>
        <w:rPr>
          <w:spacing w:val="-86"/>
        </w:rPr>
      </w:r>
      <w:r>
        <w:rPr/>
        <w:t>保本集团的整体信用风险在可控的范围内。</w:t>
      </w:r>
    </w:p>
    <w:p>
      <w:pPr>
        <w:spacing w:after="0" w:line="297"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97" w:lineRule="auto" w:before="35"/>
        <w:ind w:left="1134" w:right="1132" w:firstLine="420"/>
        <w:jc w:val="both"/>
      </w:pPr>
      <w:r>
        <w:rPr>
          <w:spacing w:val="-1"/>
        </w:rPr>
        <w:t>本集团应收账款的债务人为分布于不同行业和地区的客户。本集团持续对应收账款的财务状况实施信</w:t>
      </w:r>
      <w:r>
        <w:rPr/>
        <w:t> 用评估，并在适当时购买信用担保保险。</w:t>
      </w:r>
    </w:p>
    <w:p>
      <w:pPr>
        <w:spacing w:line="240" w:lineRule="auto" w:before="10"/>
        <w:rPr>
          <w:rFonts w:ascii="宋体" w:hAnsi="宋体" w:cs="宋体" w:eastAsia="宋体" w:hint="default"/>
          <w:sz w:val="17"/>
          <w:szCs w:val="17"/>
        </w:rPr>
      </w:pPr>
    </w:p>
    <w:p>
      <w:pPr>
        <w:pStyle w:val="BodyText"/>
        <w:spacing w:line="297" w:lineRule="auto"/>
        <w:ind w:left="1134" w:right="1132" w:firstLine="420"/>
        <w:jc w:val="both"/>
      </w:pPr>
      <w:r>
        <w:rPr>
          <w:spacing w:val="-1"/>
        </w:rPr>
        <w:t>本集团所承受的最大信用风险敞口为资产负债表中每项金融资产的账面金额。本集团没有提供任何其</w:t>
      </w:r>
      <w:r>
        <w:rPr/>
        <w:t> 他可能令本集团承受信用风险的担保。</w:t>
      </w:r>
    </w:p>
    <w:p>
      <w:pPr>
        <w:spacing w:line="240" w:lineRule="auto" w:before="10"/>
        <w:rPr>
          <w:rFonts w:ascii="宋体" w:hAnsi="宋体" w:cs="宋体" w:eastAsia="宋体" w:hint="default"/>
          <w:sz w:val="17"/>
          <w:szCs w:val="17"/>
        </w:rPr>
      </w:pPr>
    </w:p>
    <w:p>
      <w:pPr>
        <w:pStyle w:val="BodyText"/>
        <w:spacing w:line="240" w:lineRule="auto"/>
        <w:ind w:right="0"/>
        <w:jc w:val="left"/>
      </w:pPr>
      <w:r>
        <w:rPr>
          <w:spacing w:val="4"/>
        </w:rPr>
        <w:t>本集团应收账款中，欠款金额前五大客户的应收账款占本集团应收账款总额的 </w:t>
      </w:r>
      <w:r>
        <w:rPr>
          <w:rFonts w:ascii="Times New Roman" w:hAnsi="Times New Roman" w:cs="Times New Roman" w:eastAsia="Times New Roman" w:hint="default"/>
        </w:rPr>
        <w:t>34.15%</w:t>
      </w:r>
      <w:r>
        <w:rPr/>
        <w:t>（</w:t>
      </w:r>
      <w:r>
        <w:rPr>
          <w:rFonts w:ascii="Times New Roman" w:hAnsi="Times New Roman" w:cs="Times New Roman" w:eastAsia="Times New Roman" w:hint="default"/>
        </w:rPr>
        <w:t>2016 </w:t>
      </w:r>
      <w:r>
        <w:rPr>
          <w:rFonts w:ascii="Times New Roman" w:hAnsi="Times New Roman" w:cs="Times New Roman" w:eastAsia="Times New Roman" w:hint="default"/>
          <w:spacing w:val="5"/>
        </w:rPr>
        <w:t> </w:t>
      </w:r>
      <w:r>
        <w:rPr/>
        <w:t>年：</w:t>
      </w:r>
    </w:p>
    <w:p>
      <w:pPr>
        <w:pStyle w:val="BodyText"/>
        <w:spacing w:line="240" w:lineRule="auto" w:before="50"/>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34.18%</w:t>
      </w:r>
      <w:r>
        <w:rPr/>
        <w:t>）；本集团其他应收款中，欠款金额前五大公司的其他应收款占本集团其他应收款总额的</w:t>
      </w:r>
      <w:r>
        <w:rPr>
          <w:spacing w:val="38"/>
        </w:rPr>
        <w:t> </w:t>
      </w:r>
      <w:r>
        <w:rPr>
          <w:rFonts w:ascii="Times New Roman" w:hAnsi="Times New Roman" w:cs="Times New Roman" w:eastAsia="Times New Roman" w:hint="default"/>
        </w:rPr>
        <w:t>60.85%</w:t>
      </w:r>
    </w:p>
    <w:p>
      <w:pPr>
        <w:pStyle w:val="BodyText"/>
        <w:spacing w:line="240" w:lineRule="auto" w:before="49"/>
        <w:ind w:left="1134" w:right="0"/>
        <w:jc w:val="left"/>
      </w:pP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58.76%</w:t>
      </w:r>
      <w:r>
        <w:rPr/>
        <w:t>）。</w:t>
      </w:r>
    </w:p>
    <w:p>
      <w:pPr>
        <w:pStyle w:val="BodyText"/>
        <w:spacing w:line="540" w:lineRule="atLeast" w:before="19"/>
        <w:ind w:right="0"/>
        <w:jc w:val="left"/>
      </w:pPr>
      <w:r>
        <w:rPr/>
        <w:t>（</w:t>
      </w:r>
      <w:r>
        <w:rPr>
          <w:rFonts w:ascii="Times New Roman" w:hAnsi="Times New Roman" w:cs="Times New Roman" w:eastAsia="Times New Roman" w:hint="default"/>
        </w:rPr>
        <w:t>2</w:t>
      </w:r>
      <w:r>
        <w:rPr/>
        <w:t>）流动性风险 </w:t>
      </w:r>
      <w:r>
        <w:rPr>
          <w:spacing w:val="3"/>
        </w:rPr>
        <w:t>流动性风险，是指本集团在履行以交付现金或其他金融资产的方式结算的义务时发生资金短缺的风</w:t>
      </w:r>
    </w:p>
    <w:p>
      <w:pPr>
        <w:pStyle w:val="BodyText"/>
        <w:spacing w:line="240" w:lineRule="auto" w:before="66"/>
        <w:ind w:left="1134" w:right="0"/>
        <w:jc w:val="left"/>
      </w:pPr>
      <w:r>
        <w:rPr/>
        <w:t>险。</w:t>
      </w:r>
    </w:p>
    <w:p>
      <w:pPr>
        <w:spacing w:line="240" w:lineRule="auto" w:before="8"/>
        <w:rPr>
          <w:rFonts w:ascii="宋体" w:hAnsi="宋体" w:cs="宋体" w:eastAsia="宋体" w:hint="default"/>
          <w:sz w:val="21"/>
          <w:szCs w:val="21"/>
        </w:rPr>
      </w:pPr>
    </w:p>
    <w:p>
      <w:pPr>
        <w:pStyle w:val="BodyText"/>
        <w:spacing w:line="297" w:lineRule="auto"/>
        <w:ind w:left="1134" w:right="1023" w:firstLine="420"/>
        <w:jc w:val="left"/>
      </w:pPr>
      <w:r>
        <w:rPr/>
        <w:t>管理流动风险时，本集团保持管理层认为充分的现金及现金等价物并对其进行监控，以满足本集团经 </w:t>
      </w:r>
      <w:r>
        <w:rPr>
          <w:spacing w:val="-3"/>
        </w:rPr>
        <w:t>营需要，并降低现金流量波动的影响。本集团管理层对银行借款的使用情况进行监控并确保遵守借款协议。</w:t>
      </w:r>
      <w:r>
        <w:rPr>
          <w:spacing w:val="-92"/>
        </w:rPr>
        <w:t> </w:t>
      </w:r>
      <w:r>
        <w:rPr>
          <w:spacing w:val="-92"/>
        </w:rPr>
      </w:r>
      <w:r>
        <w:rPr/>
        <w:t>同时从主要金融机构获得提供足够备用资金的承诺，以满足短期和长期的资金需求。</w:t>
      </w:r>
    </w:p>
    <w:p>
      <w:pPr>
        <w:spacing w:line="240" w:lineRule="auto" w:before="10"/>
        <w:rPr>
          <w:rFonts w:ascii="宋体" w:hAnsi="宋体" w:cs="宋体" w:eastAsia="宋体" w:hint="default"/>
          <w:sz w:val="17"/>
          <w:szCs w:val="17"/>
        </w:rPr>
      </w:pPr>
    </w:p>
    <w:p>
      <w:pPr>
        <w:pStyle w:val="BodyText"/>
        <w:spacing w:line="240" w:lineRule="auto"/>
        <w:ind w:left="1553" w:right="0"/>
        <w:jc w:val="left"/>
      </w:pPr>
      <w:r>
        <w:rPr/>
        <w:t>本集团通过经营业务产生的资金及银行及其他借款来筹措营运资金。</w:t>
      </w:r>
    </w:p>
    <w:p>
      <w:pPr>
        <w:pStyle w:val="BodyText"/>
        <w:spacing w:line="540" w:lineRule="atLeast" w:before="34"/>
        <w:ind w:right="1092"/>
        <w:jc w:val="left"/>
      </w:pPr>
      <w:r>
        <w:rPr/>
        <w:t>（</w:t>
      </w:r>
      <w:r>
        <w:rPr>
          <w:rFonts w:ascii="Times New Roman" w:hAnsi="Times New Roman" w:cs="Times New Roman" w:eastAsia="Times New Roman" w:hint="default"/>
        </w:rPr>
        <w:t>3</w:t>
      </w:r>
      <w:r>
        <w:rPr/>
        <w:t>）市场风险 金融工具的市场风险，是指金融工具的公允价值或未来现金流量因市场价格变动而发生波动的风险，</w:t>
      </w:r>
    </w:p>
    <w:p>
      <w:pPr>
        <w:pStyle w:val="BodyText"/>
        <w:spacing w:line="487" w:lineRule="auto" w:before="64"/>
        <w:ind w:right="6762" w:hanging="420"/>
        <w:jc w:val="left"/>
      </w:pPr>
      <w:r>
        <w:rPr/>
        <w:t>包括利率风险、汇率风险和其他价格风险。 利率风险</w:t>
      </w:r>
    </w:p>
    <w:p>
      <w:pPr>
        <w:pStyle w:val="BodyText"/>
        <w:spacing w:line="297" w:lineRule="auto" w:before="67"/>
        <w:ind w:left="1134" w:right="1131" w:firstLine="420"/>
        <w:jc w:val="both"/>
      </w:pPr>
      <w:r>
        <w:rPr>
          <w:spacing w:val="-1"/>
        </w:rPr>
        <w:t>利率风险，是指金融工具的公允价值或未来现金流量因市场利率变动而发生波动的风险。利率风险可</w:t>
      </w:r>
      <w:r>
        <w:rPr/>
        <w:t> 源于已确认的计息金融工具和未确认的金融工具（如某些贷款承诺）。</w:t>
      </w:r>
    </w:p>
    <w:p>
      <w:pPr>
        <w:spacing w:line="240" w:lineRule="auto" w:before="10"/>
        <w:rPr>
          <w:rFonts w:ascii="宋体" w:hAnsi="宋体" w:cs="宋体" w:eastAsia="宋体" w:hint="default"/>
          <w:sz w:val="17"/>
          <w:szCs w:val="17"/>
        </w:rPr>
      </w:pPr>
    </w:p>
    <w:p>
      <w:pPr>
        <w:pStyle w:val="BodyText"/>
        <w:spacing w:line="297" w:lineRule="auto"/>
        <w:ind w:left="1133" w:right="1130" w:firstLine="420"/>
        <w:jc w:val="both"/>
      </w:pPr>
      <w:r>
        <w:rPr>
          <w:spacing w:val="-1"/>
        </w:rPr>
        <w:t>本集团的利率风险主要产生于长期银行借款及应付债券等长期带息债务。浮动利率的金融负债使本集</w:t>
      </w:r>
      <w:r>
        <w:rPr/>
        <w:t> </w:t>
      </w:r>
      <w:r>
        <w:rPr>
          <w:spacing w:val="-1"/>
        </w:rPr>
        <w:t>团面临现金流量利率风险，固定利率的金融负债使本集团面临公允价值利率风险。本集团根据当时的市场</w:t>
      </w:r>
      <w:r>
        <w:rPr>
          <w:spacing w:val="-80"/>
        </w:rPr>
        <w:t> </w:t>
      </w:r>
      <w:r>
        <w:rPr>
          <w:spacing w:val="-80"/>
        </w:rPr>
      </w:r>
      <w:r>
        <w:rPr>
          <w:spacing w:val="-1"/>
        </w:rPr>
        <w:t>环境来决定固定利率及浮动利率合同的相对比例，并通过定期审阅与监察维持适当的固定和浮动利率工具</w:t>
      </w:r>
      <w:r>
        <w:rPr>
          <w:spacing w:val="-81"/>
        </w:rPr>
        <w:t> </w:t>
      </w:r>
      <w:r>
        <w:rPr>
          <w:spacing w:val="-81"/>
        </w:rPr>
      </w:r>
      <w:r>
        <w:rPr/>
        <w:t>组合。</w:t>
      </w:r>
    </w:p>
    <w:p>
      <w:pPr>
        <w:spacing w:line="240" w:lineRule="auto" w:before="12"/>
        <w:rPr>
          <w:rFonts w:ascii="宋体" w:hAnsi="宋体" w:cs="宋体" w:eastAsia="宋体" w:hint="default"/>
          <w:sz w:val="17"/>
          <w:szCs w:val="17"/>
        </w:rPr>
      </w:pPr>
    </w:p>
    <w:p>
      <w:pPr>
        <w:pStyle w:val="BodyText"/>
        <w:spacing w:line="297" w:lineRule="auto"/>
        <w:ind w:left="1133" w:right="1131" w:firstLine="420"/>
        <w:jc w:val="both"/>
      </w:pPr>
      <w:r>
        <w:rPr>
          <w:spacing w:val="-1"/>
        </w:rPr>
        <w:t>本集团密切关注利率变动对本集团利率风险的影响。本集团目前并未采取利率对冲政策。但管理层负</w:t>
      </w:r>
      <w:r>
        <w:rPr/>
        <w:t> </w:t>
      </w:r>
      <w:r>
        <w:rPr>
          <w:spacing w:val="-1"/>
        </w:rPr>
        <w:t>责监控利率风险，并将于需要时考虑对冲重大利率风险。由于定期存款为短期存款，故银行存款的公允价</w:t>
      </w:r>
      <w:r>
        <w:rPr>
          <w:spacing w:val="-83"/>
        </w:rPr>
        <w:t> </w:t>
      </w:r>
      <w:r>
        <w:rPr>
          <w:spacing w:val="-83"/>
        </w:rPr>
      </w:r>
      <w:r>
        <w:rPr/>
        <w:t>值利率风险并不重大。</w:t>
      </w:r>
    </w:p>
    <w:p>
      <w:pPr>
        <w:spacing w:line="240" w:lineRule="auto" w:before="10"/>
        <w:rPr>
          <w:rFonts w:ascii="宋体" w:hAnsi="宋体" w:cs="宋体" w:eastAsia="宋体" w:hint="default"/>
          <w:sz w:val="17"/>
          <w:szCs w:val="17"/>
        </w:rPr>
      </w:pPr>
    </w:p>
    <w:p>
      <w:pPr>
        <w:pStyle w:val="BodyText"/>
        <w:spacing w:line="240" w:lineRule="auto"/>
        <w:ind w:left="1553" w:right="0"/>
        <w:jc w:val="left"/>
      </w:pPr>
      <w:r>
        <w:rPr/>
        <w:t>本集团持有的计息金融工具如下（单位：人民币万元）：</w:t>
      </w: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978"/>
        <w:gridCol w:w="2939"/>
        <w:gridCol w:w="2939"/>
      </w:tblGrid>
      <w:tr>
        <w:trPr>
          <w:trHeight w:val="427" w:hRule="exact"/>
        </w:trPr>
        <w:tc>
          <w:tcPr>
            <w:tcW w:w="3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27" w:hRule="exact"/>
        </w:trPr>
        <w:tc>
          <w:tcPr>
            <w:tcW w:w="39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2939"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702.71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656.73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978"/>
        <w:gridCol w:w="2939"/>
        <w:gridCol w:w="2939"/>
      </w:tblGrid>
      <w:tr>
        <w:trPr>
          <w:trHeight w:val="427" w:hRule="exact"/>
        </w:trPr>
        <w:tc>
          <w:tcPr>
            <w:tcW w:w="3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27" w:hRule="exact"/>
        </w:trPr>
        <w:tc>
          <w:tcPr>
            <w:tcW w:w="39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其中：长期应付款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684.07</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656.73</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18.64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3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702.71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656.73</w:t>
            </w:r>
          </w:p>
        </w:tc>
      </w:tr>
      <w:tr>
        <w:trPr>
          <w:trHeight w:val="427" w:hRule="exact"/>
        </w:trPr>
        <w:tc>
          <w:tcPr>
            <w:tcW w:w="39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127,460.30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112,671.04</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127,460.30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112,671.04</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83,572.35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34,904.55</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66,654.31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34,904.55</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16,600.64</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317.40</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8" w:hRule="exact"/>
        </w:trPr>
        <w:tc>
          <w:tcPr>
            <w:tcW w:w="39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211,032.65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147,575.59</w:t>
            </w:r>
          </w:p>
        </w:tc>
      </w:tr>
    </w:tbl>
    <w:p>
      <w:pPr>
        <w:spacing w:line="240" w:lineRule="auto" w:before="4"/>
        <w:rPr>
          <w:rFonts w:ascii="宋体" w:hAnsi="宋体" w:cs="宋体" w:eastAsia="宋体" w:hint="default"/>
          <w:sz w:val="11"/>
          <w:szCs w:val="11"/>
        </w:rPr>
      </w:pPr>
    </w:p>
    <w:p>
      <w:pPr>
        <w:pStyle w:val="BodyText"/>
        <w:spacing w:line="297" w:lineRule="auto" w:before="35"/>
        <w:ind w:left="1134" w:right="1130" w:firstLine="420"/>
        <w:jc w:val="both"/>
      </w:pPr>
      <w:r>
        <w:rPr>
          <w:spacing w:val="-1"/>
        </w:rPr>
        <w:t>对于资产负债表日持有的、使本集团面临公允价值利率风险的金融工具，上述敏感性分析中的净利润</w:t>
      </w:r>
      <w:r>
        <w:rPr/>
        <w:t> </w:t>
      </w:r>
      <w:r>
        <w:rPr>
          <w:spacing w:val="-1"/>
        </w:rPr>
        <w:t>及股东权益的影响是假设在资产负债表日利率发生变动，按照新利率对上述金融工具进行重新计量后的影</w:t>
      </w:r>
      <w:r>
        <w:rPr>
          <w:spacing w:val="-81"/>
        </w:rPr>
        <w:t> </w:t>
      </w:r>
      <w:r>
        <w:rPr>
          <w:spacing w:val="-81"/>
        </w:rPr>
      </w:r>
      <w:r>
        <w:rPr>
          <w:spacing w:val="-1"/>
        </w:rPr>
        <w:t>响。对于资产负债表日持有的、使本集团面临现金流量利率风险的浮动利率非衍生工具，上述敏感性分析</w:t>
      </w:r>
      <w:r>
        <w:rPr>
          <w:spacing w:val="-83"/>
        </w:rPr>
        <w:t> </w:t>
      </w:r>
      <w:r>
        <w:rPr>
          <w:spacing w:val="-83"/>
        </w:rPr>
      </w:r>
      <w:r>
        <w:rPr>
          <w:spacing w:val="-1"/>
        </w:rPr>
        <w:t>中的净利润及股东权益的影响是上述利率变动对按年度估算的利息费用或收入的影响。上一年度的分析基</w:t>
      </w:r>
      <w:r>
        <w:rPr>
          <w:spacing w:val="-81"/>
        </w:rPr>
        <w:t> </w:t>
      </w:r>
      <w:r>
        <w:rPr>
          <w:spacing w:val="-81"/>
        </w:rPr>
      </w:r>
      <w:r>
        <w:rPr/>
        <w:t>于同样的假设和方法。</w:t>
      </w:r>
    </w:p>
    <w:p>
      <w:pPr>
        <w:pStyle w:val="BodyText"/>
        <w:spacing w:line="560" w:lineRule="exact" w:before="30"/>
        <w:ind w:left="1553" w:right="1116"/>
        <w:jc w:val="left"/>
      </w:pPr>
      <w:r>
        <w:rPr/>
        <w:t>汇率风险 </w:t>
      </w:r>
      <w:r>
        <w:rPr>
          <w:spacing w:val="-1"/>
        </w:rPr>
        <w:t>汇率风险，是指金融工具的公允价值或未来现金流量因外汇汇率变动而发生波动的风险。汇率风险可</w:t>
      </w:r>
    </w:p>
    <w:p>
      <w:pPr>
        <w:pStyle w:val="BodyText"/>
        <w:spacing w:line="257" w:lineRule="exact"/>
        <w:ind w:left="1133" w:right="0"/>
        <w:jc w:val="left"/>
      </w:pPr>
      <w:r>
        <w:rPr/>
        <w:t>源于以记账本位币之外的外币进行计价的金融工具。</w:t>
      </w:r>
    </w:p>
    <w:p>
      <w:pPr>
        <w:spacing w:line="240" w:lineRule="auto" w:before="10"/>
        <w:rPr>
          <w:rFonts w:ascii="宋体" w:hAnsi="宋体" w:cs="宋体" w:eastAsia="宋体" w:hint="default"/>
          <w:sz w:val="21"/>
          <w:szCs w:val="21"/>
        </w:rPr>
      </w:pPr>
    </w:p>
    <w:p>
      <w:pPr>
        <w:pStyle w:val="BodyText"/>
        <w:spacing w:line="297" w:lineRule="auto"/>
        <w:ind w:left="1133" w:right="1132" w:firstLine="420"/>
        <w:jc w:val="both"/>
      </w:pPr>
      <w:r>
        <w:rPr>
          <w:spacing w:val="-1"/>
        </w:rPr>
        <w:t>本集团的主要经营位于中国境内、日本、香港，国内业务以人民币结算、出口业务主要以美元、日元</w:t>
      </w:r>
      <w:r>
        <w:rPr/>
        <w:t> </w:t>
      </w:r>
      <w:r>
        <w:rPr>
          <w:spacing w:val="-1"/>
        </w:rPr>
        <w:t>结算，境外经营公司以美元、日元结算。但本集团已确认的外币资产和负债及未来的外币交易（外币资产</w:t>
      </w:r>
      <w:r>
        <w:rPr>
          <w:spacing w:val="-84"/>
        </w:rPr>
        <w:t> </w:t>
      </w:r>
      <w:r>
        <w:rPr>
          <w:spacing w:val="-84"/>
        </w:rPr>
      </w:r>
      <w:r>
        <w:rPr/>
        <w:t>和负债及外币交易的计价货币主要为美元、日元）依然存在外汇风险。</w:t>
      </w:r>
    </w:p>
    <w:p>
      <w:pPr>
        <w:spacing w:line="240" w:lineRule="auto" w:before="10"/>
        <w:rPr>
          <w:rFonts w:ascii="宋体" w:hAnsi="宋体" w:cs="宋体" w:eastAsia="宋体" w:hint="default"/>
          <w:sz w:val="17"/>
          <w:szCs w:val="17"/>
        </w:rPr>
      </w:pPr>
    </w:p>
    <w:p>
      <w:pPr>
        <w:pStyle w:val="BodyText"/>
        <w:spacing w:line="297" w:lineRule="auto"/>
        <w:ind w:left="1133" w:right="1133" w:firstLine="420"/>
        <w:jc w:val="both"/>
      </w:pPr>
      <w:r>
        <w:rPr>
          <w:spacing w:val="-1"/>
        </w:rPr>
        <w:t>相关外币资产及外币负债包括：以外币计价的货币资金、应收账款、其他应收款、长期应收款、应付</w:t>
      </w:r>
      <w:r>
        <w:rPr/>
        <w:t> 账款、其他应付款、短期借款、长期借款。</w:t>
      </w:r>
    </w:p>
    <w:p>
      <w:pPr>
        <w:spacing w:line="240" w:lineRule="auto" w:before="10"/>
        <w:rPr>
          <w:rFonts w:ascii="宋体" w:hAnsi="宋体" w:cs="宋体" w:eastAsia="宋体" w:hint="default"/>
          <w:sz w:val="17"/>
          <w:szCs w:val="17"/>
        </w:rPr>
      </w:pPr>
    </w:p>
    <w:p>
      <w:pPr>
        <w:pStyle w:val="BodyText"/>
        <w:spacing w:line="280" w:lineRule="auto"/>
        <w:ind w:left="1133" w:right="1132" w:firstLine="420"/>
        <w:jc w:val="both"/>
      </w:pPr>
      <w:r>
        <w:rPr/>
        <w:t>于</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3"/>
        </w:rPr>
        <w:t>日，本集团持有的外币金融资产和外币金融负债折算成人民币的金额列示如下（单</w:t>
      </w:r>
      <w:r>
        <w:rPr/>
        <w:t> 位：人民币万元）：</w:t>
      </w:r>
    </w:p>
    <w:p>
      <w:pPr>
        <w:spacing w:line="240" w:lineRule="auto" w:before="11"/>
        <w:rPr>
          <w:rFonts w:ascii="宋体" w:hAnsi="宋体" w:cs="宋体" w:eastAsia="宋体" w:hint="default"/>
          <w:sz w:val="22"/>
          <w:szCs w:val="22"/>
        </w:rPr>
      </w:pPr>
    </w:p>
    <w:tbl>
      <w:tblPr>
        <w:tblW w:w="0" w:type="auto"/>
        <w:jc w:val="left"/>
        <w:tblInd w:w="102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412" w:hRule="exact"/>
        </w:trPr>
        <w:tc>
          <w:tcPr>
            <w:tcW w:w="19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外币负债</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外币资产</w:t>
            </w:r>
          </w:p>
        </w:tc>
      </w:tr>
      <w:tr>
        <w:trPr>
          <w:trHeight w:val="391" w:hRule="exact"/>
        </w:trPr>
        <w:tc>
          <w:tcPr>
            <w:tcW w:w="1971" w:type="dxa"/>
            <w:vMerge/>
            <w:tcBorders>
              <w:left w:val="single" w:sz="4" w:space="0" w:color="000000"/>
              <w:bottom w:val="single" w:sz="4" w:space="0" w:color="000000"/>
              <w:right w:val="single" w:sz="4" w:space="0" w:color="000000"/>
            </w:tcBorders>
            <w:shd w:val="clear" w:color="auto" w:fill="D9D9D9"/>
          </w:tcPr>
          <w:p>
            <w:pP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2"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971"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z w:val="18"/>
              </w:rPr>
              <w:t>16,283.47</w:t>
            </w:r>
          </w:p>
        </w:tc>
        <w:tc>
          <w:tcPr>
            <w:tcW w:w="197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7,167.60</w:t>
            </w:r>
          </w:p>
        </w:tc>
        <w:tc>
          <w:tcPr>
            <w:tcW w:w="1971"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z w:val="18"/>
              </w:rPr>
              <w:t>26,106.16</w:t>
            </w:r>
          </w:p>
        </w:tc>
        <w:tc>
          <w:tcPr>
            <w:tcW w:w="197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30,802.36</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50.52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7,017.52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16,329.95</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101.51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13.26</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韩元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653.32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173.40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99"/>
              <w:jc w:val="right"/>
              <w:rPr>
                <w:rFonts w:ascii="Times New Roman" w:hAnsi="Times New Roman" w:cs="Times New Roman" w:eastAsia="Times New Roman" w:hint="default"/>
                <w:sz w:val="18"/>
                <w:szCs w:val="18"/>
              </w:rPr>
            </w:pPr>
            <w:r>
              <w:rPr>
                <w:rFonts w:ascii="Times New Roman"/>
                <w:sz w:val="18"/>
              </w:rPr>
              <w:t>924.22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662.32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8"/>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412" w:hRule="exact"/>
        </w:trPr>
        <w:tc>
          <w:tcPr>
            <w:tcW w:w="197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外币负债</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外币资产</w:t>
            </w:r>
          </w:p>
        </w:tc>
      </w:tr>
      <w:tr>
        <w:trPr>
          <w:trHeight w:val="392" w:hRule="exact"/>
        </w:trPr>
        <w:tc>
          <w:tcPr>
            <w:tcW w:w="1971" w:type="dxa"/>
            <w:vMerge/>
            <w:tcBorders>
              <w:left w:val="single" w:sz="4" w:space="0" w:color="000000"/>
              <w:bottom w:val="single" w:sz="4" w:space="0" w:color="000000"/>
              <w:right w:val="single" w:sz="4" w:space="0" w:color="000000"/>
            </w:tcBorders>
            <w:shd w:val="clear" w:color="auto" w:fill="D9D9D9"/>
          </w:tcPr>
          <w:p>
            <w:pP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2"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971"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z w:val="18"/>
              </w:rPr>
              <w:t>56,393.64</w:t>
            </w:r>
          </w:p>
        </w:tc>
        <w:tc>
          <w:tcPr>
            <w:tcW w:w="197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8,300.52</w:t>
            </w:r>
          </w:p>
        </w:tc>
        <w:tc>
          <w:tcPr>
            <w:tcW w:w="1971"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z w:val="18"/>
              </w:rPr>
              <w:t>36,565.91</w:t>
            </w:r>
          </w:p>
        </w:tc>
        <w:tc>
          <w:tcPr>
            <w:tcW w:w="197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8"/>
                <w:szCs w:val="18"/>
              </w:rPr>
            </w:pPr>
            <w:r>
              <w:rPr>
                <w:rFonts w:ascii="Times New Roman"/>
                <w:sz w:val="18"/>
              </w:rPr>
              <w:t>4,930.49</w:t>
            </w:r>
          </w:p>
        </w:tc>
      </w:tr>
      <w:tr>
        <w:trPr>
          <w:trHeight w:val="426"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新台币</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4.64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z w:val="18"/>
              </w:rPr>
              <w:t>339.43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435.57</w:t>
            </w:r>
          </w:p>
        </w:tc>
      </w:tr>
      <w:tr>
        <w:trPr>
          <w:trHeight w:val="428"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z w:val="18"/>
              </w:rPr>
              <w:t>73,330.43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15,696.68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z w:val="18"/>
              </w:rPr>
              <w:t>71,054.75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53,173.95</w:t>
            </w:r>
          </w:p>
        </w:tc>
      </w:tr>
    </w:tbl>
    <w:p>
      <w:pPr>
        <w:spacing w:line="240" w:lineRule="auto" w:before="4"/>
        <w:rPr>
          <w:rFonts w:ascii="宋体" w:hAnsi="宋体" w:cs="宋体" w:eastAsia="宋体" w:hint="default"/>
          <w:sz w:val="11"/>
          <w:szCs w:val="11"/>
        </w:rPr>
      </w:pPr>
    </w:p>
    <w:p>
      <w:pPr>
        <w:pStyle w:val="BodyText"/>
        <w:spacing w:line="297" w:lineRule="auto" w:before="35"/>
        <w:ind w:left="1134" w:right="0" w:firstLine="420"/>
        <w:jc w:val="left"/>
      </w:pPr>
      <w:r>
        <w:rPr>
          <w:spacing w:val="-1"/>
        </w:rPr>
        <w:t>本集团密切关注汇率变动对本集团汇率风险的影响。本集团目前并未采取任何措施规避汇率风险。但</w:t>
      </w:r>
      <w:r>
        <w:rPr/>
        <w:t> 管理层负责监控汇率风险，并将于需要时考虑对冲重大汇率风险。</w:t>
      </w:r>
    </w:p>
    <w:p>
      <w:pPr>
        <w:pStyle w:val="BodyText"/>
        <w:spacing w:line="560" w:lineRule="exact" w:before="30"/>
        <w:ind w:left="1553" w:right="1116"/>
        <w:jc w:val="left"/>
      </w:pPr>
      <w:r>
        <w:rPr>
          <w:rFonts w:ascii="Times New Roman" w:hAnsi="Times New Roman" w:cs="Times New Roman" w:eastAsia="Times New Roman" w:hint="default"/>
        </w:rPr>
        <w:t>2</w:t>
      </w:r>
      <w:r>
        <w:rPr/>
        <w:t>、资本管理 </w:t>
      </w:r>
      <w:r>
        <w:rPr>
          <w:spacing w:val="-1"/>
        </w:rPr>
        <w:t>本集团资本管理政策的目标是为了保障本集团能够持续经营，从而为股东提供回报，并使其他利益相</w:t>
      </w:r>
    </w:p>
    <w:p>
      <w:pPr>
        <w:pStyle w:val="BodyText"/>
        <w:spacing w:line="257" w:lineRule="exact"/>
        <w:ind w:left="1133" w:right="0"/>
        <w:jc w:val="left"/>
      </w:pPr>
      <w:r>
        <w:rPr/>
        <w:t>关者获益，同时维持最佳的资本结构以降低资本成本。</w:t>
      </w:r>
    </w:p>
    <w:p>
      <w:pPr>
        <w:spacing w:line="240" w:lineRule="auto" w:before="10"/>
        <w:rPr>
          <w:rFonts w:ascii="宋体" w:hAnsi="宋体" w:cs="宋体" w:eastAsia="宋体" w:hint="default"/>
          <w:sz w:val="21"/>
          <w:szCs w:val="21"/>
        </w:rPr>
      </w:pPr>
    </w:p>
    <w:p>
      <w:pPr>
        <w:pStyle w:val="BodyText"/>
        <w:spacing w:line="297" w:lineRule="auto"/>
        <w:ind w:left="1134" w:right="0" w:firstLine="420"/>
        <w:jc w:val="left"/>
      </w:pPr>
      <w:r>
        <w:rPr>
          <w:spacing w:val="-1"/>
        </w:rPr>
        <w:t>为了维持或调整资本结构，本集团可能会调整支付给股东的股利金额、向股东返还资本、发行新股或</w:t>
      </w:r>
      <w:r>
        <w:rPr/>
        <w:t> 出售资产以减低债务。</w:t>
      </w:r>
    </w:p>
    <w:p>
      <w:pPr>
        <w:spacing w:line="240" w:lineRule="auto" w:before="12"/>
        <w:rPr>
          <w:rFonts w:ascii="宋体" w:hAnsi="宋体" w:cs="宋体" w:eastAsia="宋体" w:hint="default"/>
          <w:sz w:val="17"/>
          <w:szCs w:val="17"/>
        </w:rPr>
      </w:pPr>
    </w:p>
    <w:p>
      <w:pPr>
        <w:pStyle w:val="BodyText"/>
        <w:spacing w:line="280" w:lineRule="auto"/>
        <w:ind w:left="1134" w:right="1125" w:firstLine="420"/>
        <w:jc w:val="left"/>
      </w:pPr>
      <w:r>
        <w:rPr>
          <w:spacing w:val="-3"/>
        </w:rPr>
        <w:t>本集团以资产负债率（即总负债除以总资产）为基础对资本结构进行监控。于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8"/>
        </w:rPr>
        <w:t>日，本</w:t>
      </w:r>
      <w:r>
        <w:rPr/>
        <w:t> 集团的资产负债率为</w:t>
      </w:r>
      <w:r>
        <w:rPr>
          <w:spacing w:val="-53"/>
        </w:rPr>
        <w:t> </w:t>
      </w:r>
      <w:r>
        <w:rPr>
          <w:rFonts w:ascii="Times New Roman" w:hAnsi="Times New Roman" w:cs="Times New Roman" w:eastAsia="Times New Roman" w:hint="default"/>
        </w:rPr>
        <w:t>50.83%</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w:t>
      </w:r>
      <w:r>
        <w:rPr>
          <w:rFonts w:ascii="Times New Roman" w:hAnsi="Times New Roman" w:cs="Times New Roman" w:eastAsia="Times New Roman" w:hint="default"/>
        </w:rPr>
        <w:t>41.71%</w:t>
      </w:r>
      <w:r>
        <w:rPr/>
        <w:t>）。</w:t>
      </w:r>
    </w:p>
    <w:p>
      <w:pPr>
        <w:spacing w:line="240" w:lineRule="auto" w:before="12"/>
        <w:rPr>
          <w:rFonts w:ascii="宋体" w:hAnsi="宋体" w:cs="宋体" w:eastAsia="宋体" w:hint="default"/>
          <w:sz w:val="22"/>
          <w:szCs w:val="22"/>
        </w:rPr>
      </w:pPr>
    </w:p>
    <w:p>
      <w:pPr>
        <w:pStyle w:val="Heading2"/>
        <w:spacing w:line="240" w:lineRule="auto"/>
        <w:ind w:left="1133" w:right="0"/>
        <w:jc w:val="left"/>
      </w:pPr>
      <w:bookmarkStart w:name="十一、公允价值的披露" w:id="408"/>
      <w:bookmarkEnd w:id="408"/>
      <w:r>
        <w:rPr/>
      </w:r>
      <w:r>
        <w:rPr/>
        <w:t>十一、公允价值的披露</w:t>
      </w:r>
    </w:p>
    <w:p>
      <w:pPr>
        <w:spacing w:line="240" w:lineRule="auto" w:before="11"/>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以公允价值计量的资产和负债的期末公允价值" w:id="409"/>
      <w:bookmarkEnd w:id="409"/>
      <w:r>
        <w:rPr/>
      </w:r>
      <w:r>
        <w:rPr>
          <w:rFonts w:ascii="Times New Roman" w:hAnsi="Times New Roman" w:cs="Times New Roman" w:eastAsia="Times New Roman" w:hint="default"/>
        </w:rPr>
        <w:t>1</w:t>
      </w:r>
      <w:r>
        <w:rPr>
          <w:rFonts w:ascii="微软雅黑" w:hAnsi="微软雅黑" w:cs="微软雅黑" w:eastAsia="微软雅黑" w:hint="default"/>
        </w:rPr>
        <w:t>、以公允价值计量的资产和负债的期末公允价值</w:t>
      </w:r>
    </w:p>
    <w:p>
      <w:pPr>
        <w:spacing w:line="240" w:lineRule="auto" w:before="1"/>
        <w:rPr>
          <w:rFonts w:ascii="微软雅黑" w:hAnsi="微软雅黑" w:cs="微软雅黑" w:eastAsia="微软雅黑" w:hint="default"/>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052"/>
        <w:gridCol w:w="1893"/>
        <w:gridCol w:w="1969"/>
        <w:gridCol w:w="1971"/>
        <w:gridCol w:w="1970"/>
      </w:tblGrid>
      <w:tr>
        <w:trPr>
          <w:trHeight w:val="387" w:hRule="exact"/>
        </w:trPr>
        <w:tc>
          <w:tcPr>
            <w:tcW w:w="2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673" w:hRule="exact"/>
        </w:trPr>
        <w:tc>
          <w:tcPr>
            <w:tcW w:w="2052" w:type="dxa"/>
            <w:vMerge/>
            <w:tcBorders>
              <w:left w:val="single" w:sz="4" w:space="0" w:color="000000"/>
              <w:bottom w:val="single" w:sz="4" w:space="0" w:color="000000"/>
              <w:right w:val="single" w:sz="4" w:space="0" w:color="000000"/>
            </w:tcBorders>
            <w:shd w:val="clear" w:color="auto" w:fill="D2D2D2"/>
          </w:tcPr>
          <w:p>
            <w:pP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0"/>
              <w:ind w:left="760" w:right="220" w:hanging="540"/>
              <w:jc w:val="left"/>
              <w:rPr>
                <w:rFonts w:ascii="宋体" w:hAnsi="宋体" w:cs="宋体" w:eastAsia="宋体" w:hint="default"/>
                <w:sz w:val="18"/>
                <w:szCs w:val="18"/>
              </w:rPr>
            </w:pPr>
            <w:r>
              <w:rPr>
                <w:rFonts w:ascii="宋体" w:hAnsi="宋体" w:cs="宋体" w:eastAsia="宋体" w:hint="default"/>
                <w:sz w:val="18"/>
                <w:szCs w:val="18"/>
              </w:rPr>
              <w:t>第一层次公允价值 计量</w:t>
            </w:r>
          </w:p>
        </w:tc>
        <w:tc>
          <w:tcPr>
            <w:tcW w:w="1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0"/>
              <w:ind w:left="800" w:right="257" w:hanging="540"/>
              <w:jc w:val="left"/>
              <w:rPr>
                <w:rFonts w:ascii="宋体" w:hAnsi="宋体" w:cs="宋体" w:eastAsia="宋体" w:hint="default"/>
                <w:sz w:val="18"/>
                <w:szCs w:val="18"/>
              </w:rPr>
            </w:pPr>
            <w:r>
              <w:rPr>
                <w:rFonts w:ascii="宋体" w:hAnsi="宋体" w:cs="宋体" w:eastAsia="宋体" w:hint="default"/>
                <w:sz w:val="18"/>
                <w:szCs w:val="18"/>
              </w:rPr>
              <w:t>第二层次公允价值 计量</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40"/>
              <w:ind w:left="800" w:right="258" w:hanging="540"/>
              <w:jc w:val="left"/>
              <w:rPr>
                <w:rFonts w:ascii="宋体" w:hAnsi="宋体" w:cs="宋体" w:eastAsia="宋体" w:hint="default"/>
                <w:sz w:val="18"/>
                <w:szCs w:val="18"/>
              </w:rPr>
            </w:pPr>
            <w:r>
              <w:rPr>
                <w:rFonts w:ascii="宋体" w:hAnsi="宋体" w:cs="宋体" w:eastAsia="宋体" w:hint="default"/>
                <w:sz w:val="18"/>
                <w:szCs w:val="18"/>
              </w:rPr>
              <w:t>第三层次公允价值 计量</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6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37"/>
              <w:jc w:val="left"/>
              <w:rPr>
                <w:rFonts w:ascii="宋体" w:hAnsi="宋体" w:cs="宋体" w:eastAsia="宋体" w:hint="default"/>
                <w:sz w:val="18"/>
                <w:szCs w:val="18"/>
              </w:rPr>
            </w:pPr>
            <w:r>
              <w:rPr>
                <w:rFonts w:ascii="宋体" w:hAnsi="宋体" w:cs="宋体" w:eastAsia="宋体" w:hint="default"/>
                <w:sz w:val="18"/>
                <w:szCs w:val="18"/>
              </w:rPr>
              <w:t>一、持续的公允价值计 量</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834"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37"/>
              <w:jc w:val="both"/>
              <w:rPr>
                <w:rFonts w:ascii="宋体" w:hAnsi="宋体" w:cs="宋体" w:eastAsia="宋体" w:hint="default"/>
                <w:sz w:val="18"/>
                <w:szCs w:val="18"/>
              </w:rPr>
            </w:pPr>
            <w:r>
              <w:rPr>
                <w:rFonts w:ascii="宋体" w:hAnsi="宋体" w:cs="宋体" w:eastAsia="宋体" w:hint="default"/>
                <w:sz w:val="18"/>
                <w:szCs w:val="18"/>
              </w:rPr>
              <w:t>（六）指定为以公允价 值计量且变动计入当期 损益的金融负债</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13,928,616.26</w:t>
            </w:r>
          </w:p>
        </w:tc>
        <w:tc>
          <w:tcPr>
            <w:tcW w:w="196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27,517,255.20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41,445,871.46</w:t>
            </w:r>
          </w:p>
        </w:tc>
      </w:tr>
      <w:tr>
        <w:trPr>
          <w:trHeight w:val="601"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01"/>
              <w:jc w:val="left"/>
              <w:rPr>
                <w:rFonts w:ascii="宋体" w:hAnsi="宋体" w:cs="宋体" w:eastAsia="宋体" w:hint="default"/>
                <w:sz w:val="18"/>
                <w:szCs w:val="18"/>
              </w:rPr>
            </w:pPr>
            <w:r>
              <w:rPr>
                <w:rFonts w:ascii="宋体" w:hAnsi="宋体" w:cs="宋体" w:eastAsia="宋体" w:hint="default"/>
                <w:spacing w:val="-3"/>
                <w:sz w:val="18"/>
                <w:szCs w:val="18"/>
              </w:rPr>
              <w:t>（七）应付职工薪酬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pacing w:val="-81"/>
                <w:sz w:val="18"/>
                <w:szCs w:val="18"/>
              </w:rPr>
              <w:t> </w:t>
            </w:r>
            <w:r>
              <w:rPr>
                <w:rFonts w:ascii="宋体" w:hAnsi="宋体" w:cs="宋体" w:eastAsia="宋体" w:hint="default"/>
                <w:sz w:val="18"/>
                <w:szCs w:val="18"/>
              </w:rPr>
              <w:t>现金结算的股份支付</w:t>
            </w:r>
          </w:p>
        </w:tc>
        <w:tc>
          <w:tcPr>
            <w:tcW w:w="189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6,257,868.90</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6,257,868.90</w:t>
            </w:r>
          </w:p>
        </w:tc>
      </w:tr>
      <w:tr>
        <w:trPr>
          <w:trHeight w:val="6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37"/>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13,928,616.26</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6,257,868.90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27,517,255.20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47,703,740.36</w:t>
            </w:r>
          </w:p>
        </w:tc>
      </w:tr>
      <w:tr>
        <w:trPr>
          <w:trHeight w:val="602"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3" w:right="137"/>
              <w:jc w:val="left"/>
              <w:rPr>
                <w:rFonts w:ascii="宋体" w:hAnsi="宋体" w:cs="宋体" w:eastAsia="宋体" w:hint="default"/>
                <w:sz w:val="18"/>
                <w:szCs w:val="18"/>
              </w:rPr>
            </w:pPr>
            <w:r>
              <w:rPr>
                <w:rFonts w:ascii="宋体" w:hAnsi="宋体" w:cs="宋体" w:eastAsia="宋体" w:hint="default"/>
                <w:sz w:val="18"/>
                <w:szCs w:val="18"/>
              </w:rPr>
              <w:t>二、非持续的公允价值 计量</w:t>
            </w: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r>
      <w:tr>
        <w:trPr>
          <w:trHeight w:val="834"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37"/>
              <w:jc w:val="both"/>
              <w:rPr>
                <w:rFonts w:ascii="宋体" w:hAnsi="宋体" w:cs="宋体" w:eastAsia="宋体" w:hint="default"/>
                <w:sz w:val="18"/>
                <w:szCs w:val="18"/>
              </w:rPr>
            </w:pPr>
            <w:r>
              <w:rPr>
                <w:rFonts w:ascii="宋体" w:hAnsi="宋体" w:cs="宋体" w:eastAsia="宋体" w:hint="default"/>
                <w:sz w:val="18"/>
                <w:szCs w:val="18"/>
              </w:rPr>
              <w:t>（二）非同一控制下的 企业合并中取得的被购 买方各项可辨认资产</w:t>
            </w:r>
          </w:p>
        </w:tc>
        <w:tc>
          <w:tcPr>
            <w:tcW w:w="189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288,378,614.73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288,378,614.73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3"/>
        <w:rPr>
          <w:rFonts w:ascii="宋体" w:hAnsi="宋体" w:cs="宋体" w:eastAsia="宋体" w:hint="default"/>
          <w:sz w:val="25"/>
          <w:szCs w:val="25"/>
        </w:rPr>
      </w:pPr>
    </w:p>
    <w:tbl>
      <w:tblPr>
        <w:tblW w:w="0" w:type="auto"/>
        <w:jc w:val="left"/>
        <w:tblInd w:w="1021" w:type="dxa"/>
        <w:tblLayout w:type="fixed"/>
        <w:tblCellMar>
          <w:top w:w="0" w:type="dxa"/>
          <w:left w:w="0" w:type="dxa"/>
          <w:bottom w:w="0" w:type="dxa"/>
          <w:right w:w="0" w:type="dxa"/>
        </w:tblCellMar>
        <w:tblLook w:val="01E0"/>
      </w:tblPr>
      <w:tblGrid>
        <w:gridCol w:w="2052"/>
        <w:gridCol w:w="1893"/>
        <w:gridCol w:w="1969"/>
        <w:gridCol w:w="1971"/>
        <w:gridCol w:w="1970"/>
      </w:tblGrid>
      <w:tr>
        <w:trPr>
          <w:trHeight w:val="388" w:hRule="exact"/>
        </w:trPr>
        <w:tc>
          <w:tcPr>
            <w:tcW w:w="2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673" w:hRule="exact"/>
        </w:trPr>
        <w:tc>
          <w:tcPr>
            <w:tcW w:w="2052" w:type="dxa"/>
            <w:vMerge/>
            <w:tcBorders>
              <w:left w:val="single" w:sz="4" w:space="0" w:color="000000"/>
              <w:bottom w:val="single" w:sz="4" w:space="0" w:color="000000"/>
              <w:right w:val="single" w:sz="4" w:space="0" w:color="000000"/>
            </w:tcBorders>
            <w:shd w:val="clear" w:color="auto" w:fill="D2D2D2"/>
          </w:tcPr>
          <w:p>
            <w:pP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1"/>
              <w:ind w:left="760" w:right="220" w:hanging="540"/>
              <w:jc w:val="left"/>
              <w:rPr>
                <w:rFonts w:ascii="宋体" w:hAnsi="宋体" w:cs="宋体" w:eastAsia="宋体" w:hint="default"/>
                <w:sz w:val="18"/>
                <w:szCs w:val="18"/>
              </w:rPr>
            </w:pPr>
            <w:r>
              <w:rPr>
                <w:rFonts w:ascii="宋体" w:hAnsi="宋体" w:cs="宋体" w:eastAsia="宋体" w:hint="default"/>
                <w:sz w:val="18"/>
                <w:szCs w:val="18"/>
              </w:rPr>
              <w:t>第一层次公允价值 计量</w:t>
            </w:r>
          </w:p>
        </w:tc>
        <w:tc>
          <w:tcPr>
            <w:tcW w:w="1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1"/>
              <w:ind w:left="800" w:right="257" w:hanging="540"/>
              <w:jc w:val="left"/>
              <w:rPr>
                <w:rFonts w:ascii="宋体" w:hAnsi="宋体" w:cs="宋体" w:eastAsia="宋体" w:hint="default"/>
                <w:sz w:val="18"/>
                <w:szCs w:val="18"/>
              </w:rPr>
            </w:pPr>
            <w:r>
              <w:rPr>
                <w:rFonts w:ascii="宋体" w:hAnsi="宋体" w:cs="宋体" w:eastAsia="宋体" w:hint="default"/>
                <w:sz w:val="18"/>
                <w:szCs w:val="18"/>
              </w:rPr>
              <w:t>第二层次公允价值 计量</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1"/>
              <w:ind w:left="800" w:right="258" w:hanging="540"/>
              <w:jc w:val="left"/>
              <w:rPr>
                <w:rFonts w:ascii="宋体" w:hAnsi="宋体" w:cs="宋体" w:eastAsia="宋体" w:hint="default"/>
                <w:sz w:val="18"/>
                <w:szCs w:val="18"/>
              </w:rPr>
            </w:pPr>
            <w:r>
              <w:rPr>
                <w:rFonts w:ascii="宋体" w:hAnsi="宋体" w:cs="宋体" w:eastAsia="宋体" w:hint="default"/>
                <w:sz w:val="18"/>
                <w:szCs w:val="18"/>
              </w:rPr>
              <w:t>第三层次公允价值 计量</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80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600"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55"/>
              <w:ind w:left="103" w:right="137"/>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9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288,378,614.73</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33" w:right="0"/>
              <w:jc w:val="left"/>
              <w:rPr>
                <w:rFonts w:ascii="Times New Roman" w:hAnsi="Times New Roman" w:cs="Times New Roman" w:eastAsia="Times New Roman" w:hint="default"/>
                <w:sz w:val="18"/>
                <w:szCs w:val="18"/>
              </w:rPr>
            </w:pPr>
            <w:r>
              <w:rPr>
                <w:rFonts w:ascii="Times New Roman"/>
                <w:sz w:val="18"/>
              </w:rPr>
              <w:t>288,378,614.73</w:t>
            </w:r>
          </w:p>
        </w:tc>
      </w:tr>
      <w:tr>
        <w:trPr>
          <w:trHeight w:val="835"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37"/>
              <w:jc w:val="both"/>
              <w:rPr>
                <w:rFonts w:ascii="宋体" w:hAnsi="宋体" w:cs="宋体" w:eastAsia="宋体" w:hint="default"/>
                <w:sz w:val="18"/>
                <w:szCs w:val="18"/>
              </w:rPr>
            </w:pPr>
            <w:r>
              <w:rPr>
                <w:rFonts w:ascii="宋体" w:hAnsi="宋体" w:cs="宋体" w:eastAsia="宋体" w:hint="default"/>
                <w:sz w:val="18"/>
                <w:szCs w:val="18"/>
              </w:rPr>
              <w:t>（一）非同一控制下的 企业合并中取得的被购 买方各项可辨认负债</w:t>
            </w:r>
          </w:p>
        </w:tc>
        <w:tc>
          <w:tcPr>
            <w:tcW w:w="189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78,677,716.51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823" w:right="0"/>
              <w:jc w:val="left"/>
              <w:rPr>
                <w:rFonts w:ascii="Times New Roman" w:hAnsi="Times New Roman" w:cs="Times New Roman" w:eastAsia="Times New Roman" w:hint="default"/>
                <w:sz w:val="18"/>
                <w:szCs w:val="18"/>
              </w:rPr>
            </w:pPr>
            <w:r>
              <w:rPr>
                <w:rFonts w:ascii="Times New Roman"/>
                <w:sz w:val="18"/>
              </w:rPr>
              <w:t>78,677,716.51</w:t>
            </w:r>
          </w:p>
        </w:tc>
      </w:tr>
      <w:tr>
        <w:trPr>
          <w:trHeight w:val="601"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37"/>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9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78,677,716.51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23" w:right="0"/>
              <w:jc w:val="left"/>
              <w:rPr>
                <w:rFonts w:ascii="Times New Roman" w:hAnsi="Times New Roman" w:cs="Times New Roman" w:eastAsia="Times New Roman" w:hint="default"/>
                <w:sz w:val="18"/>
                <w:szCs w:val="18"/>
              </w:rPr>
            </w:pPr>
            <w:r>
              <w:rPr>
                <w:rFonts w:ascii="Times New Roman"/>
                <w:sz w:val="18"/>
              </w:rPr>
              <w:t>78,677,716.51</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2、持续和非持续第一层次公允价值计量项目市价的确定依据" w:id="410"/>
      <w:bookmarkEnd w:id="410"/>
      <w:r>
        <w:rPr/>
      </w:r>
      <w:r>
        <w:rPr>
          <w:rFonts w:ascii="Times New Roman" w:hAnsi="Times New Roman" w:cs="Times New Roman" w:eastAsia="Times New Roman" w:hint="default"/>
        </w:rPr>
        <w:t>2</w:t>
      </w:r>
      <w:r>
        <w:rPr>
          <w:rFonts w:ascii="微软雅黑" w:hAnsi="微软雅黑" w:cs="微软雅黑" w:eastAsia="微软雅黑" w:hint="default"/>
        </w:rPr>
        <w:t>、持续和非持续第一层次公允价值计量项目市价的确定依据</w:t>
      </w:r>
    </w:p>
    <w:p>
      <w:pPr>
        <w:spacing w:line="240" w:lineRule="auto" w:before="1"/>
        <w:rPr>
          <w:rFonts w:ascii="微软雅黑" w:hAnsi="微软雅黑" w:cs="微软雅黑" w:eastAsia="微软雅黑" w:hint="default"/>
          <w:sz w:val="23"/>
          <w:szCs w:val="23"/>
        </w:rPr>
      </w:pPr>
    </w:p>
    <w:p>
      <w:pPr>
        <w:pStyle w:val="Heading3"/>
        <w:spacing w:line="240" w:lineRule="auto"/>
        <w:ind w:left="1613" w:right="0"/>
        <w:jc w:val="left"/>
      </w:pPr>
      <w:r>
        <w:rPr/>
        <w:t>相同资产或负债在活跃市场中的报价（未经调整的）。</w:t>
      </w:r>
    </w:p>
    <w:p>
      <w:pPr>
        <w:spacing w:line="240" w:lineRule="auto" w:before="2"/>
        <w:rPr>
          <w:rFonts w:ascii="宋体" w:hAnsi="宋体" w:cs="宋体" w:eastAsia="宋体" w:hint="default"/>
          <w:sz w:val="22"/>
          <w:szCs w:val="22"/>
        </w:rPr>
      </w:pPr>
    </w:p>
    <w:p>
      <w:pPr>
        <w:pStyle w:val="BodyText"/>
        <w:spacing w:line="240" w:lineRule="auto"/>
        <w:ind w:left="1553" w:right="0"/>
        <w:jc w:val="left"/>
        <w:rPr>
          <w:rFonts w:ascii="微软雅黑" w:hAnsi="微软雅黑" w:cs="微软雅黑" w:eastAsia="微软雅黑" w:hint="default"/>
        </w:rPr>
      </w:pPr>
      <w:bookmarkStart w:name="3、持续和非持续第二层次公允价值计量项目，采用的估值技术和重要参数的定性及定量信" w:id="411"/>
      <w:bookmarkEnd w:id="411"/>
      <w:r>
        <w:rPr/>
      </w:r>
      <w:r>
        <w:rPr>
          <w:rFonts w:ascii="Times New Roman" w:hAnsi="Times New Roman" w:cs="Times New Roman" w:eastAsia="Times New Roman" w:hint="default"/>
        </w:rPr>
        <w:t>3</w:t>
      </w:r>
      <w:r>
        <w:rPr>
          <w:rFonts w:ascii="微软雅黑" w:hAnsi="微软雅黑" w:cs="微软雅黑" w:eastAsia="微软雅黑" w:hint="default"/>
        </w:rPr>
        <w:t>、持续和非持续第二层次公允价值计量项目，采用的估值技术和重要参数的定性及定量信息</w:t>
      </w:r>
    </w:p>
    <w:p>
      <w:pPr>
        <w:spacing w:line="240" w:lineRule="auto" w:before="2"/>
        <w:rPr>
          <w:rFonts w:ascii="微软雅黑" w:hAnsi="微软雅黑" w:cs="微软雅黑" w:eastAsia="微软雅黑" w:hint="default"/>
          <w:sz w:val="23"/>
          <w:szCs w:val="23"/>
        </w:rPr>
      </w:pPr>
    </w:p>
    <w:p>
      <w:pPr>
        <w:pStyle w:val="Heading3"/>
        <w:spacing w:line="297" w:lineRule="auto"/>
        <w:ind w:right="0" w:firstLine="480"/>
        <w:jc w:val="left"/>
      </w:pPr>
      <w:r>
        <w:rPr/>
        <w:t>直接（即价格）或间接（即从价格推导出）地使用除第一层次中的资产或负债的市场报 价之外的可观察输入值。</w:t>
      </w:r>
    </w:p>
    <w:p>
      <w:pPr>
        <w:spacing w:line="240" w:lineRule="auto" w:before="11"/>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4、持续和非持续第三层次公允价值计量项目，采用的估值技术和重要参数的定性及定量信" w:id="412"/>
      <w:bookmarkEnd w:id="412"/>
      <w:r>
        <w:rPr/>
      </w:r>
      <w:r>
        <w:rPr>
          <w:rFonts w:ascii="Times New Roman" w:hAnsi="Times New Roman" w:cs="Times New Roman" w:eastAsia="Times New Roman" w:hint="default"/>
        </w:rPr>
        <w:t>4</w:t>
      </w:r>
      <w:r>
        <w:rPr>
          <w:rFonts w:ascii="微软雅黑" w:hAnsi="微软雅黑" w:cs="微软雅黑" w:eastAsia="微软雅黑" w:hint="default"/>
        </w:rPr>
        <w:t>、持续和非持续第三层次公允价值计量项目，采用的估值技术和重要参数的定性及定量信息</w:t>
      </w:r>
    </w:p>
    <w:p>
      <w:pPr>
        <w:spacing w:line="240" w:lineRule="auto" w:before="1"/>
        <w:rPr>
          <w:rFonts w:ascii="微软雅黑" w:hAnsi="微软雅黑" w:cs="微软雅黑" w:eastAsia="微软雅黑" w:hint="default"/>
          <w:sz w:val="23"/>
          <w:szCs w:val="23"/>
        </w:rPr>
      </w:pPr>
    </w:p>
    <w:p>
      <w:pPr>
        <w:pStyle w:val="Heading3"/>
        <w:spacing w:line="240" w:lineRule="auto"/>
        <w:ind w:left="1614" w:right="0"/>
        <w:jc w:val="left"/>
      </w:pPr>
      <w:r>
        <w:rPr/>
        <w:t>资产或负债使用了任何非基于可观察市场数据的输入值（不可观察输入值）。</w:t>
      </w:r>
    </w:p>
    <w:p>
      <w:pPr>
        <w:spacing w:line="240" w:lineRule="auto" w:before="2"/>
        <w:rPr>
          <w:rFonts w:ascii="宋体" w:hAnsi="宋体" w:cs="宋体" w:eastAsia="宋体" w:hint="default"/>
          <w:sz w:val="22"/>
          <w:szCs w:val="22"/>
        </w:rPr>
      </w:pPr>
    </w:p>
    <w:p>
      <w:pPr>
        <w:pStyle w:val="BodyText"/>
        <w:spacing w:line="240" w:lineRule="auto"/>
        <w:ind w:left="1553" w:right="0"/>
        <w:jc w:val="left"/>
        <w:rPr>
          <w:rFonts w:ascii="微软雅黑" w:hAnsi="微软雅黑" w:cs="微软雅黑" w:eastAsia="微软雅黑" w:hint="default"/>
        </w:rPr>
      </w:pPr>
      <w:bookmarkStart w:name="5、持续的第三层次公允价值计量项目，期初与期末账面价值间的调节信息及不可观察参数" w:id="413"/>
      <w:bookmarkEnd w:id="413"/>
      <w:r>
        <w:rPr/>
      </w:r>
      <w:r>
        <w:rPr>
          <w:rFonts w:ascii="Times New Roman" w:hAnsi="Times New Roman" w:cs="Times New Roman" w:eastAsia="Times New Roman" w:hint="default"/>
        </w:rPr>
        <w:t>5</w:t>
      </w:r>
      <w:r>
        <w:rPr>
          <w:rFonts w:ascii="微软雅黑" w:hAnsi="微软雅黑" w:cs="微软雅黑" w:eastAsia="微软雅黑" w:hint="default"/>
        </w:rPr>
        <w:t>、持续的第三层次公允价值计量项目，期初与期末账面价值间的调节信息及不可观察参数敏感性分</w:t>
      </w:r>
    </w:p>
    <w:p>
      <w:pPr>
        <w:pStyle w:val="BodyText"/>
        <w:spacing w:line="240" w:lineRule="auto" w:before="178"/>
        <w:ind w:left="1133" w:right="0"/>
        <w:jc w:val="left"/>
        <w:rPr>
          <w:rFonts w:ascii="微软雅黑" w:hAnsi="微软雅黑" w:cs="微软雅黑" w:eastAsia="微软雅黑" w:hint="default"/>
        </w:rPr>
      </w:pPr>
      <w:r>
        <w:rPr>
          <w:rFonts w:ascii="微软雅黑" w:hAnsi="微软雅黑" w:cs="微软雅黑" w:eastAsia="微软雅黑" w:hint="default"/>
        </w:rPr>
        <w:t>析</w:t>
      </w:r>
    </w:p>
    <w:p>
      <w:pPr>
        <w:spacing w:line="240" w:lineRule="auto" w:before="5"/>
        <w:rPr>
          <w:rFonts w:ascii="微软雅黑" w:hAnsi="微软雅黑" w:cs="微软雅黑" w:eastAsia="微软雅黑" w:hint="default"/>
          <w:sz w:val="19"/>
          <w:szCs w:val="19"/>
        </w:rPr>
      </w:pPr>
    </w:p>
    <w:p>
      <w:pPr>
        <w:pStyle w:val="BodyText"/>
        <w:spacing w:line="240" w:lineRule="auto"/>
        <w:ind w:right="0"/>
        <w:jc w:val="left"/>
        <w:rPr>
          <w:rFonts w:ascii="微软雅黑" w:hAnsi="微软雅黑" w:cs="微软雅黑" w:eastAsia="微软雅黑" w:hint="default"/>
        </w:rPr>
      </w:pPr>
      <w:bookmarkStart w:name="6、持续的公允价值计量项目，本期内发生各层级之间转换的，转换的原因及确定转换时点" w:id="414"/>
      <w:bookmarkEnd w:id="414"/>
      <w:r>
        <w:rPr/>
      </w:r>
      <w:r>
        <w:rPr>
          <w:rFonts w:ascii="Times New Roman" w:hAnsi="Times New Roman" w:cs="Times New Roman" w:eastAsia="Times New Roman" w:hint="default"/>
        </w:rPr>
        <w:t>6</w:t>
      </w:r>
      <w:r>
        <w:rPr>
          <w:rFonts w:ascii="微软雅黑" w:hAnsi="微软雅黑" w:cs="微软雅黑" w:eastAsia="微软雅黑" w:hint="default"/>
        </w:rPr>
        <w:t>、持续的公允价值计量项目，本期内发生各层级之间转换的，转换的原因及确定转换时点的政策</w:t>
      </w:r>
    </w:p>
    <w:p>
      <w:pPr>
        <w:spacing w:line="240" w:lineRule="auto" w:before="1"/>
        <w:rPr>
          <w:rFonts w:ascii="微软雅黑" w:hAnsi="微软雅黑" w:cs="微软雅黑" w:eastAsia="微软雅黑" w:hint="default"/>
          <w:sz w:val="23"/>
          <w:szCs w:val="23"/>
        </w:rPr>
      </w:pPr>
    </w:p>
    <w:p>
      <w:pPr>
        <w:pStyle w:val="Heading3"/>
        <w:spacing w:line="297" w:lineRule="auto"/>
        <w:ind w:right="0" w:firstLine="480"/>
        <w:jc w:val="left"/>
      </w:pPr>
      <w:r>
        <w:rPr/>
        <w:t>本年度，本集团的金融资产及金融负债的公允价值计量未发生第一层次和第二层次之间 的转换，亦无转入或转出第三层次的情况。</w:t>
      </w:r>
    </w:p>
    <w:p>
      <w:pPr>
        <w:spacing w:line="240" w:lineRule="auto" w:before="11"/>
        <w:rPr>
          <w:rFonts w:ascii="宋体" w:hAnsi="宋体" w:cs="宋体" w:eastAsia="宋体" w:hint="default"/>
          <w:sz w:val="17"/>
          <w:szCs w:val="17"/>
        </w:rPr>
      </w:pPr>
    </w:p>
    <w:p>
      <w:pPr>
        <w:pStyle w:val="BodyText"/>
        <w:spacing w:line="240" w:lineRule="auto"/>
        <w:ind w:right="0"/>
        <w:jc w:val="left"/>
        <w:rPr>
          <w:rFonts w:ascii="微软雅黑" w:hAnsi="微软雅黑" w:cs="微软雅黑" w:eastAsia="微软雅黑" w:hint="default"/>
        </w:rPr>
      </w:pPr>
      <w:bookmarkStart w:name="7、本期内发生的估值技术变更及变更原因" w:id="415"/>
      <w:bookmarkEnd w:id="415"/>
      <w:r>
        <w:rPr/>
      </w:r>
      <w:r>
        <w:rPr>
          <w:rFonts w:ascii="Times New Roman" w:hAnsi="Times New Roman" w:cs="Times New Roman" w:eastAsia="Times New Roman" w:hint="default"/>
        </w:rPr>
        <w:t>7</w:t>
      </w:r>
      <w:r>
        <w:rPr>
          <w:rFonts w:ascii="微软雅黑" w:hAnsi="微软雅黑" w:cs="微软雅黑" w:eastAsia="微软雅黑" w:hint="default"/>
        </w:rPr>
        <w:t>、本期内发生的估值技术变更及变更原因</w:t>
      </w:r>
    </w:p>
    <w:p>
      <w:pPr>
        <w:spacing w:line="240" w:lineRule="auto" w:before="5"/>
        <w:rPr>
          <w:rFonts w:ascii="微软雅黑" w:hAnsi="微软雅黑" w:cs="微软雅黑" w:eastAsia="微软雅黑" w:hint="default"/>
          <w:sz w:val="19"/>
          <w:szCs w:val="19"/>
        </w:rPr>
      </w:pPr>
    </w:p>
    <w:p>
      <w:pPr>
        <w:pStyle w:val="BodyText"/>
        <w:spacing w:line="240" w:lineRule="auto"/>
        <w:ind w:right="0"/>
        <w:jc w:val="left"/>
        <w:rPr>
          <w:rFonts w:ascii="微软雅黑" w:hAnsi="微软雅黑" w:cs="微软雅黑" w:eastAsia="微软雅黑" w:hint="default"/>
        </w:rPr>
      </w:pPr>
      <w:bookmarkStart w:name="8、不以公允价值计量的金融资产和金融负债的公允价值情况" w:id="416"/>
      <w:bookmarkEnd w:id="416"/>
      <w:r>
        <w:rPr/>
      </w:r>
      <w:r>
        <w:rPr>
          <w:rFonts w:ascii="Times New Roman" w:hAnsi="Times New Roman" w:cs="Times New Roman" w:eastAsia="Times New Roman" w:hint="default"/>
        </w:rPr>
        <w:t>8</w:t>
      </w:r>
      <w:r>
        <w:rPr>
          <w:rFonts w:ascii="微软雅黑" w:hAnsi="微软雅黑" w:cs="微软雅黑" w:eastAsia="微软雅黑" w:hint="default"/>
        </w:rPr>
        <w:t>、不以公允价值计量的金融资产和金融负债的公允价值情况</w:t>
      </w:r>
    </w:p>
    <w:p>
      <w:pPr>
        <w:spacing w:line="240" w:lineRule="auto" w:before="1"/>
        <w:rPr>
          <w:rFonts w:ascii="微软雅黑" w:hAnsi="微软雅黑" w:cs="微软雅黑" w:eastAsia="微软雅黑" w:hint="default"/>
          <w:sz w:val="23"/>
          <w:szCs w:val="23"/>
        </w:rPr>
      </w:pPr>
    </w:p>
    <w:p>
      <w:pPr>
        <w:pStyle w:val="Heading3"/>
        <w:spacing w:line="297" w:lineRule="auto"/>
        <w:ind w:left="1133" w:right="1132" w:firstLine="480"/>
        <w:jc w:val="both"/>
      </w:pPr>
      <w:r>
        <w:rPr/>
        <w:t>本集团以摊余成本计量的金融资产和金融负债主要包括：货币资金、应收票据、应收账 款、其他应收款、长期应收款、其他流动资产、短期借款、应付账款、其他应付款、长期应 付款、其他流动负债等。</w:t>
      </w:r>
    </w:p>
    <w:p>
      <w:pPr>
        <w:spacing w:line="240" w:lineRule="auto" w:before="12"/>
        <w:rPr>
          <w:rFonts w:ascii="宋体" w:hAnsi="宋体" w:cs="宋体" w:eastAsia="宋体" w:hint="default"/>
          <w:sz w:val="17"/>
          <w:szCs w:val="17"/>
        </w:rPr>
      </w:pPr>
    </w:p>
    <w:p>
      <w:pPr>
        <w:pStyle w:val="Heading3"/>
        <w:spacing w:line="240" w:lineRule="auto"/>
        <w:ind w:left="1614" w:right="0"/>
        <w:jc w:val="left"/>
      </w:pPr>
      <w:r>
        <w:rPr/>
        <w:t>不以公允价值计量的金融资产和金融负债的账面价值与公允价值相差很小。</w:t>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sz w:val="24"/>
          <w:szCs w:val="24"/>
        </w:rPr>
      </w:pPr>
    </w:p>
    <w:p>
      <w:pPr>
        <w:pStyle w:val="BodyText"/>
        <w:spacing w:line="324" w:lineRule="exact"/>
        <w:ind w:right="0"/>
        <w:jc w:val="left"/>
        <w:rPr>
          <w:rFonts w:ascii="微软雅黑" w:hAnsi="微软雅黑" w:cs="微软雅黑" w:eastAsia="微软雅黑" w:hint="default"/>
        </w:rPr>
      </w:pPr>
      <w:bookmarkStart w:name="9、其他" w:id="417"/>
      <w:bookmarkEnd w:id="417"/>
      <w:r>
        <w:rPr/>
      </w:r>
      <w:r>
        <w:rPr>
          <w:rFonts w:ascii="Times New Roman" w:hAnsi="Times New Roman" w:cs="Times New Roman" w:eastAsia="Times New Roman" w:hint="default"/>
        </w:rPr>
        <w:t>9</w:t>
      </w:r>
      <w:r>
        <w:rPr>
          <w:rFonts w:ascii="微软雅黑" w:hAnsi="微软雅黑" w:cs="微软雅黑" w:eastAsia="微软雅黑" w:hint="default"/>
        </w:rPr>
        <w:t>、其他</w:t>
      </w:r>
    </w:p>
    <w:p>
      <w:pPr>
        <w:spacing w:line="240" w:lineRule="auto" w:before="6"/>
        <w:rPr>
          <w:rFonts w:ascii="微软雅黑" w:hAnsi="微软雅黑" w:cs="微软雅黑" w:eastAsia="微软雅黑" w:hint="default"/>
          <w:sz w:val="23"/>
          <w:szCs w:val="23"/>
        </w:rPr>
      </w:pPr>
    </w:p>
    <w:p>
      <w:pPr>
        <w:pStyle w:val="BodyText"/>
        <w:spacing w:line="285" w:lineRule="auto"/>
        <w:ind w:left="1133" w:right="1018" w:firstLine="420"/>
        <w:jc w:val="left"/>
      </w:pPr>
      <w:r>
        <w:rPr>
          <w:spacing w:val="-3"/>
        </w:rPr>
        <w:t>说明：“以公允价值计量且其变动计入当期损益的金融负债”系收购北京爱普新思电子技术有限公司、</w:t>
      </w:r>
      <w:r>
        <w:rPr/>
        <w:t> 北京慧驰科技有限公司和</w:t>
      </w:r>
      <w:r>
        <w:rPr>
          <w:spacing w:val="-59"/>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7"/>
        </w:rPr>
        <w:t> </w:t>
      </w:r>
      <w:r>
        <w:rPr>
          <w:rFonts w:ascii="Times New Roman" w:hAnsi="Times New Roman" w:cs="Times New Roman" w:eastAsia="Times New Roman" w:hint="default"/>
        </w:rPr>
        <w:t>Oy</w:t>
      </w:r>
      <w:r>
        <w:rPr>
          <w:rFonts w:ascii="Times New Roman" w:hAnsi="Times New Roman" w:cs="Times New Roman" w:eastAsia="Times New Roman" w:hint="default"/>
          <w:spacing w:val="-17"/>
        </w:rPr>
        <w:t> </w:t>
      </w:r>
      <w:r>
        <w:rPr/>
        <w:t>分期支付股权转让款和本公司与银行签订远期外汇合约，期末形成 以公允价值且其变动计入当期损益的金融负债，详见本报告“第十一节七、合并财务报表项目注释</w:t>
      </w:r>
      <w:r>
        <w:rPr>
          <w:spacing w:val="-69"/>
        </w:rPr>
        <w:t> </w:t>
      </w:r>
      <w:r>
        <w:rPr>
          <w:rFonts w:ascii="Times New Roman" w:hAnsi="Times New Roman" w:cs="Times New Roman" w:eastAsia="Times New Roman" w:hint="default"/>
          <w:spacing w:val="-10"/>
        </w:rPr>
        <w:t>32</w:t>
      </w:r>
      <w:r>
        <w:rPr>
          <w:spacing w:val="-10"/>
        </w:rPr>
        <w:t>、以</w:t>
      </w:r>
      <w:r>
        <w:rPr>
          <w:spacing w:val="-20"/>
        </w:rPr>
        <w:t> </w:t>
      </w:r>
      <w:r>
        <w:rPr/>
        <w:t>公允价值计量且其变动计入当期损益的金融负债”。</w:t>
      </w:r>
    </w:p>
    <w:p>
      <w:pPr>
        <w:spacing w:line="240" w:lineRule="auto" w:before="8"/>
        <w:rPr>
          <w:rFonts w:ascii="宋体" w:hAnsi="宋体" w:cs="宋体" w:eastAsia="宋体" w:hint="default"/>
          <w:sz w:val="18"/>
          <w:szCs w:val="18"/>
        </w:rPr>
      </w:pPr>
    </w:p>
    <w:p>
      <w:pPr>
        <w:pStyle w:val="BodyText"/>
        <w:spacing w:line="297" w:lineRule="auto"/>
        <w:ind w:left="1134" w:right="1110" w:firstLine="420"/>
        <w:jc w:val="both"/>
      </w:pPr>
      <w:r>
        <w:rPr>
          <w:spacing w:val="-1"/>
        </w:rPr>
        <w:t>对于在活跃市场上交易的金融工具，本集团以其活跃市场报价确定其公允价值；对于不在活跃市场上</w:t>
      </w:r>
      <w:r>
        <w:rPr/>
        <w:t> </w:t>
      </w:r>
      <w:r>
        <w:rPr>
          <w:spacing w:val="-1"/>
        </w:rPr>
        <w:t>交易的金融工具，本集团采用估值技术确定其公允价值。所使用的估值模型主要为现金流量折现模型和市</w:t>
      </w:r>
      <w:r>
        <w:rPr>
          <w:spacing w:val="-81"/>
        </w:rPr>
        <w:t> </w:t>
      </w:r>
      <w:r>
        <w:rPr>
          <w:spacing w:val="-81"/>
        </w:rPr>
      </w:r>
      <w:r>
        <w:rPr/>
        <w:t>场可比公司模型等。估值技术的输入值主要包括无风险利率、基准利率、汇率、信用点差、流动性溢价、 缺乏流动性折价等。</w:t>
      </w:r>
    </w:p>
    <w:p>
      <w:pPr>
        <w:spacing w:line="240" w:lineRule="auto" w:before="4"/>
        <w:rPr>
          <w:rFonts w:ascii="宋体" w:hAnsi="宋体" w:cs="宋体" w:eastAsia="宋体" w:hint="default"/>
          <w:sz w:val="23"/>
          <w:szCs w:val="23"/>
        </w:rPr>
      </w:pPr>
    </w:p>
    <w:p>
      <w:pPr>
        <w:pStyle w:val="Heading2"/>
        <w:spacing w:line="240" w:lineRule="auto"/>
        <w:ind w:left="2" w:right="6561"/>
        <w:jc w:val="center"/>
      </w:pPr>
      <w:bookmarkStart w:name="十二、关联方及关联交易" w:id="418"/>
      <w:bookmarkEnd w:id="418"/>
      <w:r>
        <w:rPr/>
      </w:r>
      <w:r>
        <w:rPr/>
        <w:t>十二、关联方及关联交易</w:t>
      </w:r>
    </w:p>
    <w:p>
      <w:pPr>
        <w:spacing w:line="240" w:lineRule="auto" w:before="11"/>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本企业的母公司情况" w:id="419"/>
      <w:bookmarkEnd w:id="419"/>
      <w:r>
        <w:rPr/>
      </w:r>
      <w:r>
        <w:rPr>
          <w:rFonts w:ascii="Times New Roman" w:hAnsi="Times New Roman" w:cs="Times New Roman" w:eastAsia="Times New Roman" w:hint="default"/>
        </w:rPr>
        <w:t>1</w:t>
      </w:r>
      <w:r>
        <w:rPr>
          <w:rFonts w:ascii="微软雅黑" w:hAnsi="微软雅黑" w:cs="微软雅黑" w:eastAsia="微软雅黑" w:hint="default"/>
        </w:rPr>
        <w:t>、本企业的母公司情况</w:t>
      </w:r>
    </w:p>
    <w:p>
      <w:pPr>
        <w:spacing w:line="240" w:lineRule="auto" w:before="13"/>
        <w:rPr>
          <w:rFonts w:ascii="微软雅黑" w:hAnsi="微软雅黑" w:cs="微软雅黑" w:eastAsia="微软雅黑" w:hint="default"/>
          <w:sz w:val="21"/>
          <w:szCs w:val="21"/>
        </w:rPr>
      </w:pPr>
    </w:p>
    <w:tbl>
      <w:tblPr>
        <w:tblW w:w="0" w:type="auto"/>
        <w:jc w:val="left"/>
        <w:tblInd w:w="1021" w:type="dxa"/>
        <w:tblLayout w:type="fixed"/>
        <w:tblCellMar>
          <w:top w:w="0" w:type="dxa"/>
          <w:left w:w="0" w:type="dxa"/>
          <w:bottom w:w="0" w:type="dxa"/>
          <w:right w:w="0" w:type="dxa"/>
        </w:tblCellMar>
        <w:tblLook w:val="01E0"/>
      </w:tblPr>
      <w:tblGrid>
        <w:gridCol w:w="1643"/>
        <w:gridCol w:w="1643"/>
        <w:gridCol w:w="1642"/>
        <w:gridCol w:w="1642"/>
        <w:gridCol w:w="1643"/>
        <w:gridCol w:w="1642"/>
      </w:tblGrid>
      <w:tr>
        <w:trPr>
          <w:trHeight w:val="601" w:hRule="exact"/>
        </w:trPr>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366"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5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365" w:right="185"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274" w:right="185"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spacing w:line="240" w:lineRule="auto" w:before="10"/>
        <w:rPr>
          <w:rFonts w:ascii="微软雅黑" w:hAnsi="微软雅黑" w:cs="微软雅黑" w:eastAsia="微软雅黑" w:hint="default"/>
          <w:sz w:val="8"/>
          <w:szCs w:val="8"/>
        </w:rPr>
      </w:pPr>
    </w:p>
    <w:p>
      <w:pPr>
        <w:pStyle w:val="BodyText"/>
        <w:spacing w:line="487" w:lineRule="auto" w:before="35"/>
        <w:ind w:right="6972"/>
        <w:jc w:val="left"/>
      </w:pPr>
      <w:r>
        <w:rPr/>
        <w:t>本企业的母公司情况的说明 本企业最终控制方是自然人赵鸿飞。 其他说明：</w:t>
      </w:r>
    </w:p>
    <w:p>
      <w:pPr>
        <w:pStyle w:val="BodyText"/>
        <w:spacing w:line="240" w:lineRule="auto" w:before="61"/>
        <w:ind w:left="1553" w:right="0"/>
        <w:jc w:val="left"/>
        <w:rPr>
          <w:rFonts w:ascii="微软雅黑" w:hAnsi="微软雅黑" w:cs="微软雅黑" w:eastAsia="微软雅黑" w:hint="default"/>
        </w:rPr>
      </w:pPr>
      <w:bookmarkStart w:name="2、本企业的子公司情况" w:id="420"/>
      <w:bookmarkEnd w:id="420"/>
      <w:r>
        <w:rPr/>
      </w:r>
      <w:r>
        <w:rPr>
          <w:rFonts w:ascii="Times New Roman" w:hAnsi="Times New Roman" w:cs="Times New Roman" w:eastAsia="Times New Roman" w:hint="default"/>
        </w:rPr>
        <w:t>2</w:t>
      </w:r>
      <w:r>
        <w:rPr>
          <w:rFonts w:ascii="微软雅黑" w:hAnsi="微软雅黑" w:cs="微软雅黑" w:eastAsia="微软雅黑" w:hint="default"/>
        </w:rPr>
        <w:t>、本企业的子公司情况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t>本企业子公司的情况详见附注九、</w:t>
      </w:r>
      <w:r>
        <w:rPr>
          <w:rFonts w:ascii="Times New Roman" w:hAnsi="Times New Roman" w:cs="Times New Roman" w:eastAsia="Times New Roman" w:hint="default"/>
        </w:rPr>
        <w:t>1  </w:t>
      </w:r>
      <w:r>
        <w:rPr/>
        <w:t>（</w:t>
      </w:r>
      <w:r>
        <w:rPr>
          <w:rFonts w:ascii="Times New Roman" w:hAnsi="Times New Roman" w:cs="Times New Roman" w:eastAsia="Times New Roman" w:hint="default"/>
          <w:spacing w:val="-1"/>
        </w:rPr>
        <w:t>1</w:t>
      </w:r>
      <w:r>
        <w:rPr>
          <w:spacing w:val="-105"/>
        </w:rPr>
        <w:t>）</w:t>
      </w:r>
      <w:r>
        <w:rPr/>
        <w:t>。</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3、本企业合营和联营企业情况" w:id="421"/>
      <w:bookmarkEnd w:id="421"/>
      <w:r>
        <w:rPr/>
      </w:r>
      <w:r>
        <w:rPr>
          <w:rFonts w:ascii="Times New Roman" w:hAnsi="Times New Roman" w:cs="Times New Roman" w:eastAsia="Times New Roman" w:hint="default"/>
        </w:rPr>
        <w:t>3</w:t>
      </w:r>
      <w:r>
        <w:rPr>
          <w:rFonts w:ascii="微软雅黑" w:hAnsi="微软雅黑" w:cs="微软雅黑" w:eastAsia="微软雅黑" w:hint="default"/>
        </w:rPr>
        <w:t>、本企业合营和联营企业情况</w:t>
      </w:r>
    </w:p>
    <w:p>
      <w:pPr>
        <w:pStyle w:val="BodyText"/>
        <w:spacing w:line="540" w:lineRule="atLeast" w:before="153"/>
        <w:ind w:left="1553" w:right="0"/>
        <w:jc w:val="left"/>
      </w:pPr>
      <w:r>
        <w:rPr/>
        <w:t>本企业重要的合营或联营企业详见附注九、</w:t>
      </w: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w:t>
      </w:r>
      <w:r>
        <w:rPr>
          <w:rFonts w:ascii="Times New Roman" w:hAnsi="Times New Roman" w:cs="Times New Roman" w:eastAsia="Times New Roman" w:hint="default"/>
        </w:rPr>
        <w:t>2</w:t>
      </w:r>
      <w:r>
        <w:rPr/>
        <w:t>）及附注七、</w:t>
      </w:r>
      <w:r>
        <w:rPr>
          <w:rFonts w:ascii="Times New Roman" w:hAnsi="Times New Roman" w:cs="Times New Roman" w:eastAsia="Times New Roman" w:hint="default"/>
        </w:rPr>
        <w:t>17</w:t>
      </w:r>
      <w:r>
        <w:rPr/>
        <w:t>。 </w:t>
      </w:r>
      <w:r>
        <w:rPr>
          <w:spacing w:val="-1"/>
        </w:rPr>
        <w:t>本期与本公司发生关联方交易，或前期与本公司发生关联方交易形成余额的其他合营或联营企业情况</w:t>
      </w:r>
    </w:p>
    <w:p>
      <w:pPr>
        <w:pStyle w:val="BodyText"/>
        <w:spacing w:line="240" w:lineRule="auto" w:before="66"/>
        <w:ind w:left="1133" w:right="0"/>
        <w:jc w:val="left"/>
      </w:pPr>
      <w:r>
        <w:rPr/>
        <w:t>如下：</w:t>
      </w:r>
    </w:p>
    <w:p>
      <w:pPr>
        <w:spacing w:line="240" w:lineRule="auto" w:before="5"/>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926"/>
        <w:gridCol w:w="4930"/>
      </w:tblGrid>
      <w:tr>
        <w:trPr>
          <w:trHeight w:val="406" w:hRule="exact"/>
        </w:trPr>
        <w:tc>
          <w:tcPr>
            <w:tcW w:w="4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杭州格像科技有限公司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926"/>
        <w:gridCol w:w="4930"/>
      </w:tblGrid>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T2 Mobile</w:t>
            </w:r>
            <w:r>
              <w:rPr>
                <w:rFonts w:ascii="Times New Roman"/>
                <w:spacing w:val="-3"/>
                <w:sz w:val="18"/>
              </w:rPr>
              <w:t> </w:t>
            </w:r>
            <w:r>
              <w:rPr>
                <w:rFonts w:ascii="Times New Roman"/>
                <w:sz w:val="18"/>
              </w:rPr>
              <w:t>Limited</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Point Mobile</w:t>
            </w:r>
            <w:r>
              <w:rPr>
                <w:rFonts w:ascii="Times New Roman"/>
                <w:spacing w:val="-5"/>
                <w:sz w:val="18"/>
              </w:rPr>
              <w:t> </w:t>
            </w:r>
            <w:r>
              <w:rPr>
                <w:rFonts w:ascii="Times New Roman"/>
                <w:sz w:val="18"/>
              </w:rPr>
              <w:t>Co.Ltd.</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深圳互连科技有限公司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4、其他关联方情况" w:id="422"/>
      <w:bookmarkEnd w:id="422"/>
      <w:r>
        <w:rPr/>
      </w:r>
      <w:r>
        <w:rPr>
          <w:rFonts w:ascii="Times New Roman" w:hAnsi="Times New Roman" w:cs="Times New Roman" w:eastAsia="Times New Roman" w:hint="default"/>
        </w:rPr>
        <w:t>4</w:t>
      </w:r>
      <w:r>
        <w:rPr>
          <w:rFonts w:ascii="微软雅黑" w:hAnsi="微软雅黑" w:cs="微软雅黑" w:eastAsia="微软雅黑" w:hint="default"/>
        </w:rPr>
        <w:t>、其他关联方情况</w:t>
      </w:r>
    </w:p>
    <w:p>
      <w:pPr>
        <w:spacing w:line="240" w:lineRule="auto" w:before="15"/>
        <w:rPr>
          <w:rFonts w:ascii="微软雅黑" w:hAnsi="微软雅黑" w:cs="微软雅黑" w:eastAsia="微软雅黑" w:hint="default"/>
          <w:sz w:val="21"/>
          <w:szCs w:val="21"/>
        </w:rPr>
      </w:pPr>
    </w:p>
    <w:tbl>
      <w:tblPr>
        <w:tblW w:w="0" w:type="auto"/>
        <w:jc w:val="left"/>
        <w:tblInd w:w="1021" w:type="dxa"/>
        <w:tblLayout w:type="fixed"/>
        <w:tblCellMar>
          <w:top w:w="0" w:type="dxa"/>
          <w:left w:w="0" w:type="dxa"/>
          <w:bottom w:w="0" w:type="dxa"/>
          <w:right w:w="0" w:type="dxa"/>
        </w:tblCellMar>
        <w:tblLook w:val="01E0"/>
      </w:tblPr>
      <w:tblGrid>
        <w:gridCol w:w="4926"/>
        <w:gridCol w:w="4930"/>
      </w:tblGrid>
      <w:tr>
        <w:trPr>
          <w:trHeight w:val="404" w:hRule="exact"/>
        </w:trPr>
        <w:tc>
          <w:tcPr>
            <w:tcW w:w="4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富因特电子（深圳）有限公司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本公司联营公司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PointMobileCo.,Ltd.</w:t>
            </w:r>
            <w:r>
              <w:rPr>
                <w:rFonts w:ascii="宋体" w:hAnsi="宋体" w:cs="宋体" w:eastAsia="宋体" w:hint="default"/>
                <w:sz w:val="18"/>
                <w:szCs w:val="18"/>
              </w:rPr>
              <w:t>之子公司</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上海畅联智融通讯科技有限公司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本公司联营公司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T2MobileLimited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之子公司</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T2MobileInternationalLimited</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本公司联营公司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T2MobileLimited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之子公司</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柚子（北京）科技有限公司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受本集团重大影响</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柚子（北京）移动技术有限公司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受本集团重大影响</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w:t>
            </w:r>
          </w:p>
        </w:tc>
      </w:tr>
      <w:tr>
        <w:trPr>
          <w:trHeight w:val="714"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30"/>
              <w:jc w:val="left"/>
              <w:rPr>
                <w:rFonts w:ascii="宋体" w:hAnsi="宋体" w:cs="宋体" w:eastAsia="宋体" w:hint="default"/>
                <w:sz w:val="18"/>
                <w:szCs w:val="18"/>
              </w:rPr>
            </w:pPr>
            <w:r>
              <w:rPr>
                <w:rFonts w:ascii="宋体" w:hAnsi="宋体" w:cs="宋体" w:eastAsia="宋体" w:hint="default"/>
                <w:sz w:val="18"/>
                <w:szCs w:val="18"/>
              </w:rPr>
              <w:t>赵鸿飞、耿增强、吴安华、陈晓华、冯娟鹃、邓锋、王涌、 唐林林、许亮、王琰、刘学徽、王晶、邹鹏程</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武楠</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报告期内曾任董事、监事及高级管理人员</w:t>
            </w:r>
          </w:p>
        </w:tc>
      </w:tr>
    </w:tbl>
    <w:p>
      <w:pPr>
        <w:spacing w:line="240" w:lineRule="auto" w:before="10"/>
        <w:rPr>
          <w:rFonts w:ascii="微软雅黑" w:hAnsi="微软雅黑" w:cs="微软雅黑" w:eastAsia="微软雅黑" w:hint="default"/>
          <w:sz w:val="8"/>
          <w:szCs w:val="8"/>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5、关联交易情况" w:id="423"/>
      <w:bookmarkEnd w:id="423"/>
      <w:r>
        <w:rPr/>
      </w:r>
      <w:r>
        <w:rPr>
          <w:rFonts w:ascii="Times New Roman" w:hAnsi="Times New Roman" w:cs="Times New Roman" w:eastAsia="Times New Roman" w:hint="default"/>
        </w:rPr>
        <w:t>5</w:t>
      </w:r>
      <w:r>
        <w:rPr>
          <w:rFonts w:ascii="微软雅黑" w:hAnsi="微软雅黑" w:cs="微软雅黑" w:eastAsia="微软雅黑" w:hint="default"/>
        </w:rPr>
        <w:t>、关联交易情况</w:t>
      </w:r>
    </w:p>
    <w:p>
      <w:pPr>
        <w:spacing w:line="240" w:lineRule="auto" w:before="6"/>
        <w:rPr>
          <w:rFonts w:ascii="微软雅黑" w:hAnsi="微软雅黑" w:cs="微软雅黑" w:eastAsia="微软雅黑" w:hint="default"/>
          <w:sz w:val="23"/>
          <w:szCs w:val="23"/>
        </w:rPr>
      </w:pPr>
    </w:p>
    <w:p>
      <w:pPr>
        <w:spacing w:line="460" w:lineRule="auto" w:before="0"/>
        <w:ind w:left="1554" w:right="6219" w:firstLine="2"/>
        <w:jc w:val="left"/>
        <w:rPr>
          <w:rFonts w:ascii="宋体" w:hAnsi="宋体" w:cs="宋体" w:eastAsia="宋体" w:hint="default"/>
          <w:sz w:val="21"/>
          <w:szCs w:val="21"/>
        </w:rPr>
      </w:pPr>
      <w:bookmarkStart w:name="（1）购销商品、提供和接受劳务的关联交易"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before="58"/>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587"/>
        <w:gridCol w:w="1496"/>
        <w:gridCol w:w="1498"/>
        <w:gridCol w:w="1758"/>
        <w:gridCol w:w="1758"/>
        <w:gridCol w:w="1758"/>
      </w:tblGrid>
      <w:tr>
        <w:trPr>
          <w:trHeight w:val="382"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0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4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142"/>
              <w:jc w:val="left"/>
              <w:rPr>
                <w:rFonts w:ascii="Times New Roman" w:hAnsi="Times New Roman" w:cs="Times New Roman" w:eastAsia="Times New Roman" w:hint="default"/>
                <w:sz w:val="18"/>
                <w:szCs w:val="18"/>
              </w:rPr>
            </w:pPr>
            <w:r>
              <w:rPr>
                <w:rFonts w:ascii="Times New Roman"/>
                <w:sz w:val="18"/>
              </w:rPr>
              <w:t>T2MobileInternati</w:t>
            </w:r>
            <w:r>
              <w:rPr>
                <w:rFonts w:ascii="Times New Roman"/>
                <w:w w:val="99"/>
                <w:sz w:val="18"/>
              </w:rPr>
              <w:t> </w:t>
            </w:r>
            <w:r>
              <w:rPr>
                <w:rFonts w:ascii="Times New Roman"/>
                <w:sz w:val="18"/>
              </w:rPr>
              <w:t>onalLimited</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48,270.28</w:t>
            </w:r>
          </w:p>
        </w:tc>
      </w:tr>
      <w:tr>
        <w:trPr>
          <w:trHeight w:val="547"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142"/>
              <w:jc w:val="left"/>
              <w:rPr>
                <w:rFonts w:ascii="Times New Roman" w:hAnsi="Times New Roman" w:cs="Times New Roman" w:eastAsia="Times New Roman" w:hint="default"/>
                <w:sz w:val="18"/>
                <w:szCs w:val="18"/>
              </w:rPr>
            </w:pPr>
            <w:r>
              <w:rPr>
                <w:rFonts w:ascii="Times New Roman"/>
                <w:sz w:val="18"/>
              </w:rPr>
              <w:t>T2MobileInternati</w:t>
            </w:r>
            <w:r>
              <w:rPr>
                <w:rFonts w:ascii="Times New Roman"/>
                <w:w w:val="99"/>
                <w:sz w:val="18"/>
              </w:rPr>
              <w:t> </w:t>
            </w:r>
            <w:r>
              <w:rPr>
                <w:rFonts w:ascii="Times New Roman"/>
                <w:sz w:val="18"/>
              </w:rPr>
              <w:t>onalLimited</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Times New Roman" w:hAnsi="Times New Roman" w:cs="Times New Roman" w:eastAsia="Times New Roman" w:hint="default"/>
                <w:sz w:val="18"/>
                <w:szCs w:val="18"/>
              </w:rPr>
            </w:pPr>
            <w:r>
              <w:rPr>
                <w:rFonts w:ascii="Times New Roman"/>
                <w:sz w:val="18"/>
              </w:rPr>
              <w:t>420,972.51</w:t>
            </w:r>
          </w:p>
        </w:tc>
      </w:tr>
      <w:tr>
        <w:trPr>
          <w:trHeight w:val="54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142"/>
              <w:jc w:val="left"/>
              <w:rPr>
                <w:rFonts w:ascii="Times New Roman" w:hAnsi="Times New Roman" w:cs="Times New Roman" w:eastAsia="Times New Roman" w:hint="default"/>
                <w:sz w:val="18"/>
                <w:szCs w:val="18"/>
              </w:rPr>
            </w:pPr>
            <w:r>
              <w:rPr>
                <w:rFonts w:ascii="Times New Roman"/>
                <w:sz w:val="18"/>
              </w:rPr>
              <w:t>T2MobileInternati</w:t>
            </w:r>
            <w:r>
              <w:rPr>
                <w:rFonts w:ascii="Times New Roman"/>
                <w:w w:val="99"/>
                <w:sz w:val="18"/>
              </w:rPr>
              <w:t> </w:t>
            </w:r>
            <w:r>
              <w:rPr>
                <w:rFonts w:ascii="Times New Roman"/>
                <w:sz w:val="18"/>
              </w:rPr>
              <w:t>onalLimited</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pacing w:val="-1"/>
                <w:sz w:val="18"/>
              </w:rPr>
              <w:t>12,750,461.88</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16,648,435.36</w:t>
            </w:r>
          </w:p>
        </w:tc>
      </w:tr>
      <w:tr>
        <w:trPr>
          <w:trHeight w:val="601"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13"/>
              <w:jc w:val="left"/>
              <w:rPr>
                <w:rFonts w:ascii="宋体" w:hAnsi="宋体" w:cs="宋体" w:eastAsia="宋体" w:hint="default"/>
                <w:sz w:val="18"/>
                <w:szCs w:val="18"/>
              </w:rPr>
            </w:pPr>
            <w:r>
              <w:rPr>
                <w:rFonts w:ascii="宋体" w:hAnsi="宋体" w:cs="宋体" w:eastAsia="宋体" w:hint="default"/>
                <w:sz w:val="18"/>
                <w:szCs w:val="18"/>
              </w:rPr>
              <w:t>北京云创远景软 件有限责任公司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3,515,356.65</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2,302,607.96</w:t>
            </w:r>
          </w:p>
        </w:tc>
      </w:tr>
      <w:tr>
        <w:trPr>
          <w:trHeight w:val="600"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213"/>
              <w:jc w:val="left"/>
              <w:rPr>
                <w:rFonts w:ascii="宋体" w:hAnsi="宋体" w:cs="宋体" w:eastAsia="宋体" w:hint="default"/>
                <w:sz w:val="18"/>
                <w:szCs w:val="18"/>
              </w:rPr>
            </w:pPr>
            <w:r>
              <w:rPr>
                <w:rFonts w:ascii="宋体" w:hAnsi="宋体" w:cs="宋体" w:eastAsia="宋体" w:hint="default"/>
                <w:sz w:val="18"/>
                <w:szCs w:val="18"/>
              </w:rPr>
              <w:t>杭州格像科技有 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763,200.00</w:t>
            </w:r>
          </w:p>
        </w:tc>
      </w:tr>
      <w:tr>
        <w:trPr>
          <w:trHeight w:val="601"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3"/>
              <w:jc w:val="left"/>
              <w:rPr>
                <w:rFonts w:ascii="宋体" w:hAnsi="宋体" w:cs="宋体" w:eastAsia="宋体" w:hint="default"/>
                <w:sz w:val="18"/>
                <w:szCs w:val="18"/>
              </w:rPr>
            </w:pPr>
            <w:r>
              <w:rPr>
                <w:rFonts w:ascii="宋体" w:hAnsi="宋体" w:cs="宋体" w:eastAsia="宋体" w:hint="default"/>
                <w:sz w:val="18"/>
                <w:szCs w:val="18"/>
              </w:rPr>
              <w:t>上海畅联智融通 讯科技有限公司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73,360.79</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1,912,898.67</w:t>
            </w:r>
          </w:p>
        </w:tc>
      </w:tr>
      <w:tr>
        <w:trPr>
          <w:trHeight w:val="407"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8"/>
              <w:jc w:val="center"/>
              <w:rPr>
                <w:rFonts w:ascii="宋体" w:hAnsi="宋体" w:cs="宋体" w:eastAsia="宋体" w:hint="default"/>
                <w:sz w:val="18"/>
                <w:szCs w:val="18"/>
              </w:rPr>
            </w:pPr>
            <w:r>
              <w:rPr>
                <w:rFonts w:ascii="宋体" w:hAnsi="宋体" w:cs="宋体" w:eastAsia="宋体" w:hint="default"/>
                <w:sz w:val="18"/>
                <w:szCs w:val="18"/>
              </w:rPr>
              <w:t>上海畅联智融通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2,231,000.00</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1,215,697.77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587"/>
        <w:gridCol w:w="1496"/>
        <w:gridCol w:w="1498"/>
        <w:gridCol w:w="1758"/>
        <w:gridCol w:w="1758"/>
        <w:gridCol w:w="1758"/>
      </w:tblGrid>
      <w:tr>
        <w:trPr>
          <w:trHeight w:val="407"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8"/>
              <w:jc w:val="center"/>
              <w:rPr>
                <w:rFonts w:ascii="宋体" w:hAnsi="宋体" w:cs="宋体" w:eastAsia="宋体" w:hint="default"/>
                <w:sz w:val="18"/>
                <w:szCs w:val="18"/>
              </w:rPr>
            </w:pPr>
            <w:r>
              <w:rPr>
                <w:rFonts w:ascii="宋体" w:hAnsi="宋体" w:cs="宋体" w:eastAsia="宋体" w:hint="default"/>
                <w:sz w:val="18"/>
                <w:szCs w:val="18"/>
              </w:rPr>
              <w:t>讯科技有限公司</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3"/>
              <w:jc w:val="left"/>
              <w:rPr>
                <w:rFonts w:ascii="宋体" w:hAnsi="宋体" w:cs="宋体" w:eastAsia="宋体" w:hint="default"/>
                <w:sz w:val="18"/>
                <w:szCs w:val="18"/>
              </w:rPr>
            </w:pPr>
            <w:r>
              <w:rPr>
                <w:rFonts w:ascii="宋体" w:hAnsi="宋体" w:cs="宋体" w:eastAsia="宋体" w:hint="default"/>
                <w:sz w:val="18"/>
                <w:szCs w:val="18"/>
              </w:rPr>
              <w:t>深圳互连科技有 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377,617.91</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1,688,734.41</w:t>
            </w:r>
          </w:p>
        </w:tc>
      </w:tr>
      <w:tr>
        <w:trPr>
          <w:trHeight w:val="601"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01"/>
              <w:jc w:val="left"/>
              <w:rPr>
                <w:rFonts w:ascii="宋体" w:hAnsi="宋体" w:cs="宋体" w:eastAsia="宋体" w:hint="default"/>
                <w:sz w:val="18"/>
                <w:szCs w:val="18"/>
              </w:rPr>
            </w:pPr>
            <w:r>
              <w:rPr>
                <w:rFonts w:ascii="宋体" w:hAnsi="宋体" w:cs="宋体" w:eastAsia="宋体" w:hint="default"/>
                <w:spacing w:val="-9"/>
                <w:sz w:val="18"/>
                <w:szCs w:val="18"/>
              </w:rPr>
              <w:t>柚子（北京）科技</w:t>
            </w:r>
            <w:r>
              <w:rPr>
                <w:rFonts w:ascii="宋体" w:hAnsi="宋体" w:cs="宋体" w:eastAsia="宋体" w:hint="default"/>
                <w:sz w:val="18"/>
                <w:szCs w:val="18"/>
              </w:rPr>
              <w:t> 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206,319.94</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885,582.27</w:t>
            </w:r>
          </w:p>
        </w:tc>
      </w:tr>
      <w:tr>
        <w:trPr>
          <w:trHeight w:val="601"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01"/>
              <w:jc w:val="left"/>
              <w:rPr>
                <w:rFonts w:ascii="宋体" w:hAnsi="宋体" w:cs="宋体" w:eastAsia="宋体" w:hint="default"/>
                <w:sz w:val="18"/>
                <w:szCs w:val="18"/>
              </w:rPr>
            </w:pPr>
            <w:r>
              <w:rPr>
                <w:rFonts w:ascii="宋体" w:hAnsi="宋体" w:cs="宋体" w:eastAsia="宋体" w:hint="default"/>
                <w:spacing w:val="-9"/>
                <w:sz w:val="18"/>
                <w:szCs w:val="18"/>
              </w:rPr>
              <w:t>柚子（北京）移动</w:t>
            </w:r>
            <w:r>
              <w:rPr>
                <w:rFonts w:ascii="宋体" w:hAnsi="宋体" w:cs="宋体" w:eastAsia="宋体" w:hint="default"/>
                <w:sz w:val="18"/>
                <w:szCs w:val="18"/>
              </w:rPr>
              <w:t> 技术有限公司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305,825.24</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w:t>
            </w:r>
          </w:p>
        </w:tc>
      </w:tr>
      <w:tr>
        <w:trPr>
          <w:trHeight w:val="600"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3"/>
              <w:jc w:val="left"/>
              <w:rPr>
                <w:rFonts w:ascii="宋体" w:hAnsi="宋体" w:cs="宋体" w:eastAsia="宋体" w:hint="default"/>
                <w:sz w:val="18"/>
                <w:szCs w:val="18"/>
              </w:rPr>
            </w:pPr>
            <w:r>
              <w:rPr>
                <w:rFonts w:ascii="宋体" w:hAnsi="宋体" w:cs="宋体" w:eastAsia="宋体" w:hint="default"/>
                <w:sz w:val="18"/>
                <w:szCs w:val="18"/>
              </w:rPr>
              <w:t>北京云创远景软 件有限责任公司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46,046.00</w:t>
            </w:r>
          </w:p>
        </w:tc>
      </w:tr>
      <w:tr>
        <w:trPr>
          <w:trHeight w:val="601"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13"/>
              <w:jc w:val="left"/>
              <w:rPr>
                <w:rFonts w:ascii="宋体" w:hAnsi="宋体" w:cs="宋体" w:eastAsia="宋体" w:hint="default"/>
                <w:sz w:val="18"/>
                <w:szCs w:val="18"/>
              </w:rPr>
            </w:pPr>
            <w:r>
              <w:rPr>
                <w:rFonts w:ascii="宋体" w:hAnsi="宋体" w:cs="宋体" w:eastAsia="宋体" w:hint="default"/>
                <w:sz w:val="18"/>
                <w:szCs w:val="18"/>
              </w:rPr>
              <w:t>中天智慧科技有 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固定资产采购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704,509.93</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577,665.13</w:t>
            </w:r>
          </w:p>
        </w:tc>
      </w:tr>
      <w:tr>
        <w:trPr>
          <w:trHeight w:val="601"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13"/>
              <w:jc w:val="left"/>
              <w:rPr>
                <w:rFonts w:ascii="宋体" w:hAnsi="宋体" w:cs="宋体" w:eastAsia="宋体" w:hint="default"/>
                <w:sz w:val="18"/>
                <w:szCs w:val="18"/>
              </w:rPr>
            </w:pPr>
            <w:r>
              <w:rPr>
                <w:rFonts w:ascii="宋体" w:hAnsi="宋体" w:cs="宋体" w:eastAsia="宋体" w:hint="default"/>
                <w:sz w:val="18"/>
                <w:szCs w:val="18"/>
              </w:rPr>
              <w:t>中天智慧科技有 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3,381,268.23</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748,374.31</w:t>
            </w:r>
          </w:p>
        </w:tc>
      </w:tr>
      <w:tr>
        <w:trPr>
          <w:trHeight w:val="600"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13"/>
              <w:jc w:val="left"/>
              <w:rPr>
                <w:rFonts w:ascii="宋体" w:hAnsi="宋体" w:cs="宋体" w:eastAsia="宋体" w:hint="default"/>
                <w:sz w:val="18"/>
                <w:szCs w:val="18"/>
              </w:rPr>
            </w:pPr>
            <w:r>
              <w:rPr>
                <w:rFonts w:ascii="宋体" w:hAnsi="宋体" w:cs="宋体" w:eastAsia="宋体" w:hint="default"/>
                <w:sz w:val="18"/>
                <w:szCs w:val="18"/>
              </w:rPr>
              <w:t>中天智慧科技有 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143,948.80</w:t>
            </w:r>
          </w:p>
        </w:tc>
      </w:tr>
      <w:tr>
        <w:trPr>
          <w:trHeight w:val="40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19,729,864.07</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27,417,433.47</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出售商品</w:t>
      </w:r>
      <w:r>
        <w:rPr>
          <w:rFonts w:ascii="Times New Roman" w:hAnsi="Times New Roman" w:cs="Times New Roman" w:eastAsia="Times New Roman" w:hint="default"/>
        </w:rPr>
        <w:t>/</w:t>
      </w:r>
      <w:r>
        <w:rPr/>
        <w:t>提供劳务情况表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469"/>
        <w:gridCol w:w="2327"/>
        <w:gridCol w:w="2327"/>
        <w:gridCol w:w="2732"/>
      </w:tblGrid>
      <w:tr>
        <w:trPr>
          <w:trHeight w:val="406" w:hRule="exact"/>
        </w:trPr>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602"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95"/>
              <w:jc w:val="left"/>
              <w:rPr>
                <w:rFonts w:ascii="宋体" w:hAnsi="宋体" w:cs="宋体" w:eastAsia="宋体" w:hint="default"/>
                <w:sz w:val="18"/>
                <w:szCs w:val="18"/>
              </w:rPr>
            </w:pPr>
            <w:r>
              <w:rPr>
                <w:rFonts w:ascii="宋体" w:hAnsi="宋体" w:cs="宋体" w:eastAsia="宋体" w:hint="default"/>
                <w:sz w:val="18"/>
                <w:szCs w:val="18"/>
              </w:rPr>
              <w:t>上海畅联智融通讯科技有限 公司</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3,763,840.84</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9,054,099.90</w:t>
            </w:r>
          </w:p>
        </w:tc>
      </w:tr>
      <w:tr>
        <w:trPr>
          <w:trHeight w:val="601"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95"/>
              <w:jc w:val="left"/>
              <w:rPr>
                <w:rFonts w:ascii="宋体" w:hAnsi="宋体" w:cs="宋体" w:eastAsia="宋体" w:hint="default"/>
                <w:sz w:val="18"/>
                <w:szCs w:val="18"/>
              </w:rPr>
            </w:pPr>
            <w:r>
              <w:rPr>
                <w:rFonts w:ascii="宋体" w:hAnsi="宋体" w:cs="宋体" w:eastAsia="宋体" w:hint="default"/>
                <w:sz w:val="18"/>
                <w:szCs w:val="18"/>
              </w:rPr>
              <w:t>上海畅联智融通讯科技有限 公司</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2327"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432,340.90</w:t>
            </w:r>
          </w:p>
        </w:tc>
      </w:tr>
      <w:tr>
        <w:trPr>
          <w:trHeight w:val="407"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7,394,891.32</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6,115,340.44</w:t>
            </w:r>
          </w:p>
        </w:tc>
      </w:tr>
      <w:tr>
        <w:trPr>
          <w:trHeight w:val="407"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2,877,858.89</w:t>
            </w:r>
          </w:p>
        </w:tc>
      </w:tr>
      <w:tr>
        <w:trPr>
          <w:trHeight w:val="407"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PointMobileCo.Ltd.</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2327"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101,850.00</w:t>
            </w:r>
          </w:p>
        </w:tc>
      </w:tr>
      <w:tr>
        <w:trPr>
          <w:trHeight w:val="407"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PointMobileCo.Ltd.</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商品销售收入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10,863,388.14</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20,110,665.29</w:t>
            </w:r>
          </w:p>
        </w:tc>
      </w:tr>
      <w:tr>
        <w:trPr>
          <w:trHeight w:val="408"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PointMobileCo.Ltd.</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5,078,708.84</w:t>
            </w:r>
          </w:p>
        </w:tc>
      </w:tr>
      <w:tr>
        <w:trPr>
          <w:trHeight w:val="600"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95"/>
              <w:jc w:val="left"/>
              <w:rPr>
                <w:rFonts w:ascii="宋体" w:hAnsi="宋体" w:cs="宋体" w:eastAsia="宋体" w:hint="default"/>
                <w:sz w:val="18"/>
                <w:szCs w:val="18"/>
              </w:rPr>
            </w:pPr>
            <w:r>
              <w:rPr>
                <w:rFonts w:ascii="宋体" w:hAnsi="宋体" w:cs="宋体" w:eastAsia="宋体" w:hint="default"/>
                <w:sz w:val="18"/>
                <w:szCs w:val="18"/>
              </w:rPr>
              <w:t>北京云创远景软件有限责任 公司</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4,806,792.92</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7"/>
                <w:sz w:val="18"/>
                <w:szCs w:val="18"/>
              </w:rPr>
              <w:t>富因特电子（深圳）有限公司</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商品销售收入</w:t>
            </w:r>
          </w:p>
        </w:tc>
        <w:tc>
          <w:tcPr>
            <w:tcW w:w="2327"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311,157.31</w:t>
            </w:r>
          </w:p>
        </w:tc>
      </w:tr>
      <w:tr>
        <w:trPr>
          <w:trHeight w:val="600"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01"/>
              <w:jc w:val="left"/>
              <w:rPr>
                <w:rFonts w:ascii="宋体" w:hAnsi="宋体" w:cs="宋体" w:eastAsia="宋体" w:hint="default"/>
                <w:sz w:val="18"/>
                <w:szCs w:val="18"/>
              </w:rPr>
            </w:pPr>
            <w:r>
              <w:rPr>
                <w:rFonts w:ascii="宋体" w:hAnsi="宋体" w:cs="宋体" w:eastAsia="宋体" w:hint="default"/>
                <w:spacing w:val="-7"/>
                <w:sz w:val="18"/>
                <w:szCs w:val="18"/>
              </w:rPr>
              <w:t>柚子（北京）移动技术有限公</w:t>
            </w:r>
            <w:r>
              <w:rPr>
                <w:rFonts w:ascii="宋体" w:hAnsi="宋体" w:cs="宋体" w:eastAsia="宋体" w:hint="default"/>
                <w:sz w:val="18"/>
                <w:szCs w:val="18"/>
              </w:rPr>
              <w:t> 司</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3,764,028.77</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30,588,730.18</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44,082,021.57</w:t>
            </w:r>
          </w:p>
        </w:tc>
      </w:tr>
    </w:tbl>
    <w:p>
      <w:pPr>
        <w:spacing w:line="240" w:lineRule="auto" w:before="4"/>
        <w:rPr>
          <w:rFonts w:ascii="宋体" w:hAnsi="宋体" w:cs="宋体" w:eastAsia="宋体" w:hint="default"/>
          <w:sz w:val="11"/>
          <w:szCs w:val="11"/>
        </w:rPr>
      </w:pPr>
    </w:p>
    <w:p>
      <w:pPr>
        <w:spacing w:line="460" w:lineRule="auto" w:before="35"/>
        <w:ind w:left="1553" w:right="8539" w:firstLine="2"/>
        <w:jc w:val="left"/>
        <w:rPr>
          <w:rFonts w:ascii="宋体" w:hAnsi="宋体" w:cs="宋体" w:eastAsia="宋体" w:hint="default"/>
          <w:sz w:val="21"/>
          <w:szCs w:val="21"/>
        </w:rPr>
      </w:pPr>
      <w:bookmarkStart w:name="（2）关联担保情况"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after="0" w:line="460" w:lineRule="auto"/>
        <w:jc w:val="left"/>
        <w:rPr>
          <w:rFonts w:ascii="宋体" w:hAnsi="宋体" w:cs="宋体" w:eastAsia="宋体" w:hint="default"/>
          <w:sz w:val="21"/>
          <w:szCs w:val="21"/>
        </w:rPr>
        <w:sectPr>
          <w:pgSz w:w="11910" w:h="16840"/>
          <w:pgMar w:header="877" w:footer="979" w:top="1100" w:bottom="1160" w:left="0" w:right="0"/>
        </w:sectPr>
      </w:pPr>
    </w:p>
    <w:p>
      <w:pPr>
        <w:spacing w:line="240" w:lineRule="auto" w:before="10"/>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970"/>
        <w:gridCol w:w="1972"/>
        <w:gridCol w:w="1972"/>
        <w:gridCol w:w="1826"/>
        <w:gridCol w:w="2117"/>
      </w:tblGrid>
      <w:tr>
        <w:trPr>
          <w:trHeight w:val="406" w:hRule="exact"/>
        </w:trPr>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7"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8"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本公司作为担保方：</w:t>
      </w:r>
    </w:p>
    <w:p>
      <w:pPr>
        <w:spacing w:line="240" w:lineRule="auto" w:before="8"/>
        <w:rPr>
          <w:rFonts w:ascii="宋体" w:hAnsi="宋体" w:cs="宋体" w:eastAsia="宋体" w:hint="default"/>
          <w:sz w:val="21"/>
          <w:szCs w:val="21"/>
        </w:rPr>
      </w:pPr>
    </w:p>
    <w:p>
      <w:pPr>
        <w:pStyle w:val="BodyText"/>
        <w:spacing w:line="290" w:lineRule="auto"/>
        <w:ind w:left="1133" w:right="1132" w:firstLine="420"/>
        <w:jc w:val="both"/>
      </w:pPr>
      <w:r>
        <w:rPr>
          <w:rFonts w:ascii="Times New Roman" w:hAnsi="Times New Roman" w:cs="Times New Roman" w:eastAsia="Times New Roman" w:hint="default"/>
        </w:rPr>
        <w:t>1.</w:t>
      </w:r>
      <w:r>
        <w:rPr/>
        <w:t>根据本公司</w:t>
      </w:r>
      <w:r>
        <w:rPr>
          <w:spacing w:val="-8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8"/>
        </w:rPr>
        <w:t> </w:t>
      </w:r>
      <w:r>
        <w:rPr/>
        <w:t>年第一届董事会十三次会议决议，本公司使用汇丰银行（中国）有限公司北京分行 </w:t>
      </w:r>
      <w:r>
        <w:rPr>
          <w:spacing w:val="3"/>
        </w:rPr>
        <w:t>综合信用额度申请开立备用信用证为本公司之全资子公司香港天集有限公司在香港上海汇丰银行股份有</w:t>
      </w:r>
      <w:r>
        <w:rPr>
          <w:spacing w:val="-82"/>
        </w:rPr>
        <w:t> </w:t>
      </w:r>
      <w:r>
        <w:rPr>
          <w:spacing w:val="-82"/>
        </w:rPr>
      </w:r>
      <w:r>
        <w:rPr/>
        <w:t>限公司申请授信提供担保，金额为美元</w:t>
      </w:r>
      <w:r>
        <w:rPr>
          <w:spacing w:val="-54"/>
        </w:rPr>
        <w:t> </w:t>
      </w:r>
      <w:r>
        <w:rPr>
          <w:rFonts w:ascii="Times New Roman" w:hAnsi="Times New Roman" w:cs="Times New Roman" w:eastAsia="Times New Roman" w:hint="default"/>
        </w:rPr>
        <w:t>140</w:t>
      </w:r>
      <w:r>
        <w:rPr>
          <w:rFonts w:ascii="Times New Roman" w:hAnsi="Times New Roman" w:cs="Times New Roman" w:eastAsia="Times New Roman" w:hint="default"/>
          <w:spacing w:val="-12"/>
        </w:rPr>
        <w:t> </w:t>
      </w:r>
      <w:r>
        <w:rPr/>
        <w:t>万元整，担保期限为</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年，延期</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年。</w:t>
      </w:r>
    </w:p>
    <w:p>
      <w:pPr>
        <w:spacing w:line="240" w:lineRule="auto" w:before="9"/>
        <w:rPr>
          <w:rFonts w:ascii="宋体" w:hAnsi="宋体" w:cs="宋体" w:eastAsia="宋体" w:hint="default"/>
          <w:sz w:val="16"/>
          <w:szCs w:val="16"/>
        </w:rPr>
      </w:pPr>
    </w:p>
    <w:p>
      <w:pPr>
        <w:pStyle w:val="BodyText"/>
        <w:spacing w:line="290" w:lineRule="auto"/>
        <w:ind w:left="1133" w:right="1132" w:firstLine="420"/>
        <w:jc w:val="both"/>
      </w:pPr>
      <w:r>
        <w:rPr>
          <w:rFonts w:ascii="Times New Roman" w:hAnsi="Times New Roman" w:cs="Times New Roman" w:eastAsia="Times New Roman" w:hint="default"/>
        </w:rPr>
        <w:t>2.</w:t>
      </w:r>
      <w:r>
        <w:rPr/>
        <w:t>根据本公司</w:t>
      </w:r>
      <w:r>
        <w:rPr>
          <w:spacing w:val="-8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8"/>
        </w:rPr>
        <w:t> </w:t>
      </w:r>
      <w:r>
        <w:rPr/>
        <w:t>年第二届董事会十四次会议决议，本公司使用汇丰银行（中国）有限公司北京分行 </w:t>
      </w:r>
      <w:r>
        <w:rPr>
          <w:spacing w:val="3"/>
        </w:rPr>
        <w:t>综合信用额度申请开立备用信用证为本公司之全资子公司香港天集有限公司在香港上海汇丰银行股份有</w:t>
      </w:r>
      <w:r>
        <w:rPr>
          <w:spacing w:val="-82"/>
        </w:rPr>
        <w:t> </w:t>
      </w:r>
      <w:r>
        <w:rPr>
          <w:spacing w:val="-82"/>
        </w:rPr>
      </w:r>
      <w:r>
        <w:rPr/>
        <w:t>限公司申请授信提供担保，金额为美元</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12"/>
        </w:rPr>
        <w:t> </w:t>
      </w:r>
      <w:r>
        <w:rPr/>
        <w:t>万元整，担保期限为</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w:t>
      </w:r>
    </w:p>
    <w:p>
      <w:pPr>
        <w:spacing w:line="240" w:lineRule="auto" w:before="9"/>
        <w:rPr>
          <w:rFonts w:ascii="宋体" w:hAnsi="宋体" w:cs="宋体" w:eastAsia="宋体" w:hint="default"/>
          <w:sz w:val="16"/>
          <w:szCs w:val="16"/>
        </w:rPr>
      </w:pPr>
    </w:p>
    <w:p>
      <w:pPr>
        <w:pStyle w:val="BodyText"/>
        <w:spacing w:line="288" w:lineRule="auto"/>
        <w:ind w:left="1133" w:right="1132" w:firstLine="420"/>
        <w:jc w:val="both"/>
      </w:pPr>
      <w:r>
        <w:rPr>
          <w:rFonts w:ascii="Times New Roman" w:hAnsi="Times New Roman" w:cs="Times New Roman" w:eastAsia="Times New Roman" w:hint="default"/>
        </w:rPr>
        <w:t>3.</w:t>
      </w:r>
      <w:r>
        <w:rPr/>
        <w:t>根据本公司</w:t>
      </w:r>
      <w:r>
        <w:rPr>
          <w:spacing w:val="-8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8"/>
        </w:rPr>
        <w:t> </w:t>
      </w:r>
      <w:r>
        <w:rPr/>
        <w:t>年第二届董事会十八次会议决议，本公司使用汇丰银行（中国）有限公司北京分行 </w:t>
      </w:r>
      <w:r>
        <w:rPr>
          <w:spacing w:val="3"/>
        </w:rPr>
        <w:t>综合信用额度申请开立备用信用证为本公司之全资子公司香港天集有限公司在香港上海汇丰银行股份有</w:t>
      </w:r>
      <w:r>
        <w:rPr>
          <w:spacing w:val="-82"/>
        </w:rPr>
        <w:t> </w:t>
      </w:r>
      <w:r>
        <w:rPr>
          <w:spacing w:val="-82"/>
        </w:rPr>
      </w:r>
      <w:r>
        <w:rPr/>
        <w:t>限公司申请授信提供担保，金额为美元</w:t>
      </w:r>
      <w:r>
        <w:rPr>
          <w:spacing w:val="-54"/>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1"/>
        </w:rPr>
        <w:t> </w:t>
      </w:r>
      <w:r>
        <w:rPr/>
        <w:t>万元整。</w:t>
      </w:r>
    </w:p>
    <w:p>
      <w:pPr>
        <w:spacing w:line="240" w:lineRule="auto" w:before="13"/>
        <w:rPr>
          <w:rFonts w:ascii="宋体" w:hAnsi="宋体" w:cs="宋体" w:eastAsia="宋体" w:hint="default"/>
          <w:sz w:val="16"/>
          <w:szCs w:val="16"/>
        </w:rPr>
      </w:pPr>
    </w:p>
    <w:p>
      <w:pPr>
        <w:pStyle w:val="BodyText"/>
        <w:spacing w:line="288" w:lineRule="auto"/>
        <w:ind w:left="1134" w:right="1131" w:firstLine="420"/>
        <w:jc w:val="both"/>
      </w:pPr>
      <w:r>
        <w:rPr>
          <w:rFonts w:ascii="Times New Roman" w:hAnsi="Times New Roman" w:cs="Times New Roman" w:eastAsia="Times New Roman" w:hint="default"/>
        </w:rPr>
        <w:t>4.</w:t>
      </w:r>
      <w:r>
        <w:rPr/>
        <w:t>根据本公司</w:t>
      </w:r>
      <w:r>
        <w:rPr>
          <w:spacing w:val="-8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8"/>
        </w:rPr>
        <w:t> </w:t>
      </w:r>
      <w:r>
        <w:rPr/>
        <w:t>年第二届董事会十八次会议决议，本公司招商银行股份有限公司北京大运村支行综 </w:t>
      </w:r>
      <w:r>
        <w:rPr>
          <w:spacing w:val="3"/>
        </w:rPr>
        <w:t>合信用额度申请开立备用信用证为本公司之全资子公司香港天集有限公司在招商银行股份有限公司卢森</w:t>
      </w:r>
      <w:r>
        <w:rPr>
          <w:spacing w:val="-82"/>
        </w:rPr>
        <w:t> </w:t>
      </w:r>
      <w:r>
        <w:rPr>
          <w:spacing w:val="-82"/>
        </w:rPr>
      </w:r>
      <w:r>
        <w:rPr/>
        <w:t>堡分行申请授信提供担保，金额为欧元</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万元整。</w:t>
      </w:r>
    </w:p>
    <w:p>
      <w:pPr>
        <w:spacing w:line="240" w:lineRule="auto" w:before="11"/>
        <w:rPr>
          <w:rFonts w:ascii="宋体" w:hAnsi="宋体" w:cs="宋体" w:eastAsia="宋体" w:hint="default"/>
          <w:sz w:val="16"/>
          <w:szCs w:val="16"/>
        </w:rPr>
      </w:pPr>
    </w:p>
    <w:p>
      <w:pPr>
        <w:pStyle w:val="Heading4"/>
        <w:spacing w:line="240" w:lineRule="auto"/>
        <w:ind w:right="0"/>
        <w:jc w:val="left"/>
        <w:rPr>
          <w:b w:val="0"/>
          <w:bCs w:val="0"/>
        </w:rPr>
      </w:pPr>
      <w:bookmarkStart w:name="（3）关联方资金拆借" w:id="426"/>
      <w:bookmarkEnd w:id="426"/>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12"/>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970"/>
        <w:gridCol w:w="1971"/>
        <w:gridCol w:w="1973"/>
        <w:gridCol w:w="1971"/>
        <w:gridCol w:w="1972"/>
      </w:tblGrid>
      <w:tr>
        <w:trPr>
          <w:trHeight w:val="407" w:hRule="exact"/>
        </w:trPr>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拆借金额</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98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97" w:hRule="exact"/>
        </w:trPr>
        <w:tc>
          <w:tcPr>
            <w:tcW w:w="985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673" w:hRule="exact"/>
        </w:trPr>
        <w:tc>
          <w:tcPr>
            <w:tcW w:w="1970"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w:t>
            </w:r>
          </w:p>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971"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2,000,000.00</w:t>
            </w:r>
          </w:p>
        </w:tc>
        <w:tc>
          <w:tcPr>
            <w:tcW w:w="1973"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71"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72"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4）关联方资产转让、债务重组情况" w:id="427"/>
      <w:bookmarkEnd w:id="427"/>
      <w:r>
        <w:rPr>
          <w:b w:val="0"/>
          <w:bCs w:val="0"/>
        </w:rPr>
      </w:r>
      <w:r>
        <w:rPr/>
        <w:t>（</w:t>
      </w:r>
      <w:r>
        <w:rPr>
          <w:rFonts w:ascii="Times New Roman" w:hAnsi="Times New Roman" w:cs="Times New Roman" w:eastAsia="Times New Roman" w:hint="default"/>
        </w:rPr>
        <w:t>4</w:t>
      </w:r>
      <w:r>
        <w:rPr/>
        <w:t>）关联方资产转让、债务重组情况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462"/>
        <w:gridCol w:w="2465"/>
        <w:gridCol w:w="2464"/>
        <w:gridCol w:w="2465"/>
      </w:tblGrid>
      <w:tr>
        <w:trPr>
          <w:trHeight w:val="382"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2" w:hRule="exact"/>
        </w:trPr>
        <w:tc>
          <w:tcPr>
            <w:tcW w:w="246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4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固定资产转让</w:t>
            </w:r>
          </w:p>
        </w:tc>
        <w:tc>
          <w:tcPr>
            <w:tcW w:w="2464" w:type="dxa"/>
            <w:tcBorders>
              <w:top w:val="single" w:sz="12" w:space="0" w:color="D2D2D2"/>
              <w:left w:val="single" w:sz="4" w:space="0" w:color="000000"/>
              <w:bottom w:val="single" w:sz="4" w:space="0" w:color="000000"/>
              <w:right w:val="single" w:sz="4" w:space="0" w:color="000000"/>
            </w:tcBorders>
          </w:tcPr>
          <w:p>
            <w:pPr/>
          </w:p>
        </w:tc>
        <w:tc>
          <w:tcPr>
            <w:tcW w:w="24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46,755.60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杭州格像科技有限公司</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固定资产转让</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40,849.26</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5）关键管理人员报酬" w:id="428"/>
      <w:bookmarkEnd w:id="428"/>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after="0" w:line="240" w:lineRule="auto"/>
        <w:jc w:val="left"/>
        <w:sectPr>
          <w:pgSz w:w="11910" w:h="16840"/>
          <w:pgMar w:header="877" w:footer="979" w:top="1100" w:bottom="1160" w:left="0" w:right="0"/>
        </w:sectPr>
      </w:pPr>
    </w:p>
    <w:p>
      <w:pPr>
        <w:spacing w:line="240" w:lineRule="auto" w:before="10"/>
        <w:rPr>
          <w:rFonts w:ascii="宋体" w:hAnsi="宋体" w:cs="宋体" w:eastAsia="宋体" w:hint="default"/>
          <w:b/>
          <w:bCs/>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284"/>
        <w:gridCol w:w="3285"/>
        <w:gridCol w:w="3287"/>
      </w:tblGrid>
      <w:tr>
        <w:trPr>
          <w:trHeight w:val="406"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3,781,700.00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2,766,000.00</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6）其他关联交易" w:id="429"/>
      <w:bookmarkEnd w:id="429"/>
      <w:r>
        <w:rPr>
          <w:b w:val="0"/>
          <w:bCs w:val="0"/>
        </w:rPr>
      </w:r>
      <w:r>
        <w:rPr/>
        <w:t>（</w:t>
      </w:r>
      <w:r>
        <w:rPr>
          <w:rFonts w:ascii="Times New Roman" w:hAnsi="Times New Roman" w:cs="Times New Roman" w:eastAsia="Times New Roman" w:hint="default"/>
        </w:rPr>
        <w:t>6</w:t>
      </w:r>
      <w:r>
        <w:rPr/>
        <w:t>）其他关联交易</w:t>
      </w:r>
      <w:r>
        <w:rPr>
          <w:b w:val="0"/>
          <w:bCs w:val="0"/>
        </w:rPr>
      </w:r>
    </w:p>
    <w:p>
      <w:pPr>
        <w:spacing w:line="240" w:lineRule="auto" w:before="11"/>
        <w:rPr>
          <w:rFonts w:ascii="宋体" w:hAnsi="宋体" w:cs="宋体" w:eastAsia="宋体" w:hint="default"/>
          <w:b/>
          <w:bCs/>
          <w:sz w:val="19"/>
          <w:szCs w:val="19"/>
        </w:rPr>
      </w:pPr>
    </w:p>
    <w:p>
      <w:pPr>
        <w:pStyle w:val="BodyText"/>
        <w:spacing w:line="240" w:lineRule="auto"/>
        <w:ind w:left="1553" w:right="0"/>
        <w:jc w:val="left"/>
        <w:rPr>
          <w:rFonts w:ascii="微软雅黑" w:hAnsi="微软雅黑" w:cs="微软雅黑" w:eastAsia="微软雅黑" w:hint="default"/>
        </w:rPr>
      </w:pPr>
      <w:bookmarkStart w:name="6、关联方应收应付款项" w:id="430"/>
      <w:bookmarkEnd w:id="430"/>
      <w:r>
        <w:rPr/>
      </w:r>
      <w:r>
        <w:rPr>
          <w:rFonts w:ascii="Times New Roman" w:hAnsi="Times New Roman" w:cs="Times New Roman" w:eastAsia="Times New Roman" w:hint="default"/>
        </w:rPr>
        <w:t>6</w:t>
      </w:r>
      <w:r>
        <w:rPr>
          <w:rFonts w:ascii="微软雅黑" w:hAnsi="微软雅黑" w:cs="微软雅黑" w:eastAsia="微软雅黑" w:hint="default"/>
        </w:rPr>
        <w:t>、关联方应收应付款项</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应收项目" w:id="431"/>
      <w:bookmarkEnd w:id="43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643"/>
        <w:gridCol w:w="1643"/>
        <w:gridCol w:w="1643"/>
        <w:gridCol w:w="1642"/>
        <w:gridCol w:w="1642"/>
        <w:gridCol w:w="1643"/>
      </w:tblGrid>
      <w:tr>
        <w:trPr>
          <w:trHeight w:val="407" w:hRule="exact"/>
        </w:trPr>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43" w:type="dxa"/>
            <w:vMerge/>
            <w:tcBorders>
              <w:left w:val="single" w:sz="4" w:space="0" w:color="000000"/>
              <w:bottom w:val="single" w:sz="4" w:space="0" w:color="000000"/>
              <w:right w:val="single" w:sz="4" w:space="0" w:color="000000"/>
            </w:tcBorders>
            <w:shd w:val="clear" w:color="auto" w:fill="D2D2D2"/>
          </w:tcPr>
          <w:p>
            <w:pPr/>
          </w:p>
        </w:tc>
        <w:tc>
          <w:tcPr>
            <w:tcW w:w="1643" w:type="dxa"/>
            <w:vMerge/>
            <w:tcBorders>
              <w:left w:val="single" w:sz="4" w:space="0" w:color="000000"/>
              <w:bottom w:val="single" w:sz="4" w:space="0" w:color="000000"/>
              <w:right w:val="single" w:sz="4" w:space="0" w:color="000000"/>
            </w:tcBorders>
            <w:shd w:val="clear" w:color="auto" w:fill="D2D2D2"/>
          </w:tcPr>
          <w:p>
            <w:pP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00"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9"/>
              <w:jc w:val="left"/>
              <w:rPr>
                <w:rFonts w:ascii="宋体" w:hAnsi="宋体" w:cs="宋体" w:eastAsia="宋体" w:hint="default"/>
                <w:sz w:val="18"/>
                <w:szCs w:val="18"/>
              </w:rPr>
            </w:pPr>
            <w:r>
              <w:rPr>
                <w:rFonts w:ascii="宋体" w:hAnsi="宋体" w:cs="宋体" w:eastAsia="宋体" w:hint="default"/>
                <w:sz w:val="18"/>
                <w:szCs w:val="18"/>
              </w:rPr>
              <w:t>中天智慧科技有 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13,953,442.08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139,534.42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9,564,973.37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341,908.70</w:t>
            </w: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69"/>
              <w:jc w:val="left"/>
              <w:rPr>
                <w:rFonts w:ascii="宋体" w:hAnsi="宋体" w:cs="宋体" w:eastAsia="宋体" w:hint="default"/>
                <w:sz w:val="18"/>
                <w:szCs w:val="18"/>
              </w:rPr>
            </w:pPr>
            <w:r>
              <w:rPr>
                <w:rFonts w:ascii="宋体" w:hAnsi="宋体" w:cs="宋体" w:eastAsia="宋体" w:hint="default"/>
                <w:sz w:val="18"/>
                <w:szCs w:val="18"/>
              </w:rPr>
              <w:t>北京云创远景软 件有限责任公司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3,044,544.46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30,445.44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1,115,610.40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11,156.10</w:t>
            </w: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69"/>
              <w:jc w:val="left"/>
              <w:rPr>
                <w:rFonts w:ascii="宋体" w:hAnsi="宋体" w:cs="宋体" w:eastAsia="宋体" w:hint="default"/>
                <w:sz w:val="18"/>
                <w:szCs w:val="18"/>
              </w:rPr>
            </w:pPr>
            <w:r>
              <w:rPr>
                <w:rFonts w:ascii="宋体" w:hAnsi="宋体" w:cs="宋体" w:eastAsia="宋体" w:hint="default"/>
                <w:sz w:val="18"/>
                <w:szCs w:val="18"/>
              </w:rPr>
              <w:t>上海畅联智融通 讯科技有限公司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6,266,409.67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62,664.10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6,507,468.95</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65,074.69</w:t>
            </w: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9"/>
              <w:jc w:val="left"/>
              <w:rPr>
                <w:rFonts w:ascii="宋体" w:hAnsi="宋体" w:cs="宋体" w:eastAsia="宋体" w:hint="default"/>
                <w:sz w:val="18"/>
                <w:szCs w:val="18"/>
              </w:rPr>
            </w:pPr>
            <w:r>
              <w:rPr>
                <w:rFonts w:ascii="宋体" w:hAnsi="宋体" w:cs="宋体" w:eastAsia="宋体" w:hint="default"/>
                <w:sz w:val="18"/>
                <w:szCs w:val="18"/>
              </w:rPr>
              <w:t>北京安创空间科 技有限公司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1,417,932.78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14,179.33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949,130.42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9,491.30</w:t>
            </w:r>
          </w:p>
        </w:tc>
      </w:tr>
      <w:tr>
        <w:trPr>
          <w:trHeight w:val="600"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01"/>
              <w:jc w:val="left"/>
              <w:rPr>
                <w:rFonts w:ascii="宋体" w:hAnsi="宋体" w:cs="宋体" w:eastAsia="宋体" w:hint="default"/>
                <w:sz w:val="18"/>
                <w:szCs w:val="18"/>
              </w:rPr>
            </w:pPr>
            <w:r>
              <w:rPr>
                <w:rFonts w:ascii="宋体" w:hAnsi="宋体" w:cs="宋体" w:eastAsia="宋体" w:hint="default"/>
                <w:spacing w:val="-2"/>
                <w:sz w:val="18"/>
                <w:szCs w:val="18"/>
              </w:rPr>
              <w:t>柚子（北京）移动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3,827,425.00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38,274.25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6,000.00</w:t>
            </w:r>
          </w:p>
        </w:tc>
      </w:tr>
      <w:tr>
        <w:trPr>
          <w:trHeight w:val="54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168"/>
              <w:jc w:val="left"/>
              <w:rPr>
                <w:rFonts w:ascii="Times New Roman" w:hAnsi="Times New Roman" w:cs="Times New Roman" w:eastAsia="Times New Roman" w:hint="default"/>
                <w:sz w:val="18"/>
                <w:szCs w:val="18"/>
              </w:rPr>
            </w:pPr>
            <w:r>
              <w:rPr>
                <w:rFonts w:ascii="Times New Roman"/>
                <w:sz w:val="18"/>
              </w:rPr>
              <w:t>PointMobileCo.,Lt</w:t>
            </w:r>
            <w:r>
              <w:rPr>
                <w:rFonts w:ascii="Times New Roman"/>
                <w:w w:val="99"/>
                <w:sz w:val="18"/>
              </w:rPr>
              <w:t> </w:t>
            </w:r>
            <w:r>
              <w:rPr>
                <w:rFonts w:ascii="Times New Roman"/>
                <w:sz w:val="18"/>
              </w:rPr>
              <w:t>d.</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427,384.14</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0"/>
              <w:jc w:val="right"/>
              <w:rPr>
                <w:rFonts w:ascii="Times New Roman" w:hAnsi="Times New Roman" w:cs="Times New Roman" w:eastAsia="Times New Roman" w:hint="default"/>
                <w:sz w:val="18"/>
                <w:szCs w:val="18"/>
              </w:rPr>
            </w:pPr>
            <w:r>
              <w:rPr>
                <w:rFonts w:ascii="Times New Roman"/>
                <w:spacing w:val="-1"/>
                <w:sz w:val="18"/>
              </w:rPr>
              <w:t>3,110,955.72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01"/>
              <w:jc w:val="right"/>
              <w:rPr>
                <w:rFonts w:ascii="Times New Roman" w:hAnsi="Times New Roman" w:cs="Times New Roman" w:eastAsia="Times New Roman" w:hint="default"/>
                <w:sz w:val="18"/>
                <w:szCs w:val="18"/>
              </w:rPr>
            </w:pPr>
            <w:r>
              <w:rPr>
                <w:rFonts w:ascii="Times New Roman"/>
                <w:sz w:val="18"/>
              </w:rPr>
              <w:t>31,109.56</w:t>
            </w: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269"/>
              <w:jc w:val="left"/>
              <w:rPr>
                <w:rFonts w:ascii="宋体" w:hAnsi="宋体" w:cs="宋体" w:eastAsia="宋体" w:hint="default"/>
                <w:sz w:val="18"/>
                <w:szCs w:val="18"/>
              </w:rPr>
            </w:pPr>
            <w:r>
              <w:rPr>
                <w:rFonts w:ascii="宋体" w:hAnsi="宋体" w:cs="宋体" w:eastAsia="宋体" w:hint="default"/>
                <w:sz w:val="18"/>
                <w:szCs w:val="18"/>
              </w:rPr>
              <w:t>杭州格像科技有 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300,000.00</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269"/>
              <w:jc w:val="left"/>
              <w:rPr>
                <w:rFonts w:ascii="宋体" w:hAnsi="宋体" w:cs="宋体" w:eastAsia="宋体" w:hint="default"/>
                <w:sz w:val="18"/>
                <w:szCs w:val="18"/>
              </w:rPr>
            </w:pPr>
            <w:r>
              <w:rPr>
                <w:rFonts w:ascii="宋体" w:hAnsi="宋体" w:cs="宋体" w:eastAsia="宋体" w:hint="default"/>
                <w:sz w:val="18"/>
                <w:szCs w:val="18"/>
              </w:rPr>
              <w:t>北京安创空间科 技有限公司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147,776.00</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69"/>
              <w:jc w:val="left"/>
              <w:rPr>
                <w:rFonts w:ascii="宋体" w:hAnsi="宋体" w:cs="宋体" w:eastAsia="宋体" w:hint="default"/>
                <w:sz w:val="18"/>
                <w:szCs w:val="18"/>
              </w:rPr>
            </w:pPr>
            <w:r>
              <w:rPr>
                <w:rFonts w:ascii="宋体" w:hAnsi="宋体" w:cs="宋体" w:eastAsia="宋体" w:hint="default"/>
                <w:sz w:val="18"/>
                <w:szCs w:val="18"/>
              </w:rPr>
              <w:t>北京云创远景软 件有限责任公司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357,335.00</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69"/>
              <w:jc w:val="left"/>
              <w:rPr>
                <w:rFonts w:ascii="宋体" w:hAnsi="宋体" w:cs="宋体" w:eastAsia="宋体" w:hint="default"/>
                <w:sz w:val="18"/>
                <w:szCs w:val="18"/>
              </w:rPr>
            </w:pPr>
            <w:r>
              <w:rPr>
                <w:rFonts w:ascii="宋体" w:hAnsi="宋体" w:cs="宋体" w:eastAsia="宋体" w:hint="default"/>
                <w:sz w:val="18"/>
                <w:szCs w:val="18"/>
              </w:rPr>
              <w:t>北京云创远景软 件有限责任公司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2,045,833.33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20,458.33</w:t>
            </w: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69"/>
              <w:jc w:val="left"/>
              <w:rPr>
                <w:rFonts w:ascii="宋体" w:hAnsi="宋体" w:cs="宋体" w:eastAsia="宋体" w:hint="default"/>
                <w:sz w:val="18"/>
                <w:szCs w:val="18"/>
              </w:rPr>
            </w:pPr>
            <w:r>
              <w:rPr>
                <w:rFonts w:ascii="宋体" w:hAnsi="宋体" w:cs="宋体" w:eastAsia="宋体" w:hint="default"/>
                <w:sz w:val="18"/>
                <w:szCs w:val="18"/>
              </w:rPr>
              <w:t>中天智慧科技有 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46,755.60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467.56</w:t>
            </w:r>
          </w:p>
        </w:tc>
      </w:tr>
      <w:tr>
        <w:trPr>
          <w:trHeight w:val="601"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269"/>
              <w:jc w:val="left"/>
              <w:rPr>
                <w:rFonts w:ascii="宋体" w:hAnsi="宋体" w:cs="宋体" w:eastAsia="宋体" w:hint="default"/>
                <w:sz w:val="18"/>
                <w:szCs w:val="18"/>
              </w:rPr>
            </w:pPr>
            <w:r>
              <w:rPr>
                <w:rFonts w:ascii="宋体" w:hAnsi="宋体" w:cs="宋体" w:eastAsia="宋体" w:hint="default"/>
                <w:sz w:val="18"/>
                <w:szCs w:val="18"/>
              </w:rPr>
              <w:t>杭州格像科技有 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40,849.26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408.49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40,849.26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408.49</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2）应付项目" w:id="432"/>
      <w:bookmarkEnd w:id="43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2462"/>
        <w:gridCol w:w="2465"/>
        <w:gridCol w:w="2464"/>
        <w:gridCol w:w="2465"/>
      </w:tblGrid>
      <w:tr>
        <w:trPr>
          <w:trHeight w:val="35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31" w:hRule="exact"/>
        </w:trPr>
        <w:tc>
          <w:tcPr>
            <w:tcW w:w="246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T2MobileInternationalLimited</w:t>
            </w:r>
          </w:p>
        </w:tc>
        <w:tc>
          <w:tcPr>
            <w:tcW w:w="246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4,538,099.92</w:t>
            </w:r>
          </w:p>
        </w:tc>
        <w:tc>
          <w:tcPr>
            <w:tcW w:w="246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pacing w:val="-1"/>
                <w:sz w:val="18"/>
              </w:rPr>
              <w:t>3,128,788.17</w:t>
            </w:r>
          </w:p>
        </w:tc>
      </w:tr>
      <w:tr>
        <w:trPr>
          <w:trHeight w:val="408"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1,453,089.87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2,302,607.96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462"/>
        <w:gridCol w:w="2465"/>
        <w:gridCol w:w="2464"/>
        <w:gridCol w:w="2465"/>
      </w:tblGrid>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90"/>
              <w:jc w:val="left"/>
              <w:rPr>
                <w:rFonts w:ascii="宋体" w:hAnsi="宋体" w:cs="宋体" w:eastAsia="宋体" w:hint="default"/>
                <w:sz w:val="18"/>
                <w:szCs w:val="18"/>
              </w:rPr>
            </w:pPr>
            <w:r>
              <w:rPr>
                <w:rFonts w:ascii="宋体" w:hAnsi="宋体" w:cs="宋体" w:eastAsia="宋体" w:hint="default"/>
                <w:sz w:val="18"/>
                <w:szCs w:val="18"/>
              </w:rPr>
              <w:t>上海畅联智融通讯科技有限 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1,336,217.70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86,389.57</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柚子（北京）科技有限公司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206,319.94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278,594.87</w:t>
            </w:r>
          </w:p>
        </w:tc>
      </w:tr>
      <w:tr>
        <w:trPr>
          <w:trHeight w:val="601"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90"/>
              <w:jc w:val="left"/>
              <w:rPr>
                <w:rFonts w:ascii="宋体" w:hAnsi="宋体" w:cs="宋体" w:eastAsia="宋体" w:hint="default"/>
                <w:sz w:val="18"/>
                <w:szCs w:val="18"/>
              </w:rPr>
            </w:pPr>
            <w:r>
              <w:rPr>
                <w:rFonts w:ascii="宋体" w:hAnsi="宋体" w:cs="宋体" w:eastAsia="宋体" w:hint="default"/>
                <w:sz w:val="18"/>
                <w:szCs w:val="18"/>
              </w:rPr>
              <w:t>柚子（北京）移动技术有限 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40,735.65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247,123.81</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深圳互连科技有限公司</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186,318.89</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3,336,682.50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316,045.13</w:t>
            </w:r>
          </w:p>
        </w:tc>
      </w:tr>
      <w:tr>
        <w:trPr>
          <w:trHeight w:val="602"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90"/>
              <w:jc w:val="left"/>
              <w:rPr>
                <w:rFonts w:ascii="宋体" w:hAnsi="宋体" w:cs="宋体" w:eastAsia="宋体" w:hint="default"/>
                <w:sz w:val="18"/>
                <w:szCs w:val="18"/>
              </w:rPr>
            </w:pPr>
            <w:r>
              <w:rPr>
                <w:rFonts w:ascii="宋体" w:hAnsi="宋体" w:cs="宋体" w:eastAsia="宋体" w:hint="default"/>
                <w:sz w:val="18"/>
                <w:szCs w:val="18"/>
              </w:rPr>
              <w:t>北京云创远景软件有限责任 公司</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46,046.00</w:t>
            </w:r>
          </w:p>
        </w:tc>
      </w:tr>
    </w:tbl>
    <w:p>
      <w:pPr>
        <w:spacing w:line="240" w:lineRule="auto" w:before="8"/>
        <w:rPr>
          <w:rFonts w:ascii="宋体" w:hAnsi="宋体" w:cs="宋体" w:eastAsia="宋体" w:hint="default"/>
          <w:sz w:val="11"/>
          <w:szCs w:val="11"/>
        </w:rPr>
      </w:pPr>
    </w:p>
    <w:p>
      <w:pPr>
        <w:pStyle w:val="BodyText"/>
        <w:spacing w:line="324" w:lineRule="exact"/>
        <w:ind w:right="0"/>
        <w:jc w:val="left"/>
        <w:rPr>
          <w:rFonts w:ascii="微软雅黑" w:hAnsi="微软雅黑" w:cs="微软雅黑" w:eastAsia="微软雅黑" w:hint="default"/>
        </w:rPr>
      </w:pPr>
      <w:bookmarkStart w:name="7、关联方承诺" w:id="433"/>
      <w:bookmarkEnd w:id="433"/>
      <w:r>
        <w:rPr/>
      </w:r>
      <w:r>
        <w:rPr>
          <w:rFonts w:ascii="Times New Roman" w:hAnsi="Times New Roman" w:cs="Times New Roman" w:eastAsia="Times New Roman" w:hint="default"/>
        </w:rPr>
        <w:t>7</w:t>
      </w:r>
      <w:r>
        <w:rPr>
          <w:rFonts w:ascii="微软雅黑" w:hAnsi="微软雅黑" w:cs="微软雅黑" w:eastAsia="微软雅黑" w:hint="default"/>
        </w:rPr>
        <w:t>、关联方承诺</w:t>
      </w:r>
    </w:p>
    <w:p>
      <w:pPr>
        <w:spacing w:line="240" w:lineRule="auto" w:before="5"/>
        <w:rPr>
          <w:rFonts w:ascii="微软雅黑" w:hAnsi="微软雅黑" w:cs="微软雅黑" w:eastAsia="微软雅黑" w:hint="default"/>
          <w:sz w:val="19"/>
          <w:szCs w:val="19"/>
        </w:rPr>
      </w:pPr>
    </w:p>
    <w:p>
      <w:pPr>
        <w:pStyle w:val="BodyText"/>
        <w:spacing w:line="240" w:lineRule="auto"/>
        <w:ind w:right="0"/>
        <w:jc w:val="left"/>
        <w:rPr>
          <w:rFonts w:ascii="微软雅黑" w:hAnsi="微软雅黑" w:cs="微软雅黑" w:eastAsia="微软雅黑" w:hint="default"/>
        </w:rPr>
      </w:pPr>
      <w:bookmarkStart w:name="8、其他" w:id="434"/>
      <w:bookmarkEnd w:id="434"/>
      <w:r>
        <w:rPr/>
      </w:r>
      <w:r>
        <w:rPr>
          <w:rFonts w:ascii="Times New Roman" w:hAnsi="Times New Roman" w:cs="Times New Roman" w:eastAsia="Times New Roman" w:hint="default"/>
        </w:rPr>
        <w:t>8</w:t>
      </w:r>
      <w:r>
        <w:rPr>
          <w:rFonts w:ascii="微软雅黑" w:hAnsi="微软雅黑" w:cs="微软雅黑" w:eastAsia="微软雅黑" w:hint="default"/>
        </w:rPr>
        <w:t>、其他</w:t>
      </w:r>
    </w:p>
    <w:p>
      <w:pPr>
        <w:spacing w:line="240" w:lineRule="auto" w:before="8"/>
        <w:rPr>
          <w:rFonts w:ascii="微软雅黑" w:hAnsi="微软雅黑" w:cs="微软雅黑" w:eastAsia="微软雅黑" w:hint="default"/>
          <w:sz w:val="27"/>
          <w:szCs w:val="27"/>
        </w:rPr>
      </w:pPr>
    </w:p>
    <w:p>
      <w:pPr>
        <w:pStyle w:val="Heading2"/>
        <w:spacing w:line="240" w:lineRule="auto"/>
        <w:ind w:left="1133" w:right="0"/>
        <w:jc w:val="left"/>
      </w:pPr>
      <w:bookmarkStart w:name="十三、股份支付" w:id="435"/>
      <w:bookmarkEnd w:id="435"/>
      <w:r>
        <w:rPr/>
      </w:r>
      <w:r>
        <w:rPr/>
        <w:t>十三、股份支付</w:t>
      </w:r>
    </w:p>
    <w:p>
      <w:pPr>
        <w:spacing w:line="240" w:lineRule="auto" w:before="11"/>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股份支付总体情况" w:id="436"/>
      <w:bookmarkEnd w:id="436"/>
      <w:r>
        <w:rPr/>
      </w:r>
      <w:r>
        <w:rPr>
          <w:rFonts w:ascii="Times New Roman" w:hAnsi="Times New Roman" w:cs="Times New Roman" w:eastAsia="Times New Roman" w:hint="default"/>
        </w:rPr>
        <w:t>1</w:t>
      </w:r>
      <w:r>
        <w:rPr>
          <w:rFonts w:ascii="微软雅黑" w:hAnsi="微软雅黑" w:cs="微软雅黑" w:eastAsia="微软雅黑" w:hint="default"/>
        </w:rPr>
        <w:t>、股份支付总体情况</w:t>
      </w:r>
    </w:p>
    <w:p>
      <w:pPr>
        <w:spacing w:line="240" w:lineRule="auto" w:before="7"/>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5618"/>
        <w:gridCol w:w="4238"/>
      </w:tblGrid>
      <w:tr>
        <w:trPr>
          <w:trHeight w:val="407"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36,489,150.00</w:t>
            </w:r>
          </w:p>
        </w:tc>
      </w:tr>
      <w:tr>
        <w:trPr>
          <w:trHeight w:val="407"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85,758,173.77</w:t>
            </w:r>
          </w:p>
        </w:tc>
      </w:tr>
      <w:tr>
        <w:trPr>
          <w:trHeight w:val="407"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38,158,158.74</w:t>
            </w:r>
          </w:p>
        </w:tc>
      </w:tr>
      <w:tr>
        <w:trPr>
          <w:trHeight w:val="835"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9"/>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 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年激励计划行权价格为</w:t>
            </w:r>
          </w:p>
          <w:p>
            <w:pPr>
              <w:pStyle w:val="TableParagraph"/>
              <w:spacing w:line="22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年股权激励计划基本情况</w:t>
      </w:r>
    </w:p>
    <w:p>
      <w:pPr>
        <w:spacing w:line="240" w:lineRule="auto" w:before="6"/>
        <w:rPr>
          <w:rFonts w:ascii="宋体" w:hAnsi="宋体" w:cs="宋体" w:eastAsia="宋体" w:hint="default"/>
          <w:sz w:val="20"/>
          <w:szCs w:val="20"/>
        </w:rPr>
      </w:pPr>
    </w:p>
    <w:p>
      <w:pPr>
        <w:pStyle w:val="BodyText"/>
        <w:spacing w:line="285" w:lineRule="auto"/>
        <w:ind w:left="1133" w:right="1130" w:firstLine="420"/>
        <w:jc w:val="both"/>
      </w:pPr>
      <w:r>
        <w:rPr/>
        <w:t>本公司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日召开</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年第一次临时股东大会审议通过了《关于</w:t>
      </w:r>
      <w:r>
        <w:rPr>
          <w:rFonts w:ascii="Times New Roman" w:hAnsi="Times New Roman" w:cs="Times New Roman" w:eastAsia="Times New Roman" w:hint="default"/>
        </w:rPr>
        <w:t>&lt;</w:t>
      </w:r>
      <w:r>
        <w:rPr/>
        <w:t>中科创达软件股份有限</w:t>
      </w:r>
      <w:r>
        <w:rPr>
          <w:spacing w:val="-2"/>
        </w:rPr>
        <w:t> 公司限制性股票激励计划（草案）及其摘要</w:t>
      </w:r>
      <w:r>
        <w:rPr>
          <w:rFonts w:ascii="Times New Roman" w:hAnsi="Times New Roman" w:cs="Times New Roman" w:eastAsia="Times New Roman" w:hint="default"/>
          <w:spacing w:val="-2"/>
        </w:rPr>
        <w:t>&gt;</w:t>
      </w:r>
      <w:r>
        <w:rPr>
          <w:spacing w:val="-2"/>
        </w:rPr>
        <w:t>的议案》和《</w:t>
      </w:r>
      <w:r>
        <w:rPr>
          <w:rFonts w:ascii="Times New Roman" w:hAnsi="Times New Roman" w:cs="Times New Roman" w:eastAsia="Times New Roman" w:hint="default"/>
          <w:spacing w:val="-2"/>
        </w:rPr>
        <w:t>&lt;</w:t>
      </w:r>
      <w:r>
        <w:rPr>
          <w:spacing w:val="-2"/>
        </w:rPr>
        <w:t>中科创达软件股份有限公司股票增值权激励计</w:t>
      </w:r>
      <w:r>
        <w:rPr>
          <w:spacing w:val="-61"/>
        </w:rPr>
        <w:t> </w:t>
      </w:r>
      <w:r>
        <w:rPr/>
        <w:t>划（草案）及其摘要</w:t>
      </w:r>
      <w:r>
        <w:rPr>
          <w:rFonts w:ascii="Times New Roman" w:hAnsi="Times New Roman" w:cs="Times New Roman" w:eastAsia="Times New Roman" w:hint="default"/>
        </w:rPr>
        <w:t>&gt;</w:t>
      </w:r>
      <w:r>
        <w:rPr/>
        <w:t>的议案》，于</w:t>
      </w:r>
      <w:r>
        <w:rPr>
          <w:spacing w:val="-3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3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3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日第二届董事会第五次会议和第二届监事会第四次会 </w:t>
      </w:r>
      <w:r>
        <w:rPr>
          <w:spacing w:val="-1"/>
        </w:rPr>
        <w:t>议审议通过了《关于对公司限制性股票激励计划进行调整的议案》、《关于向激励对象授予限制性股票的</w:t>
      </w:r>
      <w:r>
        <w:rPr>
          <w:spacing w:val="-84"/>
        </w:rPr>
        <w:t> </w:t>
      </w:r>
      <w:r>
        <w:rPr>
          <w:spacing w:val="-84"/>
        </w:rPr>
      </w:r>
      <w:r>
        <w:rPr/>
        <w:t>议案》和《关于向激励对象授予股票增值权的议案》，于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日第二届董事会第七次会议审议 </w:t>
      </w:r>
      <w:r>
        <w:rPr>
          <w:spacing w:val="-1"/>
        </w:rPr>
        <w:t>通过了《关于确认限制性股票授予人数和股份数的议案》，实际向董事会认为需要激励的员工（“激励对</w:t>
      </w:r>
    </w:p>
    <w:p>
      <w:pPr>
        <w:spacing w:after="0" w:line="285"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4" w:right="0"/>
        <w:jc w:val="both"/>
        <w:rPr>
          <w:rFonts w:ascii="Times New Roman" w:hAnsi="Times New Roman" w:cs="Times New Roman" w:eastAsia="Times New Roman" w:hint="default"/>
        </w:rPr>
      </w:pPr>
      <w:r>
        <w:rPr/>
        <w:t>象”）授予限制性股票</w:t>
      </w:r>
      <w:r>
        <w:rPr>
          <w:spacing w:val="-43"/>
        </w:rPr>
        <w:t> </w:t>
      </w:r>
      <w:r>
        <w:rPr>
          <w:rFonts w:ascii="Times New Roman" w:hAnsi="Times New Roman" w:cs="Times New Roman" w:eastAsia="Times New Roman" w:hint="default"/>
        </w:rPr>
        <w:t>3,137,854</w:t>
      </w:r>
      <w:r>
        <w:rPr>
          <w:rFonts w:ascii="Times New Roman" w:hAnsi="Times New Roman" w:cs="Times New Roman" w:eastAsia="Times New Roman" w:hint="default"/>
          <w:spacing w:val="-9"/>
        </w:rPr>
        <w:t> </w:t>
      </w:r>
      <w:r>
        <w:rPr/>
        <w:t>股，授予价格</w:t>
      </w:r>
      <w:r>
        <w:rPr>
          <w:spacing w:val="-42"/>
        </w:rPr>
        <w:t> </w:t>
      </w:r>
      <w:r>
        <w:rPr>
          <w:rFonts w:ascii="Times New Roman" w:hAnsi="Times New Roman" w:cs="Times New Roman" w:eastAsia="Times New Roman" w:hint="default"/>
        </w:rPr>
        <w:t>85.48</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股，授予股票增值权</w:t>
      </w:r>
      <w:r>
        <w:rPr>
          <w:spacing w:val="-42"/>
        </w:rPr>
        <w:t> </w:t>
      </w:r>
      <w:r>
        <w:rPr>
          <w:rFonts w:ascii="Times New Roman" w:hAnsi="Times New Roman" w:cs="Times New Roman" w:eastAsia="Times New Roman" w:hint="default"/>
        </w:rPr>
        <w:t>283,000</w:t>
      </w:r>
      <w:r>
        <w:rPr>
          <w:rFonts w:ascii="Times New Roman" w:hAnsi="Times New Roman" w:cs="Times New Roman" w:eastAsia="Times New Roman" w:hint="default"/>
          <w:spacing w:val="-8"/>
        </w:rPr>
        <w:t> </w:t>
      </w:r>
      <w:r>
        <w:rPr/>
        <w:t>份，行权价格</w:t>
      </w:r>
      <w:r>
        <w:rPr>
          <w:spacing w:val="-43"/>
        </w:rPr>
        <w:t> </w:t>
      </w:r>
      <w:r>
        <w:rPr>
          <w:rFonts w:ascii="Times New Roman" w:hAnsi="Times New Roman" w:cs="Times New Roman" w:eastAsia="Times New Roman" w:hint="default"/>
        </w:rPr>
        <w:t>85.48</w:t>
      </w:r>
    </w:p>
    <w:p>
      <w:pPr>
        <w:pStyle w:val="BodyText"/>
        <w:spacing w:line="240" w:lineRule="auto" w:before="50"/>
        <w:ind w:left="1133" w:right="0"/>
        <w:jc w:val="both"/>
      </w:pPr>
      <w:r>
        <w:rPr/>
        <w:t>元</w:t>
      </w:r>
      <w:r>
        <w:rPr>
          <w:rFonts w:ascii="Times New Roman" w:hAnsi="Times New Roman" w:cs="Times New Roman" w:eastAsia="Times New Roman" w:hint="default"/>
        </w:rPr>
        <w:t>/</w:t>
      </w:r>
      <w:r>
        <w:rPr/>
        <w:t>份，授予日</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本股权激励计划的有效期为</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年，自限制性股票和股票增值权授予之日起计算；自中科创达授予日起</w:t>
      </w:r>
    </w:p>
    <w:p>
      <w:pPr>
        <w:pStyle w:val="BodyText"/>
        <w:spacing w:line="280" w:lineRule="auto" w:before="50"/>
        <w:ind w:left="1133" w:right="113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个月为锁定期</w:t>
      </w:r>
      <w:r>
        <w:rPr>
          <w:rFonts w:ascii="Times New Roman" w:hAnsi="Times New Roman" w:cs="Times New Roman" w:eastAsia="Times New Roman" w:hint="default"/>
        </w:rPr>
        <w:t>/</w:t>
      </w:r>
      <w:r>
        <w:rPr/>
        <w:t>等待期，锁定期</w:t>
      </w:r>
      <w:r>
        <w:rPr>
          <w:rFonts w:ascii="Times New Roman" w:hAnsi="Times New Roman" w:cs="Times New Roman" w:eastAsia="Times New Roman" w:hint="default"/>
        </w:rPr>
        <w:t>/</w:t>
      </w:r>
      <w:r>
        <w:rPr/>
        <w:t>等待期后为解锁期</w:t>
      </w:r>
      <w:r>
        <w:rPr>
          <w:rFonts w:ascii="Times New Roman" w:hAnsi="Times New Roman" w:cs="Times New Roman" w:eastAsia="Times New Roman" w:hint="default"/>
        </w:rPr>
        <w:t>/</w:t>
      </w:r>
      <w:r>
        <w:rPr/>
        <w:t>行权期。在锁定期</w:t>
      </w:r>
      <w:r>
        <w:rPr>
          <w:rFonts w:ascii="Times New Roman" w:hAnsi="Times New Roman" w:cs="Times New Roman" w:eastAsia="Times New Roman" w:hint="default"/>
        </w:rPr>
        <w:t>/</w:t>
      </w:r>
      <w:r>
        <w:rPr/>
        <w:t>等待期和解锁期</w:t>
      </w:r>
      <w:r>
        <w:rPr>
          <w:rFonts w:ascii="Times New Roman" w:hAnsi="Times New Roman" w:cs="Times New Roman" w:eastAsia="Times New Roman" w:hint="default"/>
        </w:rPr>
        <w:t>/</w:t>
      </w:r>
      <w:r>
        <w:rPr/>
        <w:t>行权期内，激励</w:t>
      </w:r>
      <w:r>
        <w:rPr>
          <w:spacing w:val="-103"/>
        </w:rPr>
        <w:t> </w:t>
      </w:r>
      <w:r>
        <w:rPr>
          <w:spacing w:val="-103"/>
        </w:rPr>
      </w:r>
      <w:r>
        <w:rPr>
          <w:spacing w:val="-2"/>
        </w:rPr>
        <w:t>对象根据本股权激励计划所获授的尚未解锁</w:t>
      </w:r>
      <w:r>
        <w:rPr>
          <w:rFonts w:ascii="Times New Roman" w:hAnsi="Times New Roman" w:cs="Times New Roman" w:eastAsia="Times New Roman" w:hint="default"/>
          <w:spacing w:val="-2"/>
        </w:rPr>
        <w:t>/</w:t>
      </w:r>
      <w:r>
        <w:rPr>
          <w:spacing w:val="-2"/>
        </w:rPr>
        <w:t>行权的限制性股票和股票增值权，不得转让或用于担保或偿还</w:t>
      </w:r>
      <w:r>
        <w:rPr>
          <w:spacing w:val="-92"/>
        </w:rPr>
        <w:t> </w:t>
      </w:r>
      <w:r>
        <w:rPr>
          <w:spacing w:val="-92"/>
        </w:rPr>
      </w:r>
      <w:r>
        <w:rPr/>
        <w:t>债务。自授予日起的</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个月后为解锁期</w:t>
      </w:r>
      <w:r>
        <w:rPr>
          <w:rFonts w:ascii="Times New Roman" w:hAnsi="Times New Roman" w:cs="Times New Roman" w:eastAsia="Times New Roman" w:hint="default"/>
        </w:rPr>
        <w:t>/</w:t>
      </w:r>
      <w:r>
        <w:rPr/>
        <w:t>行权期，授予的限制性股票和股票增值权的解锁期</w:t>
      </w:r>
      <w:r>
        <w:rPr>
          <w:rFonts w:ascii="Times New Roman" w:hAnsi="Times New Roman" w:cs="Times New Roman" w:eastAsia="Times New Roman" w:hint="default"/>
        </w:rPr>
        <w:t>/</w:t>
      </w:r>
      <w:r>
        <w:rPr/>
        <w:t>行权期及各期 解锁</w:t>
      </w:r>
      <w:r>
        <w:rPr>
          <w:rFonts w:ascii="Times New Roman" w:hAnsi="Times New Roman" w:cs="Times New Roman" w:eastAsia="Times New Roman" w:hint="default"/>
        </w:rPr>
        <w:t>/</w:t>
      </w:r>
      <w:r>
        <w:rPr/>
        <w:t>行权时间安排如下表所示：</w:t>
      </w:r>
    </w:p>
    <w:p>
      <w:pPr>
        <w:spacing w:line="240" w:lineRule="auto" w:before="5"/>
        <w:rPr>
          <w:rFonts w:ascii="宋体" w:hAnsi="宋体" w:cs="宋体" w:eastAsia="宋体" w:hint="default"/>
          <w:sz w:val="17"/>
          <w:szCs w:val="17"/>
        </w:rPr>
      </w:pPr>
    </w:p>
    <w:p>
      <w:pPr>
        <w:pStyle w:val="BodyText"/>
        <w:spacing w:line="280" w:lineRule="auto"/>
        <w:ind w:left="1133" w:right="1130" w:firstLine="420"/>
        <w:jc w:val="both"/>
      </w:pPr>
      <w:r>
        <w:rPr>
          <w:rFonts w:ascii="Times New Roman" w:hAnsi="Times New Roman" w:cs="Times New Roman" w:eastAsia="Times New Roman" w:hint="default"/>
        </w:rPr>
        <w:t>1</w:t>
      </w:r>
      <w:r>
        <w:rPr/>
        <w:t>、第一次解锁期</w:t>
      </w:r>
      <w:r>
        <w:rPr>
          <w:rFonts w:ascii="Times New Roman" w:hAnsi="Times New Roman" w:cs="Times New Roman" w:eastAsia="Times New Roman" w:hint="default"/>
        </w:rPr>
        <w:t>/</w:t>
      </w:r>
      <w:r>
        <w:rPr/>
        <w:t>行权期为自授予日起</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个月后的首个交易日起至授予日起</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个月内的最后一个交 易日当日止，解锁数量是获授标的股票总数的</w:t>
      </w:r>
      <w:r>
        <w:rPr>
          <w:spacing w:val="-52"/>
        </w:rPr>
        <w:t> </w:t>
      </w:r>
      <w:r>
        <w:rPr>
          <w:rFonts w:ascii="Times New Roman" w:hAnsi="Times New Roman" w:cs="Times New Roman" w:eastAsia="Times New Roman" w:hint="default"/>
        </w:rPr>
        <w:t>30%</w:t>
      </w:r>
      <w:r>
        <w:rPr/>
        <w:t>；</w:t>
      </w:r>
    </w:p>
    <w:p>
      <w:pPr>
        <w:spacing w:line="240" w:lineRule="auto" w:before="5"/>
        <w:rPr>
          <w:rFonts w:ascii="宋体" w:hAnsi="宋体" w:cs="宋体" w:eastAsia="宋体" w:hint="default"/>
          <w:sz w:val="17"/>
          <w:szCs w:val="17"/>
        </w:rPr>
      </w:pPr>
    </w:p>
    <w:p>
      <w:pPr>
        <w:pStyle w:val="BodyText"/>
        <w:spacing w:line="280" w:lineRule="auto"/>
        <w:ind w:left="1133" w:right="1130" w:firstLine="420"/>
        <w:jc w:val="both"/>
      </w:pPr>
      <w:r>
        <w:rPr>
          <w:rFonts w:ascii="Times New Roman" w:hAnsi="Times New Roman" w:cs="Times New Roman" w:eastAsia="Times New Roman" w:hint="default"/>
        </w:rPr>
        <w:t>2</w:t>
      </w:r>
      <w:r>
        <w:rPr/>
        <w:t>、第二次解锁期</w:t>
      </w:r>
      <w:r>
        <w:rPr>
          <w:rFonts w:ascii="Times New Roman" w:hAnsi="Times New Roman" w:cs="Times New Roman" w:eastAsia="Times New Roman" w:hint="default"/>
        </w:rPr>
        <w:t>/</w:t>
      </w:r>
      <w:r>
        <w:rPr/>
        <w:t>行权期为自授予日起</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个月后的首个交易日起至授予日起</w:t>
      </w:r>
      <w:r>
        <w:rPr>
          <w:spacing w:val="-37"/>
        </w:rPr>
        <w:t>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个月内的最后一个交 易日当日止，解锁数量是获授标的股票总数的</w:t>
      </w:r>
      <w:r>
        <w:rPr>
          <w:spacing w:val="-52"/>
        </w:rPr>
        <w:t> </w:t>
      </w:r>
      <w:r>
        <w:rPr>
          <w:rFonts w:ascii="Times New Roman" w:hAnsi="Times New Roman" w:cs="Times New Roman" w:eastAsia="Times New Roman" w:hint="default"/>
        </w:rPr>
        <w:t>30%</w:t>
      </w:r>
      <w:r>
        <w:rPr/>
        <w:t>；</w:t>
      </w:r>
    </w:p>
    <w:p>
      <w:pPr>
        <w:spacing w:line="240" w:lineRule="auto" w:before="5"/>
        <w:rPr>
          <w:rFonts w:ascii="宋体" w:hAnsi="宋体" w:cs="宋体" w:eastAsia="宋体" w:hint="default"/>
          <w:sz w:val="17"/>
          <w:szCs w:val="17"/>
        </w:rPr>
      </w:pPr>
    </w:p>
    <w:p>
      <w:pPr>
        <w:pStyle w:val="BodyText"/>
        <w:spacing w:line="280" w:lineRule="auto"/>
        <w:ind w:left="1133" w:right="1130" w:firstLine="420"/>
        <w:jc w:val="both"/>
      </w:pPr>
      <w:r>
        <w:rPr>
          <w:rFonts w:ascii="Times New Roman" w:hAnsi="Times New Roman" w:cs="Times New Roman" w:eastAsia="Times New Roman" w:hint="default"/>
        </w:rPr>
        <w:t>3</w:t>
      </w:r>
      <w:r>
        <w:rPr/>
        <w:t>、第三次解锁期</w:t>
      </w:r>
      <w:r>
        <w:rPr>
          <w:rFonts w:ascii="Times New Roman" w:hAnsi="Times New Roman" w:cs="Times New Roman" w:eastAsia="Times New Roman" w:hint="default"/>
        </w:rPr>
        <w:t>/</w:t>
      </w:r>
      <w:r>
        <w:rPr/>
        <w:t>行权期为自授予日起</w:t>
      </w:r>
      <w:r>
        <w:rPr>
          <w:spacing w:val="-37"/>
        </w:rPr>
        <w:t>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个月后的首个交易日起至授予日起</w:t>
      </w:r>
      <w:r>
        <w:rPr>
          <w:spacing w:val="-37"/>
        </w:rPr>
        <w:t> </w:t>
      </w:r>
      <w:r>
        <w:rPr>
          <w:rFonts w:ascii="Times New Roman" w:hAnsi="Times New Roman" w:cs="Times New Roman" w:eastAsia="Times New Roman" w:hint="default"/>
        </w:rPr>
        <w:t>48</w:t>
      </w:r>
      <w:r>
        <w:rPr>
          <w:rFonts w:ascii="Times New Roman" w:hAnsi="Times New Roman" w:cs="Times New Roman" w:eastAsia="Times New Roman" w:hint="default"/>
          <w:spacing w:val="-5"/>
        </w:rPr>
        <w:t> </w:t>
      </w:r>
      <w:r>
        <w:rPr/>
        <w:t>个月内的最后一个交 易日当日止，解锁数量是获授标的股票总数的</w:t>
      </w:r>
      <w:r>
        <w:rPr>
          <w:spacing w:val="-52"/>
        </w:rPr>
        <w:t> </w:t>
      </w:r>
      <w:r>
        <w:rPr>
          <w:rFonts w:ascii="Times New Roman" w:hAnsi="Times New Roman" w:cs="Times New Roman" w:eastAsia="Times New Roman" w:hint="default"/>
        </w:rPr>
        <w:t>40%</w:t>
      </w:r>
      <w:r>
        <w:rPr/>
        <w:t>；</w:t>
      </w:r>
    </w:p>
    <w:p>
      <w:pPr>
        <w:spacing w:line="240" w:lineRule="auto" w:before="5"/>
        <w:rPr>
          <w:rFonts w:ascii="宋体" w:hAnsi="宋体" w:cs="宋体" w:eastAsia="宋体" w:hint="default"/>
          <w:sz w:val="17"/>
          <w:szCs w:val="17"/>
        </w:rPr>
      </w:pPr>
    </w:p>
    <w:p>
      <w:pPr>
        <w:pStyle w:val="BodyText"/>
        <w:spacing w:line="280" w:lineRule="auto"/>
        <w:ind w:left="1133" w:right="1132" w:firstLine="420"/>
        <w:jc w:val="both"/>
      </w:pPr>
      <w:r>
        <w:rPr>
          <w:spacing w:val="-2"/>
        </w:rPr>
        <w:t>本计划授予的限制性股票和股票增值权，在解锁期</w:t>
      </w:r>
      <w:r>
        <w:rPr>
          <w:rFonts w:ascii="Times New Roman" w:hAnsi="Times New Roman" w:cs="Times New Roman" w:eastAsia="Times New Roman" w:hint="default"/>
          <w:spacing w:val="-2"/>
        </w:rPr>
        <w:t>/</w:t>
      </w:r>
      <w:r>
        <w:rPr>
          <w:spacing w:val="-2"/>
        </w:rPr>
        <w:t>等待期的各会计年度中，分年度进行绩效考核并解</w:t>
      </w:r>
      <w:r>
        <w:rPr/>
        <w:t> 锁</w:t>
      </w:r>
      <w:r>
        <w:rPr>
          <w:rFonts w:ascii="Times New Roman" w:hAnsi="Times New Roman" w:cs="Times New Roman" w:eastAsia="Times New Roman" w:hint="default"/>
        </w:rPr>
        <w:t>/</w:t>
      </w:r>
      <w:r>
        <w:rPr/>
        <w:t>行权，以达到绩效考核目标作为激励对象的解锁</w:t>
      </w:r>
      <w:r>
        <w:rPr>
          <w:rFonts w:ascii="Times New Roman" w:hAnsi="Times New Roman" w:cs="Times New Roman" w:eastAsia="Times New Roman" w:hint="default"/>
        </w:rPr>
        <w:t>/</w:t>
      </w:r>
      <w:r>
        <w:rPr/>
        <w:t>行权条件。若当期解锁</w:t>
      </w:r>
      <w:r>
        <w:rPr>
          <w:rFonts w:ascii="Times New Roman" w:hAnsi="Times New Roman" w:cs="Times New Roman" w:eastAsia="Times New Roman" w:hint="default"/>
        </w:rPr>
        <w:t>/</w:t>
      </w:r>
      <w:r>
        <w:rPr/>
        <w:t>行权条件达成，则激励对象获</w:t>
      </w:r>
      <w:r>
        <w:rPr>
          <w:spacing w:val="-97"/>
        </w:rPr>
        <w:t> </w:t>
      </w:r>
      <w:r>
        <w:rPr>
          <w:spacing w:val="-97"/>
        </w:rPr>
      </w:r>
      <w:r>
        <w:rPr/>
        <w:t>授的限制性股票</w:t>
      </w:r>
      <w:r>
        <w:rPr>
          <w:rFonts w:ascii="Times New Roman" w:hAnsi="Times New Roman" w:cs="Times New Roman" w:eastAsia="Times New Roman" w:hint="default"/>
        </w:rPr>
        <w:t>/</w:t>
      </w:r>
      <w:r>
        <w:rPr/>
        <w:t>股票增值权按照本计划规定解锁</w:t>
      </w:r>
      <w:r>
        <w:rPr>
          <w:rFonts w:ascii="Times New Roman" w:hAnsi="Times New Roman" w:cs="Times New Roman" w:eastAsia="Times New Roman" w:hint="default"/>
        </w:rPr>
        <w:t>/</w:t>
      </w:r>
      <w:r>
        <w:rPr/>
        <w:t>行权。若当期解锁</w:t>
      </w:r>
      <w:r>
        <w:rPr>
          <w:rFonts w:ascii="Times New Roman" w:hAnsi="Times New Roman" w:cs="Times New Roman" w:eastAsia="Times New Roman" w:hint="default"/>
        </w:rPr>
        <w:t>/</w:t>
      </w:r>
      <w:r>
        <w:rPr/>
        <w:t>行权条件未达成，则公司按照本计划</w:t>
      </w:r>
      <w:r>
        <w:rPr>
          <w:spacing w:val="-98"/>
        </w:rPr>
        <w:t> </w:t>
      </w:r>
      <w:r>
        <w:rPr>
          <w:spacing w:val="-98"/>
        </w:rPr>
      </w:r>
      <w:r>
        <w:rPr/>
        <w:t>的规定回购注销相应的限制性股票，相应的股票增值权作废。</w:t>
      </w:r>
    </w:p>
    <w:p>
      <w:pPr>
        <w:pStyle w:val="BodyText"/>
        <w:spacing w:line="558" w:lineRule="exact" w:before="48"/>
        <w:ind w:right="1120"/>
        <w:jc w:val="left"/>
      </w:pPr>
      <w:r>
        <w:rPr/>
        <w:t>上述限制性股票和股票增值权的解锁条件主要为： 授予限制性股票和股票增值权的各年度绩效考核目标为：（</w:t>
      </w:r>
      <w:r>
        <w:rPr>
          <w:rFonts w:ascii="Times New Roman" w:hAnsi="Times New Roman" w:cs="Times New Roman" w:eastAsia="Times New Roman" w:hint="default"/>
        </w:rPr>
        <w:t>1</w:t>
      </w:r>
      <w:r>
        <w:rPr/>
        <w:t>）以</w:t>
      </w:r>
      <w:r>
        <w:rPr>
          <w:spacing w:val="-7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9"/>
        </w:rPr>
        <w:t> </w:t>
      </w:r>
      <w:r>
        <w:rPr/>
        <w:t>年业绩为基础，</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年度营业</w:t>
      </w:r>
    </w:p>
    <w:p>
      <w:pPr>
        <w:pStyle w:val="BodyText"/>
        <w:spacing w:line="275" w:lineRule="exact"/>
        <w:ind w:left="1134" w:right="0"/>
        <w:jc w:val="both"/>
      </w:pPr>
      <w:r>
        <w:rPr/>
        <w:t>收入的增长率不低于</w:t>
      </w:r>
      <w:r>
        <w:rPr>
          <w:spacing w:val="-47"/>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w:t>
      </w:r>
      <w:r>
        <w:rPr/>
        <w:t>）以</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年业绩为基础，</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年度营业收入的增长率不低于</w:t>
      </w:r>
      <w:r>
        <w:rPr>
          <w:spacing w:val="-47"/>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3</w:t>
      </w:r>
      <w:r>
        <w:rPr/>
        <w:t>）</w:t>
      </w:r>
    </w:p>
    <w:p>
      <w:pPr>
        <w:pStyle w:val="BodyText"/>
        <w:spacing w:line="240" w:lineRule="auto" w:before="49"/>
        <w:ind w:left="1134" w:right="0"/>
        <w:jc w:val="both"/>
      </w:pPr>
      <w:r>
        <w:rPr/>
        <w:t>以</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年业绩为基础，</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年度营业收入的增长率不低于</w:t>
      </w:r>
      <w:r>
        <w:rPr>
          <w:spacing w:val="-54"/>
        </w:rPr>
        <w:t> </w:t>
      </w:r>
      <w:r>
        <w:rPr>
          <w:rFonts w:ascii="Times New Roman" w:hAnsi="Times New Roman" w:cs="Times New Roman" w:eastAsia="Times New Roman" w:hint="default"/>
        </w:rPr>
        <w:t>60%</w:t>
      </w:r>
      <w:r>
        <w:rPr/>
        <w:t>。</w:t>
      </w:r>
    </w:p>
    <w:p>
      <w:pPr>
        <w:pStyle w:val="BodyText"/>
        <w:spacing w:line="558" w:lineRule="exact" w:before="67"/>
        <w:ind w:right="0"/>
        <w:jc w:val="left"/>
      </w:pPr>
      <w:r>
        <w:rPr/>
        <w:t>激励对象每次申请限制性股票解锁需要满足： 薪酬与考核委员会对激励对象进行考核评价，结果划分为（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C</w:t>
      </w:r>
      <w:r>
        <w:rPr/>
        <w:t>）和（</w:t>
      </w:r>
      <w:r>
        <w:rPr>
          <w:rFonts w:ascii="Times New Roman" w:hAnsi="Times New Roman" w:cs="Times New Roman" w:eastAsia="Times New Roman" w:hint="default"/>
        </w:rPr>
        <w:t>D</w:t>
      </w:r>
      <w:r>
        <w:rPr/>
        <w:t>）四个档次，</w:t>
      </w:r>
    </w:p>
    <w:p>
      <w:pPr>
        <w:pStyle w:val="BodyText"/>
        <w:spacing w:line="275" w:lineRule="exact"/>
        <w:ind w:left="1133" w:right="0"/>
        <w:jc w:val="both"/>
      </w:pPr>
      <w:r>
        <w:rPr/>
        <w:t>分别对应标准系数</w:t>
      </w:r>
      <w:r>
        <w:rPr>
          <w:spacing w:val="-3"/>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0.8</w:t>
      </w:r>
      <w:r>
        <w:rPr/>
        <w:t>、</w:t>
      </w:r>
      <w:r>
        <w:rPr>
          <w:rFonts w:ascii="Times New Roman" w:hAnsi="Times New Roman" w:cs="Times New Roman" w:eastAsia="Times New Roman" w:hint="default"/>
        </w:rPr>
        <w:t>0</w:t>
      </w:r>
      <w:r>
        <w:rPr/>
        <w:t>，个人当年实际解锁</w:t>
      </w:r>
      <w:r>
        <w:rPr>
          <w:rFonts w:ascii="Times New Roman" w:hAnsi="Times New Roman" w:cs="Times New Roman" w:eastAsia="Times New Roman" w:hint="default"/>
        </w:rPr>
        <w:t>/</w:t>
      </w:r>
      <w:r>
        <w:rPr/>
        <w:t>行权额度＝标准系数</w:t>
      </w:r>
      <w:r>
        <w:rPr>
          <w:rFonts w:ascii="Times New Roman" w:hAnsi="Times New Roman" w:cs="Times New Roman" w:eastAsia="Times New Roman" w:hint="default"/>
        </w:rPr>
        <w:t>×</w:t>
      </w:r>
      <w:r>
        <w:rPr/>
        <w:t>个人当年计划解锁</w:t>
      </w:r>
      <w:r>
        <w:rPr>
          <w:rFonts w:ascii="Times New Roman" w:hAnsi="Times New Roman" w:cs="Times New Roman" w:eastAsia="Times New Roman" w:hint="default"/>
        </w:rPr>
        <w:t>/</w:t>
      </w:r>
      <w:r>
        <w:rPr/>
        <w:t>行权额</w:t>
      </w:r>
    </w:p>
    <w:p>
      <w:pPr>
        <w:pStyle w:val="BodyText"/>
        <w:spacing w:line="240" w:lineRule="auto" w:before="50"/>
        <w:ind w:left="1133" w:right="0"/>
        <w:jc w:val="both"/>
      </w:pPr>
      <w:r>
        <w:rPr/>
        <w:t>度。</w:t>
      </w:r>
    </w:p>
    <w:p>
      <w:pPr>
        <w:spacing w:line="240" w:lineRule="auto" w:before="8"/>
        <w:rPr>
          <w:rFonts w:ascii="宋体" w:hAnsi="宋体" w:cs="宋体" w:eastAsia="宋体" w:hint="default"/>
          <w:sz w:val="21"/>
          <w:szCs w:val="21"/>
        </w:rPr>
      </w:pPr>
    </w:p>
    <w:p>
      <w:pPr>
        <w:pStyle w:val="BodyText"/>
        <w:spacing w:line="280" w:lineRule="auto"/>
        <w:ind w:left="1133" w:right="1131" w:firstLine="420"/>
        <w:jc w:val="both"/>
      </w:pPr>
      <w:r>
        <w:rPr>
          <w:spacing w:val="-1"/>
        </w:rPr>
        <w:t>若激励对象考核结果为（</w:t>
      </w:r>
      <w:r>
        <w:rPr>
          <w:rFonts w:ascii="Times New Roman" w:hAnsi="Times New Roman" w:cs="Times New Roman" w:eastAsia="Times New Roman" w:hint="default"/>
          <w:spacing w:val="-1"/>
        </w:rPr>
        <w:t>A</w:t>
      </w:r>
      <w:r>
        <w:rPr>
          <w:spacing w:val="-1"/>
        </w:rPr>
        <w:t>）、（</w:t>
      </w:r>
      <w:r>
        <w:rPr>
          <w:rFonts w:ascii="Times New Roman" w:hAnsi="Times New Roman" w:cs="Times New Roman" w:eastAsia="Times New Roman" w:hint="default"/>
          <w:spacing w:val="-1"/>
        </w:rPr>
        <w:t>B</w:t>
      </w:r>
      <w:r>
        <w:rPr>
          <w:spacing w:val="-1"/>
        </w:rPr>
        <w:t>）、（</w:t>
      </w:r>
      <w:r>
        <w:rPr>
          <w:rFonts w:ascii="Times New Roman" w:hAnsi="Times New Roman" w:cs="Times New Roman" w:eastAsia="Times New Roman" w:hint="default"/>
          <w:spacing w:val="-1"/>
        </w:rPr>
        <w:t>C</w:t>
      </w:r>
      <w:r>
        <w:rPr>
          <w:spacing w:val="-1"/>
        </w:rPr>
        <w:t>），则激励对象可按照限制性股票激励计划或股票增值权</w:t>
      </w:r>
      <w:r>
        <w:rPr/>
        <w:t> </w:t>
      </w:r>
      <w:r>
        <w:rPr>
          <w:spacing w:val="-2"/>
        </w:rPr>
        <w:t>激励计划规定的比例分批次解锁</w:t>
      </w:r>
      <w:r>
        <w:rPr>
          <w:rFonts w:ascii="Times New Roman" w:hAnsi="Times New Roman" w:cs="Times New Roman" w:eastAsia="Times New Roman" w:hint="default"/>
          <w:spacing w:val="-2"/>
        </w:rPr>
        <w:t>/</w:t>
      </w:r>
      <w:r>
        <w:rPr>
          <w:spacing w:val="-2"/>
        </w:rPr>
        <w:t>行权，未能解锁的限制性股票由公司回购注销，未能行权的股票增值权作</w:t>
      </w:r>
      <w:r>
        <w:rPr>
          <w:spacing w:val="-95"/>
        </w:rPr>
        <w:t> </w:t>
      </w:r>
      <w:r>
        <w:rPr>
          <w:spacing w:val="-95"/>
        </w:rPr>
      </w:r>
      <w:r>
        <w:rPr/>
        <w:t>废。若激励对象考核结果为（</w:t>
      </w:r>
      <w:r>
        <w:rPr>
          <w:rFonts w:ascii="Times New Roman" w:hAnsi="Times New Roman" w:cs="Times New Roman" w:eastAsia="Times New Roman" w:hint="default"/>
        </w:rPr>
        <w:t>D</w:t>
      </w:r>
      <w:r>
        <w:rPr/>
        <w:t>），则公司将按照限制性股票激励计划的规定，回购注销该激励对象当期</w:t>
      </w:r>
      <w:r>
        <w:rPr>
          <w:spacing w:val="-75"/>
        </w:rPr>
        <w:t> </w:t>
      </w:r>
      <w:r>
        <w:rPr>
          <w:spacing w:val="-75"/>
        </w:rPr>
      </w:r>
      <w:r>
        <w:rPr/>
        <w:t>应解锁的限制性股票，当期应行权的股票增值权作废。</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年股权激励计划基本情况</w:t>
      </w:r>
    </w:p>
    <w:p>
      <w:pPr>
        <w:spacing w:line="240" w:lineRule="auto" w:before="7"/>
        <w:rPr>
          <w:rFonts w:ascii="宋体" w:hAnsi="宋体" w:cs="宋体" w:eastAsia="宋体" w:hint="default"/>
          <w:sz w:val="20"/>
          <w:szCs w:val="20"/>
        </w:rPr>
      </w:pPr>
    </w:p>
    <w:p>
      <w:pPr>
        <w:pStyle w:val="BodyText"/>
        <w:spacing w:line="240" w:lineRule="auto"/>
        <w:ind w:left="1553" w:right="0"/>
        <w:jc w:val="left"/>
      </w:pPr>
      <w:r>
        <w:rPr/>
        <w:t>本公司</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5"/>
        </w:rPr>
        <w:t> </w:t>
      </w:r>
      <w:r>
        <w:rPr/>
        <w:t>日召开</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年第四次临时股东大会审议通过了《关于公司</w:t>
      </w:r>
      <w:r>
        <w:rPr>
          <w:rFonts w:ascii="Times New Roman" w:hAnsi="Times New Roman" w:cs="Times New Roman" w:eastAsia="Times New Roman" w:hint="default"/>
        </w:rPr>
        <w:t>&lt;2017</w:t>
      </w:r>
      <w:r>
        <w:rPr>
          <w:rFonts w:ascii="Times New Roman" w:hAnsi="Times New Roman" w:cs="Times New Roman" w:eastAsia="Times New Roman" w:hint="default"/>
          <w:spacing w:val="-16"/>
        </w:rPr>
        <w:t> </w:t>
      </w:r>
      <w:r>
        <w:rPr/>
        <w:t>年限制性股票</w:t>
      </w:r>
    </w:p>
    <w:p>
      <w:pPr>
        <w:pStyle w:val="BodyText"/>
        <w:spacing w:line="240" w:lineRule="auto" w:before="49"/>
        <w:ind w:left="1133" w:right="0"/>
        <w:jc w:val="both"/>
      </w:pPr>
      <w:r>
        <w:rPr>
          <w:spacing w:val="-5"/>
        </w:rPr>
        <w:t>激励计划（草案）</w:t>
      </w:r>
      <w:r>
        <w:rPr>
          <w:rFonts w:ascii="Times New Roman" w:hAnsi="Times New Roman" w:cs="Times New Roman" w:eastAsia="Times New Roman" w:hint="default"/>
          <w:spacing w:val="-5"/>
        </w:rPr>
        <w:t>&gt;</w:t>
      </w:r>
      <w:r>
        <w:rPr>
          <w:spacing w:val="-5"/>
        </w:rPr>
        <w:t>及其摘要的议案》，于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日第二届董事会第二十三次会议审议通过了《关</w:t>
      </w:r>
    </w:p>
    <w:p>
      <w:pPr>
        <w:pStyle w:val="BodyText"/>
        <w:spacing w:line="240" w:lineRule="auto" w:before="50"/>
        <w:ind w:left="1133" w:right="0"/>
        <w:jc w:val="both"/>
      </w:pPr>
      <w:r>
        <w:rPr/>
        <w:t>于向激励对象授予限制性股票的议案》，决定向 </w:t>
      </w:r>
      <w:r>
        <w:rPr>
          <w:rFonts w:ascii="Times New Roman" w:hAnsi="Times New Roman" w:cs="Times New Roman" w:eastAsia="Times New Roman" w:hint="default"/>
        </w:rPr>
        <w:t>210 </w:t>
      </w:r>
      <w:r>
        <w:rPr/>
        <w:t>名激励对象授予限制性股票 </w:t>
      </w:r>
      <w:r>
        <w:rPr>
          <w:rFonts w:ascii="Times New Roman" w:hAnsi="Times New Roman" w:cs="Times New Roman" w:eastAsia="Times New Roman" w:hint="default"/>
        </w:rPr>
        <w:t>281.10</w:t>
      </w:r>
      <w:r>
        <w:rPr>
          <w:rFonts w:ascii="Times New Roman" w:hAnsi="Times New Roman" w:cs="Times New Roman" w:eastAsia="Times New Roman" w:hint="default"/>
          <w:spacing w:val="28"/>
        </w:rPr>
        <w:t> </w:t>
      </w:r>
      <w:r>
        <w:rPr/>
        <w:t>万股，授予日为</w:t>
      </w:r>
    </w:p>
    <w:p>
      <w:pPr>
        <w:spacing w:after="0" w:line="240" w:lineRule="auto"/>
        <w:jc w:val="both"/>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left="113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日，授予价格为</w:t>
      </w:r>
      <w:r>
        <w:rPr>
          <w:spacing w:val="-45"/>
        </w:rPr>
        <w:t> </w:t>
      </w:r>
      <w:r>
        <w:rPr>
          <w:rFonts w:ascii="Times New Roman" w:hAnsi="Times New Roman" w:cs="Times New Roman" w:eastAsia="Times New Roman" w:hint="default"/>
        </w:rPr>
        <w:t>13.59</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股，股票来源为公司向激励对象定向发行公司</w:t>
      </w:r>
      <w:r>
        <w:rPr>
          <w:spacing w:val="-44"/>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股普通股。授予</w:t>
      </w:r>
    </w:p>
    <w:p>
      <w:pPr>
        <w:pStyle w:val="BodyText"/>
        <w:spacing w:line="240" w:lineRule="auto" w:before="50"/>
        <w:ind w:left="1133" w:right="0"/>
        <w:jc w:val="left"/>
      </w:pPr>
      <w:r>
        <w:rPr/>
        <w:t>日后由于</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名激励对象个人原因放弃认购，最终实际授予</w:t>
      </w:r>
      <w:r>
        <w:rPr>
          <w:spacing w:val="-53"/>
        </w:rPr>
        <w:t> </w:t>
      </w:r>
      <w:r>
        <w:rPr>
          <w:rFonts w:ascii="Times New Roman" w:hAnsi="Times New Roman" w:cs="Times New Roman" w:eastAsia="Times New Roman" w:hint="default"/>
        </w:rPr>
        <w:t>268.50</w:t>
      </w:r>
      <w:r>
        <w:rPr>
          <w:rFonts w:ascii="Times New Roman" w:hAnsi="Times New Roman" w:cs="Times New Roman" w:eastAsia="Times New Roman" w:hint="default"/>
          <w:spacing w:val="-11"/>
        </w:rPr>
        <w:t> </w:t>
      </w:r>
      <w:r>
        <w:rPr/>
        <w:t>万股，激励对象共计</w:t>
      </w:r>
      <w:r>
        <w:rPr>
          <w:spacing w:val="-53"/>
        </w:rPr>
        <w:t> </w:t>
      </w:r>
      <w:r>
        <w:rPr>
          <w:rFonts w:ascii="Times New Roman" w:hAnsi="Times New Roman" w:cs="Times New Roman" w:eastAsia="Times New Roman" w:hint="default"/>
        </w:rPr>
        <w:t>199</w:t>
      </w:r>
      <w:r>
        <w:rPr>
          <w:rFonts w:ascii="Times New Roman" w:hAnsi="Times New Roman" w:cs="Times New Roman" w:eastAsia="Times New Roman" w:hint="default"/>
          <w:spacing w:val="-11"/>
        </w:rPr>
        <w:t> </w:t>
      </w:r>
      <w:r>
        <w:rPr/>
        <w:t>人。</w:t>
      </w:r>
    </w:p>
    <w:p>
      <w:pPr>
        <w:spacing w:line="240" w:lineRule="auto" w:before="6"/>
        <w:rPr>
          <w:rFonts w:ascii="宋体" w:hAnsi="宋体" w:cs="宋体" w:eastAsia="宋体" w:hint="default"/>
          <w:sz w:val="20"/>
          <w:szCs w:val="20"/>
        </w:rPr>
      </w:pPr>
    </w:p>
    <w:p>
      <w:pPr>
        <w:pStyle w:val="BodyText"/>
        <w:spacing w:line="292" w:lineRule="auto"/>
        <w:ind w:left="1134" w:right="1130" w:firstLine="420"/>
        <w:jc w:val="both"/>
      </w:pPr>
      <w:r>
        <w:rPr/>
        <w:t>本股权激励计划授予的限制性股票限售期为自授予登记完成之日起</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个月、</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个月、</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t>个月。激励 </w:t>
      </w:r>
      <w:r>
        <w:rPr>
          <w:spacing w:val="-1"/>
        </w:rPr>
        <w:t>对象根据本股权激励计划获授的限制性股票在解除限售前不得转让、用于担保或偿还债务。激励对象因获</w:t>
      </w:r>
      <w:r>
        <w:rPr>
          <w:spacing w:val="-81"/>
        </w:rPr>
        <w:t> </w:t>
      </w:r>
      <w:r>
        <w:rPr>
          <w:spacing w:val="-81"/>
        </w:rPr>
      </w:r>
      <w:r>
        <w:rPr>
          <w:spacing w:val="-1"/>
        </w:rPr>
        <w:t>受的尚未解除限售的限制性股票而取得的资本公积转增股本、派息、派发股票红利、股票拆细等股份和红</w:t>
      </w:r>
      <w:r>
        <w:rPr>
          <w:spacing w:val="-83"/>
        </w:rPr>
        <w:t> </w:t>
      </w:r>
      <w:r>
        <w:rPr>
          <w:spacing w:val="-83"/>
        </w:rPr>
      </w:r>
      <w:r>
        <w:rPr>
          <w:spacing w:val="-1"/>
        </w:rPr>
        <w:t>利同时按本激励计划进行锁定。本激励计划授予的限制性股票的解除限售期及各期解除限售时间安排如下</w:t>
      </w:r>
      <w:r>
        <w:rPr>
          <w:spacing w:val="-81"/>
        </w:rPr>
        <w:t> </w:t>
      </w:r>
      <w:r>
        <w:rPr>
          <w:spacing w:val="-81"/>
        </w:rPr>
      </w:r>
      <w:r>
        <w:rPr/>
        <w:t>表所示：</w:t>
      </w:r>
    </w:p>
    <w:p>
      <w:pPr>
        <w:spacing w:line="240" w:lineRule="auto" w:before="1"/>
        <w:rPr>
          <w:rFonts w:ascii="宋体" w:hAnsi="宋体" w:cs="宋体" w:eastAsia="宋体" w:hint="default"/>
          <w:sz w:val="18"/>
          <w:szCs w:val="18"/>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、第一个解除限售期为自授予登记完成之日起 </w:t>
      </w:r>
      <w:r>
        <w:rPr>
          <w:rFonts w:ascii="Times New Roman" w:hAnsi="Times New Roman" w:cs="Times New Roman" w:eastAsia="Times New Roman" w:hint="default"/>
        </w:rPr>
        <w:t>12  </w:t>
      </w:r>
      <w:r>
        <w:rPr/>
        <w:t>个月后的首个交易日起至授予登记完成之日起</w:t>
      </w:r>
      <w:r>
        <w:rPr>
          <w:spacing w:val="-26"/>
        </w:rPr>
        <w:t> </w:t>
      </w:r>
      <w:r>
        <w:rPr>
          <w:rFonts w:ascii="Times New Roman" w:hAnsi="Times New Roman" w:cs="Times New Roman" w:eastAsia="Times New Roman" w:hint="default"/>
        </w:rPr>
        <w:t>24</w:t>
      </w:r>
    </w:p>
    <w:p>
      <w:pPr>
        <w:pStyle w:val="BodyText"/>
        <w:spacing w:line="240" w:lineRule="auto" w:before="50"/>
        <w:ind w:left="1133" w:right="0"/>
        <w:jc w:val="left"/>
      </w:pPr>
      <w:r>
        <w:rPr/>
        <w:t>个月内的最后一个交易日当日止，解除限售比例为</w:t>
      </w:r>
      <w:r>
        <w:rPr>
          <w:spacing w:val="-52"/>
        </w:rPr>
        <w:t> </w:t>
      </w:r>
      <w:r>
        <w:rPr>
          <w:rFonts w:ascii="Times New Roman" w:hAnsi="Times New Roman" w:cs="Times New Roman" w:eastAsia="Times New Roman" w:hint="default"/>
        </w:rPr>
        <w:t>30%</w:t>
      </w:r>
      <w:r>
        <w:rPr/>
        <w:t>；</w:t>
      </w:r>
    </w:p>
    <w:p>
      <w:pPr>
        <w:spacing w:line="240" w:lineRule="auto" w:before="6"/>
        <w:rPr>
          <w:rFonts w:ascii="宋体" w:hAnsi="宋体" w:cs="宋体" w:eastAsia="宋体" w:hint="default"/>
          <w:sz w:val="20"/>
          <w:szCs w:val="20"/>
        </w:rPr>
      </w:pPr>
    </w:p>
    <w:p>
      <w:pPr>
        <w:pStyle w:val="BodyText"/>
        <w:spacing w:line="240" w:lineRule="auto"/>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、第二个解除限售期为自授予登记完成之日起 </w:t>
      </w:r>
      <w:r>
        <w:rPr>
          <w:rFonts w:ascii="Times New Roman" w:hAnsi="Times New Roman" w:cs="Times New Roman" w:eastAsia="Times New Roman" w:hint="default"/>
        </w:rPr>
        <w:t>24  </w:t>
      </w:r>
      <w:r>
        <w:rPr/>
        <w:t>个月后的首个交易日起至授予登记完成之日起</w:t>
      </w:r>
      <w:r>
        <w:rPr>
          <w:spacing w:val="-26"/>
        </w:rPr>
        <w:t> </w:t>
      </w:r>
      <w:r>
        <w:rPr>
          <w:rFonts w:ascii="Times New Roman" w:hAnsi="Times New Roman" w:cs="Times New Roman" w:eastAsia="Times New Roman" w:hint="default"/>
        </w:rPr>
        <w:t>36</w:t>
      </w:r>
    </w:p>
    <w:p>
      <w:pPr>
        <w:pStyle w:val="BodyText"/>
        <w:spacing w:line="240" w:lineRule="auto" w:before="50"/>
        <w:ind w:left="1133" w:right="0"/>
        <w:jc w:val="left"/>
      </w:pPr>
      <w:r>
        <w:rPr/>
        <w:t>个月内的最后一个交易日当日止，解除限售比例为</w:t>
      </w:r>
      <w:r>
        <w:rPr>
          <w:spacing w:val="-52"/>
        </w:rPr>
        <w:t> </w:t>
      </w:r>
      <w:r>
        <w:rPr>
          <w:rFonts w:ascii="Times New Roman" w:hAnsi="Times New Roman" w:cs="Times New Roman" w:eastAsia="Times New Roman" w:hint="default"/>
        </w:rPr>
        <w:t>30%</w:t>
      </w:r>
      <w:r>
        <w:rPr/>
        <w:t>；</w:t>
      </w:r>
    </w:p>
    <w:p>
      <w:pPr>
        <w:spacing w:line="240" w:lineRule="auto" w:before="6"/>
        <w:rPr>
          <w:rFonts w:ascii="宋体" w:hAnsi="宋体" w:cs="宋体" w:eastAsia="宋体" w:hint="default"/>
          <w:sz w:val="20"/>
          <w:szCs w:val="20"/>
        </w:rPr>
      </w:pPr>
    </w:p>
    <w:p>
      <w:pPr>
        <w:pStyle w:val="BodyText"/>
        <w:spacing w:line="240" w:lineRule="auto"/>
        <w:ind w:left="155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、第三个解除限售期为自授予登记完成之日起 </w:t>
      </w:r>
      <w:r>
        <w:rPr>
          <w:rFonts w:ascii="Times New Roman" w:hAnsi="Times New Roman" w:cs="Times New Roman" w:eastAsia="Times New Roman" w:hint="default"/>
        </w:rPr>
        <w:t>36  </w:t>
      </w:r>
      <w:r>
        <w:rPr/>
        <w:t>个月后的首个交易日起至授予登记完成之日起</w:t>
      </w:r>
      <w:r>
        <w:rPr>
          <w:spacing w:val="-26"/>
        </w:rPr>
        <w:t> </w:t>
      </w:r>
      <w:r>
        <w:rPr>
          <w:rFonts w:ascii="Times New Roman" w:hAnsi="Times New Roman" w:cs="Times New Roman" w:eastAsia="Times New Roman" w:hint="default"/>
        </w:rPr>
        <w:t>48</w:t>
      </w:r>
    </w:p>
    <w:p>
      <w:pPr>
        <w:pStyle w:val="BodyText"/>
        <w:spacing w:line="240" w:lineRule="auto" w:before="50"/>
        <w:ind w:left="1133" w:right="0"/>
        <w:jc w:val="left"/>
      </w:pPr>
      <w:r>
        <w:rPr/>
        <w:t>个月内的最后一个交易日当日止，解除限售比例为</w:t>
      </w:r>
      <w:r>
        <w:rPr>
          <w:spacing w:val="-52"/>
        </w:rPr>
        <w:t> </w:t>
      </w:r>
      <w:r>
        <w:rPr>
          <w:rFonts w:ascii="Times New Roman" w:hAnsi="Times New Roman" w:cs="Times New Roman" w:eastAsia="Times New Roman" w:hint="default"/>
        </w:rPr>
        <w:t>40%</w:t>
      </w:r>
      <w:r>
        <w:rPr/>
        <w:t>；</w:t>
      </w:r>
    </w:p>
    <w:p>
      <w:pPr>
        <w:spacing w:line="240" w:lineRule="auto" w:before="6"/>
        <w:rPr>
          <w:rFonts w:ascii="宋体" w:hAnsi="宋体" w:cs="宋体" w:eastAsia="宋体" w:hint="default"/>
          <w:sz w:val="20"/>
          <w:szCs w:val="20"/>
        </w:rPr>
      </w:pPr>
    </w:p>
    <w:p>
      <w:pPr>
        <w:pStyle w:val="BodyText"/>
        <w:spacing w:line="297" w:lineRule="auto"/>
        <w:ind w:left="1133" w:right="1110" w:firstLine="420"/>
        <w:jc w:val="both"/>
      </w:pPr>
      <w:r>
        <w:rPr/>
        <w:t>本计划授予的限制性股票在限售期满后，本公司为满足解除限售条件的激励对象办理解除限售事宜， </w:t>
      </w:r>
      <w:r>
        <w:rPr>
          <w:spacing w:val="-1"/>
        </w:rPr>
        <w:t>未满足解除限售条件的激励对象持有的限制性股票由本公司回购注销，回购价格为授予价格，限制性股票</w:t>
      </w:r>
      <w:r>
        <w:rPr>
          <w:spacing w:val="-81"/>
        </w:rPr>
        <w:t> </w:t>
      </w:r>
      <w:r>
        <w:rPr>
          <w:spacing w:val="-81"/>
        </w:rPr>
      </w:r>
      <w:r>
        <w:rPr/>
        <w:t>解除限售条件未成就时，相关权益不得递延至下期。</w:t>
      </w:r>
    </w:p>
    <w:p>
      <w:pPr>
        <w:pStyle w:val="BodyText"/>
        <w:spacing w:line="558" w:lineRule="exact" w:before="31"/>
        <w:ind w:right="1116"/>
        <w:jc w:val="left"/>
      </w:pPr>
      <w:r>
        <w:rPr/>
        <w:t>上述限制性股票的解除限售条件主要为： 公司层面业绩考核要求，本激励计划的解除限售考核年度为</w:t>
      </w:r>
      <w:r>
        <w:rPr>
          <w:spacing w:val="-37"/>
        </w:rPr>
        <w:t> </w:t>
      </w:r>
      <w:r>
        <w:rPr>
          <w:rFonts w:ascii="Times New Roman" w:hAnsi="Times New Roman" w:cs="Times New Roman" w:eastAsia="Times New Roman" w:hint="default"/>
        </w:rPr>
        <w:t>2017-2019</w:t>
      </w:r>
      <w:r>
        <w:rPr>
          <w:rFonts w:ascii="Times New Roman" w:hAnsi="Times New Roman" w:cs="Times New Roman" w:eastAsia="Times New Roman" w:hint="default"/>
          <w:spacing w:val="-5"/>
        </w:rPr>
        <w:t> </w:t>
      </w:r>
      <w:r>
        <w:rPr/>
        <w:t>年三个会计年度，每个会计年</w:t>
      </w:r>
    </w:p>
    <w:p>
      <w:pPr>
        <w:pStyle w:val="BodyText"/>
        <w:spacing w:line="275" w:lineRule="exact"/>
        <w:ind w:left="1133" w:right="0"/>
        <w:jc w:val="left"/>
        <w:rPr>
          <w:rFonts w:ascii="Times New Roman" w:hAnsi="Times New Roman" w:cs="Times New Roman" w:eastAsia="Times New Roman" w:hint="default"/>
        </w:rPr>
      </w:pPr>
      <w:r>
        <w:rPr>
          <w:spacing w:val="-3"/>
        </w:rPr>
        <w:t>度考核一次，各年度业绩考核目标如下：第一个解除限售期业绩考核目标以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spacing w:val="-4"/>
        </w:rPr>
        <w:t>年营业收入为基数，</w:t>
      </w:r>
      <w:r>
        <w:rPr>
          <w:rFonts w:ascii="Times New Roman" w:hAnsi="Times New Roman" w:cs="Times New Roman" w:eastAsia="Times New Roman" w:hint="default"/>
          <w:spacing w:val="-4"/>
        </w:rPr>
        <w:t>2017</w:t>
      </w:r>
    </w:p>
    <w:p>
      <w:pPr>
        <w:pStyle w:val="BodyText"/>
        <w:spacing w:line="280" w:lineRule="auto" w:before="50"/>
        <w:ind w:left="1133" w:right="1120"/>
        <w:jc w:val="left"/>
      </w:pPr>
      <w:r>
        <w:rPr/>
        <w:t>年营业收入增长率不低于</w:t>
      </w:r>
      <w:r>
        <w:rPr>
          <w:spacing w:val="-40"/>
        </w:rPr>
        <w:t> </w:t>
      </w:r>
      <w:r>
        <w:rPr>
          <w:rFonts w:ascii="Times New Roman" w:hAnsi="Times New Roman" w:cs="Times New Roman" w:eastAsia="Times New Roman" w:hint="default"/>
        </w:rPr>
        <w:t>20%</w:t>
      </w:r>
      <w:r>
        <w:rPr/>
        <w:t>；第二个解除限售期以</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年营业收入为基数，</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年度营业收入增长率 不低于</w:t>
      </w:r>
      <w:r>
        <w:rPr>
          <w:spacing w:val="-54"/>
        </w:rPr>
        <w:t> </w:t>
      </w:r>
      <w:r>
        <w:rPr>
          <w:rFonts w:ascii="Times New Roman" w:hAnsi="Times New Roman" w:cs="Times New Roman" w:eastAsia="Times New Roman" w:hint="default"/>
        </w:rPr>
        <w:t>40%</w:t>
      </w:r>
      <w:r>
        <w:rPr/>
        <w:t>；第三个解除限售期以</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年营业收入为基数，</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年度营业收入增长率不低于</w:t>
      </w:r>
      <w:r>
        <w:rPr>
          <w:spacing w:val="-54"/>
        </w:rPr>
        <w:t> </w:t>
      </w:r>
      <w:r>
        <w:rPr>
          <w:rFonts w:ascii="Times New Roman" w:hAnsi="Times New Roman" w:cs="Times New Roman" w:eastAsia="Times New Roman" w:hint="default"/>
        </w:rPr>
        <w:t>60%</w:t>
      </w:r>
      <w:r>
        <w:rPr/>
        <w:t>。</w:t>
      </w:r>
    </w:p>
    <w:p>
      <w:pPr>
        <w:spacing w:line="240" w:lineRule="auto" w:before="7"/>
        <w:rPr>
          <w:rFonts w:ascii="宋体" w:hAnsi="宋体" w:cs="宋体" w:eastAsia="宋体" w:hint="default"/>
          <w:sz w:val="17"/>
          <w:szCs w:val="17"/>
        </w:rPr>
      </w:pPr>
    </w:p>
    <w:p>
      <w:pPr>
        <w:pStyle w:val="BodyText"/>
        <w:spacing w:line="297" w:lineRule="auto"/>
        <w:ind w:left="1133" w:right="1131" w:firstLine="420"/>
        <w:jc w:val="both"/>
      </w:pPr>
      <w:r>
        <w:rPr>
          <w:spacing w:val="-1"/>
        </w:rPr>
        <w:t>公司未满足上述业绩考核目标的，所有激励对象对应考核当年获受的限制性股票均不得解除限售，由</w:t>
      </w:r>
      <w:r>
        <w:rPr/>
        <w:t> 公司回购注销，回购价格为授予价格。</w:t>
      </w:r>
    </w:p>
    <w:p>
      <w:pPr>
        <w:spacing w:line="240" w:lineRule="auto" w:before="10"/>
        <w:rPr>
          <w:rFonts w:ascii="宋体" w:hAnsi="宋体" w:cs="宋体" w:eastAsia="宋体" w:hint="default"/>
          <w:sz w:val="17"/>
          <w:szCs w:val="17"/>
        </w:rPr>
      </w:pPr>
    </w:p>
    <w:p>
      <w:pPr>
        <w:pStyle w:val="BodyText"/>
        <w:spacing w:line="280" w:lineRule="auto"/>
        <w:ind w:left="1133" w:right="1130" w:firstLine="420"/>
        <w:jc w:val="both"/>
      </w:pPr>
      <w:r>
        <w:rPr/>
        <w:t>个人层面绩效考核要求，激励对象个人考核按照《公司 </w:t>
      </w:r>
      <w:r>
        <w:rPr>
          <w:rFonts w:ascii="Times New Roman" w:hAnsi="Times New Roman" w:cs="Times New Roman" w:eastAsia="Times New Roman" w:hint="default"/>
        </w:rPr>
        <w:t>2017</w:t>
      </w:r>
      <w:r>
        <w:rPr>
          <w:rFonts w:ascii="Times New Roman" w:hAnsi="Times New Roman" w:cs="Times New Roman" w:eastAsia="Times New Roman" w:hint="default"/>
          <w:spacing w:val="30"/>
        </w:rPr>
        <w:t> </w:t>
      </w:r>
      <w:r>
        <w:rPr/>
        <w:t>年限制性股票激励计划实施考核管理办 法》分年进行考核，根据个人的绩效考评评价指标确定考核结果，划分为 </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C</w:t>
      </w:r>
      <w:r>
        <w:rPr/>
        <w:t>、</w:t>
      </w:r>
      <w:r>
        <w:rPr>
          <w:rFonts w:ascii="Times New Roman" w:hAnsi="Times New Roman" w:cs="Times New Roman" w:eastAsia="Times New Roman" w:hint="default"/>
        </w:rPr>
        <w:t>D</w:t>
      </w:r>
      <w:r>
        <w:rPr>
          <w:rFonts w:ascii="Times New Roman" w:hAnsi="Times New Roman" w:cs="Times New Roman" w:eastAsia="Times New Roman" w:hint="default"/>
          <w:spacing w:val="27"/>
        </w:rPr>
        <w:t> </w:t>
      </w:r>
      <w:r>
        <w:rPr/>
        <w:t>五个档次， 分别对应标准系数</w:t>
      </w:r>
      <w:r>
        <w:rPr>
          <w:spacing w:val="9"/>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0</w:t>
      </w:r>
      <w:r>
        <w:rPr/>
        <w:t>，个人当年实际解除限售额度＝标准系数</w:t>
      </w:r>
      <w:r>
        <w:rPr>
          <w:rFonts w:ascii="Times New Roman" w:hAnsi="Times New Roman" w:cs="Times New Roman" w:eastAsia="Times New Roman" w:hint="default"/>
        </w:rPr>
        <w:t>×</w:t>
      </w:r>
      <w:r>
        <w:rPr/>
        <w:t>个人当年计划解除限售 额度。</w:t>
      </w:r>
    </w:p>
    <w:p>
      <w:pPr>
        <w:spacing w:line="240" w:lineRule="auto" w:before="12"/>
        <w:rPr>
          <w:rFonts w:ascii="宋体" w:hAnsi="宋体" w:cs="宋体" w:eastAsia="宋体" w:hint="default"/>
          <w:sz w:val="18"/>
          <w:szCs w:val="18"/>
        </w:rPr>
      </w:pPr>
    </w:p>
    <w:p>
      <w:pPr>
        <w:pStyle w:val="BodyText"/>
        <w:spacing w:line="240" w:lineRule="auto"/>
        <w:ind w:left="1553" w:right="0"/>
        <w:jc w:val="left"/>
      </w:pPr>
      <w:r>
        <w:rPr/>
        <w:t>激励对象考核当年不能解除限售的限制性股票，由公司回购注销，回购价格为授予价格。</w:t>
      </w:r>
    </w:p>
    <w:p>
      <w:pPr>
        <w:spacing w:line="240" w:lineRule="auto" w:before="2"/>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2、以权益结算的股份支付情况" w:id="437"/>
      <w:bookmarkEnd w:id="437"/>
      <w:r>
        <w:rPr/>
      </w:r>
      <w:r>
        <w:rPr>
          <w:rFonts w:ascii="Times New Roman" w:hAnsi="Times New Roman" w:cs="Times New Roman" w:eastAsia="Times New Roman" w:hint="default"/>
        </w:rPr>
        <w:t>2</w:t>
      </w:r>
      <w:r>
        <w:rPr>
          <w:rFonts w:ascii="微软雅黑" w:hAnsi="微软雅黑" w:cs="微软雅黑" w:eastAsia="微软雅黑" w:hint="default"/>
        </w:rPr>
        <w:t>、以权益结算的股份支付情况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footerReference w:type="default" r:id="rId23"/>
          <w:pgSz w:w="11910" w:h="16840"/>
          <w:pgMar w:footer="979" w:header="877" w:top="1100" w:bottom="1160" w:left="0" w:right="0"/>
        </w:sectPr>
      </w:pPr>
    </w:p>
    <w:p>
      <w:pPr>
        <w:spacing w:line="240" w:lineRule="auto" w:before="10"/>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5133"/>
        <w:gridCol w:w="4722"/>
      </w:tblGrid>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年激励计划采用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w:t>
            </w:r>
          </w:p>
        </w:tc>
      </w:tr>
      <w:tr>
        <w:trPr>
          <w:trHeight w:val="601"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243"/>
              <w:jc w:val="left"/>
              <w:rPr>
                <w:rFonts w:ascii="宋体" w:hAnsi="宋体" w:cs="宋体" w:eastAsia="宋体" w:hint="default"/>
                <w:sz w:val="18"/>
                <w:szCs w:val="18"/>
              </w:rPr>
            </w:pPr>
            <w:r>
              <w:rPr>
                <w:rFonts w:ascii="宋体" w:hAnsi="宋体" w:cs="宋体" w:eastAsia="宋体" w:hint="default"/>
                <w:sz w:val="18"/>
                <w:szCs w:val="18"/>
              </w:rPr>
              <w:t>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年激励计划采用授予日本公司股票收盘价格与授 予价格的差</w:t>
            </w:r>
          </w:p>
        </w:tc>
      </w:tr>
      <w:tr>
        <w:trPr>
          <w:trHeight w:val="603"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9"/>
              <w:ind w:left="10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07"/>
              <w:jc w:val="left"/>
              <w:rPr>
                <w:rFonts w:ascii="宋体" w:hAnsi="宋体" w:cs="宋体" w:eastAsia="宋体" w:hint="default"/>
                <w:sz w:val="18"/>
                <w:szCs w:val="18"/>
              </w:rPr>
            </w:pPr>
            <w:r>
              <w:rPr>
                <w:rFonts w:ascii="宋体" w:hAnsi="宋体" w:cs="宋体" w:eastAsia="宋体" w:hint="default"/>
                <w:sz w:val="18"/>
                <w:szCs w:val="18"/>
              </w:rPr>
              <w:t>根据截至本财务报告批准日最新取得的可行权职工人数变 动等后续信息进行最佳估计</w:t>
            </w:r>
          </w:p>
        </w:tc>
      </w:tr>
      <w:tr>
        <w:trPr>
          <w:trHeight w:val="406"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75,766,037.58</w:t>
            </w:r>
          </w:p>
        </w:tc>
      </w:tr>
      <w:tr>
        <w:trPr>
          <w:trHeight w:val="408"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24,540,239.76</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3、以现金结算的股份支付情况" w:id="438"/>
      <w:bookmarkEnd w:id="438"/>
      <w:r>
        <w:rPr/>
      </w:r>
      <w:r>
        <w:rPr>
          <w:rFonts w:ascii="Times New Roman" w:hAnsi="Times New Roman" w:cs="Times New Roman" w:eastAsia="Times New Roman" w:hint="default"/>
        </w:rPr>
        <w:t>3</w:t>
      </w:r>
      <w:r>
        <w:rPr>
          <w:rFonts w:ascii="微软雅黑" w:hAnsi="微软雅黑" w:cs="微软雅黑" w:eastAsia="微软雅黑" w:hint="default"/>
        </w:rPr>
        <w:t>、以现金结算的股份支付情况</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5133"/>
        <w:gridCol w:w="4722"/>
      </w:tblGrid>
      <w:tr>
        <w:trPr>
          <w:trHeight w:val="601"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57"/>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公司承担的、以股份或其他权益工具为基础计算确定的负债的 公允价值确定方法</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负债中以现金结算的股份支付产生的累计负债金额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6,257,868.90</w:t>
            </w:r>
          </w:p>
        </w:tc>
      </w:tr>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本期以现金结算的股份支付而确认的费用总额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-5,127,746.48</w:t>
            </w:r>
          </w:p>
        </w:tc>
      </w:tr>
    </w:tbl>
    <w:p>
      <w:pPr>
        <w:spacing w:line="240" w:lineRule="auto" w:before="4"/>
        <w:rPr>
          <w:rFonts w:ascii="宋体" w:hAnsi="宋体" w:cs="宋体" w:eastAsia="宋体" w:hint="default"/>
          <w:sz w:val="11"/>
          <w:szCs w:val="11"/>
        </w:rPr>
      </w:pPr>
    </w:p>
    <w:p>
      <w:pPr>
        <w:pStyle w:val="BodyText"/>
        <w:spacing w:line="494" w:lineRule="auto" w:before="35"/>
        <w:ind w:left="1553" w:right="7498"/>
        <w:jc w:val="left"/>
      </w:pPr>
      <w:r>
        <w:rPr/>
        <w:t>其他说明 </w:t>
      </w:r>
      <w:bookmarkStart w:name="4、股份支付的修改、终止情况" w:id="439"/>
      <w:bookmarkEnd w:id="439"/>
      <w:r>
        <w:rPr/>
      </w:r>
      <w:r>
        <w:rPr>
          <w:rFonts w:ascii="Times New Roman" w:hAnsi="Times New Roman" w:cs="Times New Roman" w:eastAsia="Times New Roman" w:hint="default"/>
        </w:rPr>
        <w:t>4</w:t>
      </w:r>
      <w:r>
        <w:rPr>
          <w:rFonts w:ascii="微软雅黑" w:hAnsi="微软雅黑" w:cs="微软雅黑" w:eastAsia="微软雅黑" w:hint="default"/>
        </w:rPr>
        <w:t>、股份支付的修改、终止情况 </w:t>
      </w:r>
      <w:r>
        <w:rPr/>
        <w:t>无。</w:t>
      </w:r>
    </w:p>
    <w:p>
      <w:pPr>
        <w:pStyle w:val="BodyText"/>
        <w:spacing w:line="240" w:lineRule="auto" w:before="53"/>
        <w:ind w:left="1553" w:right="0"/>
        <w:jc w:val="left"/>
        <w:rPr>
          <w:rFonts w:ascii="微软雅黑" w:hAnsi="微软雅黑" w:cs="微软雅黑" w:eastAsia="微软雅黑" w:hint="default"/>
        </w:rPr>
      </w:pPr>
      <w:bookmarkStart w:name="5、其他" w:id="440"/>
      <w:bookmarkEnd w:id="440"/>
      <w:r>
        <w:rPr/>
      </w:r>
      <w:r>
        <w:rPr>
          <w:rFonts w:ascii="Times New Roman" w:hAnsi="Times New Roman" w:cs="Times New Roman" w:eastAsia="Times New Roman" w:hint="default"/>
        </w:rPr>
        <w:t>5</w:t>
      </w:r>
      <w:r>
        <w:rPr>
          <w:rFonts w:ascii="微软雅黑" w:hAnsi="微软雅黑" w:cs="微软雅黑" w:eastAsia="微软雅黑" w:hint="default"/>
        </w:rPr>
        <w:t>、其他</w:t>
      </w:r>
    </w:p>
    <w:p>
      <w:pPr>
        <w:spacing w:line="240" w:lineRule="auto" w:before="8"/>
        <w:rPr>
          <w:rFonts w:ascii="微软雅黑" w:hAnsi="微软雅黑" w:cs="微软雅黑" w:eastAsia="微软雅黑" w:hint="default"/>
          <w:sz w:val="27"/>
          <w:szCs w:val="27"/>
        </w:rPr>
      </w:pPr>
    </w:p>
    <w:p>
      <w:pPr>
        <w:pStyle w:val="Heading2"/>
        <w:spacing w:line="240" w:lineRule="auto"/>
        <w:ind w:left="1133" w:right="0"/>
        <w:jc w:val="left"/>
      </w:pPr>
      <w:bookmarkStart w:name="十四、承诺及或有事项" w:id="441"/>
      <w:bookmarkEnd w:id="441"/>
      <w:r>
        <w:rPr/>
      </w:r>
      <w:r>
        <w:rPr/>
        <w:t>十四、承诺及或有事项</w:t>
      </w:r>
    </w:p>
    <w:p>
      <w:pPr>
        <w:spacing w:line="240" w:lineRule="auto" w:before="10"/>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重要承诺事项" w:id="442"/>
      <w:bookmarkEnd w:id="442"/>
      <w:r>
        <w:rPr/>
      </w:r>
      <w:r>
        <w:rPr>
          <w:rFonts w:ascii="Times New Roman" w:hAnsi="Times New Roman" w:cs="Times New Roman" w:eastAsia="Times New Roman" w:hint="default"/>
        </w:rPr>
        <w:t>1</w:t>
      </w:r>
      <w:r>
        <w:rPr>
          <w:rFonts w:ascii="微软雅黑" w:hAnsi="微软雅黑" w:cs="微软雅黑" w:eastAsia="微软雅黑" w:hint="default"/>
        </w:rPr>
        <w:t>、重要承诺事项</w:t>
      </w:r>
    </w:p>
    <w:p>
      <w:pPr>
        <w:spacing w:line="240" w:lineRule="auto" w:before="7"/>
        <w:rPr>
          <w:rFonts w:ascii="微软雅黑" w:hAnsi="微软雅黑" w:cs="微软雅黑" w:eastAsia="微软雅黑" w:hint="default"/>
          <w:sz w:val="23"/>
          <w:szCs w:val="23"/>
        </w:rPr>
      </w:pPr>
    </w:p>
    <w:p>
      <w:pPr>
        <w:pStyle w:val="BodyText"/>
        <w:spacing w:line="240" w:lineRule="auto"/>
        <w:ind w:left="1553" w:right="0"/>
        <w:jc w:val="left"/>
      </w:pPr>
      <w:r>
        <w:rPr/>
        <w:t>资产负债表日存在的重要承诺</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w:t>
      </w:r>
      <w:r>
        <w:rPr>
          <w:rFonts w:ascii="Times New Roman" w:hAnsi="Times New Roman" w:cs="Times New Roman" w:eastAsia="Times New Roman" w:hint="default"/>
        </w:rPr>
        <w:t>1</w:t>
      </w:r>
      <w:r>
        <w:rPr/>
        <w:t>）资本承诺</w:t>
      </w:r>
    </w:p>
    <w:p>
      <w:pPr>
        <w:spacing w:line="240" w:lineRule="auto" w:before="6"/>
        <w:rPr>
          <w:rFonts w:ascii="宋体" w:hAnsi="宋体" w:cs="宋体" w:eastAsia="宋体" w:hint="default"/>
          <w:sz w:val="20"/>
          <w:szCs w:val="20"/>
        </w:rPr>
      </w:pPr>
    </w:p>
    <w:p>
      <w:pPr>
        <w:pStyle w:val="BodyText"/>
        <w:spacing w:line="280" w:lineRule="auto"/>
        <w:ind w:left="1133" w:right="1130" w:firstLine="420"/>
        <w:jc w:val="both"/>
      </w:pPr>
      <w:r>
        <w:rPr>
          <w:spacing w:val="22"/>
        </w:rPr>
        <w:t>本公司</w:t>
      </w:r>
      <w:r>
        <w:rPr>
          <w:spacing w:val="3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日</w:t>
      </w:r>
      <w:r>
        <w:rPr>
          <w:spacing w:val="-71"/>
        </w:rPr>
        <w:t> </w:t>
      </w:r>
      <w:r>
        <w:rPr/>
        <w:t>召</w:t>
      </w:r>
      <w:r>
        <w:rPr>
          <w:spacing w:val="-71"/>
        </w:rPr>
        <w:t> </w:t>
      </w:r>
      <w:r>
        <w:rPr/>
        <w:t>开</w:t>
      </w:r>
      <w:r>
        <w:rPr>
          <w:spacing w:val="-71"/>
        </w:rPr>
        <w:t> </w:t>
      </w:r>
      <w:r>
        <w:rPr/>
        <w:t>的</w:t>
      </w:r>
      <w:r>
        <w:rPr>
          <w:spacing w:val="-71"/>
        </w:rPr>
        <w:t> </w:t>
      </w:r>
      <w:r>
        <w:rPr/>
        <w:t>第</w:t>
      </w:r>
      <w:r>
        <w:rPr>
          <w:spacing w:val="-71"/>
        </w:rPr>
        <w:t> </w:t>
      </w:r>
      <w:r>
        <w:rPr/>
        <w:t>二</w:t>
      </w:r>
      <w:r>
        <w:rPr>
          <w:spacing w:val="-71"/>
        </w:rPr>
        <w:t> </w:t>
      </w:r>
      <w:r>
        <w:rPr/>
        <w:t>届</w:t>
      </w:r>
      <w:r>
        <w:rPr>
          <w:spacing w:val="-70"/>
        </w:rPr>
        <w:t> </w:t>
      </w:r>
      <w:r>
        <w:rPr/>
        <w:t>董</w:t>
      </w:r>
      <w:r>
        <w:rPr>
          <w:spacing w:val="-71"/>
        </w:rPr>
        <w:t> </w:t>
      </w:r>
      <w:r>
        <w:rPr/>
        <w:t>事</w:t>
      </w:r>
      <w:r>
        <w:rPr>
          <w:spacing w:val="-71"/>
        </w:rPr>
        <w:t> </w:t>
      </w:r>
      <w:r>
        <w:rPr/>
        <w:t>会</w:t>
      </w:r>
      <w:r>
        <w:rPr>
          <w:spacing w:val="-71"/>
        </w:rPr>
        <w:t> </w:t>
      </w:r>
      <w:r>
        <w:rPr/>
        <w:t>第</w:t>
      </w:r>
      <w:r>
        <w:rPr>
          <w:spacing w:val="-71"/>
        </w:rPr>
        <w:t> </w:t>
      </w:r>
      <w:r>
        <w:rPr/>
        <w:t>二</w:t>
      </w:r>
      <w:r>
        <w:rPr>
          <w:spacing w:val="-70"/>
        </w:rPr>
        <w:t> </w:t>
      </w:r>
      <w:r>
        <w:rPr/>
        <w:t>十</w:t>
      </w:r>
      <w:r>
        <w:rPr>
          <w:spacing w:val="-71"/>
        </w:rPr>
        <w:t> </w:t>
      </w:r>
      <w:r>
        <w:rPr/>
        <w:t>五</w:t>
      </w:r>
      <w:r>
        <w:rPr>
          <w:spacing w:val="-71"/>
        </w:rPr>
        <w:t> </w:t>
      </w:r>
      <w:r>
        <w:rPr/>
        <w:t>次</w:t>
      </w:r>
      <w:r>
        <w:rPr>
          <w:spacing w:val="-71"/>
        </w:rPr>
        <w:t> </w:t>
      </w:r>
      <w:r>
        <w:rPr/>
        <w:t>会</w:t>
      </w:r>
      <w:r>
        <w:rPr>
          <w:spacing w:val="-71"/>
        </w:rPr>
        <w:t> </w:t>
      </w:r>
      <w:r>
        <w:rPr/>
        <w:t>议</w:t>
      </w:r>
      <w:r>
        <w:rPr>
          <w:spacing w:val="-70"/>
        </w:rPr>
        <w:t> </w:t>
      </w:r>
      <w:r>
        <w:rPr/>
        <w:t>审</w:t>
      </w:r>
      <w:r>
        <w:rPr>
          <w:spacing w:val="-71"/>
        </w:rPr>
        <w:t> </w:t>
      </w:r>
      <w:r>
        <w:rPr/>
        <w:t>议</w:t>
      </w:r>
      <w:r>
        <w:rPr>
          <w:spacing w:val="-71"/>
        </w:rPr>
        <w:t> </w:t>
      </w:r>
      <w:r>
        <w:rPr/>
        <w:t>通</w:t>
      </w:r>
      <w:r>
        <w:rPr>
          <w:spacing w:val="-71"/>
        </w:rPr>
        <w:t> </w:t>
      </w:r>
      <w:r>
        <w:rPr/>
        <w:t>过</w:t>
      </w:r>
      <w:r>
        <w:rPr>
          <w:spacing w:val="-71"/>
        </w:rPr>
        <w:t> </w:t>
      </w:r>
      <w:r>
        <w:rPr/>
        <w:t>了</w:t>
      </w:r>
      <w:r>
        <w:rPr>
          <w:spacing w:val="-70"/>
        </w:rPr>
        <w:t> </w:t>
      </w:r>
      <w:r>
        <w:rPr/>
        <w:t>《</w:t>
      </w:r>
      <w:r>
        <w:rPr>
          <w:spacing w:val="-71"/>
        </w:rPr>
        <w:t> </w:t>
      </w:r>
      <w:r>
        <w:rPr/>
        <w:t>关</w:t>
      </w:r>
      <w:r>
        <w:rPr>
          <w:spacing w:val="-71"/>
        </w:rPr>
        <w:t> </w:t>
      </w:r>
      <w:r>
        <w:rPr/>
        <w:t>于</w:t>
      </w:r>
      <w:r>
        <w:rPr>
          <w:spacing w:val="-70"/>
        </w:rPr>
        <w:t> </w:t>
      </w:r>
      <w:r>
        <w:rPr/>
        <w:t>收</w:t>
      </w:r>
      <w:r>
        <w:rPr>
          <w:spacing w:val="-70"/>
        </w:rPr>
        <w:t> </w:t>
      </w:r>
      <w:r>
        <w:rPr/>
        <w:t>购</w:t>
      </w:r>
      <w:r>
        <w:rPr/>
        <w:t> </w:t>
      </w:r>
      <w:r>
        <w:rPr>
          <w:rFonts w:ascii="Times New Roman" w:hAnsi="Times New Roman" w:cs="Times New Roman" w:eastAsia="Times New Roman" w:hint="default"/>
        </w:rPr>
        <w:t>MMSolutionsAD100%</w:t>
      </w:r>
      <w:r>
        <w:rPr/>
        <w:t>股权的议案》，同意本公司之间接控股子公司</w:t>
      </w:r>
      <w:r>
        <w:rPr>
          <w:spacing w:val="-78"/>
        </w:rPr>
        <w:t> </w:t>
      </w:r>
      <w:r>
        <w:rPr>
          <w:rFonts w:ascii="Times New Roman" w:hAnsi="Times New Roman" w:cs="Times New Roman" w:eastAsia="Times New Roman" w:hint="default"/>
        </w:rPr>
        <w:t>AchieveSkyEuropeSARL</w:t>
      </w:r>
      <w:r>
        <w:rPr>
          <w:rFonts w:ascii="Times New Roman" w:hAnsi="Times New Roman" w:cs="Times New Roman" w:eastAsia="Times New Roman" w:hint="default"/>
          <w:spacing w:val="-31"/>
        </w:rPr>
        <w:t> </w:t>
      </w:r>
      <w:r>
        <w:rPr/>
        <w:t>作为交易实体 购买</w:t>
      </w:r>
      <w:r>
        <w:rPr>
          <w:spacing w:val="-47"/>
        </w:rPr>
        <w:t> </w:t>
      </w:r>
      <w:r>
        <w:rPr>
          <w:rFonts w:ascii="Times New Roman" w:hAnsi="Times New Roman" w:cs="Times New Roman" w:eastAsia="Times New Roman" w:hint="default"/>
        </w:rPr>
        <w:t>MMSolutionsAD</w:t>
      </w:r>
      <w:r>
        <w:rPr>
          <w:rFonts w:ascii="Times New Roman" w:hAnsi="Times New Roman" w:cs="Times New Roman" w:eastAsia="Times New Roman" w:hint="default"/>
          <w:spacing w:val="-13"/>
        </w:rPr>
        <w:t> </w:t>
      </w:r>
      <w:r>
        <w:rPr/>
        <w:t>全部股权，并于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日与</w:t>
      </w:r>
      <w:r>
        <w:rPr>
          <w:spacing w:val="-48"/>
        </w:rPr>
        <w:t> </w:t>
      </w:r>
      <w:r>
        <w:rPr>
          <w:rFonts w:ascii="Times New Roman" w:hAnsi="Times New Roman" w:cs="Times New Roman" w:eastAsia="Times New Roman" w:hint="default"/>
        </w:rPr>
        <w:t>MMSolutionsAD</w:t>
      </w:r>
      <w:r>
        <w:rPr>
          <w:rFonts w:ascii="Times New Roman" w:hAnsi="Times New Roman" w:cs="Times New Roman" w:eastAsia="Times New Roman" w:hint="default"/>
          <w:spacing w:val="-14"/>
        </w:rPr>
        <w:t> </w:t>
      </w:r>
      <w:r>
        <w:rPr/>
        <w:t>全体股东签署了《股份购买协 议》。根据协议约定，</w:t>
      </w:r>
      <w:r>
        <w:rPr>
          <w:rFonts w:ascii="Times New Roman" w:hAnsi="Times New Roman" w:cs="Times New Roman" w:eastAsia="Times New Roman" w:hint="default"/>
        </w:rPr>
        <w:t>AchieveSkyEuropeSARL</w:t>
      </w:r>
      <w:r>
        <w:rPr>
          <w:rFonts w:ascii="Times New Roman" w:hAnsi="Times New Roman" w:cs="Times New Roman" w:eastAsia="Times New Roman" w:hint="default"/>
          <w:spacing w:val="-18"/>
        </w:rPr>
        <w:t> </w:t>
      </w:r>
      <w:r>
        <w:rPr/>
        <w:t>将以支付现金方式购买</w:t>
      </w:r>
      <w:r>
        <w:rPr>
          <w:spacing w:val="-62"/>
        </w:rPr>
        <w:t> </w:t>
      </w:r>
      <w:r>
        <w:rPr>
          <w:rFonts w:ascii="Times New Roman" w:hAnsi="Times New Roman" w:cs="Times New Roman" w:eastAsia="Times New Roman" w:hint="default"/>
        </w:rPr>
        <w:t>MMSolutionsAD</w:t>
      </w:r>
      <w:r>
        <w:rPr>
          <w:rFonts w:ascii="Times New Roman" w:hAnsi="Times New Roman" w:cs="Times New Roman" w:eastAsia="Times New Roman" w:hint="default"/>
          <w:spacing w:val="-19"/>
        </w:rPr>
        <w:t> </w:t>
      </w:r>
      <w:r>
        <w:rPr/>
        <w:t>的全部股权，初始 交易对价为 </w:t>
      </w:r>
      <w:r>
        <w:rPr>
          <w:rFonts w:ascii="Times New Roman" w:hAnsi="Times New Roman" w:cs="Times New Roman" w:eastAsia="Times New Roman" w:hint="default"/>
        </w:rPr>
        <w:t>3,100</w:t>
      </w:r>
      <w:r>
        <w:rPr>
          <w:rFonts w:ascii="Times New Roman" w:hAnsi="Times New Roman" w:cs="Times New Roman" w:eastAsia="Times New Roman" w:hint="default"/>
          <w:spacing w:val="-26"/>
        </w:rPr>
        <w:t> </w:t>
      </w:r>
      <w:r>
        <w:rPr/>
        <w:t>万欧元，最终支付交易对价将根据《股份购买协议》约定的价格调整机制，按照经审计</w:t>
      </w:r>
    </w:p>
    <w:p>
      <w:pPr>
        <w:spacing w:after="0" w:line="280" w:lineRule="auto"/>
        <w:jc w:val="both"/>
        <w:sectPr>
          <w:footerReference w:type="default" r:id="rId24"/>
          <w:pgSz w:w="11910" w:h="16840"/>
          <w:pgMar w:footer="979" w:header="877" w:top="1100" w:bottom="1160" w:left="0" w:right="0"/>
          <w:pgNumType w:start="201"/>
        </w:sectPr>
      </w:pPr>
    </w:p>
    <w:p>
      <w:pPr>
        <w:spacing w:line="240" w:lineRule="auto" w:before="1"/>
        <w:rPr>
          <w:rFonts w:ascii="宋体" w:hAnsi="宋体" w:cs="宋体" w:eastAsia="宋体" w:hint="default"/>
          <w:sz w:val="19"/>
          <w:szCs w:val="19"/>
        </w:rPr>
      </w:pPr>
    </w:p>
    <w:p>
      <w:pPr>
        <w:pStyle w:val="BodyText"/>
        <w:spacing w:line="240" w:lineRule="auto" w:before="35"/>
        <w:ind w:left="1134" w:right="0"/>
        <w:jc w:val="left"/>
      </w:pPr>
      <w:r>
        <w:rPr/>
        <w:t>的标的公司交割日的负债净额、营运资本净额予以调整。</w:t>
      </w:r>
    </w:p>
    <w:p>
      <w:pPr>
        <w:spacing w:line="240" w:lineRule="auto" w:before="8"/>
        <w:rPr>
          <w:rFonts w:ascii="宋体" w:hAnsi="宋体" w:cs="宋体" w:eastAsia="宋体" w:hint="default"/>
          <w:sz w:val="21"/>
          <w:szCs w:val="21"/>
        </w:rPr>
      </w:pPr>
    </w:p>
    <w:p>
      <w:pPr>
        <w:pStyle w:val="BodyText"/>
        <w:spacing w:line="460" w:lineRule="auto"/>
        <w:ind w:right="2772"/>
        <w:jc w:val="left"/>
      </w:pPr>
      <w:r>
        <w:rPr/>
        <w:t>（</w:t>
      </w:r>
      <w:r>
        <w:rPr>
          <w:rFonts w:ascii="Times New Roman" w:hAnsi="Times New Roman" w:cs="Times New Roman" w:eastAsia="Times New Roman" w:hint="default"/>
        </w:rPr>
        <w:t>2</w:t>
      </w:r>
      <w:r>
        <w:rPr/>
        <w:t>）经营租赁承诺 至资产负债表日止，本公司对外签订的重大的不可撤销的经营租赁合约情况如下：</w:t>
      </w:r>
    </w:p>
    <w:p>
      <w:pPr>
        <w:spacing w:line="240" w:lineRule="auto" w:before="8"/>
        <w:rPr>
          <w:rFonts w:ascii="宋体" w:hAnsi="宋体" w:cs="宋体" w:eastAsia="宋体" w:hint="default"/>
          <w:sz w:val="9"/>
          <w:szCs w:val="9"/>
        </w:rPr>
      </w:pPr>
    </w:p>
    <w:tbl>
      <w:tblPr>
        <w:tblW w:w="0" w:type="auto"/>
        <w:jc w:val="left"/>
        <w:tblInd w:w="1021" w:type="dxa"/>
        <w:tblLayout w:type="fixed"/>
        <w:tblCellMar>
          <w:top w:w="0" w:type="dxa"/>
          <w:left w:w="0" w:type="dxa"/>
          <w:bottom w:w="0" w:type="dxa"/>
          <w:right w:w="0" w:type="dxa"/>
        </w:tblCellMar>
        <w:tblLook w:val="01E0"/>
      </w:tblPr>
      <w:tblGrid>
        <w:gridCol w:w="6159"/>
        <w:gridCol w:w="1848"/>
        <w:gridCol w:w="1848"/>
      </w:tblGrid>
      <w:tr>
        <w:trPr>
          <w:trHeight w:val="422" w:hRule="exact"/>
        </w:trPr>
        <w:tc>
          <w:tcPr>
            <w:tcW w:w="6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544" w:right="0"/>
              <w:jc w:val="left"/>
              <w:rPr>
                <w:rFonts w:ascii="宋体" w:hAnsi="宋体" w:cs="宋体" w:eastAsia="宋体" w:hint="default"/>
                <w:sz w:val="18"/>
                <w:szCs w:val="18"/>
              </w:rPr>
            </w:pPr>
            <w:r>
              <w:rPr>
                <w:rFonts w:ascii="宋体" w:hAnsi="宋体" w:cs="宋体" w:eastAsia="宋体" w:hint="default"/>
                <w:sz w:val="18"/>
                <w:szCs w:val="18"/>
              </w:rPr>
              <w:t>不可撤销的经营租赁的最低租赁付款额</w:t>
            </w:r>
          </w:p>
        </w:tc>
        <w:tc>
          <w:tcPr>
            <w:tcW w:w="1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33" w:hRule="exact"/>
        </w:trPr>
        <w:tc>
          <w:tcPr>
            <w:tcW w:w="615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17,375,434.59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16,271,787.87</w:t>
            </w:r>
          </w:p>
        </w:tc>
      </w:tr>
      <w:tr>
        <w:trPr>
          <w:trHeight w:val="427"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7,083,669.19</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5,516,239.20</w:t>
            </w:r>
          </w:p>
        </w:tc>
      </w:tr>
      <w:tr>
        <w:trPr>
          <w:trHeight w:val="426"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1,678,468.76</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820,047.66</w:t>
            </w:r>
          </w:p>
        </w:tc>
      </w:tr>
      <w:tr>
        <w:trPr>
          <w:trHeight w:val="427"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1,113,200.00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2" w:hRule="exact"/>
        </w:trPr>
        <w:tc>
          <w:tcPr>
            <w:tcW w:w="61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27,250,772.54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22,608,074.73</w:t>
            </w:r>
          </w:p>
        </w:tc>
      </w:tr>
    </w:tbl>
    <w:p>
      <w:pPr>
        <w:spacing w:line="240" w:lineRule="auto" w:before="9"/>
        <w:rPr>
          <w:rFonts w:ascii="宋体" w:hAnsi="宋体" w:cs="宋体" w:eastAsia="宋体" w:hint="default"/>
          <w:sz w:val="11"/>
          <w:szCs w:val="11"/>
        </w:rPr>
      </w:pPr>
    </w:p>
    <w:p>
      <w:pPr>
        <w:pStyle w:val="BodyText"/>
        <w:spacing w:line="240" w:lineRule="auto" w:before="35"/>
        <w:ind w:right="0"/>
        <w:jc w:val="left"/>
      </w:pPr>
      <w:r>
        <w:rPr/>
        <w:t>（</w:t>
      </w:r>
      <w:r>
        <w:rPr>
          <w:rFonts w:ascii="Times New Roman" w:hAnsi="Times New Roman" w:cs="Times New Roman" w:eastAsia="Times New Roman" w:hint="default"/>
        </w:rPr>
        <w:t>3</w:t>
      </w:r>
      <w:r>
        <w:rPr/>
        <w:t>）募集资金使用情况</w:t>
      </w:r>
    </w:p>
    <w:p>
      <w:pPr>
        <w:spacing w:line="240" w:lineRule="auto" w:before="6"/>
        <w:rPr>
          <w:rFonts w:ascii="宋体" w:hAnsi="宋体" w:cs="宋体" w:eastAsia="宋体" w:hint="default"/>
          <w:sz w:val="20"/>
          <w:szCs w:val="20"/>
        </w:rPr>
      </w:pPr>
    </w:p>
    <w:p>
      <w:pPr>
        <w:pStyle w:val="BodyText"/>
        <w:spacing w:line="290" w:lineRule="auto"/>
        <w:ind w:left="1134" w:right="1129" w:firstLine="420"/>
        <w:jc w:val="both"/>
      </w:pPr>
      <w:r>
        <w:rPr>
          <w:spacing w:val="-2"/>
        </w:rPr>
        <w:t>经中国证券监督管理委员会证监许可字〔</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1372</w:t>
      </w:r>
      <w:r>
        <w:rPr>
          <w:rFonts w:ascii="Times New Roman" w:hAnsi="Times New Roman" w:cs="Times New Roman" w:eastAsia="Times New Roman" w:hint="default"/>
          <w:spacing w:val="12"/>
        </w:rPr>
        <w:t> </w:t>
      </w:r>
      <w:r>
        <w:rPr>
          <w:spacing w:val="-2"/>
        </w:rPr>
        <w:t>号文核准，并经深圳证券交易所同意，本公司由</w:t>
      </w:r>
      <w:r>
        <w:rPr/>
        <w:t> </w:t>
      </w:r>
      <w:r>
        <w:rPr>
          <w:spacing w:val="3"/>
        </w:rPr>
        <w:t>主承销商中国国际金融股份有限公司采用网下向询价对象配售和网上按市值申购定价发行相结合的方式</w:t>
      </w:r>
      <w:r>
        <w:rPr>
          <w:spacing w:val="-82"/>
        </w:rPr>
        <w:t> </w:t>
      </w:r>
      <w:r>
        <w:rPr>
          <w:spacing w:val="-82"/>
        </w:rPr>
      </w:r>
      <w:r>
        <w:rPr/>
        <w:t>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4"/>
        </w:rPr>
        <w:t> </w:t>
      </w:r>
      <w:r>
        <w:rPr>
          <w:spacing w:val="-3"/>
        </w:rPr>
        <w:t>股）</w:t>
      </w:r>
      <w:r>
        <w:rPr>
          <w:rFonts w:ascii="Times New Roman" w:hAnsi="Times New Roman" w:cs="Times New Roman" w:eastAsia="Times New Roman" w:hint="default"/>
          <w:spacing w:val="-3"/>
        </w:rPr>
        <w:t>2,500</w:t>
      </w:r>
      <w:r>
        <w:rPr>
          <w:rFonts w:ascii="Times New Roman" w:hAnsi="Times New Roman" w:cs="Times New Roman" w:eastAsia="Times New Roman" w:hint="default"/>
          <w:spacing w:val="-13"/>
        </w:rPr>
        <w:t> </w:t>
      </w:r>
      <w:r>
        <w:rPr/>
        <w:t>万股</w:t>
      </w:r>
      <w:r>
        <w:rPr>
          <w:rFonts w:ascii="Times New Roman" w:hAnsi="Times New Roman" w:cs="Times New Roman" w:eastAsia="Times New Roman" w:hint="default"/>
        </w:rPr>
        <w:t>,</w:t>
      </w:r>
      <w:r>
        <w:rPr/>
        <w:t>每股发行价格为</w:t>
      </w:r>
      <w:r>
        <w:rPr>
          <w:spacing w:val="-55"/>
        </w:rPr>
        <w:t> </w:t>
      </w:r>
      <w:r>
        <w:rPr>
          <w:rFonts w:ascii="Times New Roman" w:hAnsi="Times New Roman" w:cs="Times New Roman" w:eastAsia="Times New Roman" w:hint="default"/>
        </w:rPr>
        <w:t>23.27</w:t>
      </w:r>
      <w:r>
        <w:rPr>
          <w:rFonts w:ascii="Times New Roman" w:hAnsi="Times New Roman" w:cs="Times New Roman" w:eastAsia="Times New Roman" w:hint="default"/>
          <w:spacing w:val="-14"/>
        </w:rPr>
        <w:t> </w:t>
      </w:r>
      <w:r>
        <w:rPr>
          <w:spacing w:val="-4"/>
        </w:rPr>
        <w:t>元。截至</w:t>
      </w:r>
      <w:r>
        <w:rPr>
          <w:spacing w:val="-5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5"/>
        </w:rPr>
        <w:t> </w:t>
      </w:r>
      <w:r>
        <w:rPr/>
        <w:t>日，本公司共募集资</w:t>
      </w:r>
    </w:p>
    <w:p>
      <w:pPr>
        <w:pStyle w:val="BodyText"/>
        <w:spacing w:line="240" w:lineRule="auto" w:before="1"/>
        <w:ind w:left="1134" w:right="0"/>
        <w:jc w:val="left"/>
      </w:pPr>
      <w:r>
        <w:rPr/>
        <w:t>金</w:t>
      </w:r>
      <w:r>
        <w:rPr>
          <w:spacing w:val="-62"/>
        </w:rPr>
        <w:t> </w:t>
      </w:r>
      <w:r>
        <w:rPr>
          <w:rFonts w:ascii="Times New Roman" w:hAnsi="Times New Roman" w:cs="Times New Roman" w:eastAsia="Times New Roman" w:hint="default"/>
        </w:rPr>
        <w:t>58,175</w:t>
      </w:r>
      <w:r>
        <w:rPr>
          <w:rFonts w:ascii="Times New Roman" w:hAnsi="Times New Roman" w:cs="Times New Roman" w:eastAsia="Times New Roman" w:hint="default"/>
          <w:spacing w:val="-18"/>
        </w:rPr>
        <w:t> </w:t>
      </w:r>
      <w:r>
        <w:rPr/>
        <w:t>万元，扣除发行费用</w:t>
      </w:r>
      <w:r>
        <w:rPr>
          <w:spacing w:val="-62"/>
        </w:rPr>
        <w:t> </w:t>
      </w:r>
      <w:r>
        <w:rPr>
          <w:rFonts w:ascii="Times New Roman" w:hAnsi="Times New Roman" w:cs="Times New Roman" w:eastAsia="Times New Roman" w:hint="default"/>
        </w:rPr>
        <w:t>4,131</w:t>
      </w:r>
      <w:r>
        <w:rPr>
          <w:rFonts w:ascii="Times New Roman" w:hAnsi="Times New Roman" w:cs="Times New Roman" w:eastAsia="Times New Roman" w:hint="default"/>
          <w:spacing w:val="-19"/>
        </w:rPr>
        <w:t> </w:t>
      </w:r>
      <w:r>
        <w:rPr/>
        <w:t>万元后，募集资金净额为</w:t>
      </w:r>
      <w:r>
        <w:rPr>
          <w:spacing w:val="-62"/>
        </w:rPr>
        <w:t> </w:t>
      </w:r>
      <w:r>
        <w:rPr>
          <w:rFonts w:ascii="Times New Roman" w:hAnsi="Times New Roman" w:cs="Times New Roman" w:eastAsia="Times New Roman" w:hint="default"/>
        </w:rPr>
        <w:t>54,044</w:t>
      </w:r>
      <w:r>
        <w:rPr>
          <w:rFonts w:ascii="Times New Roman" w:hAnsi="Times New Roman" w:cs="Times New Roman" w:eastAsia="Times New Roman" w:hint="default"/>
          <w:spacing w:val="-18"/>
        </w:rPr>
        <w:t> </w:t>
      </w:r>
      <w:r>
        <w:rPr/>
        <w:t>万元，另扣减审计费、律师费、法定</w:t>
      </w:r>
    </w:p>
    <w:p>
      <w:pPr>
        <w:pStyle w:val="BodyText"/>
        <w:spacing w:line="240" w:lineRule="auto" w:before="49"/>
        <w:ind w:left="1134" w:right="0"/>
        <w:jc w:val="left"/>
      </w:pPr>
      <w:r>
        <w:rPr/>
        <w:t>信息披露费等其他发行费用</w:t>
      </w:r>
      <w:r>
        <w:rPr>
          <w:spacing w:val="-53"/>
        </w:rPr>
        <w:t> </w:t>
      </w:r>
      <w:r>
        <w:rPr>
          <w:rFonts w:ascii="Times New Roman" w:hAnsi="Times New Roman" w:cs="Times New Roman" w:eastAsia="Times New Roman" w:hint="default"/>
        </w:rPr>
        <w:t>990</w:t>
      </w:r>
      <w:r>
        <w:rPr>
          <w:rFonts w:ascii="Times New Roman" w:hAnsi="Times New Roman" w:cs="Times New Roman" w:eastAsia="Times New Roman" w:hint="default"/>
          <w:spacing w:val="-11"/>
        </w:rPr>
        <w:t> </w:t>
      </w:r>
      <w:r>
        <w:rPr/>
        <w:t>万元后，本公司本次募集资金净额为人民币</w:t>
      </w:r>
      <w:r>
        <w:rPr>
          <w:spacing w:val="-53"/>
        </w:rPr>
        <w:t> </w:t>
      </w:r>
      <w:r>
        <w:rPr>
          <w:rFonts w:ascii="Times New Roman" w:hAnsi="Times New Roman" w:cs="Times New Roman" w:eastAsia="Times New Roman" w:hint="default"/>
        </w:rPr>
        <w:t>53,054</w:t>
      </w:r>
      <w:r>
        <w:rPr>
          <w:rFonts w:ascii="Times New Roman" w:hAnsi="Times New Roman" w:cs="Times New Roman" w:eastAsia="Times New Roman" w:hint="default"/>
          <w:spacing w:val="-11"/>
        </w:rPr>
        <w:t> </w:t>
      </w:r>
      <w:r>
        <w:rPr/>
        <w:t>万元。</w:t>
      </w:r>
    </w:p>
    <w:p>
      <w:pPr>
        <w:spacing w:line="240" w:lineRule="auto" w:before="7"/>
        <w:rPr>
          <w:rFonts w:ascii="宋体" w:hAnsi="宋体" w:cs="宋体" w:eastAsia="宋体" w:hint="default"/>
          <w:sz w:val="20"/>
          <w:szCs w:val="20"/>
        </w:rPr>
      </w:pPr>
    </w:p>
    <w:p>
      <w:pPr>
        <w:pStyle w:val="BodyText"/>
        <w:spacing w:line="288" w:lineRule="auto"/>
        <w:ind w:left="1133" w:right="1130" w:firstLine="420"/>
        <w:jc w:val="both"/>
      </w:pPr>
      <w:r>
        <w:rPr/>
        <w:t>本公司</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日召开的第二届董事会第七次会议审议通过了《关于以公开发行股票募集资金 </w:t>
      </w:r>
      <w:r>
        <w:rPr>
          <w:spacing w:val="-1"/>
        </w:rPr>
        <w:t>置换预先已投入募集资金投资项目的自筹资金的议案》，同意公司以公开发行股票募集资金置换预先已投</w:t>
      </w:r>
      <w:r>
        <w:rPr>
          <w:spacing w:val="-81"/>
        </w:rPr>
        <w:t> </w:t>
      </w:r>
      <w:r>
        <w:rPr>
          <w:spacing w:val="-81"/>
        </w:rPr>
      </w:r>
      <w:r>
        <w:rPr/>
        <w:t>入募集资金投资项目的自筹资金</w:t>
      </w:r>
      <w:r>
        <w:rPr>
          <w:spacing w:val="-52"/>
        </w:rPr>
        <w:t> </w:t>
      </w:r>
      <w:r>
        <w:rPr>
          <w:rFonts w:ascii="Times New Roman" w:hAnsi="Times New Roman" w:cs="Times New Roman" w:eastAsia="Times New Roman" w:hint="default"/>
        </w:rPr>
        <w:t>35,217</w:t>
      </w:r>
      <w:r>
        <w:rPr>
          <w:rFonts w:ascii="Times New Roman" w:hAnsi="Times New Roman" w:cs="Times New Roman" w:eastAsia="Times New Roman" w:hint="default"/>
          <w:spacing w:val="-10"/>
        </w:rPr>
        <w:t> </w:t>
      </w:r>
      <w:r>
        <w:rPr/>
        <w:t>万元。</w:t>
      </w:r>
    </w:p>
    <w:p>
      <w:pPr>
        <w:spacing w:line="240" w:lineRule="auto" w:before="11"/>
        <w:rPr>
          <w:rFonts w:ascii="宋体" w:hAnsi="宋体" w:cs="宋体" w:eastAsia="宋体" w:hint="default"/>
          <w:sz w:val="16"/>
          <w:szCs w:val="16"/>
        </w:rPr>
      </w:pPr>
    </w:p>
    <w:p>
      <w:pPr>
        <w:pStyle w:val="BodyText"/>
        <w:spacing w:line="290" w:lineRule="auto"/>
        <w:ind w:left="1133" w:right="1131" w:firstLine="420"/>
        <w:jc w:val="both"/>
      </w:pPr>
      <w:r>
        <w:rPr/>
        <w:t>本公司</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spacing w:val="-3"/>
        </w:rPr>
        <w:t>日第二届董事会第十七次会议决议通过了《关于变更募集资金用途的议案》，鉴</w:t>
      </w:r>
      <w:r>
        <w:rPr/>
        <w:t> 于本公司募集资金投资项目“</w:t>
      </w:r>
      <w:r>
        <w:rPr>
          <w:rFonts w:ascii="Times New Roman" w:hAnsi="Times New Roman" w:cs="Times New Roman" w:eastAsia="Times New Roman" w:hint="default"/>
        </w:rPr>
        <w:t>IHV </w:t>
      </w:r>
      <w:r>
        <w:rPr/>
        <w:t>认证实验室建设项目”、“面向 </w:t>
      </w:r>
      <w:r>
        <w:rPr>
          <w:rFonts w:ascii="Times New Roman" w:hAnsi="Times New Roman" w:cs="Times New Roman" w:eastAsia="Times New Roman" w:hint="default"/>
        </w:rPr>
        <w:t>64</w:t>
      </w:r>
      <w:r>
        <w:rPr>
          <w:rFonts w:ascii="Times New Roman" w:hAnsi="Times New Roman" w:cs="Times New Roman" w:eastAsia="Times New Roman" w:hint="default"/>
          <w:spacing w:val="19"/>
        </w:rPr>
        <w:t> </w:t>
      </w:r>
      <w:r>
        <w:rPr/>
        <w:t>位芯片的下一代平板电脑操作系统 </w:t>
      </w:r>
      <w:r>
        <w:rPr>
          <w:spacing w:val="-1"/>
        </w:rPr>
        <w:t>开发项目”、“新一代智能电视操作系统开发项目”的市场环境已发生重大变化，上述项目已不符合本公</w:t>
      </w:r>
      <w:r>
        <w:rPr>
          <w:spacing w:val="-83"/>
        </w:rPr>
        <w:t> </w:t>
      </w:r>
      <w:r>
        <w:rPr>
          <w:spacing w:val="-83"/>
        </w:rPr>
      </w:r>
      <w:r>
        <w:rPr>
          <w:spacing w:val="-1"/>
        </w:rPr>
        <w:t>司目前的战略发展方向，继续投入募集资金已无必要。为了进一步提高募集资金使用效率，本公司结合当</w:t>
      </w:r>
      <w:r>
        <w:rPr>
          <w:spacing w:val="-83"/>
        </w:rPr>
        <w:t> </w:t>
      </w:r>
      <w:r>
        <w:rPr>
          <w:spacing w:val="-83"/>
        </w:rPr>
      </w:r>
      <w:r>
        <w:rPr>
          <w:spacing w:val="5"/>
        </w:rPr>
        <w:t>前的市场环境以及公司最新的战略规划，拟将上述项目剩余募集资金，共计 </w:t>
      </w:r>
      <w:r>
        <w:rPr>
          <w:rFonts w:ascii="Times New Roman" w:hAnsi="Times New Roman" w:cs="Times New Roman" w:eastAsia="Times New Roman" w:hint="default"/>
        </w:rPr>
        <w:t>17,837 </w:t>
      </w:r>
      <w:r>
        <w:rPr>
          <w:rFonts w:ascii="Times New Roman" w:hAnsi="Times New Roman" w:cs="Times New Roman" w:eastAsia="Times New Roman" w:hint="default"/>
          <w:spacing w:val="3"/>
        </w:rPr>
        <w:t> </w:t>
      </w:r>
      <w:r>
        <w:rPr>
          <w:spacing w:val="4"/>
        </w:rPr>
        <w:t>万元人民币，用于</w:t>
      </w:r>
    </w:p>
    <w:p>
      <w:pPr>
        <w:pStyle w:val="BodyText"/>
        <w:spacing w:line="240" w:lineRule="auto" w:before="1"/>
        <w:ind w:left="1133" w:right="0"/>
        <w:jc w:val="left"/>
      </w:pPr>
      <w:r>
        <w:rPr>
          <w:rFonts w:ascii="Times New Roman" w:hAnsi="Times New Roman" w:cs="Times New Roman" w:eastAsia="Times New Roman" w:hint="default"/>
        </w:rPr>
        <w:t>RightwareOy</w:t>
      </w:r>
      <w:r>
        <w:rPr>
          <w:rFonts w:ascii="Times New Roman" w:hAnsi="Times New Roman" w:cs="Times New Roman" w:eastAsia="Times New Roman" w:hint="default"/>
          <w:spacing w:val="-11"/>
        </w:rPr>
        <w:t> </w:t>
      </w:r>
      <w:r>
        <w:rPr/>
        <w:t>的收购</w:t>
      </w:r>
      <w:r>
        <w:rPr>
          <w:spacing w:val="-105"/>
        </w:rPr>
        <w:t>。</w:t>
      </w:r>
      <w:r>
        <w:rPr/>
        <w:t>上述议案经本公司于</w:t>
      </w:r>
      <w:r>
        <w:rPr>
          <w:spacing w:val="-5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日</w:t>
      </w:r>
      <w:r>
        <w:rPr>
          <w:spacing w:val="-2"/>
        </w:rPr>
        <w:t>召</w:t>
      </w:r>
      <w:r>
        <w:rPr/>
        <w:t>开的</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spacing w:val="-2"/>
        </w:rPr>
        <w:t>年</w:t>
      </w:r>
      <w:r>
        <w:rPr/>
        <w:t>第二次临时股东大会审议通过。</w:t>
      </w:r>
    </w:p>
    <w:p>
      <w:pPr>
        <w:spacing w:line="240" w:lineRule="auto" w:before="2"/>
        <w:rPr>
          <w:rFonts w:ascii="宋体" w:hAnsi="宋体" w:cs="宋体" w:eastAsia="宋体" w:hint="default"/>
          <w:sz w:val="20"/>
          <w:szCs w:val="20"/>
        </w:rPr>
      </w:pPr>
    </w:p>
    <w:p>
      <w:pPr>
        <w:pStyle w:val="Heading3"/>
        <w:spacing w:line="280" w:lineRule="auto"/>
        <w:ind w:right="1130" w:firstLine="480"/>
        <w:jc w:val="both"/>
      </w:pPr>
      <w:r>
        <w:rPr/>
        <w:t>截至</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日，本公司募集资金累计投入募投项目</w:t>
      </w:r>
      <w:r>
        <w:rPr>
          <w:spacing w:val="-59"/>
        </w:rPr>
        <w:t> </w:t>
      </w:r>
      <w:r>
        <w:rPr>
          <w:rFonts w:ascii="Times New Roman" w:hAnsi="Times New Roman" w:cs="Times New Roman" w:eastAsia="Times New Roman" w:hint="default"/>
        </w:rPr>
        <w:t>53,054</w:t>
      </w:r>
      <w:r>
        <w:rPr>
          <w:rFonts w:ascii="Times New Roman" w:hAnsi="Times New Roman" w:cs="Times New Roman" w:eastAsia="Times New Roman" w:hint="default"/>
          <w:spacing w:val="-11"/>
        </w:rPr>
        <w:t> </w:t>
      </w:r>
      <w:r>
        <w:rPr>
          <w:spacing w:val="-6"/>
        </w:rPr>
        <w:t>万元，募集资金已全</w:t>
      </w:r>
      <w:r>
        <w:rPr/>
        <w:t> 部投入募投项目。</w:t>
      </w:r>
    </w:p>
    <w:p>
      <w:pPr>
        <w:spacing w:line="240" w:lineRule="auto" w:before="9"/>
        <w:rPr>
          <w:rFonts w:ascii="宋体" w:hAnsi="宋体" w:cs="宋体" w:eastAsia="宋体" w:hint="default"/>
          <w:sz w:val="19"/>
          <w:szCs w:val="19"/>
        </w:rPr>
      </w:pPr>
    </w:p>
    <w:p>
      <w:pPr>
        <w:pStyle w:val="BodyText"/>
        <w:spacing w:line="240" w:lineRule="auto"/>
        <w:ind w:right="0"/>
        <w:jc w:val="left"/>
      </w:pPr>
      <w:r>
        <w:rPr/>
        <w:t>募集资金投向使用情况如下：（万元）</w:t>
      </w: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6139"/>
        <w:gridCol w:w="1955"/>
        <w:gridCol w:w="1762"/>
      </w:tblGrid>
      <w:tr>
        <w:trPr>
          <w:trHeight w:val="412" w:hRule="exact"/>
        </w:trPr>
        <w:tc>
          <w:tcPr>
            <w:tcW w:w="6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9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31" w:right="0"/>
              <w:jc w:val="left"/>
              <w:rPr>
                <w:rFonts w:ascii="宋体" w:hAnsi="宋体" w:cs="宋体" w:eastAsia="宋体" w:hint="default"/>
                <w:sz w:val="18"/>
                <w:szCs w:val="18"/>
              </w:rPr>
            </w:pPr>
            <w:r>
              <w:rPr>
                <w:rFonts w:ascii="宋体" w:hAnsi="宋体" w:cs="宋体" w:eastAsia="宋体" w:hint="default"/>
                <w:sz w:val="18"/>
                <w:szCs w:val="18"/>
              </w:rPr>
              <w:t>承诺投资金额</w:t>
            </w:r>
          </w:p>
        </w:tc>
        <w:tc>
          <w:tcPr>
            <w:tcW w:w="17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36" w:right="0"/>
              <w:jc w:val="left"/>
              <w:rPr>
                <w:rFonts w:ascii="宋体" w:hAnsi="宋体" w:cs="宋体" w:eastAsia="宋体" w:hint="default"/>
                <w:sz w:val="18"/>
                <w:szCs w:val="18"/>
              </w:rPr>
            </w:pPr>
            <w:r>
              <w:rPr>
                <w:rFonts w:ascii="宋体" w:hAnsi="宋体" w:cs="宋体" w:eastAsia="宋体" w:hint="default"/>
                <w:sz w:val="18"/>
                <w:szCs w:val="18"/>
              </w:rPr>
              <w:t>实际投资金额</w:t>
            </w:r>
          </w:p>
        </w:tc>
      </w:tr>
      <w:tr>
        <w:trPr>
          <w:trHeight w:val="442" w:hRule="exact"/>
        </w:trPr>
        <w:tc>
          <w:tcPr>
            <w:tcW w:w="6139"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面向多模</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z w:val="18"/>
                <w:szCs w:val="18"/>
              </w:rPr>
              <w:t> </w:t>
            </w:r>
            <w:r>
              <w:rPr>
                <w:rFonts w:ascii="宋体" w:hAnsi="宋体" w:cs="宋体" w:eastAsia="宋体" w:hint="default"/>
                <w:sz w:val="18"/>
                <w:szCs w:val="18"/>
              </w:rPr>
              <w:t>智能手机的操作系统开发项目</w:t>
            </w:r>
          </w:p>
        </w:tc>
        <w:tc>
          <w:tcPr>
            <w:tcW w:w="1955"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Times New Roman"/>
                <w:sz w:val="18"/>
              </w:rPr>
              <w:t>15,993.00</w:t>
            </w:r>
          </w:p>
        </w:tc>
        <w:tc>
          <w:tcPr>
            <w:tcW w:w="1762" w:type="dxa"/>
            <w:tcBorders>
              <w:top w:val="single" w:sz="15" w:space="0" w:color="D9D9D9"/>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Times New Roman"/>
                <w:sz w:val="18"/>
              </w:rPr>
              <w:t>15,993.00</w:t>
            </w:r>
          </w:p>
        </w:tc>
      </w:tr>
      <w:tr>
        <w:trPr>
          <w:trHeight w:val="427" w:hRule="exact"/>
        </w:trPr>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IHV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认证实验室建设项目</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2,242.00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2,242.00</w:t>
            </w:r>
          </w:p>
        </w:tc>
      </w:tr>
      <w:tr>
        <w:trPr>
          <w:trHeight w:val="427" w:hRule="exact"/>
        </w:trPr>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面向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位芯片的下一代平板电脑操作系统开发项目</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3,822.00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3,822.00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6139"/>
        <w:gridCol w:w="1955"/>
        <w:gridCol w:w="1762"/>
      </w:tblGrid>
      <w:tr>
        <w:trPr>
          <w:trHeight w:val="427" w:hRule="exact"/>
        </w:trPr>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创新技术研发中心建设项目</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6,432.00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6,432.00</w:t>
            </w:r>
          </w:p>
        </w:tc>
      </w:tr>
      <w:tr>
        <w:trPr>
          <w:trHeight w:val="427" w:hRule="exact"/>
        </w:trPr>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企业级移动管理系统开发项目</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5,050.00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5,050.00</w:t>
            </w:r>
          </w:p>
        </w:tc>
      </w:tr>
      <w:tr>
        <w:trPr>
          <w:trHeight w:val="427" w:hRule="exact"/>
        </w:trPr>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新一代智能电视操作系统开发项目</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1,678.00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1,678.00</w:t>
            </w:r>
          </w:p>
        </w:tc>
      </w:tr>
      <w:tr>
        <w:trPr>
          <w:trHeight w:val="426" w:hRule="exact"/>
        </w:trPr>
        <w:tc>
          <w:tcPr>
            <w:tcW w:w="6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RightwareOy</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17,837.00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17,837.00</w:t>
            </w:r>
          </w:p>
        </w:tc>
      </w:tr>
      <w:tr>
        <w:trPr>
          <w:trHeight w:val="423" w:hRule="exact"/>
        </w:trPr>
        <w:tc>
          <w:tcPr>
            <w:tcW w:w="61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53,054.00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53,054.00</w:t>
            </w:r>
          </w:p>
        </w:tc>
      </w:tr>
    </w:tbl>
    <w:p>
      <w:pPr>
        <w:spacing w:line="240" w:lineRule="auto" w:before="9"/>
        <w:rPr>
          <w:rFonts w:ascii="宋体" w:hAnsi="宋体" w:cs="宋体" w:eastAsia="宋体" w:hint="default"/>
          <w:sz w:val="11"/>
          <w:szCs w:val="11"/>
        </w:rPr>
      </w:pPr>
    </w:p>
    <w:p>
      <w:pPr>
        <w:pStyle w:val="BodyText"/>
        <w:spacing w:line="240" w:lineRule="auto" w:before="35"/>
        <w:ind w:right="0"/>
        <w:jc w:val="left"/>
      </w:pPr>
      <w:r>
        <w:rPr/>
        <w:t>（</w:t>
      </w:r>
      <w:r>
        <w:rPr>
          <w:rFonts w:ascii="Times New Roman" w:hAnsi="Times New Roman" w:cs="Times New Roman" w:eastAsia="Times New Roman" w:hint="default"/>
        </w:rPr>
        <w:t>4</w:t>
      </w:r>
      <w:r>
        <w:rPr/>
        <w:t>）其他承诺事项</w:t>
      </w:r>
    </w:p>
    <w:p>
      <w:pPr>
        <w:spacing w:line="240" w:lineRule="auto" w:before="6"/>
        <w:rPr>
          <w:rFonts w:ascii="宋体" w:hAnsi="宋体" w:cs="宋体" w:eastAsia="宋体" w:hint="default"/>
          <w:sz w:val="20"/>
          <w:szCs w:val="20"/>
        </w:rPr>
      </w:pPr>
    </w:p>
    <w:p>
      <w:pPr>
        <w:pStyle w:val="BodyText"/>
        <w:spacing w:line="240" w:lineRule="auto"/>
        <w:ind w:right="0"/>
        <w:jc w:val="left"/>
      </w:pPr>
      <w:r>
        <w:rPr/>
        <w:t>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日，本集团不存在其他应披露的承诺事项。</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2、或有事项" w:id="443"/>
      <w:bookmarkEnd w:id="443"/>
      <w:r>
        <w:rPr/>
      </w:r>
      <w:r>
        <w:rPr>
          <w:rFonts w:ascii="Times New Roman" w:hAnsi="Times New Roman" w:cs="Times New Roman" w:eastAsia="Times New Roman" w:hint="default"/>
        </w:rPr>
        <w:t>2</w:t>
      </w:r>
      <w:r>
        <w:rPr>
          <w:rFonts w:ascii="微软雅黑" w:hAnsi="微软雅黑" w:cs="微软雅黑" w:eastAsia="微软雅黑" w:hint="default"/>
        </w:rPr>
        <w:t>、或有事项</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资产负债表日存在的重要或有事项" w:id="444"/>
      <w:bookmarkEnd w:id="44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20"/>
          <w:szCs w:val="20"/>
        </w:rPr>
      </w:pPr>
    </w:p>
    <w:p>
      <w:pPr>
        <w:pStyle w:val="BodyText"/>
        <w:spacing w:line="290" w:lineRule="auto"/>
        <w:ind w:left="1133" w:right="1129" w:firstLine="420"/>
        <w:jc w:val="both"/>
      </w:pPr>
      <w:r>
        <w:rPr/>
        <w:t>（</w:t>
      </w:r>
      <w:r>
        <w:rPr>
          <w:rFonts w:ascii="Times New Roman" w:hAnsi="Times New Roman" w:cs="Times New Roman" w:eastAsia="Times New Roman" w:hint="default"/>
        </w:rPr>
        <w:t>1</w:t>
      </w:r>
      <w:r>
        <w:rPr/>
        <w:t>）根据本公司</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年第一届董事会十三次会议决议，本公司使用汇丰银行（中国）有限公司北京 </w:t>
      </w:r>
      <w:r>
        <w:rPr>
          <w:spacing w:val="3"/>
        </w:rPr>
        <w:t>分行综合信用额度申请开立备用信用证为本公司之全资子公司香港天集有限公司在香港上海汇丰银行股</w:t>
      </w:r>
      <w:r>
        <w:rPr>
          <w:spacing w:val="-82"/>
        </w:rPr>
        <w:t> </w:t>
      </w:r>
      <w:r>
        <w:rPr>
          <w:spacing w:val="-82"/>
        </w:rPr>
      </w:r>
      <w:r>
        <w:rPr/>
        <w:t>份有限公司申请授信提供担保，金额为美元</w:t>
      </w:r>
      <w:r>
        <w:rPr>
          <w:spacing w:val="-52"/>
        </w:rPr>
        <w:t> </w:t>
      </w:r>
      <w:r>
        <w:rPr>
          <w:rFonts w:ascii="Times New Roman" w:hAnsi="Times New Roman" w:cs="Times New Roman" w:eastAsia="Times New Roman" w:hint="default"/>
        </w:rPr>
        <w:t>140</w:t>
      </w:r>
      <w:r>
        <w:rPr>
          <w:rFonts w:ascii="Times New Roman" w:hAnsi="Times New Roman" w:cs="Times New Roman" w:eastAsia="Times New Roman" w:hint="default"/>
          <w:spacing w:val="-10"/>
        </w:rPr>
        <w:t> </w:t>
      </w:r>
      <w:r>
        <w:rPr/>
        <w:t>万元整，担保期限为</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年，延期</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年。</w:t>
      </w:r>
    </w:p>
    <w:p>
      <w:pPr>
        <w:spacing w:line="240" w:lineRule="auto" w:before="9"/>
        <w:rPr>
          <w:rFonts w:ascii="宋体" w:hAnsi="宋体" w:cs="宋体" w:eastAsia="宋体" w:hint="default"/>
          <w:sz w:val="16"/>
          <w:szCs w:val="16"/>
        </w:rPr>
      </w:pPr>
    </w:p>
    <w:p>
      <w:pPr>
        <w:pStyle w:val="BodyText"/>
        <w:spacing w:line="288" w:lineRule="auto"/>
        <w:ind w:left="1133" w:right="1129" w:firstLine="420"/>
        <w:jc w:val="both"/>
      </w:pPr>
      <w:r>
        <w:rPr/>
        <w:t>（</w:t>
      </w:r>
      <w:r>
        <w:rPr>
          <w:rFonts w:ascii="Times New Roman" w:hAnsi="Times New Roman" w:cs="Times New Roman" w:eastAsia="Times New Roman" w:hint="default"/>
        </w:rPr>
        <w:t>2</w:t>
      </w:r>
      <w:r>
        <w:rPr/>
        <w:t>）根据本公司</w:t>
      </w:r>
      <w:r>
        <w:rPr>
          <w:spacing w:val="-6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年第二届董事会十四次会议决议，本公司使用汇丰银行（中国）有限公司北京 </w:t>
      </w:r>
      <w:r>
        <w:rPr>
          <w:spacing w:val="3"/>
        </w:rPr>
        <w:t>分行综合信用额度申请开立备用信用证为本公司之全资子公司香港天集有限公司在香港上海汇丰银行股</w:t>
      </w:r>
      <w:r>
        <w:rPr>
          <w:spacing w:val="-82"/>
        </w:rPr>
        <w:t> </w:t>
      </w:r>
      <w:r>
        <w:rPr>
          <w:spacing w:val="-82"/>
        </w:rPr>
      </w:r>
      <w:r>
        <w:rPr/>
        <w:t>份有限公司申请授信提供担保，金额为美元</w:t>
      </w:r>
      <w:r>
        <w:rPr>
          <w:spacing w:val="-52"/>
        </w:rPr>
        <w:t> </w:t>
      </w:r>
      <w:r>
        <w:rPr>
          <w:rFonts w:ascii="Times New Roman" w:hAnsi="Times New Roman" w:cs="Times New Roman" w:eastAsia="Times New Roman" w:hint="default"/>
        </w:rPr>
        <w:t>200</w:t>
      </w:r>
      <w:r>
        <w:rPr>
          <w:rFonts w:ascii="Times New Roman" w:hAnsi="Times New Roman" w:cs="Times New Roman" w:eastAsia="Times New Roman" w:hint="default"/>
          <w:spacing w:val="-10"/>
        </w:rPr>
        <w:t> </w:t>
      </w:r>
      <w:r>
        <w:rPr/>
        <w:t>万元整，担保期限为</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w:t>
      </w:r>
    </w:p>
    <w:p>
      <w:pPr>
        <w:spacing w:line="240" w:lineRule="auto" w:before="13"/>
        <w:rPr>
          <w:rFonts w:ascii="宋体" w:hAnsi="宋体" w:cs="宋体" w:eastAsia="宋体" w:hint="default"/>
          <w:sz w:val="16"/>
          <w:szCs w:val="16"/>
        </w:rPr>
      </w:pPr>
    </w:p>
    <w:p>
      <w:pPr>
        <w:pStyle w:val="BodyText"/>
        <w:spacing w:line="288" w:lineRule="auto"/>
        <w:ind w:left="1133" w:right="1129" w:firstLine="420"/>
        <w:jc w:val="both"/>
      </w:pPr>
      <w:r>
        <w:rPr/>
        <w:t>（</w:t>
      </w:r>
      <w:r>
        <w:rPr>
          <w:rFonts w:ascii="Times New Roman" w:hAnsi="Times New Roman" w:cs="Times New Roman" w:eastAsia="Times New Roman" w:hint="default"/>
        </w:rPr>
        <w:t>3</w:t>
      </w:r>
      <w:r>
        <w:rPr/>
        <w:t>）根据本公司</w:t>
      </w:r>
      <w:r>
        <w:rPr>
          <w:spacing w:val="-6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年第二届董事会十八次会议决议，本公司使用汇丰银行（中国）有限公司北京 </w:t>
      </w:r>
      <w:r>
        <w:rPr>
          <w:spacing w:val="3"/>
        </w:rPr>
        <w:t>分行综合信用额度申请开立备用信用证为本公司之全资子公司香港天集有限公司在香港上海汇丰银行股</w:t>
      </w:r>
      <w:r>
        <w:rPr>
          <w:spacing w:val="-82"/>
        </w:rPr>
        <w:t> </w:t>
      </w:r>
      <w:r>
        <w:rPr>
          <w:spacing w:val="-82"/>
        </w:rPr>
      </w:r>
      <w:r>
        <w:rPr/>
        <w:t>份有限公司申请授信提供担保，金额为美元</w:t>
      </w:r>
      <w:r>
        <w:rPr>
          <w:spacing w:val="-5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1"/>
        </w:rPr>
        <w:t> </w:t>
      </w:r>
      <w:r>
        <w:rPr/>
        <w:t>万元整。</w:t>
      </w:r>
    </w:p>
    <w:p>
      <w:pPr>
        <w:spacing w:line="240" w:lineRule="auto" w:before="11"/>
        <w:rPr>
          <w:rFonts w:ascii="宋体" w:hAnsi="宋体" w:cs="宋体" w:eastAsia="宋体" w:hint="default"/>
          <w:sz w:val="16"/>
          <w:szCs w:val="16"/>
        </w:rPr>
      </w:pPr>
    </w:p>
    <w:p>
      <w:pPr>
        <w:pStyle w:val="BodyText"/>
        <w:spacing w:line="290" w:lineRule="auto"/>
        <w:ind w:left="1134" w:right="1131" w:firstLine="420"/>
        <w:jc w:val="both"/>
      </w:pPr>
      <w:r>
        <w:rPr/>
        <w:t>（</w:t>
      </w:r>
      <w:r>
        <w:rPr>
          <w:rFonts w:ascii="Times New Roman" w:hAnsi="Times New Roman" w:cs="Times New Roman" w:eastAsia="Times New Roman" w:hint="default"/>
        </w:rPr>
        <w:t>4</w:t>
      </w:r>
      <w:r>
        <w:rPr/>
        <w:t>）根据本公司</w:t>
      </w:r>
      <w:r>
        <w:rPr>
          <w:spacing w:val="-6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年第二届董事会十八次会议决议，本公司招商银行股份有限公司北京大运村支 </w:t>
      </w:r>
      <w:r>
        <w:rPr>
          <w:spacing w:val="3"/>
        </w:rPr>
        <w:t>行综合信用额度申请开立备用信用证为本公司之全资子公司香港天集有限公司在招商银行股份有限公司</w:t>
      </w:r>
      <w:r>
        <w:rPr>
          <w:spacing w:val="-82"/>
        </w:rPr>
        <w:t> </w:t>
      </w:r>
      <w:r>
        <w:rPr>
          <w:spacing w:val="-82"/>
        </w:rPr>
      </w:r>
      <w:r>
        <w:rPr/>
        <w:t>卢森堡分行申请授信提供担保，金额为欧元</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万元整。</w:t>
      </w:r>
    </w:p>
    <w:p>
      <w:pPr>
        <w:spacing w:line="240" w:lineRule="auto" w:before="9"/>
        <w:rPr>
          <w:rFonts w:ascii="宋体" w:hAnsi="宋体" w:cs="宋体" w:eastAsia="宋体" w:hint="default"/>
          <w:sz w:val="16"/>
          <w:szCs w:val="16"/>
        </w:rPr>
      </w:pPr>
    </w:p>
    <w:p>
      <w:pPr>
        <w:pStyle w:val="BodyText"/>
        <w:spacing w:line="240" w:lineRule="auto"/>
        <w:ind w:right="0"/>
        <w:jc w:val="left"/>
      </w:pPr>
      <w:r>
        <w:rPr/>
        <w:t>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日，本集团不存在其他应披露的或有事项。</w:t>
      </w:r>
    </w:p>
    <w:p>
      <w:pPr>
        <w:spacing w:line="240" w:lineRule="auto" w:before="7"/>
        <w:rPr>
          <w:rFonts w:ascii="宋体" w:hAnsi="宋体" w:cs="宋体" w:eastAsia="宋体" w:hint="default"/>
          <w:sz w:val="20"/>
          <w:szCs w:val="20"/>
        </w:rPr>
      </w:pPr>
    </w:p>
    <w:p>
      <w:pPr>
        <w:spacing w:line="460" w:lineRule="auto" w:before="0"/>
        <w:ind w:left="1554" w:right="5165" w:firstLine="2"/>
        <w:jc w:val="left"/>
        <w:rPr>
          <w:rFonts w:ascii="宋体" w:hAnsi="宋体" w:cs="宋体" w:eastAsia="宋体" w:hint="default"/>
          <w:sz w:val="21"/>
          <w:szCs w:val="21"/>
        </w:rPr>
      </w:pPr>
      <w:bookmarkStart w:name="（2）公司没有需要披露的重要或有事项，也应予以说明" w:id="445"/>
      <w:bookmarkEnd w:id="4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b/>
          <w:bCs/>
          <w:w w:val="99"/>
          <w:sz w:val="21"/>
          <w:szCs w:val="21"/>
        </w:rPr>
        <w:t> </w:t>
      </w:r>
      <w:r>
        <w:rPr>
          <w:rFonts w:ascii="宋体" w:hAnsi="宋体" w:cs="宋体" w:eastAsia="宋体" w:hint="default"/>
          <w:sz w:val="21"/>
          <w:szCs w:val="21"/>
        </w:rPr>
        <w:t>公司不存在需要披露的重要或有事项。</w:t>
      </w:r>
    </w:p>
    <w:p>
      <w:pPr>
        <w:pStyle w:val="BodyText"/>
        <w:spacing w:line="240" w:lineRule="auto" w:before="82"/>
        <w:ind w:right="0"/>
        <w:jc w:val="left"/>
        <w:rPr>
          <w:rFonts w:ascii="微软雅黑" w:hAnsi="微软雅黑" w:cs="微软雅黑" w:eastAsia="微软雅黑" w:hint="default"/>
        </w:rPr>
      </w:pPr>
      <w:bookmarkStart w:name="3、其他" w:id="446"/>
      <w:bookmarkEnd w:id="446"/>
      <w:r>
        <w:rPr/>
      </w:r>
      <w:r>
        <w:rPr>
          <w:rFonts w:ascii="Times New Roman" w:hAnsi="Times New Roman" w:cs="Times New Roman" w:eastAsia="Times New Roman" w:hint="default"/>
        </w:rPr>
        <w:t>3</w:t>
      </w:r>
      <w:r>
        <w:rPr>
          <w:rFonts w:ascii="微软雅黑" w:hAnsi="微软雅黑" w:cs="微软雅黑" w:eastAsia="微软雅黑" w:hint="default"/>
        </w:rPr>
        <w:t>、其他</w:t>
      </w:r>
    </w:p>
    <w:p>
      <w:pPr>
        <w:spacing w:line="240" w:lineRule="auto" w:before="6"/>
        <w:rPr>
          <w:rFonts w:ascii="微软雅黑" w:hAnsi="微软雅黑" w:cs="微软雅黑" w:eastAsia="微软雅黑" w:hint="default"/>
          <w:sz w:val="23"/>
          <w:szCs w:val="23"/>
        </w:rPr>
      </w:pPr>
    </w:p>
    <w:p>
      <w:pPr>
        <w:pStyle w:val="BodyText"/>
        <w:spacing w:line="240" w:lineRule="auto"/>
        <w:ind w:right="0"/>
        <w:jc w:val="left"/>
      </w:pPr>
      <w:r>
        <w:rPr/>
        <w:t>截至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日，本集团不存在其他应披露的或有事项。</w:t>
      </w:r>
    </w:p>
    <w:p>
      <w:pPr>
        <w:spacing w:line="240" w:lineRule="auto" w:before="0"/>
        <w:rPr>
          <w:rFonts w:ascii="宋体" w:hAnsi="宋体" w:cs="宋体" w:eastAsia="宋体" w:hint="default"/>
          <w:sz w:val="26"/>
          <w:szCs w:val="26"/>
        </w:rPr>
      </w:pPr>
    </w:p>
    <w:p>
      <w:pPr>
        <w:pStyle w:val="Heading2"/>
        <w:spacing w:line="240" w:lineRule="auto"/>
        <w:ind w:right="0"/>
        <w:jc w:val="left"/>
      </w:pPr>
      <w:bookmarkStart w:name="十五、资产负债表日后事项" w:id="447"/>
      <w:bookmarkEnd w:id="447"/>
      <w:r>
        <w:rPr/>
      </w:r>
      <w:r>
        <w:rPr/>
        <w:t>十五、资产负债表日后事项</w:t>
      </w:r>
    </w:p>
    <w:p>
      <w:pPr>
        <w:spacing w:after="0" w:line="240" w:lineRule="auto"/>
        <w:jc w:val="left"/>
        <w:sectPr>
          <w:pgSz w:w="11910" w:h="16840"/>
          <w:pgMar w:header="877" w:footer="979" w:top="1100" w:bottom="1160" w:left="0" w:right="0"/>
        </w:sectPr>
      </w:pPr>
    </w:p>
    <w:p>
      <w:pPr>
        <w:spacing w:line="240" w:lineRule="auto" w:before="8"/>
        <w:rPr>
          <w:rFonts w:ascii="微软雅黑" w:hAnsi="微软雅黑" w:cs="微软雅黑" w:eastAsia="微软雅黑" w:hint="default"/>
          <w:sz w:val="14"/>
          <w:szCs w:val="14"/>
        </w:rPr>
      </w:pPr>
    </w:p>
    <w:p>
      <w:pPr>
        <w:pStyle w:val="BodyText"/>
        <w:spacing w:line="240" w:lineRule="auto" w:before="35"/>
        <w:ind w:right="0"/>
        <w:jc w:val="left"/>
      </w:pPr>
      <w:r>
        <w:rPr>
          <w:rFonts w:ascii="Times New Roman" w:hAnsi="Times New Roman" w:cs="Times New Roman" w:eastAsia="Times New Roman" w:hint="default"/>
        </w:rPr>
        <w:t>1</w:t>
      </w:r>
      <w:r>
        <w:rPr/>
        <w:t>、资产负债表日后利润分配情况说明</w:t>
      </w:r>
    </w:p>
    <w:p>
      <w:pPr>
        <w:spacing w:line="240" w:lineRule="auto" w:before="6"/>
        <w:rPr>
          <w:rFonts w:ascii="宋体" w:hAnsi="宋体" w:cs="宋体" w:eastAsia="宋体" w:hint="default"/>
          <w:sz w:val="20"/>
          <w:szCs w:val="20"/>
        </w:rPr>
      </w:pPr>
    </w:p>
    <w:p>
      <w:pPr>
        <w:pStyle w:val="BodyText"/>
        <w:spacing w:line="280" w:lineRule="auto"/>
        <w:ind w:left="1134" w:right="1120" w:firstLine="420"/>
        <w:jc w:val="left"/>
      </w:pPr>
      <w:r>
        <w:rPr/>
        <w:t>根据本公司</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9"/>
        </w:rPr>
        <w:t> </w:t>
      </w:r>
      <w:r>
        <w:rPr>
          <w:spacing w:val="-4"/>
        </w:rPr>
        <w:t>日第二届董事会第三十次会议决议，向全体股东每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1"/>
        </w:rPr>
        <w:t>股分配现金股利人民</w:t>
      </w:r>
      <w:r>
        <w:rPr/>
        <w:t> 币元（含税），共计分配现金股利元。</w:t>
      </w:r>
    </w:p>
    <w:p>
      <w:pPr>
        <w:spacing w:line="240" w:lineRule="auto" w:before="12"/>
        <w:rPr>
          <w:rFonts w:ascii="宋体" w:hAnsi="宋体" w:cs="宋体" w:eastAsia="宋体" w:hint="default"/>
          <w:sz w:val="18"/>
          <w:szCs w:val="18"/>
        </w:rPr>
      </w:pPr>
    </w:p>
    <w:p>
      <w:pPr>
        <w:pStyle w:val="BodyText"/>
        <w:spacing w:line="240" w:lineRule="auto"/>
        <w:ind w:left="1553" w:right="0"/>
        <w:jc w:val="left"/>
      </w:pPr>
      <w:r>
        <w:rPr>
          <w:rFonts w:ascii="Times New Roman" w:hAnsi="Times New Roman" w:cs="Times New Roman" w:eastAsia="Times New Roman" w:hint="default"/>
        </w:rPr>
        <w:t>2</w:t>
      </w:r>
      <w:r>
        <w:rPr/>
        <w:t>、其他资产负债表日后事项说明</w:t>
      </w:r>
    </w:p>
    <w:p>
      <w:pPr>
        <w:spacing w:line="240" w:lineRule="auto" w:before="7"/>
        <w:rPr>
          <w:rFonts w:ascii="宋体" w:hAnsi="宋体" w:cs="宋体" w:eastAsia="宋体" w:hint="default"/>
          <w:sz w:val="20"/>
          <w:szCs w:val="20"/>
        </w:rPr>
      </w:pPr>
    </w:p>
    <w:p>
      <w:pPr>
        <w:pStyle w:val="BodyText"/>
        <w:spacing w:line="280" w:lineRule="auto"/>
        <w:ind w:left="1134" w:right="1127" w:firstLine="420"/>
        <w:jc w:val="left"/>
      </w:pPr>
      <w:r>
        <w:rPr/>
        <w:t>（</w:t>
      </w:r>
      <w:r>
        <w:rPr>
          <w:rFonts w:ascii="Times New Roman" w:hAnsi="Times New Roman" w:cs="Times New Roman" w:eastAsia="Times New Roman" w:hint="default"/>
        </w:rPr>
        <w:t>1</w:t>
      </w:r>
      <w:r>
        <w:rPr/>
        <w:t>）本公司间接控制全资子公司</w:t>
      </w:r>
      <w:r>
        <w:rPr>
          <w:spacing w:val="-48"/>
        </w:rPr>
        <w:t> </w:t>
      </w:r>
      <w:r>
        <w:rPr>
          <w:rFonts w:ascii="Times New Roman" w:hAnsi="Times New Roman" w:cs="Times New Roman" w:eastAsia="Times New Roman" w:hint="default"/>
        </w:rPr>
        <w:t>MobileFocusHoldingLtd.</w:t>
      </w:r>
      <w:r>
        <w:rPr/>
        <w:t>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日已收到购买方支付的相 关</w:t>
      </w:r>
      <w:r>
        <w:rPr>
          <w:spacing w:val="-57"/>
        </w:rPr>
        <w:t> </w:t>
      </w:r>
      <w:r>
        <w:rPr>
          <w:rFonts w:ascii="Times New Roman" w:hAnsi="Times New Roman" w:cs="Times New Roman" w:eastAsia="Times New Roman" w:hint="default"/>
        </w:rPr>
        <w:t>PointMobileCo.,Ltd.</w:t>
      </w:r>
      <w:r>
        <w:rPr/>
        <w:t>股权出售的全部交易对价款，本次交易已全部交割完成。</w:t>
      </w:r>
    </w:p>
    <w:p>
      <w:pPr>
        <w:spacing w:line="240" w:lineRule="auto" w:before="7"/>
        <w:rPr>
          <w:rFonts w:ascii="宋体" w:hAnsi="宋体" w:cs="宋体" w:eastAsia="宋体" w:hint="default"/>
          <w:sz w:val="17"/>
          <w:szCs w:val="17"/>
        </w:rPr>
      </w:pPr>
    </w:p>
    <w:p>
      <w:pPr>
        <w:pStyle w:val="BodyText"/>
        <w:spacing w:line="240" w:lineRule="auto"/>
        <w:ind w:right="0"/>
        <w:jc w:val="left"/>
      </w:pPr>
      <w:r>
        <w:rPr>
          <w:spacing w:val="-4"/>
        </w:rPr>
        <w:t>（</w:t>
      </w:r>
      <w:r>
        <w:rPr>
          <w:rFonts w:ascii="Times New Roman" w:hAnsi="Times New Roman" w:cs="Times New Roman" w:eastAsia="Times New Roman" w:hint="default"/>
          <w:spacing w:val="-4"/>
        </w:rPr>
        <w:t>2</w:t>
      </w:r>
      <w:r>
        <w:rPr>
          <w:spacing w:val="-4"/>
        </w:rPr>
        <w:t>）本公司之间接控股子公司</w:t>
      </w:r>
      <w:r>
        <w:rPr>
          <w:spacing w:val="-53"/>
        </w:rPr>
        <w:t> </w:t>
      </w:r>
      <w:r>
        <w:rPr>
          <w:rFonts w:ascii="Times New Roman" w:hAnsi="Times New Roman" w:cs="Times New Roman" w:eastAsia="Times New Roman" w:hint="default"/>
        </w:rPr>
        <w:t>AchieveSkyEuropeSARL</w:t>
      </w:r>
      <w:r>
        <w:rPr>
          <w:rFonts w:ascii="Times New Roman" w:hAnsi="Times New Roman" w:cs="Times New Roman" w:eastAsia="Times New Roman" w:hint="default"/>
          <w:spacing w:val="-10"/>
        </w:rPr>
        <w:t> </w:t>
      </w:r>
      <w:r>
        <w:rPr/>
        <w:t>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11"/>
        </w:rPr>
        <w:t> </w:t>
      </w:r>
      <w:r>
        <w:rPr/>
        <w:t>日已与卖方签署了相关购买</w:t>
      </w:r>
    </w:p>
    <w:p>
      <w:pPr>
        <w:pStyle w:val="BodyText"/>
        <w:spacing w:line="240" w:lineRule="auto" w:before="50"/>
        <w:ind w:left="1133" w:right="0"/>
        <w:jc w:val="left"/>
      </w:pPr>
      <w:r>
        <w:rPr>
          <w:rFonts w:ascii="Times New Roman" w:hAnsi="Times New Roman" w:cs="Times New Roman" w:eastAsia="Times New Roman" w:hint="default"/>
        </w:rPr>
        <w:t>MMSolutionsAD</w:t>
      </w:r>
      <w:r>
        <w:rPr>
          <w:rFonts w:ascii="Times New Roman" w:hAnsi="Times New Roman" w:cs="Times New Roman" w:eastAsia="Times New Roman" w:hint="default"/>
          <w:spacing w:val="-13"/>
        </w:rPr>
        <w:t> </w:t>
      </w:r>
      <w:r>
        <w:rPr/>
        <w:t>全部股权的《交割确认函》，确认交割已完成。</w:t>
      </w:r>
    </w:p>
    <w:p>
      <w:pPr>
        <w:spacing w:line="240" w:lineRule="auto" w:before="6"/>
        <w:rPr>
          <w:rFonts w:ascii="宋体" w:hAnsi="宋体" w:cs="宋体" w:eastAsia="宋体" w:hint="default"/>
          <w:sz w:val="20"/>
          <w:szCs w:val="20"/>
        </w:rPr>
      </w:pPr>
    </w:p>
    <w:p>
      <w:pPr>
        <w:pStyle w:val="BodyText"/>
        <w:spacing w:line="240" w:lineRule="auto"/>
        <w:ind w:right="0"/>
        <w:jc w:val="left"/>
      </w:pPr>
      <w:r>
        <w:rPr/>
        <w:t>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日，本集团不存在其他应披露的资产负债表日后事项。</w:t>
      </w:r>
    </w:p>
    <w:p>
      <w:pPr>
        <w:spacing w:line="240" w:lineRule="auto" w:before="12"/>
        <w:rPr>
          <w:rFonts w:ascii="宋体" w:hAnsi="宋体" w:cs="宋体" w:eastAsia="宋体" w:hint="default"/>
          <w:sz w:val="25"/>
          <w:szCs w:val="25"/>
        </w:rPr>
      </w:pPr>
    </w:p>
    <w:p>
      <w:pPr>
        <w:pStyle w:val="Heading2"/>
        <w:spacing w:line="240" w:lineRule="auto"/>
        <w:ind w:right="0"/>
        <w:jc w:val="left"/>
      </w:pPr>
      <w:bookmarkStart w:name="十六、其他重要事项" w:id="448"/>
      <w:bookmarkEnd w:id="448"/>
      <w:r>
        <w:rPr/>
      </w:r>
      <w:r>
        <w:rPr/>
        <w:t>十六、其他重要事项</w:t>
      </w:r>
    </w:p>
    <w:p>
      <w:pPr>
        <w:spacing w:line="240" w:lineRule="auto" w:before="12"/>
        <w:rPr>
          <w:rFonts w:ascii="微软雅黑" w:hAnsi="微软雅黑" w:cs="微软雅黑" w:eastAsia="微软雅黑" w:hint="default"/>
          <w:sz w:val="27"/>
          <w:szCs w:val="27"/>
        </w:rPr>
      </w:pPr>
    </w:p>
    <w:p>
      <w:pPr>
        <w:pStyle w:val="BodyText"/>
        <w:spacing w:line="240" w:lineRule="auto"/>
        <w:ind w:right="0"/>
        <w:jc w:val="left"/>
      </w:pPr>
      <w:r>
        <w:rPr>
          <w:rFonts w:ascii="Times New Roman" w:hAnsi="Times New Roman" w:cs="Times New Roman" w:eastAsia="Times New Roman" w:hint="default"/>
        </w:rPr>
        <w:t>1</w:t>
      </w:r>
      <w:r>
        <w:rPr/>
        <w:t>、与持有公司</w:t>
      </w:r>
      <w:r>
        <w:rPr>
          <w:spacing w:val="-56"/>
        </w:rPr>
        <w:t> </w:t>
      </w:r>
      <w:r>
        <w:rPr>
          <w:rFonts w:ascii="Times New Roman" w:hAnsi="Times New Roman" w:cs="Times New Roman" w:eastAsia="Times New Roman" w:hint="default"/>
        </w:rPr>
        <w:t>5%</w:t>
      </w:r>
      <w:r>
        <w:rPr/>
        <w:t>以下股份的股东及其关联方的交易以及往来情况</w:t>
      </w:r>
    </w:p>
    <w:p>
      <w:pPr>
        <w:spacing w:line="240" w:lineRule="auto" w:before="6"/>
        <w:rPr>
          <w:rFonts w:ascii="宋体" w:hAnsi="宋体" w:cs="宋体" w:eastAsia="宋体" w:hint="default"/>
          <w:sz w:val="20"/>
          <w:szCs w:val="20"/>
        </w:rPr>
      </w:pPr>
    </w:p>
    <w:p>
      <w:pPr>
        <w:pStyle w:val="BodyText"/>
        <w:spacing w:line="240" w:lineRule="auto"/>
        <w:ind w:right="0"/>
        <w:jc w:val="left"/>
      </w:pPr>
      <w:r>
        <w:rPr/>
        <w:t>（</w:t>
      </w:r>
      <w:r>
        <w:rPr>
          <w:rFonts w:ascii="Times New Roman" w:hAnsi="Times New Roman" w:cs="Times New Roman" w:eastAsia="Times New Roman" w:hint="default"/>
        </w:rPr>
        <w:t>1</w:t>
      </w:r>
      <w:r>
        <w:rPr/>
        <w:t>）交易公司基本情况</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465"/>
        <w:gridCol w:w="2738"/>
        <w:gridCol w:w="3653"/>
      </w:tblGrid>
      <w:tr>
        <w:trPr>
          <w:trHeight w:val="427" w:hRule="exact"/>
        </w:trPr>
        <w:tc>
          <w:tcPr>
            <w:tcW w:w="3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交易公司名称</w:t>
            </w:r>
          </w:p>
        </w:tc>
        <w:tc>
          <w:tcPr>
            <w:tcW w:w="27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与股东关系</w:t>
            </w:r>
          </w:p>
        </w:tc>
      </w:tr>
      <w:tr>
        <w:trPr>
          <w:trHeight w:val="594" w:hRule="exact"/>
        </w:trPr>
        <w:tc>
          <w:tcPr>
            <w:tcW w:w="34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QualcommTechnologies,Inc.</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QualcommInternational,Inc.</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直接控制本公司股东</w:t>
            </w:r>
          </w:p>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Times New Roman"/>
                <w:sz w:val="18"/>
              </w:rPr>
              <w:t>QualcommInternational,Inc.</w:t>
            </w:r>
          </w:p>
        </w:tc>
      </w:tr>
      <w:tr>
        <w:trPr>
          <w:trHeight w:val="622"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QualcommAtheros,Inc.</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QualcommInternational,Inc.</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914"/>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QualcommInternational,Inc.</w:t>
            </w:r>
            <w:r>
              <w:rPr>
                <w:rFonts w:ascii="宋体" w:hAnsi="宋体" w:cs="宋体" w:eastAsia="宋体" w:hint="default"/>
                <w:sz w:val="18"/>
                <w:szCs w:val="18"/>
              </w:rPr>
              <w:t>同受</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QualcommIncorporated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w:t>
            </w:r>
          </w:p>
        </w:tc>
      </w:tr>
      <w:tr>
        <w:trPr>
          <w:trHeight w:val="620"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QualcommIndiaPvt,Ltd.</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QualcommInternational,Inc.</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914"/>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QualcommInternational,Inc.</w:t>
            </w:r>
            <w:r>
              <w:rPr>
                <w:rFonts w:ascii="宋体" w:hAnsi="宋体" w:cs="宋体" w:eastAsia="宋体" w:hint="default"/>
                <w:sz w:val="18"/>
                <w:szCs w:val="18"/>
              </w:rPr>
              <w:t>同受</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QualcommIncorporated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w:t>
            </w:r>
          </w:p>
        </w:tc>
      </w:tr>
      <w:tr>
        <w:trPr>
          <w:trHeight w:val="622"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高通（中国）投资有限公司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QualcommInternational,Inc.</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914"/>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QualcommInternational,Inc.</w:t>
            </w:r>
            <w:r>
              <w:rPr>
                <w:rFonts w:ascii="宋体" w:hAnsi="宋体" w:cs="宋体" w:eastAsia="宋体" w:hint="default"/>
                <w:sz w:val="18"/>
                <w:szCs w:val="18"/>
              </w:rPr>
              <w:t>同受</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QualcommIncorporated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w:t>
            </w:r>
          </w:p>
        </w:tc>
      </w:tr>
      <w:tr>
        <w:trPr>
          <w:trHeight w:val="620"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高通无线半导体技术有限公司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QualcommInternational,Inc.</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5"/>
              <w:ind w:left="103" w:right="914"/>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QualcommInternational,Inc.</w:t>
            </w:r>
            <w:r>
              <w:rPr>
                <w:rFonts w:ascii="宋体" w:hAnsi="宋体" w:cs="宋体" w:eastAsia="宋体" w:hint="default"/>
                <w:sz w:val="18"/>
                <w:szCs w:val="18"/>
              </w:rPr>
              <w:t>同受</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QualcommIncorporated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w:t>
            </w:r>
          </w:p>
        </w:tc>
      </w:tr>
      <w:tr>
        <w:trPr>
          <w:trHeight w:val="620"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高通无线通信技术（中国）有限公司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QualcommInternational,Inc.</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914"/>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QualcommInternational,Inc.</w:t>
            </w:r>
            <w:r>
              <w:rPr>
                <w:rFonts w:ascii="宋体" w:hAnsi="宋体" w:cs="宋体" w:eastAsia="宋体" w:hint="default"/>
                <w:sz w:val="18"/>
                <w:szCs w:val="18"/>
              </w:rPr>
              <w:t>同受</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QualcommIncorporated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w:t>
            </w:r>
          </w:p>
        </w:tc>
      </w:tr>
      <w:tr>
        <w:trPr>
          <w:trHeight w:val="622"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130"/>
              <w:jc w:val="left"/>
              <w:rPr>
                <w:rFonts w:ascii="Times New Roman" w:hAnsi="Times New Roman" w:cs="Times New Roman" w:eastAsia="Times New Roman" w:hint="default"/>
                <w:sz w:val="18"/>
                <w:szCs w:val="18"/>
              </w:rPr>
            </w:pPr>
            <w:r>
              <w:rPr>
                <w:rFonts w:ascii="Times New Roman"/>
                <w:sz w:val="18"/>
              </w:rPr>
              <w:t>QUALCOMMCDMATechnologiesAsiaPaci fic</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QualcommInternational,Inc.</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914"/>
              <w:jc w:val="left"/>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QualcommInternational,Inc.</w:t>
            </w:r>
            <w:r>
              <w:rPr>
                <w:rFonts w:ascii="宋体" w:hAnsi="宋体" w:cs="宋体" w:eastAsia="宋体" w:hint="default"/>
                <w:sz w:val="18"/>
                <w:szCs w:val="18"/>
              </w:rPr>
              <w:t>同受</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QualcommIncorporated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控制</w:t>
            </w:r>
          </w:p>
        </w:tc>
      </w:tr>
      <w:tr>
        <w:trPr>
          <w:trHeight w:val="828"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TCTMobileLimited</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1"/>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r>
        <w:trPr>
          <w:trHeight w:val="828"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 </w:t>
            </w:r>
            <w:r>
              <w:rPr>
                <w:rFonts w:ascii="宋体" w:hAnsi="宋体" w:cs="宋体" w:eastAsia="宋体" w:hint="default"/>
                <w:sz w:val="18"/>
                <w:szCs w:val="18"/>
              </w:rPr>
              <w:t>移动通信科技（宁波）有限公司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2"/>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r>
        <w:trPr>
          <w:trHeight w:val="828"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2" w:lineRule="exact"/>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移动通信科技（宁波）有限公司深圳 分公司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2"/>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bl>
    <w:p>
      <w:pPr>
        <w:spacing w:after="0" w:line="224" w:lineRule="exact"/>
        <w:jc w:val="left"/>
        <w:rPr>
          <w:rFonts w:ascii="宋体" w:hAnsi="宋体" w:cs="宋体" w:eastAsia="宋体"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465"/>
        <w:gridCol w:w="2738"/>
        <w:gridCol w:w="3653"/>
      </w:tblGrid>
      <w:tr>
        <w:trPr>
          <w:trHeight w:val="427" w:hRule="exact"/>
        </w:trPr>
        <w:tc>
          <w:tcPr>
            <w:tcW w:w="34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交易公司名称</w:t>
            </w:r>
          </w:p>
        </w:tc>
        <w:tc>
          <w:tcPr>
            <w:tcW w:w="27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与股东关系</w:t>
            </w:r>
          </w:p>
        </w:tc>
      </w:tr>
      <w:tr>
        <w:trPr>
          <w:trHeight w:val="828" w:hRule="exact"/>
        </w:trPr>
        <w:tc>
          <w:tcPr>
            <w:tcW w:w="346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捷开通讯（深圳）有限公司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1"/>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r>
        <w:trPr>
          <w:trHeight w:val="828"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捷开通讯科技（上海）有限公司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2"/>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r>
        <w:trPr>
          <w:trHeight w:val="827"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深圳么么哒互联通信有限公司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1"/>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r>
        <w:trPr>
          <w:trHeight w:val="828"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 </w:t>
            </w:r>
            <w:r>
              <w:rPr>
                <w:rFonts w:ascii="宋体" w:hAnsi="宋体" w:cs="宋体" w:eastAsia="宋体" w:hint="default"/>
                <w:sz w:val="18"/>
                <w:szCs w:val="18"/>
              </w:rPr>
              <w:t>通讯科技（成都）有限公司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1"/>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r>
        <w:trPr>
          <w:trHeight w:val="622"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展讯通信（上海）有限公司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展讯通信（天津）有限公司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19"/>
              <w:jc w:val="left"/>
              <w:rPr>
                <w:rFonts w:ascii="宋体" w:hAnsi="宋体" w:cs="宋体" w:eastAsia="宋体" w:hint="default"/>
                <w:sz w:val="18"/>
                <w:szCs w:val="18"/>
              </w:rPr>
            </w:pPr>
            <w:r>
              <w:rPr>
                <w:rFonts w:ascii="宋体" w:hAnsi="宋体" w:cs="宋体" w:eastAsia="宋体" w:hint="default"/>
                <w:sz w:val="18"/>
                <w:szCs w:val="18"/>
              </w:rPr>
              <w:t>展讯通信（上海）有限公司直接控制展讯通 信（天津）有限公司</w:t>
            </w:r>
          </w:p>
        </w:tc>
      </w:tr>
      <w:tr>
        <w:trPr>
          <w:trHeight w:val="427"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展讯通信（天津）有限公司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展讯通信（天津）有限公司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827"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 </w:t>
            </w:r>
            <w:r>
              <w:rPr>
                <w:rFonts w:ascii="宋体" w:hAnsi="宋体" w:cs="宋体" w:eastAsia="宋体" w:hint="default"/>
                <w:sz w:val="18"/>
                <w:szCs w:val="18"/>
              </w:rPr>
              <w:t>集团有限公司技术中心</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1"/>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r>
        <w:trPr>
          <w:trHeight w:val="829" w:hRule="exact"/>
        </w:trPr>
        <w:tc>
          <w:tcPr>
            <w:tcW w:w="3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TCL </w:t>
            </w:r>
            <w:r>
              <w:rPr>
                <w:rFonts w:ascii="宋体" w:hAnsi="宋体" w:cs="宋体" w:eastAsia="宋体" w:hint="default"/>
                <w:sz w:val="18"/>
                <w:szCs w:val="18"/>
              </w:rPr>
              <w:t>云创科技有限公司</w:t>
            </w:r>
          </w:p>
        </w:tc>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同受</w:t>
            </w:r>
          </w:p>
          <w:p>
            <w:pPr>
              <w:pStyle w:val="TableParagraph"/>
              <w:spacing w:line="224" w:lineRule="exact" w:before="11"/>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TCLCommunicationTechnologyHoldingsLimit 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控制</w:t>
            </w:r>
          </w:p>
        </w:tc>
      </w:tr>
    </w:tbl>
    <w:p>
      <w:pPr>
        <w:spacing w:line="240" w:lineRule="auto" w:before="4"/>
        <w:rPr>
          <w:rFonts w:ascii="宋体" w:hAnsi="宋体" w:cs="宋体" w:eastAsia="宋体" w:hint="default"/>
          <w:sz w:val="11"/>
          <w:szCs w:val="11"/>
        </w:rPr>
      </w:pPr>
    </w:p>
    <w:p>
      <w:pPr>
        <w:pStyle w:val="BodyText"/>
        <w:spacing w:line="297" w:lineRule="auto" w:before="35"/>
        <w:ind w:left="1133" w:right="0" w:firstLine="420"/>
        <w:jc w:val="left"/>
      </w:pPr>
      <w:r>
        <w:rPr>
          <w:spacing w:val="-1"/>
        </w:rPr>
        <w:t>说明：展讯通信（天津）有限公司为展讯通信（上海）有限公司的全资子公司，根据展讯（上海）的</w:t>
      </w:r>
      <w:r>
        <w:rPr/>
        <w:t> 通知，相关合同的交付和付款、发票开具信息由展讯（天津）执行，合同其余条款不变。</w:t>
      </w:r>
    </w:p>
    <w:p>
      <w:pPr>
        <w:spacing w:line="240" w:lineRule="auto" w:before="10"/>
        <w:rPr>
          <w:rFonts w:ascii="宋体" w:hAnsi="宋体" w:cs="宋体" w:eastAsia="宋体" w:hint="default"/>
          <w:sz w:val="17"/>
          <w:szCs w:val="17"/>
        </w:rPr>
      </w:pPr>
    </w:p>
    <w:p>
      <w:pPr>
        <w:pStyle w:val="BodyText"/>
        <w:spacing w:line="240" w:lineRule="auto"/>
        <w:ind w:left="1553" w:right="0"/>
        <w:jc w:val="left"/>
      </w:pPr>
      <w:r>
        <w:rPr/>
        <w:t>（</w:t>
      </w:r>
      <w:r>
        <w:rPr>
          <w:rFonts w:ascii="Times New Roman" w:hAnsi="Times New Roman" w:cs="Times New Roman" w:eastAsia="Times New Roman" w:hint="default"/>
        </w:rPr>
        <w:t>2</w:t>
      </w:r>
      <w:r>
        <w:rPr/>
        <w:t>）采购与销售情况</w:t>
      </w:r>
    </w:p>
    <w:p>
      <w:pPr>
        <w:spacing w:line="240" w:lineRule="auto" w:before="7"/>
        <w:rPr>
          <w:rFonts w:ascii="宋体" w:hAnsi="宋体" w:cs="宋体" w:eastAsia="宋体" w:hint="default"/>
          <w:sz w:val="20"/>
          <w:szCs w:val="20"/>
        </w:rPr>
      </w:pPr>
    </w:p>
    <w:p>
      <w:pPr>
        <w:pStyle w:val="BodyText"/>
        <w:spacing w:line="240" w:lineRule="auto"/>
        <w:ind w:right="0"/>
        <w:jc w:val="left"/>
      </w:pPr>
      <w:r>
        <w:rPr/>
        <w:t>①采购商品、接受劳务情况</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783"/>
        <w:gridCol w:w="1806"/>
        <w:gridCol w:w="1654"/>
        <w:gridCol w:w="1613"/>
      </w:tblGrid>
      <w:tr>
        <w:trPr>
          <w:trHeight w:val="4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8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7" w:hRule="exact"/>
        </w:trPr>
        <w:tc>
          <w:tcPr>
            <w:tcW w:w="47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PointMobileCo.,Ltd.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硬件采购</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6,515,804.63</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T2MobileInternationalLimited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硬件采购</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3,414,511.09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QualcommTechnologies,Inc.</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硬件采购</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1,920,646.06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QUALCOMMCDMATechnologiesAsiaPacific</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硬件采购</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3,924,035.57</w:t>
            </w:r>
          </w:p>
        </w:tc>
      </w:tr>
      <w:tr>
        <w:trPr>
          <w:trHeight w:val="4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11,850,961.78</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3,924,035.57</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②出售商品、提供劳务情况</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180"/>
        <w:gridCol w:w="1956"/>
        <w:gridCol w:w="1956"/>
        <w:gridCol w:w="1763"/>
      </w:tblGrid>
      <w:tr>
        <w:trPr>
          <w:trHeight w:val="427" w:hRule="exact"/>
        </w:trPr>
        <w:tc>
          <w:tcPr>
            <w:tcW w:w="4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交易内容</w:t>
            </w:r>
          </w:p>
        </w:tc>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5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2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8" w:hRule="exact"/>
        </w:trPr>
        <w:tc>
          <w:tcPr>
            <w:tcW w:w="41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Times New Roman" w:hAnsi="Times New Roman" w:cs="Times New Roman" w:eastAsia="Times New Roman" w:hint="default"/>
                <w:sz w:val="18"/>
                <w:szCs w:val="18"/>
              </w:rPr>
            </w:pPr>
            <w:r>
              <w:rPr>
                <w:rFonts w:ascii="Times New Roman"/>
                <w:sz w:val="18"/>
              </w:rPr>
              <w:t>QualcommAtheros,Inc.</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1,241,677.48</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1,060,636.24</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QualcommTechnologies,Inc.</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79,541,962.70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12,946,202.91</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QualcommTechnologies,Inc.</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76,334,044.72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4180"/>
        <w:gridCol w:w="1956"/>
        <w:gridCol w:w="1956"/>
        <w:gridCol w:w="1763"/>
      </w:tblGrid>
      <w:tr>
        <w:trPr>
          <w:trHeight w:val="427" w:hRule="exact"/>
        </w:trPr>
        <w:tc>
          <w:tcPr>
            <w:tcW w:w="4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交易内容</w:t>
            </w:r>
          </w:p>
        </w:tc>
        <w:tc>
          <w:tcPr>
            <w:tcW w:w="1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52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2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7" w:hRule="exact"/>
        </w:trPr>
        <w:tc>
          <w:tcPr>
            <w:tcW w:w="41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Times New Roman" w:hAnsi="Times New Roman" w:cs="Times New Roman" w:eastAsia="Times New Roman" w:hint="default"/>
                <w:sz w:val="18"/>
                <w:szCs w:val="18"/>
              </w:rPr>
            </w:pPr>
            <w:r>
              <w:rPr>
                <w:rFonts w:ascii="Times New Roman"/>
                <w:sz w:val="18"/>
              </w:rPr>
              <w:t>QualcommTechnologies,Inc.</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软件许可收入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130,637.40</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QualcommIndiaPvt,Ltd.</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53,437.80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高通无线半导体技术有限公司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1,167,155.44</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展讯通信（上海）有限公司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软件许可收入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111,316,098.78</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展讯通信（天津）有限公司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19,959,528.20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TCTMOBILELIMITED</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软件许可收入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9,858.02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14,235.52</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T2MobileInternationalLimited</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硬件收入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20,471.82</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移动通信科技（宁波）有限公司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18,737,926.12</w:t>
            </w:r>
          </w:p>
        </w:tc>
      </w:tr>
      <w:tr>
        <w:trPr>
          <w:trHeight w:val="426"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移动通信科技（宁波）有限公司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11,549,926.39</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13,637,638.48</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移动通信科技（宁波）有限公司深圳分公司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598,000.00</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捷开通讯（深圳）有限公司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666,225.00</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捷开通讯（深圳）有限公司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3,441,586.34</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捷开通讯科技（上海）有限公司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5,717,038.76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3,933,408.04</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深圳么么哒互联通信有限公司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108,486.00</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通讯科技（成都）有限公司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4,585,875.86</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12,113,496.19</w:t>
            </w:r>
          </w:p>
        </w:tc>
      </w:tr>
      <w:tr>
        <w:trPr>
          <w:trHeight w:val="428"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Times New Roman"/>
                <w:sz w:val="18"/>
              </w:rPr>
              <w:t>QUALCOMMCDMATechnologiesAsiaPacific</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软件开发收入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z w:val="18"/>
              </w:rPr>
              <w:t>49,490.90</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高通无线通信技术（中国）有限公司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1,141,061.41</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捷开通讯（深圳）有限公司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软件许可收入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328,916.27</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集团有限公司技术中心</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178,195.40</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云创科技有限公司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技术服务收入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598,841.39</w:t>
            </w:r>
          </w:p>
        </w:tc>
      </w:tr>
      <w:tr>
        <w:trPr>
          <w:trHeight w:val="427" w:hRule="exact"/>
        </w:trPr>
        <w:tc>
          <w:tcPr>
            <w:tcW w:w="4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123,955,418.47</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257,226,641.11</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w:t>
      </w:r>
      <w:r>
        <w:rPr>
          <w:rFonts w:ascii="Times New Roman" w:hAnsi="Times New Roman" w:cs="Times New Roman" w:eastAsia="Times New Roman" w:hint="default"/>
        </w:rPr>
        <w:t>3</w:t>
      </w:r>
      <w:r>
        <w:rPr/>
        <w:t>）应收与应付情况</w:t>
      </w:r>
    </w:p>
    <w:p>
      <w:pPr>
        <w:spacing w:line="240" w:lineRule="auto" w:before="6"/>
        <w:rPr>
          <w:rFonts w:ascii="宋体" w:hAnsi="宋体" w:cs="宋体" w:eastAsia="宋体" w:hint="default"/>
          <w:sz w:val="20"/>
          <w:szCs w:val="20"/>
        </w:rPr>
      </w:pPr>
    </w:p>
    <w:p>
      <w:pPr>
        <w:pStyle w:val="BodyText"/>
        <w:spacing w:line="240" w:lineRule="auto"/>
        <w:ind w:right="0"/>
        <w:jc w:val="left"/>
      </w:pPr>
      <w:r>
        <w:rPr/>
        <w:t>①应收款情况</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162"/>
        <w:gridCol w:w="3318"/>
        <w:gridCol w:w="1506"/>
        <w:gridCol w:w="1205"/>
        <w:gridCol w:w="1504"/>
        <w:gridCol w:w="1160"/>
      </w:tblGrid>
      <w:tr>
        <w:trPr>
          <w:trHeight w:val="427" w:hRule="exact"/>
        </w:trPr>
        <w:tc>
          <w:tcPr>
            <w:tcW w:w="11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1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1162" w:type="dxa"/>
            <w:vMerge/>
            <w:tcBorders>
              <w:left w:val="single" w:sz="4" w:space="0" w:color="000000"/>
              <w:bottom w:val="single" w:sz="4" w:space="0" w:color="000000"/>
              <w:right w:val="single" w:sz="4" w:space="0" w:color="000000"/>
            </w:tcBorders>
            <w:shd w:val="clear" w:color="auto" w:fill="D9D9D9"/>
          </w:tcPr>
          <w:p>
            <w:pPr/>
          </w:p>
        </w:tc>
        <w:tc>
          <w:tcPr>
            <w:tcW w:w="3318" w:type="dxa"/>
            <w:vMerge/>
            <w:tcBorders>
              <w:left w:val="single" w:sz="4" w:space="0" w:color="000000"/>
              <w:bottom w:val="single" w:sz="4" w:space="0" w:color="000000"/>
              <w:right w:val="single" w:sz="4" w:space="0" w:color="000000"/>
            </w:tcBorders>
            <w:shd w:val="clear" w:color="auto" w:fill="D9D9D9"/>
          </w:tcPr>
          <w:p>
            <w:pPr/>
          </w:p>
        </w:tc>
        <w:tc>
          <w:tcPr>
            <w:tcW w:w="1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2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42"/>
              <w:ind w:left="103" w:right="0"/>
              <w:jc w:val="left"/>
              <w:rPr>
                <w:rFonts w:ascii="宋体" w:hAnsi="宋体" w:cs="宋体" w:eastAsia="宋体" w:hint="default"/>
                <w:sz w:val="18"/>
                <w:szCs w:val="18"/>
              </w:rPr>
            </w:pPr>
            <w:r>
              <w:rPr>
                <w:rFonts w:ascii="宋体" w:hAnsi="宋体" w:cs="宋体" w:eastAsia="宋体" w:hint="default"/>
                <w:sz w:val="18"/>
                <w:szCs w:val="18"/>
              </w:rPr>
              <w:t>展讯通信（上海）有限公司及展讯通信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（天津）有限公司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113,907,856.28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1,139,078.56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45,978,198.26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459,781.98</w:t>
            </w:r>
          </w:p>
        </w:tc>
      </w:tr>
      <w:tr>
        <w:trPr>
          <w:trHeight w:val="4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QualcommTechnologies,Inc.</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66,356,055.87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sz w:val="18"/>
              </w:rPr>
              <w:t>663,560.56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移动通信科技（宁波）有限公司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7,361,954.37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sz w:val="18"/>
              </w:rPr>
              <w:t>73,619.54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18,597,746.32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185,977.46</w:t>
            </w:r>
          </w:p>
        </w:tc>
      </w:tr>
      <w:tr>
        <w:trPr>
          <w:trHeight w:val="4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捷开通讯科技（上海）有限公司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6,406,093.09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sz w:val="18"/>
              </w:rPr>
              <w:t>64,060.93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3,933,408.04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39,334.08</w:t>
            </w:r>
          </w:p>
        </w:tc>
      </w:tr>
      <w:tr>
        <w:trPr>
          <w:trHeight w:val="4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捷开通讯（深圳）有限公司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0"/>
                <w:szCs w:val="20"/>
              </w:rPr>
            </w:pPr>
            <w:r>
              <w:rPr>
                <w:rFonts w:ascii="Times New Roman"/>
                <w:spacing w:val="-1"/>
                <w:sz w:val="20"/>
              </w:rPr>
              <w:t>3,458,104.62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20"/>
                <w:szCs w:val="20"/>
              </w:rPr>
            </w:pPr>
            <w:r>
              <w:rPr>
                <w:rFonts w:ascii="Times New Roman"/>
                <w:spacing w:val="-1"/>
                <w:sz w:val="20"/>
              </w:rPr>
              <w:t>34,581.05</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4,492,632.80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44,926.33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162"/>
        <w:gridCol w:w="3318"/>
        <w:gridCol w:w="1506"/>
        <w:gridCol w:w="1205"/>
        <w:gridCol w:w="1504"/>
        <w:gridCol w:w="1160"/>
      </w:tblGrid>
      <w:tr>
        <w:trPr>
          <w:trHeight w:val="427" w:hRule="exact"/>
        </w:trPr>
        <w:tc>
          <w:tcPr>
            <w:tcW w:w="116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31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1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1162" w:type="dxa"/>
            <w:vMerge/>
            <w:tcBorders>
              <w:left w:val="single" w:sz="4" w:space="0" w:color="000000"/>
              <w:bottom w:val="single" w:sz="4" w:space="0" w:color="000000"/>
              <w:right w:val="single" w:sz="4" w:space="0" w:color="000000"/>
            </w:tcBorders>
            <w:shd w:val="clear" w:color="auto" w:fill="D9D9D9"/>
          </w:tcPr>
          <w:p>
            <w:pPr/>
          </w:p>
        </w:tc>
        <w:tc>
          <w:tcPr>
            <w:tcW w:w="3318" w:type="dxa"/>
            <w:vMerge/>
            <w:tcBorders>
              <w:left w:val="single" w:sz="4" w:space="0" w:color="000000"/>
              <w:bottom w:val="single" w:sz="4" w:space="0" w:color="000000"/>
              <w:right w:val="single" w:sz="4" w:space="0" w:color="000000"/>
            </w:tcBorders>
            <w:shd w:val="clear" w:color="auto" w:fill="D9D9D9"/>
          </w:tcPr>
          <w:p>
            <w:pPr/>
          </w:p>
        </w:tc>
        <w:tc>
          <w:tcPr>
            <w:tcW w:w="15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3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高通无线通信技术（中国）有限公司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20"/>
                <w:szCs w:val="20"/>
              </w:rPr>
            </w:pPr>
            <w:r>
              <w:rPr>
                <w:rFonts w:ascii="Times New Roman"/>
                <w:spacing w:val="-1"/>
                <w:sz w:val="20"/>
              </w:rPr>
              <w:t>1,972,187.86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20"/>
                <w:szCs w:val="20"/>
              </w:rPr>
            </w:pPr>
            <w:r>
              <w:rPr>
                <w:rFonts w:ascii="Times New Roman"/>
                <w:spacing w:val="-1"/>
                <w:sz w:val="20"/>
              </w:rPr>
              <w:t>19,721.88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1,076,688.00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10,766.88</w:t>
            </w:r>
          </w:p>
        </w:tc>
      </w:tr>
      <w:tr>
        <w:trPr>
          <w:trHeight w:val="4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通讯科技（成都）有限公司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2,235,396.00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z w:val="18"/>
              </w:rPr>
              <w:t>22,353.96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4,845,581.64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48,455.82</w:t>
            </w:r>
          </w:p>
        </w:tc>
      </w:tr>
      <w:tr>
        <w:trPr>
          <w:trHeight w:val="4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QualcommAtheros,Inc.</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1,038,909.25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z w:val="18"/>
              </w:rPr>
              <w:t>10,389.09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602,886.48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6,028.86</w:t>
            </w:r>
          </w:p>
        </w:tc>
      </w:tr>
      <w:tr>
        <w:trPr>
          <w:trHeight w:val="62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28"/>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移动通信科技（宁波）有限公司深 圳分公司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5,980.00</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5,980.00</w:t>
            </w:r>
          </w:p>
        </w:tc>
      </w:tr>
      <w:tr>
        <w:trPr>
          <w:trHeight w:val="4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TCTMobileLimited</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9,435.12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94.35</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2,281.72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22.82</w:t>
            </w:r>
          </w:p>
        </w:tc>
      </w:tr>
      <w:tr>
        <w:trPr>
          <w:trHeight w:val="56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114"/>
              <w:jc w:val="left"/>
              <w:rPr>
                <w:rFonts w:ascii="Times New Roman" w:hAnsi="Times New Roman" w:cs="Times New Roman" w:eastAsia="Times New Roman" w:hint="default"/>
                <w:sz w:val="18"/>
                <w:szCs w:val="18"/>
              </w:rPr>
            </w:pPr>
            <w:r>
              <w:rPr>
                <w:rFonts w:ascii="Times New Roman"/>
                <w:sz w:val="18"/>
              </w:rPr>
              <w:t>QUALCOMMCDMATechnologiesAsiaPa</w:t>
            </w:r>
            <w:r>
              <w:rPr>
                <w:rFonts w:ascii="Times New Roman"/>
                <w:w w:val="99"/>
                <w:sz w:val="18"/>
              </w:rPr>
              <w:t> </w:t>
            </w:r>
            <w:r>
              <w:rPr>
                <w:rFonts w:ascii="Times New Roman"/>
                <w:sz w:val="18"/>
              </w:rPr>
              <w:t>cific</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49,985.30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499.85</w:t>
            </w:r>
          </w:p>
        </w:tc>
      </w:tr>
      <w:tr>
        <w:trPr>
          <w:trHeight w:val="427"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集团有限公司技术中心</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179,884.00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1,798.84</w:t>
            </w:r>
          </w:p>
        </w:tc>
      </w:tr>
      <w:tr>
        <w:trPr>
          <w:trHeight w:val="4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4"/>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TCL</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云创科技有限公司</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598,841.39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5,988.41</w:t>
            </w:r>
          </w:p>
        </w:tc>
      </w:tr>
      <w:tr>
        <w:trPr>
          <w:trHeight w:val="569"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14"/>
              <w:jc w:val="right"/>
              <w:rPr>
                <w:rFonts w:ascii="宋体" w:hAnsi="宋体" w:cs="宋体" w:eastAsia="宋体" w:hint="default"/>
                <w:sz w:val="18"/>
                <w:szCs w:val="18"/>
              </w:rPr>
            </w:pPr>
            <w:r>
              <w:rPr>
                <w:rFonts w:ascii="宋体" w:hAnsi="宋体" w:cs="宋体" w:eastAsia="宋体" w:hint="default"/>
                <w:sz w:val="18"/>
                <w:szCs w:val="18"/>
              </w:rPr>
              <w:t>预付账款</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114"/>
              <w:jc w:val="left"/>
              <w:rPr>
                <w:rFonts w:ascii="Times New Roman" w:hAnsi="Times New Roman" w:cs="Times New Roman" w:eastAsia="Times New Roman" w:hint="default"/>
                <w:sz w:val="18"/>
                <w:szCs w:val="18"/>
              </w:rPr>
            </w:pPr>
            <w:r>
              <w:rPr>
                <w:rFonts w:ascii="Times New Roman"/>
                <w:sz w:val="18"/>
              </w:rPr>
              <w:t>QUALCOMMCDMATechnologiesAsiaPa</w:t>
            </w:r>
            <w:r>
              <w:rPr>
                <w:rFonts w:ascii="Times New Roman"/>
                <w:w w:val="99"/>
                <w:sz w:val="18"/>
              </w:rPr>
              <w:t> </w:t>
            </w:r>
            <w:r>
              <w:rPr>
                <w:rFonts w:ascii="Times New Roman"/>
                <w:sz w:val="18"/>
              </w:rPr>
              <w:t>cific</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343,555.17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778,080.80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②应付款情况</w:t>
      </w:r>
    </w:p>
    <w:p>
      <w:pPr>
        <w:spacing w:line="240" w:lineRule="auto" w:before="4"/>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1643"/>
        <w:gridCol w:w="4928"/>
        <w:gridCol w:w="1642"/>
        <w:gridCol w:w="1643"/>
      </w:tblGrid>
      <w:tr>
        <w:trPr>
          <w:trHeight w:val="427" w:hRule="exact"/>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455"/>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49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6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5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27" w:hRule="exact"/>
        </w:trPr>
        <w:tc>
          <w:tcPr>
            <w:tcW w:w="164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455"/>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Times New Roman" w:hAnsi="Times New Roman" w:cs="Times New Roman" w:eastAsia="Times New Roman" w:hint="default"/>
                <w:sz w:val="18"/>
                <w:szCs w:val="18"/>
              </w:rPr>
            </w:pPr>
            <w:r>
              <w:rPr>
                <w:rFonts w:ascii="Times New Roman"/>
                <w:sz w:val="18"/>
              </w:rPr>
              <w:t>QUALCOMMCDMATechnologiesAsiaPacific</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367,945.42</w:t>
            </w:r>
          </w:p>
        </w:tc>
      </w:tr>
      <w:tr>
        <w:trPr>
          <w:trHeight w:val="42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55"/>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QualcommTechnologies,Inc.</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312,737.38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55"/>
              <w:jc w:val="right"/>
              <w:rPr>
                <w:rFonts w:ascii="宋体" w:hAnsi="宋体" w:cs="宋体" w:eastAsia="宋体" w:hint="default"/>
                <w:sz w:val="18"/>
                <w:szCs w:val="18"/>
              </w:rPr>
            </w:pPr>
            <w:r>
              <w:rPr>
                <w:rFonts w:ascii="宋体" w:hAnsi="宋体" w:cs="宋体" w:eastAsia="宋体" w:hint="default"/>
                <w:sz w:val="18"/>
                <w:szCs w:val="18"/>
              </w:rPr>
              <w:t>预收款项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深圳么么哒互联通讯有限公司</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114,426.00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114,426.00</w:t>
            </w:r>
          </w:p>
        </w:tc>
      </w:tr>
      <w:tr>
        <w:trPr>
          <w:trHeight w:val="42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55"/>
              <w:jc w:val="right"/>
              <w:rPr>
                <w:rFonts w:ascii="宋体" w:hAnsi="宋体" w:cs="宋体" w:eastAsia="宋体" w:hint="default"/>
                <w:sz w:val="18"/>
                <w:szCs w:val="18"/>
              </w:rPr>
            </w:pPr>
            <w:r>
              <w:rPr>
                <w:rFonts w:ascii="宋体" w:hAnsi="宋体" w:cs="宋体" w:eastAsia="宋体" w:hint="default"/>
                <w:sz w:val="18"/>
                <w:szCs w:val="18"/>
              </w:rPr>
              <w:t>预收款项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Times New Roman" w:hAnsi="Times New Roman" w:cs="Times New Roman" w:eastAsia="Times New Roman" w:hint="default"/>
                <w:sz w:val="18"/>
                <w:szCs w:val="18"/>
              </w:rPr>
            </w:pPr>
            <w:r>
              <w:rPr>
                <w:rFonts w:ascii="Times New Roman"/>
                <w:sz w:val="18"/>
              </w:rPr>
              <w:t>QualcommIndiaPvt,Ltd.</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55,912.22</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w:t>
      </w:r>
      <w:r>
        <w:rPr>
          <w:rFonts w:ascii="Times New Roman" w:hAnsi="Times New Roman" w:cs="Times New Roman" w:eastAsia="Times New Roman" w:hint="default"/>
        </w:rPr>
        <w:t>4</w:t>
      </w:r>
      <w:r>
        <w:rPr/>
        <w:t>）资金拆借情况</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1971"/>
        <w:gridCol w:w="1319"/>
        <w:gridCol w:w="1059"/>
        <w:gridCol w:w="3778"/>
        <w:gridCol w:w="1729"/>
      </w:tblGrid>
      <w:tr>
        <w:trPr>
          <w:trHeight w:val="426" w:hRule="exact"/>
        </w:trPr>
        <w:tc>
          <w:tcPr>
            <w:tcW w:w="19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9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0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54" w:right="0"/>
              <w:jc w:val="left"/>
              <w:rPr>
                <w:rFonts w:ascii="宋体" w:hAnsi="宋体" w:cs="宋体" w:eastAsia="宋体" w:hint="default"/>
                <w:sz w:val="18"/>
                <w:szCs w:val="18"/>
              </w:rPr>
            </w:pPr>
            <w:r>
              <w:rPr>
                <w:rFonts w:ascii="宋体" w:hAnsi="宋体" w:cs="宋体" w:eastAsia="宋体" w:hint="default"/>
                <w:sz w:val="18"/>
                <w:szCs w:val="18"/>
              </w:rPr>
              <w:t>起始日</w:t>
            </w:r>
          </w:p>
        </w:tc>
        <w:tc>
          <w:tcPr>
            <w:tcW w:w="37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7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27" w:hRule="exact"/>
        </w:trPr>
        <w:tc>
          <w:tcPr>
            <w:tcW w:w="197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拆入</w:t>
            </w:r>
          </w:p>
        </w:tc>
        <w:tc>
          <w:tcPr>
            <w:tcW w:w="131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
        </w:tc>
        <w:tc>
          <w:tcPr>
            <w:tcW w:w="377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9"/>
              <w:ind w:left="800" w:right="101" w:hanging="698"/>
              <w:jc w:val="left"/>
              <w:rPr>
                <w:rFonts w:ascii="宋体" w:hAnsi="宋体" w:cs="宋体" w:eastAsia="宋体" w:hint="default"/>
                <w:sz w:val="18"/>
                <w:szCs w:val="18"/>
              </w:rPr>
            </w:pPr>
            <w:r>
              <w:rPr>
                <w:rFonts w:ascii="宋体" w:hAnsi="宋体" w:cs="宋体" w:eastAsia="宋体" w:hint="default"/>
                <w:spacing w:val="-5"/>
                <w:sz w:val="18"/>
                <w:szCs w:val="18"/>
              </w:rPr>
              <w:t>高通（中国）投资有限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6,860,800.00</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2016.6.8</w:t>
            </w:r>
          </w:p>
        </w:tc>
        <w:tc>
          <w:tcPr>
            <w:tcW w:w="37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9"/>
              <w:ind w:left="262" w:right="173" w:hanging="90"/>
              <w:jc w:val="left"/>
              <w:rPr>
                <w:rFonts w:ascii="宋体" w:hAnsi="宋体" w:cs="宋体" w:eastAsia="宋体" w:hint="default"/>
                <w:sz w:val="18"/>
                <w:szCs w:val="18"/>
              </w:rPr>
            </w:pPr>
            <w:r>
              <w:rPr>
                <w:rFonts w:ascii="宋体" w:hAnsi="宋体" w:cs="宋体" w:eastAsia="宋体" w:hint="default"/>
                <w:sz w:val="18"/>
                <w:szCs w:val="18"/>
              </w:rPr>
              <w:t>借款人颁发出资证明书之日起五年或者贷款 人转股选择届满之日，以较早到来者为准</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1"/>
              <w:ind w:left="589" w:right="40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详见本附注 五、</w:t>
            </w:r>
            <w:r>
              <w:rPr>
                <w:rFonts w:ascii="Times New Roman" w:hAnsi="Times New Roman" w:cs="Times New Roman" w:eastAsia="Times New Roman" w:hint="default"/>
                <w:sz w:val="18"/>
                <w:szCs w:val="18"/>
              </w:rPr>
              <w:t>37</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rFonts w:ascii="Times New Roman" w:hAnsi="Times New Roman" w:cs="Times New Roman" w:eastAsia="Times New Roman" w:hint="default"/>
        </w:rPr>
        <w:t>2</w:t>
      </w:r>
      <w:r>
        <w:rPr/>
        <w:t>、政府补助</w:t>
      </w:r>
    </w:p>
    <w:p>
      <w:pPr>
        <w:spacing w:line="240" w:lineRule="auto" w:before="6"/>
        <w:rPr>
          <w:rFonts w:ascii="宋体" w:hAnsi="宋体" w:cs="宋体" w:eastAsia="宋体" w:hint="default"/>
          <w:sz w:val="20"/>
          <w:szCs w:val="20"/>
        </w:rPr>
      </w:pPr>
    </w:p>
    <w:p>
      <w:pPr>
        <w:pStyle w:val="BodyText"/>
        <w:spacing w:line="240" w:lineRule="auto"/>
        <w:ind w:left="1553" w:right="0"/>
        <w:jc w:val="left"/>
      </w:pPr>
      <w:r>
        <w:rPr/>
        <w:t>（</w:t>
      </w:r>
      <w:r>
        <w:rPr>
          <w:rFonts w:ascii="Times New Roman" w:hAnsi="Times New Roman" w:cs="Times New Roman" w:eastAsia="Times New Roman" w:hint="default"/>
        </w:rPr>
        <w:t>1</w:t>
      </w:r>
      <w:r>
        <w:rPr/>
        <w:t>）计入递延收益的政府补助，后续采用总额法计量</w:t>
      </w:r>
    </w:p>
    <w:p>
      <w:pPr>
        <w:spacing w:line="240" w:lineRule="auto" w:before="2"/>
        <w:rPr>
          <w:rFonts w:ascii="宋体" w:hAnsi="宋体" w:cs="宋体" w:eastAsia="宋体" w:hint="default"/>
          <w:sz w:val="23"/>
          <w:szCs w:val="23"/>
        </w:rPr>
      </w:pPr>
    </w:p>
    <w:tbl>
      <w:tblPr>
        <w:tblW w:w="0" w:type="auto"/>
        <w:jc w:val="left"/>
        <w:tblInd w:w="1071" w:type="dxa"/>
        <w:tblLayout w:type="fixed"/>
        <w:tblCellMar>
          <w:top w:w="0" w:type="dxa"/>
          <w:left w:w="0" w:type="dxa"/>
          <w:bottom w:w="0" w:type="dxa"/>
          <w:right w:w="0" w:type="dxa"/>
        </w:tblCellMar>
        <w:tblLook w:val="01E0"/>
      </w:tblPr>
      <w:tblGrid>
        <w:gridCol w:w="3844"/>
        <w:gridCol w:w="956"/>
        <w:gridCol w:w="912"/>
        <w:gridCol w:w="912"/>
        <w:gridCol w:w="443"/>
        <w:gridCol w:w="956"/>
        <w:gridCol w:w="829"/>
        <w:gridCol w:w="900"/>
      </w:tblGrid>
      <w:tr>
        <w:trPr>
          <w:trHeight w:val="964" w:hRule="exact"/>
        </w:trPr>
        <w:tc>
          <w:tcPr>
            <w:tcW w:w="3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right="1"/>
              <w:jc w:val="center"/>
              <w:rPr>
                <w:rFonts w:ascii="宋体" w:hAnsi="宋体" w:cs="宋体" w:eastAsia="宋体" w:hint="default"/>
                <w:sz w:val="16"/>
                <w:szCs w:val="16"/>
              </w:rPr>
            </w:pPr>
            <w:r>
              <w:rPr>
                <w:rFonts w:ascii="宋体" w:hAnsi="宋体" w:cs="宋体" w:eastAsia="宋体" w:hint="default"/>
                <w:spacing w:val="-13"/>
                <w:sz w:val="16"/>
                <w:szCs w:val="16"/>
              </w:rPr>
              <w:t>补助项目</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7"/>
              <w:ind w:right="1"/>
              <w:jc w:val="center"/>
              <w:rPr>
                <w:rFonts w:ascii="宋体" w:hAnsi="宋体" w:cs="宋体" w:eastAsia="宋体" w:hint="default"/>
                <w:sz w:val="16"/>
                <w:szCs w:val="16"/>
              </w:rPr>
            </w:pPr>
            <w:r>
              <w:rPr>
                <w:rFonts w:ascii="宋体" w:hAnsi="宋体" w:cs="宋体" w:eastAsia="宋体" w:hint="default"/>
                <w:spacing w:val="-13"/>
                <w:sz w:val="16"/>
                <w:szCs w:val="16"/>
              </w:rPr>
              <w:t>期初余额</w:t>
            </w:r>
            <w:r>
              <w:rPr>
                <w:rFonts w:ascii="宋体" w:hAnsi="宋体" w:cs="宋体" w:eastAsia="宋体" w:hint="default"/>
                <w:sz w:val="16"/>
                <w:szCs w:val="16"/>
              </w:rPr>
            </w:r>
          </w:p>
        </w:tc>
        <w:tc>
          <w:tcPr>
            <w:tcW w:w="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7" w:right="68" w:hanging="148"/>
              <w:jc w:val="left"/>
              <w:rPr>
                <w:rFonts w:ascii="宋体" w:hAnsi="宋体" w:cs="宋体" w:eastAsia="宋体" w:hint="default"/>
                <w:sz w:val="16"/>
                <w:szCs w:val="16"/>
              </w:rPr>
            </w:pPr>
            <w:r>
              <w:rPr>
                <w:rFonts w:ascii="宋体" w:hAnsi="宋体" w:cs="宋体" w:eastAsia="宋体" w:hint="default"/>
                <w:spacing w:val="-11"/>
                <w:sz w:val="16"/>
                <w:szCs w:val="16"/>
              </w:rPr>
              <w:t>本期新增补</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3"/>
                <w:sz w:val="16"/>
                <w:szCs w:val="16"/>
              </w:rPr>
              <w:t>助金额</w:t>
            </w:r>
            <w:r>
              <w:rPr>
                <w:rFonts w:ascii="宋体" w:hAnsi="宋体" w:cs="宋体" w:eastAsia="宋体" w:hint="default"/>
                <w:sz w:val="16"/>
                <w:szCs w:val="16"/>
              </w:rPr>
            </w:r>
          </w:p>
        </w:tc>
        <w:tc>
          <w:tcPr>
            <w:tcW w:w="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8"/>
              <w:ind w:left="80" w:right="68"/>
              <w:jc w:val="center"/>
              <w:rPr>
                <w:rFonts w:ascii="宋体" w:hAnsi="宋体" w:cs="宋体" w:eastAsia="宋体" w:hint="default"/>
                <w:sz w:val="16"/>
                <w:szCs w:val="16"/>
              </w:rPr>
            </w:pPr>
            <w:r>
              <w:rPr>
                <w:rFonts w:ascii="宋体" w:hAnsi="宋体" w:cs="宋体" w:eastAsia="宋体" w:hint="default"/>
                <w:spacing w:val="-11"/>
                <w:sz w:val="16"/>
                <w:szCs w:val="16"/>
              </w:rPr>
              <w:t>本期结转计</w:t>
            </w:r>
            <w:r>
              <w:rPr>
                <w:rFonts w:ascii="宋体" w:hAnsi="宋体" w:cs="宋体" w:eastAsia="宋体" w:hint="default"/>
                <w:w w:val="99"/>
                <w:sz w:val="16"/>
                <w:szCs w:val="16"/>
              </w:rPr>
              <w:t> </w:t>
            </w:r>
            <w:r>
              <w:rPr>
                <w:rFonts w:ascii="宋体" w:hAnsi="宋体" w:cs="宋体" w:eastAsia="宋体" w:hint="default"/>
                <w:spacing w:val="-13"/>
                <w:sz w:val="16"/>
                <w:szCs w:val="16"/>
              </w:rPr>
              <w:t>入损益的</w:t>
            </w:r>
            <w:r>
              <w:rPr>
                <w:rFonts w:ascii="宋体" w:hAnsi="宋体" w:cs="宋体" w:eastAsia="宋体" w:hint="default"/>
                <w:sz w:val="16"/>
                <w:szCs w:val="16"/>
              </w:rPr>
            </w:r>
          </w:p>
          <w:p>
            <w:pPr>
              <w:pStyle w:val="TableParagraph"/>
              <w:spacing w:line="240" w:lineRule="auto" w:before="59"/>
              <w:ind w:right="0"/>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4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6"/>
                <w:szCs w:val="16"/>
              </w:rPr>
            </w:pPr>
          </w:p>
          <w:p>
            <w:pPr>
              <w:pStyle w:val="TableParagraph"/>
              <w:spacing w:line="309" w:lineRule="auto"/>
              <w:ind w:left="67" w:right="69"/>
              <w:jc w:val="left"/>
              <w:rPr>
                <w:rFonts w:ascii="宋体" w:hAnsi="宋体" w:cs="宋体" w:eastAsia="宋体" w:hint="default"/>
                <w:sz w:val="16"/>
                <w:szCs w:val="16"/>
              </w:rPr>
            </w:pPr>
            <w:r>
              <w:rPr>
                <w:rFonts w:ascii="宋体" w:hAnsi="宋体" w:cs="宋体" w:eastAsia="宋体" w:hint="default"/>
                <w:spacing w:val="-13"/>
                <w:sz w:val="16"/>
                <w:szCs w:val="16"/>
              </w:rPr>
              <w:t>其他</w:t>
            </w:r>
            <w:r>
              <w:rPr>
                <w:rFonts w:ascii="宋体" w:hAnsi="宋体" w:cs="宋体" w:eastAsia="宋体" w:hint="default"/>
                <w:spacing w:val="-12"/>
                <w:w w:val="99"/>
                <w:sz w:val="16"/>
                <w:szCs w:val="16"/>
              </w:rPr>
              <w:t> </w:t>
            </w:r>
            <w:r>
              <w:rPr>
                <w:rFonts w:ascii="宋体" w:hAnsi="宋体" w:cs="宋体" w:eastAsia="宋体" w:hint="default"/>
                <w:spacing w:val="-13"/>
                <w:sz w:val="16"/>
                <w:szCs w:val="16"/>
              </w:rPr>
              <w:t>变动</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6"/>
                <w:szCs w:val="16"/>
              </w:rPr>
            </w:pPr>
          </w:p>
          <w:p>
            <w:pPr>
              <w:pStyle w:val="TableParagraph"/>
              <w:spacing w:line="309" w:lineRule="auto"/>
              <w:ind w:left="324" w:right="325"/>
              <w:jc w:val="center"/>
              <w:rPr>
                <w:rFonts w:ascii="宋体" w:hAnsi="宋体" w:cs="宋体" w:eastAsia="宋体" w:hint="default"/>
                <w:sz w:val="16"/>
                <w:szCs w:val="16"/>
              </w:rPr>
            </w:pPr>
            <w:r>
              <w:rPr>
                <w:rFonts w:ascii="宋体" w:hAnsi="宋体" w:cs="宋体" w:eastAsia="宋体" w:hint="default"/>
                <w:spacing w:val="-13"/>
                <w:sz w:val="16"/>
                <w:szCs w:val="16"/>
              </w:rPr>
              <w:t>期末</w:t>
            </w:r>
            <w:r>
              <w:rPr>
                <w:rFonts w:ascii="宋体" w:hAnsi="宋体" w:cs="宋体" w:eastAsia="宋体" w:hint="default"/>
                <w:spacing w:val="-12"/>
                <w:w w:val="99"/>
                <w:sz w:val="16"/>
                <w:szCs w:val="16"/>
              </w:rPr>
              <w:t> </w:t>
            </w:r>
            <w:r>
              <w:rPr>
                <w:rFonts w:ascii="宋体" w:hAnsi="宋体" w:cs="宋体" w:eastAsia="宋体" w:hint="default"/>
                <w:spacing w:val="-13"/>
                <w:sz w:val="16"/>
                <w:szCs w:val="16"/>
              </w:rPr>
              <w:t>余额</w:t>
            </w:r>
            <w:r>
              <w:rPr>
                <w:rFonts w:ascii="宋体" w:hAnsi="宋体" w:cs="宋体" w:eastAsia="宋体" w:hint="default"/>
                <w:sz w:val="16"/>
                <w:szCs w:val="16"/>
              </w:rPr>
            </w:r>
          </w:p>
        </w:tc>
        <w:tc>
          <w:tcPr>
            <w:tcW w:w="8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left="113" w:right="113"/>
              <w:jc w:val="center"/>
              <w:rPr>
                <w:rFonts w:ascii="宋体" w:hAnsi="宋体" w:cs="宋体" w:eastAsia="宋体" w:hint="default"/>
                <w:sz w:val="16"/>
                <w:szCs w:val="16"/>
              </w:rPr>
            </w:pPr>
            <w:r>
              <w:rPr>
                <w:rFonts w:ascii="宋体" w:hAnsi="宋体" w:cs="宋体" w:eastAsia="宋体" w:hint="default"/>
                <w:spacing w:val="-13"/>
                <w:sz w:val="16"/>
                <w:szCs w:val="16"/>
              </w:rPr>
              <w:t>本期结转</w:t>
            </w:r>
            <w:r>
              <w:rPr>
                <w:rFonts w:ascii="宋体" w:hAnsi="宋体" w:cs="宋体" w:eastAsia="宋体" w:hint="default"/>
                <w:spacing w:val="-12"/>
                <w:w w:val="99"/>
                <w:sz w:val="16"/>
                <w:szCs w:val="16"/>
              </w:rPr>
              <w:t> </w:t>
            </w:r>
            <w:r>
              <w:rPr>
                <w:rFonts w:ascii="宋体" w:hAnsi="宋体" w:cs="宋体" w:eastAsia="宋体" w:hint="default"/>
                <w:spacing w:val="-13"/>
                <w:sz w:val="16"/>
                <w:szCs w:val="16"/>
              </w:rPr>
              <w:t>计入损益</w:t>
            </w:r>
            <w:r>
              <w:rPr>
                <w:rFonts w:ascii="宋体" w:hAnsi="宋体" w:cs="宋体" w:eastAsia="宋体" w:hint="default"/>
                <w:spacing w:val="-12"/>
                <w:w w:val="99"/>
                <w:sz w:val="16"/>
                <w:szCs w:val="16"/>
              </w:rPr>
              <w:t> </w:t>
            </w:r>
            <w:r>
              <w:rPr>
                <w:rFonts w:ascii="宋体" w:hAnsi="宋体" w:cs="宋体" w:eastAsia="宋体" w:hint="default"/>
                <w:spacing w:val="-13"/>
                <w:sz w:val="16"/>
                <w:szCs w:val="16"/>
              </w:rPr>
              <w:t>的列报项</w:t>
            </w:r>
            <w:r>
              <w:rPr>
                <w:rFonts w:ascii="宋体" w:hAnsi="宋体" w:cs="宋体" w:eastAsia="宋体" w:hint="default"/>
                <w:spacing w:val="-12"/>
                <w:w w:val="99"/>
                <w:sz w:val="16"/>
                <w:szCs w:val="16"/>
              </w:rPr>
              <w:t> </w:t>
            </w:r>
            <w:r>
              <w:rPr>
                <w:rFonts w:ascii="宋体" w:hAnsi="宋体" w:cs="宋体" w:eastAsia="宋体" w:hint="default"/>
                <w:sz w:val="16"/>
                <w:szCs w:val="16"/>
              </w:rPr>
              <w:t>目</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20"/>
                <w:szCs w:val="20"/>
              </w:rPr>
            </w:pPr>
          </w:p>
          <w:p>
            <w:pPr>
              <w:pStyle w:val="TableParagraph"/>
              <w:spacing w:line="208" w:lineRule="exact"/>
              <w:ind w:left="75" w:right="48" w:hanging="20"/>
              <w:jc w:val="left"/>
              <w:rPr>
                <w:rFonts w:ascii="宋体" w:hAnsi="宋体" w:cs="宋体" w:eastAsia="宋体" w:hint="default"/>
                <w:sz w:val="16"/>
                <w:szCs w:val="16"/>
              </w:rPr>
            </w:pPr>
            <w:r>
              <w:rPr>
                <w:rFonts w:ascii="宋体" w:hAnsi="宋体" w:cs="宋体" w:eastAsia="宋体" w:hint="default"/>
                <w:spacing w:val="-11"/>
                <w:sz w:val="16"/>
                <w:szCs w:val="16"/>
              </w:rPr>
              <w:t>与资产相关</w:t>
            </w:r>
            <w:r>
              <w:rPr>
                <w:rFonts w:ascii="Times New Roman" w:hAnsi="Times New Roman" w:cs="Times New Roman" w:eastAsia="Times New Roman" w:hint="default"/>
                <w:spacing w:val="-11"/>
                <w:sz w:val="16"/>
                <w:szCs w:val="16"/>
              </w:rPr>
              <w:t>/</w:t>
            </w:r>
            <w:r>
              <w:rPr>
                <w:rFonts w:ascii="Times New Roman" w:hAnsi="Times New Roman" w:cs="Times New Roman" w:eastAsia="Times New Roman" w:hint="default"/>
                <w:spacing w:val="-37"/>
                <w:sz w:val="16"/>
                <w:szCs w:val="16"/>
              </w:rPr>
              <w:t> </w:t>
            </w:r>
            <w:r>
              <w:rPr>
                <w:rFonts w:ascii="宋体" w:hAnsi="宋体" w:cs="宋体" w:eastAsia="宋体" w:hint="default"/>
                <w:spacing w:val="-11"/>
                <w:sz w:val="16"/>
                <w:szCs w:val="16"/>
              </w:rPr>
              <w:t>与收益相关</w:t>
            </w:r>
          </w:p>
        </w:tc>
      </w:tr>
      <w:tr>
        <w:trPr>
          <w:trHeight w:val="550"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58"/>
              <w:ind w:left="52" w:right="95"/>
              <w:jc w:val="left"/>
              <w:rPr>
                <w:rFonts w:ascii="宋体" w:hAnsi="宋体" w:cs="宋体" w:eastAsia="宋体" w:hint="default"/>
                <w:sz w:val="16"/>
                <w:szCs w:val="16"/>
              </w:rPr>
            </w:pPr>
            <w:r>
              <w:rPr>
                <w:rFonts w:ascii="Times New Roman" w:hAnsi="Times New Roman" w:cs="Times New Roman" w:eastAsia="Times New Roman" w:hint="default"/>
                <w:spacing w:val="-5"/>
                <w:sz w:val="16"/>
                <w:szCs w:val="16"/>
              </w:rPr>
              <w:t>2015 </w:t>
            </w:r>
            <w:r>
              <w:rPr>
                <w:rFonts w:ascii="宋体" w:hAnsi="宋体" w:cs="宋体" w:eastAsia="宋体" w:hint="default"/>
                <w:spacing w:val="-12"/>
                <w:sz w:val="16"/>
                <w:szCs w:val="16"/>
              </w:rPr>
              <w:t>年工业转型升级智能制造和“互联网</w:t>
            </w:r>
            <w:r>
              <w:rPr>
                <w:rFonts w:ascii="Times New Roman" w:hAnsi="Times New Roman" w:cs="Times New Roman" w:eastAsia="Times New Roman" w:hint="default"/>
                <w:spacing w:val="-12"/>
                <w:sz w:val="16"/>
                <w:szCs w:val="16"/>
              </w:rPr>
              <w:t>+</w:t>
            </w:r>
            <w:r>
              <w:rPr>
                <w:rFonts w:ascii="宋体" w:hAnsi="宋体" w:cs="宋体" w:eastAsia="宋体" w:hint="default"/>
                <w:spacing w:val="-12"/>
                <w:sz w:val="16"/>
                <w:szCs w:val="16"/>
              </w:rPr>
              <w:t>”行动支撑保</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12"/>
                <w:sz w:val="16"/>
                <w:szCs w:val="16"/>
              </w:rPr>
              <w:t>障能力工程</w:t>
            </w:r>
            <w:r>
              <w:rPr>
                <w:rFonts w:ascii="Times New Roman" w:hAnsi="Times New Roman" w:cs="Times New Roman" w:eastAsia="Times New Roman" w:hint="default"/>
                <w:spacing w:val="-12"/>
                <w:sz w:val="16"/>
                <w:szCs w:val="16"/>
              </w:rPr>
              <w:t>--</w:t>
            </w:r>
            <w:r>
              <w:rPr>
                <w:rFonts w:ascii="宋体" w:hAnsi="宋体" w:cs="宋体" w:eastAsia="宋体" w:hint="default"/>
                <w:spacing w:val="-12"/>
                <w:sz w:val="16"/>
                <w:szCs w:val="16"/>
              </w:rPr>
              <w:t>安全芯片能力提升机应用方向专项资金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6"/>
                <w:szCs w:val="16"/>
              </w:rPr>
            </w:pPr>
            <w:r>
              <w:rPr>
                <w:rFonts w:ascii="Times New Roman"/>
                <w:spacing w:val="-6"/>
                <w:sz w:val="16"/>
              </w:rPr>
              <w:t>10,000,000.00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42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10,000,000.00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58"/>
              <w:ind w:left="223" w:right="61" w:hanging="148"/>
              <w:jc w:val="left"/>
              <w:rPr>
                <w:rFonts w:ascii="宋体" w:hAnsi="宋体" w:cs="宋体" w:eastAsia="宋体" w:hint="default"/>
                <w:sz w:val="16"/>
                <w:szCs w:val="16"/>
              </w:rPr>
            </w:pPr>
            <w:r>
              <w:rPr>
                <w:rFonts w:ascii="宋体" w:hAnsi="宋体" w:cs="宋体" w:eastAsia="宋体" w:hint="default"/>
                <w:spacing w:val="-11"/>
                <w:sz w:val="16"/>
                <w:szCs w:val="16"/>
              </w:rPr>
              <w:t>与资产及收</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3"/>
                <w:sz w:val="16"/>
                <w:szCs w:val="16"/>
              </w:rPr>
              <w:t>益相关</w:t>
            </w:r>
            <w:r>
              <w:rPr>
                <w:rFonts w:ascii="宋体" w:hAnsi="宋体" w:cs="宋体" w:eastAsia="宋体" w:hint="default"/>
                <w:sz w:val="16"/>
                <w:szCs w:val="16"/>
              </w:rPr>
            </w:r>
          </w:p>
        </w:tc>
      </w:tr>
      <w:tr>
        <w:trPr>
          <w:trHeight w:val="550"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55"/>
              <w:ind w:left="52" w:right="94"/>
              <w:jc w:val="left"/>
              <w:rPr>
                <w:rFonts w:ascii="宋体" w:hAnsi="宋体" w:cs="宋体" w:eastAsia="宋体" w:hint="default"/>
                <w:sz w:val="16"/>
                <w:szCs w:val="16"/>
              </w:rPr>
            </w:pPr>
            <w:r>
              <w:rPr>
                <w:rFonts w:ascii="宋体" w:hAnsi="宋体" w:cs="宋体" w:eastAsia="宋体" w:hint="default"/>
                <w:spacing w:val="-9"/>
                <w:sz w:val="16"/>
                <w:szCs w:val="16"/>
              </w:rPr>
              <w:t>海淀园</w:t>
            </w:r>
            <w:r>
              <w:rPr>
                <w:rFonts w:ascii="宋体" w:hAnsi="宋体" w:cs="宋体" w:eastAsia="宋体" w:hint="default"/>
                <w:spacing w:val="-49"/>
                <w:sz w:val="16"/>
                <w:szCs w:val="16"/>
              </w:rPr>
              <w:t> </w:t>
            </w:r>
            <w:r>
              <w:rPr>
                <w:rFonts w:ascii="Times New Roman" w:hAnsi="Times New Roman" w:cs="Times New Roman" w:eastAsia="Times New Roman" w:hint="default"/>
                <w:spacing w:val="-5"/>
                <w:sz w:val="16"/>
                <w:szCs w:val="16"/>
              </w:rPr>
              <w:t>2015</w:t>
            </w:r>
            <w:r>
              <w:rPr>
                <w:rFonts w:ascii="Times New Roman" w:hAnsi="Times New Roman" w:cs="Times New Roman" w:eastAsia="Times New Roman" w:hint="default"/>
                <w:sz w:val="16"/>
                <w:szCs w:val="16"/>
              </w:rPr>
              <w:t> </w:t>
            </w:r>
            <w:r>
              <w:rPr>
                <w:rFonts w:ascii="宋体" w:hAnsi="宋体" w:cs="宋体" w:eastAsia="宋体" w:hint="default"/>
                <w:spacing w:val="-12"/>
                <w:sz w:val="16"/>
                <w:szCs w:val="16"/>
              </w:rPr>
              <w:t>年产业发展专项资金</w:t>
            </w:r>
            <w:r>
              <w:rPr>
                <w:rFonts w:ascii="Times New Roman" w:hAnsi="Times New Roman" w:cs="Times New Roman" w:eastAsia="Times New Roman" w:hint="default"/>
                <w:spacing w:val="-12"/>
                <w:sz w:val="16"/>
                <w:szCs w:val="16"/>
              </w:rPr>
              <w:t>-</w:t>
            </w:r>
            <w:r>
              <w:rPr>
                <w:rFonts w:ascii="宋体" w:hAnsi="宋体" w:cs="宋体" w:eastAsia="宋体" w:hint="default"/>
                <w:spacing w:val="-12"/>
                <w:sz w:val="16"/>
                <w:szCs w:val="16"/>
              </w:rPr>
              <w:t>重大科技成果产业化专</w:t>
            </w:r>
            <w:r>
              <w:rPr>
                <w:rFonts w:ascii="宋体" w:hAnsi="宋体" w:cs="宋体" w:eastAsia="宋体" w:hint="default"/>
                <w:spacing w:val="-76"/>
                <w:sz w:val="16"/>
                <w:szCs w:val="16"/>
              </w:rPr>
              <w:t> </w:t>
            </w:r>
            <w:r>
              <w:rPr>
                <w:rFonts w:ascii="宋体" w:hAnsi="宋体" w:cs="宋体" w:eastAsia="宋体" w:hint="default"/>
                <w:spacing w:val="-76"/>
                <w:sz w:val="16"/>
                <w:szCs w:val="16"/>
              </w:rPr>
            </w:r>
            <w:r>
              <w:rPr>
                <w:rFonts w:ascii="宋体" w:hAnsi="宋体" w:cs="宋体" w:eastAsia="宋体" w:hint="default"/>
                <w:spacing w:val="-13"/>
                <w:sz w:val="16"/>
                <w:szCs w:val="16"/>
              </w:rPr>
              <w:t>项资金</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 w:right="0"/>
              <w:jc w:val="center"/>
              <w:rPr>
                <w:rFonts w:ascii="Times New Roman" w:hAnsi="Times New Roman" w:cs="Times New Roman" w:eastAsia="Times New Roman" w:hint="default"/>
                <w:sz w:val="16"/>
                <w:szCs w:val="16"/>
              </w:rPr>
            </w:pPr>
            <w:r>
              <w:rPr>
                <w:rFonts w:ascii="Times New Roman"/>
                <w:spacing w:val="-6"/>
                <w:sz w:val="16"/>
              </w:rPr>
              <w:t>5,000,000.00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20"/>
              <w:jc w:val="right"/>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5,000,000.00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3" w:right="61" w:hanging="148"/>
              <w:jc w:val="left"/>
              <w:rPr>
                <w:rFonts w:ascii="宋体" w:hAnsi="宋体" w:cs="宋体" w:eastAsia="宋体" w:hint="default"/>
                <w:sz w:val="16"/>
                <w:szCs w:val="16"/>
              </w:rPr>
            </w:pPr>
            <w:r>
              <w:rPr>
                <w:rFonts w:ascii="宋体" w:hAnsi="宋体" w:cs="宋体" w:eastAsia="宋体" w:hint="default"/>
                <w:spacing w:val="-11"/>
                <w:sz w:val="16"/>
                <w:szCs w:val="16"/>
              </w:rPr>
              <w:t>与资产及收</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3"/>
                <w:sz w:val="16"/>
                <w:szCs w:val="16"/>
              </w:rPr>
              <w:t>益相关</w:t>
            </w:r>
            <w:r>
              <w:rPr>
                <w:rFonts w:ascii="宋体" w:hAnsi="宋体" w:cs="宋体" w:eastAsia="宋体" w:hint="default"/>
                <w:sz w:val="16"/>
                <w:szCs w:val="16"/>
              </w:rPr>
            </w:r>
          </w:p>
        </w:tc>
      </w:tr>
    </w:tbl>
    <w:p>
      <w:pPr>
        <w:spacing w:after="0" w:line="240" w:lineRule="auto"/>
        <w:jc w:val="left"/>
        <w:rPr>
          <w:rFonts w:ascii="宋体" w:hAnsi="宋体" w:cs="宋体" w:eastAsia="宋体" w:hint="default"/>
          <w:sz w:val="16"/>
          <w:szCs w:val="16"/>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71" w:type="dxa"/>
        <w:tblLayout w:type="fixed"/>
        <w:tblCellMar>
          <w:top w:w="0" w:type="dxa"/>
          <w:left w:w="0" w:type="dxa"/>
          <w:bottom w:w="0" w:type="dxa"/>
          <w:right w:w="0" w:type="dxa"/>
        </w:tblCellMar>
        <w:tblLook w:val="01E0"/>
      </w:tblPr>
      <w:tblGrid>
        <w:gridCol w:w="3844"/>
        <w:gridCol w:w="956"/>
        <w:gridCol w:w="912"/>
        <w:gridCol w:w="912"/>
        <w:gridCol w:w="443"/>
        <w:gridCol w:w="956"/>
        <w:gridCol w:w="829"/>
        <w:gridCol w:w="900"/>
      </w:tblGrid>
      <w:tr>
        <w:trPr>
          <w:trHeight w:val="550"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2" w:right="0"/>
              <w:jc w:val="left"/>
              <w:rPr>
                <w:rFonts w:ascii="宋体" w:hAnsi="宋体" w:cs="宋体" w:eastAsia="宋体" w:hint="default"/>
                <w:sz w:val="16"/>
                <w:szCs w:val="16"/>
              </w:rPr>
            </w:pPr>
            <w:r>
              <w:rPr>
                <w:rFonts w:ascii="宋体" w:hAnsi="宋体" w:cs="宋体" w:eastAsia="宋体" w:hint="default"/>
                <w:spacing w:val="-12"/>
                <w:sz w:val="16"/>
                <w:szCs w:val="16"/>
              </w:rPr>
              <w:t>战略性新兴产品研发补贴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0"/>
              <w:jc w:val="right"/>
              <w:rPr>
                <w:rFonts w:ascii="Times New Roman" w:hAnsi="Times New Roman" w:cs="Times New Roman" w:eastAsia="Times New Roman" w:hint="default"/>
                <w:sz w:val="16"/>
                <w:szCs w:val="16"/>
              </w:rPr>
            </w:pPr>
            <w:r>
              <w:rPr>
                <w:rFonts w:ascii="Times New Roman"/>
                <w:spacing w:val="-6"/>
                <w:w w:val="95"/>
                <w:sz w:val="16"/>
              </w:rPr>
              <w:t>1,000,000.00</w:t>
            </w:r>
            <w:r>
              <w:rPr>
                <w:rFonts w:ascii="Times New Roman"/>
                <w:spacing w:val="-6"/>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1,000,000.00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23" w:right="61" w:hanging="148"/>
              <w:jc w:val="left"/>
              <w:rPr>
                <w:rFonts w:ascii="宋体" w:hAnsi="宋体" w:cs="宋体" w:eastAsia="宋体" w:hint="default"/>
                <w:sz w:val="16"/>
                <w:szCs w:val="16"/>
              </w:rPr>
            </w:pPr>
            <w:r>
              <w:rPr>
                <w:rFonts w:ascii="宋体" w:hAnsi="宋体" w:cs="宋体" w:eastAsia="宋体" w:hint="default"/>
                <w:spacing w:val="-11"/>
                <w:sz w:val="16"/>
                <w:szCs w:val="16"/>
              </w:rPr>
              <w:t>与资产及收</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3"/>
                <w:sz w:val="16"/>
                <w:szCs w:val="16"/>
              </w:rPr>
              <w:t>益相关</w:t>
            </w:r>
            <w:r>
              <w:rPr>
                <w:rFonts w:ascii="宋体" w:hAnsi="宋体" w:cs="宋体" w:eastAsia="宋体" w:hint="default"/>
                <w:sz w:val="16"/>
                <w:szCs w:val="16"/>
              </w:rPr>
            </w:r>
          </w:p>
        </w:tc>
      </w:tr>
      <w:tr>
        <w:trPr>
          <w:trHeight w:val="548"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2" w:right="0"/>
              <w:jc w:val="left"/>
              <w:rPr>
                <w:rFonts w:ascii="宋体" w:hAnsi="宋体" w:cs="宋体" w:eastAsia="宋体" w:hint="default"/>
                <w:sz w:val="16"/>
                <w:szCs w:val="16"/>
              </w:rPr>
            </w:pPr>
            <w:r>
              <w:rPr>
                <w:rFonts w:ascii="Times New Roman" w:hAnsi="Times New Roman" w:cs="Times New Roman" w:eastAsia="Times New Roman" w:hint="default"/>
                <w:spacing w:val="-5"/>
                <w:sz w:val="16"/>
                <w:szCs w:val="16"/>
              </w:rPr>
              <w:t>2016</w:t>
            </w:r>
            <w:r>
              <w:rPr>
                <w:rFonts w:ascii="Times New Roman" w:hAnsi="Times New Roman" w:cs="Times New Roman" w:eastAsia="Times New Roman" w:hint="default"/>
                <w:spacing w:val="18"/>
                <w:sz w:val="16"/>
                <w:szCs w:val="16"/>
              </w:rPr>
              <w:t> </w:t>
            </w:r>
            <w:r>
              <w:rPr>
                <w:rFonts w:ascii="宋体" w:hAnsi="宋体" w:cs="宋体" w:eastAsia="宋体" w:hint="default"/>
                <w:spacing w:val="-13"/>
                <w:sz w:val="16"/>
                <w:szCs w:val="16"/>
              </w:rPr>
              <w:t>年省级工业和信息产业转型升级引导资金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4"/>
              <w:jc w:val="right"/>
              <w:rPr>
                <w:rFonts w:ascii="Times New Roman" w:hAnsi="Times New Roman" w:cs="Times New Roman" w:eastAsia="Times New Roman" w:hint="default"/>
                <w:sz w:val="16"/>
                <w:szCs w:val="16"/>
              </w:rPr>
            </w:pPr>
            <w:r>
              <w:rPr>
                <w:rFonts w:ascii="Times New Roman"/>
                <w:spacing w:val="-6"/>
                <w:sz w:val="16"/>
              </w:rPr>
              <w:t>536,229.46</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6"/>
                <w:szCs w:val="16"/>
              </w:rPr>
            </w:pPr>
            <w:r>
              <w:rPr>
                <w:rFonts w:ascii="Times New Roman"/>
                <w:spacing w:val="-6"/>
                <w:sz w:val="16"/>
              </w:rPr>
              <w:t>536,229.46</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6"/>
                <w:szCs w:val="16"/>
              </w:rPr>
            </w:pPr>
            <w:r>
              <w:rPr>
                <w:rFonts w:ascii="宋体" w:hAnsi="宋体" w:cs="宋体" w:eastAsia="宋体" w:hint="default"/>
                <w:spacing w:val="-13"/>
                <w:sz w:val="16"/>
                <w:szCs w:val="16"/>
              </w:rPr>
              <w:t>其他收益</w:t>
            </w:r>
            <w:r>
              <w:rPr>
                <w:rFonts w:ascii="宋体" w:hAnsi="宋体" w:cs="宋体" w:eastAsia="宋体" w:hint="default"/>
                <w:sz w:val="16"/>
                <w:szCs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57"/>
              <w:ind w:left="223" w:right="61" w:hanging="148"/>
              <w:jc w:val="left"/>
              <w:rPr>
                <w:rFonts w:ascii="宋体" w:hAnsi="宋体" w:cs="宋体" w:eastAsia="宋体" w:hint="default"/>
                <w:sz w:val="16"/>
                <w:szCs w:val="16"/>
              </w:rPr>
            </w:pPr>
            <w:r>
              <w:rPr>
                <w:rFonts w:ascii="宋体" w:hAnsi="宋体" w:cs="宋体" w:eastAsia="宋体" w:hint="default"/>
                <w:spacing w:val="-11"/>
                <w:sz w:val="16"/>
                <w:szCs w:val="16"/>
              </w:rPr>
              <w:t>与资产及收</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3"/>
                <w:sz w:val="16"/>
                <w:szCs w:val="16"/>
              </w:rPr>
              <w:t>益相关</w:t>
            </w:r>
            <w:r>
              <w:rPr>
                <w:rFonts w:ascii="宋体" w:hAnsi="宋体" w:cs="宋体" w:eastAsia="宋体" w:hint="default"/>
                <w:sz w:val="16"/>
                <w:szCs w:val="16"/>
              </w:rPr>
            </w:r>
          </w:p>
        </w:tc>
      </w:tr>
      <w:tr>
        <w:trPr>
          <w:trHeight w:val="407"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left"/>
              <w:rPr>
                <w:rFonts w:ascii="宋体" w:hAnsi="宋体" w:cs="宋体" w:eastAsia="宋体" w:hint="default"/>
                <w:sz w:val="16"/>
                <w:szCs w:val="16"/>
              </w:rPr>
            </w:pPr>
            <w:r>
              <w:rPr>
                <w:rFonts w:ascii="宋体" w:hAnsi="宋体" w:cs="宋体" w:eastAsia="宋体" w:hint="default"/>
                <w:spacing w:val="-12"/>
                <w:sz w:val="16"/>
                <w:szCs w:val="16"/>
              </w:rPr>
              <w:t>北京市科技计划项目专项资金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4"/>
              <w:jc w:val="right"/>
              <w:rPr>
                <w:rFonts w:ascii="Times New Roman" w:hAnsi="Times New Roman" w:cs="Times New Roman" w:eastAsia="Times New Roman" w:hint="default"/>
                <w:sz w:val="16"/>
                <w:szCs w:val="16"/>
              </w:rPr>
            </w:pPr>
            <w:r>
              <w:rPr>
                <w:rFonts w:ascii="Times New Roman"/>
                <w:spacing w:val="-6"/>
                <w:sz w:val="16"/>
              </w:rPr>
              <w:t>420,000.00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16"/>
                <w:szCs w:val="16"/>
              </w:rPr>
            </w:pPr>
            <w:r>
              <w:rPr>
                <w:rFonts w:ascii="Times New Roman"/>
                <w:spacing w:val="-6"/>
                <w:sz w:val="16"/>
              </w:rPr>
              <w:t>420,000.00</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6"/>
                <w:szCs w:val="16"/>
              </w:rPr>
            </w:pPr>
            <w:r>
              <w:rPr>
                <w:rFonts w:ascii="宋体" w:hAnsi="宋体" w:cs="宋体" w:eastAsia="宋体" w:hint="default"/>
                <w:spacing w:val="-13"/>
                <w:sz w:val="16"/>
                <w:szCs w:val="16"/>
              </w:rPr>
              <w:t>其他收益</w:t>
            </w:r>
            <w:r>
              <w:rPr>
                <w:rFonts w:ascii="宋体" w:hAnsi="宋体" w:cs="宋体" w:eastAsia="宋体" w:hint="default"/>
                <w:sz w:val="16"/>
                <w:szCs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2" w:right="0"/>
              <w:jc w:val="center"/>
              <w:rPr>
                <w:rFonts w:ascii="宋体" w:hAnsi="宋体" w:cs="宋体" w:eastAsia="宋体" w:hint="default"/>
                <w:sz w:val="16"/>
                <w:szCs w:val="16"/>
              </w:rPr>
            </w:pPr>
            <w:r>
              <w:rPr>
                <w:rFonts w:ascii="宋体" w:hAnsi="宋体" w:cs="宋体" w:eastAsia="宋体" w:hint="default"/>
                <w:spacing w:val="-11"/>
                <w:sz w:val="16"/>
                <w:szCs w:val="16"/>
              </w:rPr>
              <w:t>与收益相关</w:t>
            </w:r>
          </w:p>
        </w:tc>
      </w:tr>
      <w:tr>
        <w:trPr>
          <w:trHeight w:val="550"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52" w:right="0"/>
              <w:jc w:val="left"/>
              <w:rPr>
                <w:rFonts w:ascii="宋体" w:hAnsi="宋体" w:cs="宋体" w:eastAsia="宋体" w:hint="default"/>
                <w:sz w:val="16"/>
                <w:szCs w:val="16"/>
              </w:rPr>
            </w:pPr>
            <w:r>
              <w:rPr>
                <w:rFonts w:ascii="宋体" w:hAnsi="宋体" w:cs="宋体" w:eastAsia="宋体" w:hint="default"/>
                <w:spacing w:val="-12"/>
                <w:sz w:val="16"/>
                <w:szCs w:val="16"/>
              </w:rPr>
              <w:t>企业技术中心创新能力提升奖励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6"/>
                <w:szCs w:val="16"/>
              </w:rPr>
            </w:pPr>
            <w:r>
              <w:rPr>
                <w:rFonts w:ascii="Times New Roman"/>
                <w:spacing w:val="-6"/>
                <w:sz w:val="16"/>
              </w:rPr>
              <w:t>3,000,000.00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3,000,000.00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58"/>
              <w:ind w:left="223" w:right="61" w:hanging="148"/>
              <w:jc w:val="left"/>
              <w:rPr>
                <w:rFonts w:ascii="宋体" w:hAnsi="宋体" w:cs="宋体" w:eastAsia="宋体" w:hint="default"/>
                <w:sz w:val="16"/>
                <w:szCs w:val="16"/>
              </w:rPr>
            </w:pPr>
            <w:r>
              <w:rPr>
                <w:rFonts w:ascii="宋体" w:hAnsi="宋体" w:cs="宋体" w:eastAsia="宋体" w:hint="default"/>
                <w:spacing w:val="-11"/>
                <w:sz w:val="16"/>
                <w:szCs w:val="16"/>
              </w:rPr>
              <w:t>与资产及收</w:t>
            </w:r>
            <w:r>
              <w:rPr>
                <w:rFonts w:ascii="宋体" w:hAnsi="宋体" w:cs="宋体" w:eastAsia="宋体" w:hint="default"/>
                <w:spacing w:val="-74"/>
                <w:sz w:val="16"/>
                <w:szCs w:val="16"/>
              </w:rPr>
              <w:t> </w:t>
            </w:r>
            <w:r>
              <w:rPr>
                <w:rFonts w:ascii="宋体" w:hAnsi="宋体" w:cs="宋体" w:eastAsia="宋体" w:hint="default"/>
                <w:spacing w:val="-74"/>
                <w:sz w:val="16"/>
                <w:szCs w:val="16"/>
              </w:rPr>
            </w:r>
            <w:r>
              <w:rPr>
                <w:rFonts w:ascii="宋体" w:hAnsi="宋体" w:cs="宋体" w:eastAsia="宋体" w:hint="default"/>
                <w:spacing w:val="-13"/>
                <w:sz w:val="16"/>
                <w:szCs w:val="16"/>
              </w:rPr>
              <w:t>益相关</w:t>
            </w:r>
            <w:r>
              <w:rPr>
                <w:rFonts w:ascii="宋体" w:hAnsi="宋体" w:cs="宋体" w:eastAsia="宋体" w:hint="default"/>
                <w:sz w:val="16"/>
                <w:szCs w:val="16"/>
              </w:rPr>
            </w:r>
          </w:p>
        </w:tc>
      </w:tr>
      <w:tr>
        <w:trPr>
          <w:trHeight w:val="407"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2" w:right="0"/>
              <w:jc w:val="left"/>
              <w:rPr>
                <w:rFonts w:ascii="宋体" w:hAnsi="宋体" w:cs="宋体" w:eastAsia="宋体" w:hint="default"/>
                <w:sz w:val="16"/>
                <w:szCs w:val="16"/>
              </w:rPr>
            </w:pPr>
            <w:r>
              <w:rPr>
                <w:rFonts w:ascii="宋体" w:hAnsi="宋体" w:cs="宋体" w:eastAsia="宋体" w:hint="default"/>
                <w:spacing w:val="-12"/>
                <w:sz w:val="16"/>
                <w:szCs w:val="16"/>
              </w:rPr>
              <w:t>用于补贴企业研发投入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16"/>
                <w:szCs w:val="16"/>
              </w:rPr>
            </w:pPr>
            <w:r>
              <w:rPr>
                <w:rFonts w:ascii="Times New Roman"/>
                <w:spacing w:val="-6"/>
                <w:sz w:val="16"/>
              </w:rPr>
              <w:t>4,298,320.00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16"/>
                <w:szCs w:val="16"/>
              </w:rPr>
            </w:pPr>
            <w:r>
              <w:rPr>
                <w:rFonts w:ascii="Times New Roman"/>
                <w:spacing w:val="-6"/>
                <w:sz w:val="16"/>
              </w:rPr>
              <w:t>969,079.96</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3,329,240.04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6"/>
                <w:szCs w:val="16"/>
              </w:rPr>
            </w:pPr>
            <w:r>
              <w:rPr>
                <w:rFonts w:ascii="宋体" w:hAnsi="宋体" w:cs="宋体" w:eastAsia="宋体" w:hint="default"/>
                <w:spacing w:val="-13"/>
                <w:sz w:val="16"/>
                <w:szCs w:val="16"/>
              </w:rPr>
              <w:t>其他收益</w:t>
            </w:r>
            <w:r>
              <w:rPr>
                <w:rFonts w:ascii="宋体" w:hAnsi="宋体" w:cs="宋体" w:eastAsia="宋体" w:hint="default"/>
                <w:sz w:val="16"/>
                <w:szCs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 w:right="0"/>
              <w:jc w:val="center"/>
              <w:rPr>
                <w:rFonts w:ascii="宋体" w:hAnsi="宋体" w:cs="宋体" w:eastAsia="宋体" w:hint="default"/>
                <w:sz w:val="16"/>
                <w:szCs w:val="16"/>
              </w:rPr>
            </w:pPr>
            <w:r>
              <w:rPr>
                <w:rFonts w:ascii="宋体" w:hAnsi="宋体" w:cs="宋体" w:eastAsia="宋体" w:hint="default"/>
                <w:spacing w:val="-11"/>
                <w:sz w:val="16"/>
                <w:szCs w:val="16"/>
              </w:rPr>
              <w:t>与资产相关</w:t>
            </w:r>
          </w:p>
        </w:tc>
      </w:tr>
      <w:tr>
        <w:trPr>
          <w:trHeight w:val="407"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2" w:right="0"/>
              <w:jc w:val="left"/>
              <w:rPr>
                <w:rFonts w:ascii="宋体" w:hAnsi="宋体" w:cs="宋体" w:eastAsia="宋体" w:hint="default"/>
                <w:sz w:val="16"/>
                <w:szCs w:val="16"/>
              </w:rPr>
            </w:pPr>
            <w:r>
              <w:rPr>
                <w:rFonts w:ascii="Times New Roman" w:hAnsi="Times New Roman" w:cs="Times New Roman" w:eastAsia="Times New Roman" w:hint="default"/>
                <w:spacing w:val="-5"/>
                <w:sz w:val="16"/>
                <w:szCs w:val="16"/>
              </w:rPr>
              <w:t>2017</w:t>
            </w:r>
            <w:r>
              <w:rPr>
                <w:rFonts w:ascii="Times New Roman" w:hAnsi="Times New Roman" w:cs="Times New Roman" w:eastAsia="Times New Roman" w:hint="default"/>
                <w:spacing w:val="20"/>
                <w:sz w:val="16"/>
                <w:szCs w:val="16"/>
              </w:rPr>
              <w:t> </w:t>
            </w:r>
            <w:r>
              <w:rPr>
                <w:rFonts w:ascii="宋体" w:hAnsi="宋体" w:cs="宋体" w:eastAsia="宋体" w:hint="default"/>
                <w:spacing w:val="-13"/>
                <w:sz w:val="16"/>
                <w:szCs w:val="16"/>
              </w:rPr>
              <w:t>年度陕西省中小企业发展专项资金科技创新项目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16"/>
                <w:szCs w:val="16"/>
              </w:rPr>
            </w:pPr>
            <w:r>
              <w:rPr>
                <w:rFonts w:ascii="Times New Roman"/>
                <w:spacing w:val="-6"/>
                <w:sz w:val="16"/>
              </w:rPr>
              <w:t>200,000.00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16"/>
                <w:szCs w:val="16"/>
              </w:rPr>
            </w:pPr>
            <w:r>
              <w:rPr>
                <w:rFonts w:ascii="Times New Roman"/>
                <w:spacing w:val="-6"/>
                <w:sz w:val="16"/>
              </w:rPr>
              <w:t>75,000.00</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125,000.00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 w:right="0"/>
              <w:jc w:val="center"/>
              <w:rPr>
                <w:rFonts w:ascii="宋体" w:hAnsi="宋体" w:cs="宋体" w:eastAsia="宋体" w:hint="default"/>
                <w:sz w:val="16"/>
                <w:szCs w:val="16"/>
              </w:rPr>
            </w:pPr>
            <w:r>
              <w:rPr>
                <w:rFonts w:ascii="宋体" w:hAnsi="宋体" w:cs="宋体" w:eastAsia="宋体" w:hint="default"/>
                <w:spacing w:val="-11"/>
                <w:sz w:val="16"/>
                <w:szCs w:val="16"/>
              </w:rPr>
              <w:t>与收益相关</w:t>
            </w:r>
          </w:p>
        </w:tc>
      </w:tr>
      <w:tr>
        <w:trPr>
          <w:trHeight w:val="407" w:hRule="exact"/>
        </w:trPr>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2" w:right="0"/>
              <w:jc w:val="left"/>
              <w:rPr>
                <w:rFonts w:ascii="宋体" w:hAnsi="宋体" w:cs="宋体" w:eastAsia="宋体" w:hint="default"/>
                <w:sz w:val="16"/>
                <w:szCs w:val="16"/>
              </w:rPr>
            </w:pPr>
            <w:r>
              <w:rPr>
                <w:rFonts w:ascii="Times New Roman" w:hAnsi="Times New Roman" w:cs="Times New Roman" w:eastAsia="Times New Roman" w:hint="default"/>
                <w:spacing w:val="-5"/>
                <w:sz w:val="16"/>
                <w:szCs w:val="16"/>
              </w:rPr>
              <w:t>2017</w:t>
            </w:r>
            <w:r>
              <w:rPr>
                <w:rFonts w:ascii="Times New Roman" w:hAnsi="Times New Roman" w:cs="Times New Roman" w:eastAsia="Times New Roman" w:hint="default"/>
                <w:spacing w:val="22"/>
                <w:sz w:val="16"/>
                <w:szCs w:val="16"/>
              </w:rPr>
              <w:t> </w:t>
            </w:r>
            <w:r>
              <w:rPr>
                <w:rFonts w:ascii="宋体" w:hAnsi="宋体" w:cs="宋体" w:eastAsia="宋体" w:hint="default"/>
                <w:spacing w:val="-13"/>
                <w:sz w:val="16"/>
                <w:szCs w:val="16"/>
              </w:rPr>
              <w:t>年成都市第四批科技项目（科技与专利保险补贴）</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center"/>
              <w:rPr>
                <w:rFonts w:ascii="Times New Roman" w:hAnsi="Times New Roman" w:cs="Times New Roman" w:eastAsia="Times New Roman" w:hint="default"/>
                <w:sz w:val="16"/>
                <w:szCs w:val="16"/>
              </w:rPr>
            </w:pPr>
            <w:r>
              <w:rPr>
                <w:rFonts w:ascii="Times New Roman"/>
                <w:spacing w:val="-6"/>
                <w:sz w:val="16"/>
              </w:rPr>
              <w:t>120,000.00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120,000.00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2" w:right="0"/>
              <w:jc w:val="center"/>
              <w:rPr>
                <w:rFonts w:ascii="宋体" w:hAnsi="宋体" w:cs="宋体" w:eastAsia="宋体" w:hint="default"/>
                <w:sz w:val="16"/>
                <w:szCs w:val="16"/>
              </w:rPr>
            </w:pPr>
            <w:r>
              <w:rPr>
                <w:rFonts w:ascii="宋体" w:hAnsi="宋体" w:cs="宋体" w:eastAsia="宋体" w:hint="default"/>
                <w:spacing w:val="-11"/>
                <w:sz w:val="16"/>
                <w:szCs w:val="16"/>
              </w:rPr>
              <w:t>与收益相关</w:t>
            </w:r>
          </w:p>
        </w:tc>
      </w:tr>
      <w:tr>
        <w:trPr>
          <w:trHeight w:val="408" w:hRule="exact"/>
        </w:trPr>
        <w:tc>
          <w:tcPr>
            <w:tcW w:w="3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right="1"/>
              <w:jc w:val="center"/>
              <w:rPr>
                <w:rFonts w:ascii="宋体" w:hAnsi="宋体" w:cs="宋体" w:eastAsia="宋体" w:hint="default"/>
                <w:sz w:val="16"/>
                <w:szCs w:val="16"/>
              </w:rPr>
            </w:pPr>
            <w:r>
              <w:rPr>
                <w:rFonts w:ascii="宋体" w:hAnsi="宋体" w:cs="宋体" w:eastAsia="宋体" w:hint="default"/>
                <w:spacing w:val="-13"/>
                <w:sz w:val="16"/>
                <w:szCs w:val="16"/>
              </w:rPr>
              <w:t>合计</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
              <w:jc w:val="right"/>
              <w:rPr>
                <w:rFonts w:ascii="Times New Roman" w:hAnsi="Times New Roman" w:cs="Times New Roman" w:eastAsia="Times New Roman" w:hint="default"/>
                <w:sz w:val="16"/>
                <w:szCs w:val="16"/>
              </w:rPr>
            </w:pPr>
            <w:r>
              <w:rPr>
                <w:rFonts w:ascii="Times New Roman"/>
                <w:spacing w:val="-6"/>
                <w:w w:val="95"/>
                <w:sz w:val="16"/>
              </w:rPr>
              <w:t>16,956,229.46</w:t>
            </w:r>
            <w:r>
              <w:rPr>
                <w:rFonts w:ascii="Times New Roman"/>
                <w:spacing w:val="-6"/>
                <w:sz w:val="16"/>
              </w:rPr>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Times New Roman" w:hAnsi="Times New Roman" w:cs="Times New Roman" w:eastAsia="Times New Roman" w:hint="default"/>
                <w:sz w:val="16"/>
                <w:szCs w:val="16"/>
              </w:rPr>
            </w:pPr>
            <w:r>
              <w:rPr>
                <w:rFonts w:ascii="Times New Roman"/>
                <w:spacing w:val="-6"/>
                <w:sz w:val="16"/>
              </w:rPr>
              <w:t>7,618,320.00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Times New Roman" w:hAnsi="Times New Roman" w:cs="Times New Roman" w:eastAsia="Times New Roman" w:hint="default"/>
                <w:sz w:val="16"/>
                <w:szCs w:val="16"/>
              </w:rPr>
            </w:pPr>
            <w:r>
              <w:rPr>
                <w:rFonts w:ascii="Times New Roman"/>
                <w:spacing w:val="-6"/>
                <w:sz w:val="16"/>
              </w:rPr>
              <w:t>2,000,309.42</w:t>
            </w:r>
          </w:p>
        </w:tc>
        <w:tc>
          <w:tcPr>
            <w:tcW w:w="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Times New Roman" w:hAnsi="Times New Roman" w:cs="Times New Roman" w:eastAsia="Times New Roman" w:hint="default"/>
                <w:sz w:val="16"/>
                <w:szCs w:val="16"/>
              </w:rPr>
            </w:pPr>
            <w:r>
              <w:rPr>
                <w:rFonts w:ascii="Times New Roman"/>
                <w:w w:val="99"/>
                <w:sz w:val="16"/>
              </w:rPr>
              <w:t>-</w:t>
            </w:r>
            <w:r>
              <w:rPr>
                <w:rFonts w:ascii="Times New Roman"/>
                <w:sz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 w:right="0"/>
              <w:jc w:val="center"/>
              <w:rPr>
                <w:rFonts w:ascii="Times New Roman" w:hAnsi="Times New Roman" w:cs="Times New Roman" w:eastAsia="Times New Roman" w:hint="default"/>
                <w:sz w:val="16"/>
                <w:szCs w:val="16"/>
              </w:rPr>
            </w:pPr>
            <w:r>
              <w:rPr>
                <w:rFonts w:ascii="Times New Roman"/>
                <w:spacing w:val="-6"/>
                <w:sz w:val="16"/>
              </w:rPr>
              <w:t>22,574,240.04</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6"/>
                <w:szCs w:val="16"/>
              </w:rPr>
            </w:pPr>
            <w:r>
              <w:rPr>
                <w:rFonts w:ascii="Times New Roman"/>
                <w:spacing w:val="-7"/>
                <w:sz w:val="16"/>
              </w:rPr>
              <w:t>--</w:t>
            </w:r>
            <w:r>
              <w:rPr>
                <w:rFonts w:ascii="Times New Roman"/>
                <w:sz w:val="16"/>
              </w:rPr>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w:t>
      </w:r>
      <w:r>
        <w:rPr>
          <w:rFonts w:ascii="Times New Roman" w:hAnsi="Times New Roman" w:cs="Times New Roman" w:eastAsia="Times New Roman" w:hint="default"/>
        </w:rPr>
        <w:t>2</w:t>
      </w:r>
      <w:r>
        <w:rPr/>
        <w:t>）采用总额法计入当期损益的政府补助情况</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2828"/>
        <w:gridCol w:w="1899"/>
        <w:gridCol w:w="1958"/>
        <w:gridCol w:w="1710"/>
        <w:gridCol w:w="1460"/>
      </w:tblGrid>
      <w:tr>
        <w:trPr>
          <w:trHeight w:val="6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本期计入损益的金额</w:t>
            </w:r>
          </w:p>
        </w:tc>
        <w:tc>
          <w:tcPr>
            <w:tcW w:w="1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上期计入损益的金额</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0"/>
              <w:ind w:left="669" w:right="218" w:hanging="451"/>
              <w:jc w:val="left"/>
              <w:rPr>
                <w:rFonts w:ascii="宋体" w:hAnsi="宋体" w:cs="宋体" w:eastAsia="宋体" w:hint="default"/>
                <w:sz w:val="18"/>
                <w:szCs w:val="18"/>
              </w:rPr>
            </w:pPr>
            <w:r>
              <w:rPr>
                <w:rFonts w:ascii="宋体" w:hAnsi="宋体" w:cs="宋体" w:eastAsia="宋体" w:hint="default"/>
                <w:sz w:val="18"/>
                <w:szCs w:val="18"/>
              </w:rPr>
              <w:t>计入损益的列报 项目</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97"/>
              <w:ind w:left="364" w:right="158"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62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15,978,748.23</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23,328,811.72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69" w:right="129" w:hanging="541"/>
              <w:jc w:val="left"/>
              <w:rPr>
                <w:rFonts w:ascii="宋体" w:hAnsi="宋体" w:cs="宋体" w:eastAsia="宋体" w:hint="default"/>
                <w:sz w:val="18"/>
                <w:szCs w:val="18"/>
              </w:rPr>
            </w:pPr>
            <w:r>
              <w:rPr>
                <w:rFonts w:ascii="宋体" w:hAnsi="宋体" w:cs="宋体" w:eastAsia="宋体" w:hint="default"/>
                <w:sz w:val="18"/>
                <w:szCs w:val="18"/>
              </w:rPr>
              <w:t>营业外收入、其他 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运营补贴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用于补贴企业研发投入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1,801,000.00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8"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骨干型服务外包企业增长奖励</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用于补贴企业研发投入</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969,079.96</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6"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智能硬件公共服务平台房租补贴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710,000.00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软件谷雨花产业专项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631,020.00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年省级工业和信息产业转型 升级引导资金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536,229.46</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763,770.54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669" w:right="129" w:hanging="541"/>
              <w:jc w:val="left"/>
              <w:rPr>
                <w:rFonts w:ascii="宋体" w:hAnsi="宋体" w:cs="宋体" w:eastAsia="宋体" w:hint="default"/>
                <w:sz w:val="18"/>
                <w:szCs w:val="18"/>
              </w:rPr>
            </w:pPr>
            <w:r>
              <w:rPr>
                <w:rFonts w:ascii="宋体" w:hAnsi="宋体" w:cs="宋体" w:eastAsia="宋体" w:hint="default"/>
                <w:sz w:val="18"/>
                <w:szCs w:val="18"/>
              </w:rPr>
              <w:t>营业外收入、其他 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544" w:right="185" w:hanging="360"/>
              <w:jc w:val="left"/>
              <w:rPr>
                <w:rFonts w:ascii="宋体" w:hAnsi="宋体" w:cs="宋体" w:eastAsia="宋体" w:hint="default"/>
                <w:sz w:val="18"/>
                <w:szCs w:val="18"/>
              </w:rPr>
            </w:pPr>
            <w:r>
              <w:rPr>
                <w:rFonts w:ascii="宋体" w:hAnsi="宋体" w:cs="宋体" w:eastAsia="宋体" w:hint="default"/>
                <w:sz w:val="18"/>
                <w:szCs w:val="18"/>
              </w:rPr>
              <w:t>与资产及收益 相关</w:t>
            </w:r>
          </w:p>
        </w:tc>
      </w:tr>
      <w:tr>
        <w:trPr>
          <w:trHeight w:val="426"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南京市第一批产业发展专项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北京市科技计划项目专项资金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420,000.00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国际服务外包业务专项资金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331,910.00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雨花区产业发展专项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303,800.00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江苏省商务厅在岸项目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300,000.00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0"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192"/>
              <w:jc w:val="left"/>
              <w:rPr>
                <w:rFonts w:ascii="宋体" w:hAnsi="宋体" w:cs="宋体" w:eastAsia="宋体" w:hint="default"/>
                <w:sz w:val="18"/>
                <w:szCs w:val="18"/>
              </w:rPr>
            </w:pPr>
            <w:r>
              <w:rPr>
                <w:rFonts w:ascii="宋体" w:hAnsi="宋体" w:cs="宋体" w:eastAsia="宋体" w:hint="default"/>
                <w:sz w:val="18"/>
                <w:szCs w:val="18"/>
              </w:rPr>
              <w:t>第五届中国创新创业大赛优秀企 业</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年西安高新区企业核心管理 和研发人才奖励</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287,400.00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286,465.85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272,378.68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6"/>
              <w:ind w:left="669" w:right="129" w:hanging="541"/>
              <w:jc w:val="left"/>
              <w:rPr>
                <w:rFonts w:ascii="宋体" w:hAnsi="宋体" w:cs="宋体" w:eastAsia="宋体" w:hint="default"/>
                <w:sz w:val="18"/>
                <w:szCs w:val="18"/>
              </w:rPr>
            </w:pPr>
            <w:r>
              <w:rPr>
                <w:rFonts w:ascii="宋体" w:hAnsi="宋体" w:cs="宋体" w:eastAsia="宋体" w:hint="default"/>
                <w:sz w:val="18"/>
                <w:szCs w:val="18"/>
              </w:rPr>
              <w:t>营业外收入、其他 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249,226.00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研发机构法人化奖励</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200,000.00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8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2828"/>
        <w:gridCol w:w="1899"/>
        <w:gridCol w:w="1958"/>
        <w:gridCol w:w="1710"/>
        <w:gridCol w:w="1460"/>
      </w:tblGrid>
      <w:tr>
        <w:trPr>
          <w:trHeight w:val="6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本期计入损益的金额</w:t>
            </w:r>
          </w:p>
        </w:tc>
        <w:tc>
          <w:tcPr>
            <w:tcW w:w="1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上期计入损益的金额</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1"/>
              <w:ind w:left="669" w:right="218" w:hanging="451"/>
              <w:jc w:val="left"/>
              <w:rPr>
                <w:rFonts w:ascii="宋体" w:hAnsi="宋体" w:cs="宋体" w:eastAsia="宋体" w:hint="default"/>
                <w:sz w:val="18"/>
                <w:szCs w:val="18"/>
              </w:rPr>
            </w:pPr>
            <w:r>
              <w:rPr>
                <w:rFonts w:ascii="宋体" w:hAnsi="宋体" w:cs="宋体" w:eastAsia="宋体" w:hint="default"/>
                <w:sz w:val="18"/>
                <w:szCs w:val="18"/>
              </w:rPr>
              <w:t>计入损益的列报 项目</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98"/>
              <w:ind w:left="364" w:right="158"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620"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年服务业发展引导专项资金</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市场品牌推广项目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8"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重点产业共性关键技术创新</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150,000.00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新录用人才市级配套</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126,000.00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112,500.00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87,841.89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三级认证补贴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规模企业奖励</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6"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高企倍增计划</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年国际服务贸易（服务外包）</w:t>
            </w:r>
            <w:r>
              <w:rPr>
                <w:rFonts w:ascii="宋体" w:hAnsi="宋体" w:cs="宋体" w:eastAsia="宋体" w:hint="default"/>
                <w:sz w:val="18"/>
                <w:szCs w:val="18"/>
              </w:rPr>
              <w:t> 专项</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0"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专利、软著补贴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89,110.00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110,818.00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669" w:right="129" w:hanging="541"/>
              <w:jc w:val="left"/>
              <w:rPr>
                <w:rFonts w:ascii="宋体" w:hAnsi="宋体" w:cs="宋体" w:eastAsia="宋体" w:hint="default"/>
                <w:sz w:val="18"/>
                <w:szCs w:val="18"/>
              </w:rPr>
            </w:pPr>
            <w:r>
              <w:rPr>
                <w:rFonts w:ascii="宋体" w:hAnsi="宋体" w:cs="宋体" w:eastAsia="宋体" w:hint="default"/>
                <w:sz w:val="18"/>
                <w:szCs w:val="18"/>
              </w:rPr>
              <w:t>营业外收入、其他 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年度陕西省中小企业发展专 项资金科技创新项目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0"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192"/>
              <w:jc w:val="left"/>
              <w:rPr>
                <w:rFonts w:ascii="宋体" w:hAnsi="宋体" w:cs="宋体" w:eastAsia="宋体" w:hint="default"/>
                <w:sz w:val="18"/>
                <w:szCs w:val="18"/>
              </w:rPr>
            </w:pPr>
            <w:r>
              <w:rPr>
                <w:rFonts w:ascii="宋体" w:hAnsi="宋体" w:cs="宋体" w:eastAsia="宋体" w:hint="default"/>
                <w:sz w:val="18"/>
                <w:szCs w:val="18"/>
              </w:rPr>
              <w:t>中关村智能硬件公共技术与产业 服务平台资金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2,345,600.00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92"/>
              <w:jc w:val="left"/>
              <w:rPr>
                <w:rFonts w:ascii="宋体" w:hAnsi="宋体" w:cs="宋体" w:eastAsia="宋体" w:hint="default"/>
                <w:sz w:val="18"/>
                <w:szCs w:val="18"/>
              </w:rPr>
            </w:pPr>
            <w:r>
              <w:rPr>
                <w:rFonts w:ascii="宋体" w:hAnsi="宋体" w:cs="宋体" w:eastAsia="宋体" w:hint="default"/>
                <w:sz w:val="18"/>
                <w:szCs w:val="18"/>
              </w:rPr>
              <w:t>雨花台区软件产业综合发展专项 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1,312,621.00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中关村国际化发展专项资金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612,406.00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外经贸发展专项资金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593,458.00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年新兴产业专项引导资金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500,000.00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成都高新区人才补贴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352,500.00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0"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4"/>
              <w:ind w:left="103" w:right="151"/>
              <w:jc w:val="left"/>
              <w:rPr>
                <w:rFonts w:ascii="宋体" w:hAnsi="宋体" w:cs="宋体" w:eastAsia="宋体" w:hint="default"/>
                <w:sz w:val="18"/>
                <w:szCs w:val="18"/>
              </w:rPr>
            </w:pPr>
            <w:r>
              <w:rPr>
                <w:rFonts w:ascii="宋体" w:hAnsi="宋体" w:cs="宋体" w:eastAsia="宋体" w:hint="default"/>
                <w:sz w:val="18"/>
                <w:szCs w:val="18"/>
              </w:rPr>
              <w:t>成都高新区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三级资质认定 补贴</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成都高新区高新技术企业奖励</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江苏省服务外包专项资金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研发机构法人化注册奖励</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300,000.00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0"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101"/>
              <w:jc w:val="left"/>
              <w:rPr>
                <w:rFonts w:ascii="宋体" w:hAnsi="宋体" w:cs="宋体" w:eastAsia="宋体" w:hint="default"/>
                <w:sz w:val="18"/>
                <w:szCs w:val="18"/>
              </w:rPr>
            </w:pPr>
            <w:r>
              <w:rPr>
                <w:rFonts w:ascii="宋体" w:hAnsi="宋体" w:cs="宋体" w:eastAsia="宋体" w:hint="default"/>
                <w:spacing w:val="-6"/>
                <w:sz w:val="18"/>
                <w:szCs w:val="18"/>
              </w:rPr>
              <w:t>中国（南京）软件谷管委会江苏省</w:t>
            </w:r>
            <w:r>
              <w:rPr>
                <w:rFonts w:ascii="宋体" w:hAnsi="宋体" w:cs="宋体" w:eastAsia="宋体" w:hint="default"/>
                <w:sz w:val="18"/>
                <w:szCs w:val="18"/>
              </w:rPr>
              <w:t> 双创人才扶持资金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海淀区服务外包扶持资金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290,000.00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市级企业技术中心奖励</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200,000.00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南京软件谷科技创业扶持资金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199,300.00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6"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科技型中小企业创新基金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150,000.00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自主创新示范区建设专项资金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150,000.00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软件谷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年南京市国际服务贸</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150,000.00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877" w:footer="979" w:top="1100" w:bottom="116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2828"/>
        <w:gridCol w:w="1899"/>
        <w:gridCol w:w="1958"/>
        <w:gridCol w:w="1710"/>
        <w:gridCol w:w="1460"/>
      </w:tblGrid>
      <w:tr>
        <w:trPr>
          <w:trHeight w:val="682" w:hRule="exact"/>
        </w:trPr>
        <w:tc>
          <w:tcPr>
            <w:tcW w:w="2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8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本期计入损益的金额</w:t>
            </w:r>
          </w:p>
        </w:tc>
        <w:tc>
          <w:tcPr>
            <w:tcW w:w="19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上期计入损益的金额</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41"/>
              <w:ind w:left="669" w:right="218" w:hanging="451"/>
              <w:jc w:val="left"/>
              <w:rPr>
                <w:rFonts w:ascii="宋体" w:hAnsi="宋体" w:cs="宋体" w:eastAsia="宋体" w:hint="default"/>
                <w:sz w:val="18"/>
                <w:szCs w:val="18"/>
              </w:rPr>
            </w:pPr>
            <w:r>
              <w:rPr>
                <w:rFonts w:ascii="宋体" w:hAnsi="宋体" w:cs="宋体" w:eastAsia="宋体" w:hint="default"/>
                <w:sz w:val="18"/>
                <w:szCs w:val="18"/>
              </w:rPr>
              <w:t>计入损益的列报 项目</w:t>
            </w: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98"/>
              <w:ind w:left="364" w:right="158"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易专项资金</w:t>
            </w:r>
          </w:p>
        </w:tc>
        <w:tc>
          <w:tcPr>
            <w:tcW w:w="189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62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8"/>
              <w:ind w:left="103" w:right="192"/>
              <w:jc w:val="left"/>
              <w:rPr>
                <w:rFonts w:ascii="宋体" w:hAnsi="宋体" w:cs="宋体" w:eastAsia="宋体" w:hint="default"/>
                <w:sz w:val="18"/>
                <w:szCs w:val="18"/>
              </w:rPr>
            </w:pPr>
            <w:r>
              <w:rPr>
                <w:rFonts w:ascii="宋体" w:hAnsi="宋体" w:cs="宋体" w:eastAsia="宋体" w:hint="default"/>
                <w:sz w:val="18"/>
                <w:szCs w:val="18"/>
              </w:rPr>
              <w:t>成都市服务外包发展项目支持资 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经信委移动互联网应用示范项目</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z w:val="18"/>
              </w:rPr>
              <w:t>75,000.00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22"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7"/>
              <w:ind w:left="103" w:right="192"/>
              <w:jc w:val="left"/>
              <w:rPr>
                <w:rFonts w:ascii="宋体" w:hAnsi="宋体" w:cs="宋体" w:eastAsia="宋体" w:hint="default"/>
                <w:sz w:val="18"/>
                <w:szCs w:val="18"/>
              </w:rPr>
            </w:pPr>
            <w:r>
              <w:rPr>
                <w:rFonts w:ascii="宋体" w:hAnsi="宋体" w:cs="宋体" w:eastAsia="宋体" w:hint="default"/>
                <w:sz w:val="18"/>
                <w:szCs w:val="18"/>
              </w:rPr>
              <w:t>北京市服务外包企业人才补助配 套资金</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54,000.00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7" w:hRule="exact"/>
        </w:trPr>
        <w:tc>
          <w:tcPr>
            <w:tcW w:w="28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30,907,489.50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33,148,505.83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9"/>
          <w:szCs w:val="29"/>
        </w:rPr>
      </w:pPr>
    </w:p>
    <w:p>
      <w:pPr>
        <w:pStyle w:val="Heading2"/>
        <w:spacing w:line="397" w:lineRule="exact"/>
        <w:ind w:right="0"/>
        <w:jc w:val="left"/>
      </w:pPr>
      <w:bookmarkStart w:name="十七、母公司财务报表主要项目注释" w:id="449"/>
      <w:bookmarkEnd w:id="449"/>
      <w:r>
        <w:rPr/>
      </w:r>
      <w:r>
        <w:rPr/>
        <w:t>十七、母公司财务报表主要项目注释</w:t>
      </w:r>
    </w:p>
    <w:p>
      <w:pPr>
        <w:spacing w:line="240" w:lineRule="auto" w:before="10"/>
        <w:rPr>
          <w:rFonts w:ascii="微软雅黑" w:hAnsi="微软雅黑" w:cs="微软雅黑" w:eastAsia="微软雅黑" w:hint="default"/>
          <w:sz w:val="23"/>
          <w:szCs w:val="23"/>
        </w:rPr>
      </w:pPr>
    </w:p>
    <w:p>
      <w:pPr>
        <w:pStyle w:val="BodyText"/>
        <w:spacing w:line="240" w:lineRule="auto"/>
        <w:ind w:right="0"/>
        <w:jc w:val="left"/>
        <w:rPr>
          <w:rFonts w:ascii="微软雅黑" w:hAnsi="微软雅黑" w:cs="微软雅黑" w:eastAsia="微软雅黑" w:hint="default"/>
        </w:rPr>
      </w:pPr>
      <w:bookmarkStart w:name="1、应收账款" w:id="450"/>
      <w:bookmarkEnd w:id="450"/>
      <w:r>
        <w:rPr/>
      </w:r>
      <w:r>
        <w:rPr>
          <w:rFonts w:ascii="Times New Roman" w:hAnsi="Times New Roman" w:cs="Times New Roman" w:eastAsia="Times New Roman" w:hint="default"/>
        </w:rPr>
        <w:t>1</w:t>
      </w:r>
      <w:r>
        <w:rPr>
          <w:rFonts w:ascii="微软雅黑" w:hAnsi="微软雅黑" w:cs="微软雅黑" w:eastAsia="微软雅黑" w:hint="default"/>
        </w:rPr>
        <w:t>、应收账款</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应收账款分类披露" w:id="451"/>
      <w:bookmarkEnd w:id="45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71" w:type="dxa"/>
        <w:tblLayout w:type="fixed"/>
        <w:tblCellMar>
          <w:top w:w="0" w:type="dxa"/>
          <w:left w:w="0" w:type="dxa"/>
          <w:bottom w:w="0" w:type="dxa"/>
          <w:right w:w="0" w:type="dxa"/>
        </w:tblCellMar>
        <w:tblLook w:val="01E0"/>
      </w:tblPr>
      <w:tblGrid>
        <w:gridCol w:w="1433"/>
        <w:gridCol w:w="1030"/>
        <w:gridCol w:w="647"/>
        <w:gridCol w:w="882"/>
        <w:gridCol w:w="646"/>
        <w:gridCol w:w="1030"/>
        <w:gridCol w:w="1031"/>
        <w:gridCol w:w="646"/>
        <w:gridCol w:w="882"/>
        <w:gridCol w:w="498"/>
        <w:gridCol w:w="1030"/>
      </w:tblGrid>
      <w:tr>
        <w:trPr>
          <w:trHeight w:val="390" w:hRule="exact"/>
        </w:trPr>
        <w:tc>
          <w:tcPr>
            <w:tcW w:w="14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1"/>
              <w:ind w:right="1"/>
              <w:jc w:val="center"/>
              <w:rPr>
                <w:rFonts w:ascii="宋体" w:hAnsi="宋体" w:cs="宋体" w:eastAsia="宋体" w:hint="default"/>
                <w:sz w:val="16"/>
                <w:szCs w:val="16"/>
              </w:rPr>
            </w:pPr>
            <w:r>
              <w:rPr>
                <w:rFonts w:ascii="宋体" w:hAnsi="宋体" w:cs="宋体" w:eastAsia="宋体" w:hint="default"/>
                <w:spacing w:val="-13"/>
                <w:sz w:val="16"/>
                <w:szCs w:val="16"/>
              </w:rPr>
              <w:t>类别</w:t>
            </w:r>
            <w:r>
              <w:rPr>
                <w:rFonts w:ascii="宋体" w:hAnsi="宋体" w:cs="宋体" w:eastAsia="宋体" w:hint="default"/>
                <w:sz w:val="16"/>
                <w:szCs w:val="16"/>
              </w:rPr>
            </w:r>
          </w:p>
        </w:tc>
        <w:tc>
          <w:tcPr>
            <w:tcW w:w="423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pacing w:val="-13"/>
                <w:sz w:val="16"/>
                <w:szCs w:val="16"/>
              </w:rPr>
              <w:t>期末余额</w:t>
            </w:r>
            <w:r>
              <w:rPr>
                <w:rFonts w:ascii="宋体" w:hAnsi="宋体" w:cs="宋体" w:eastAsia="宋体" w:hint="default"/>
                <w:sz w:val="16"/>
                <w:szCs w:val="16"/>
              </w:rPr>
            </w:r>
          </w:p>
        </w:tc>
        <w:tc>
          <w:tcPr>
            <w:tcW w:w="40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pacing w:val="-13"/>
                <w:sz w:val="16"/>
                <w:szCs w:val="16"/>
              </w:rPr>
              <w:t>期初余额</w:t>
            </w:r>
            <w:r>
              <w:rPr>
                <w:rFonts w:ascii="宋体" w:hAnsi="宋体" w:cs="宋体" w:eastAsia="宋体" w:hint="default"/>
                <w:sz w:val="16"/>
                <w:szCs w:val="16"/>
              </w:rPr>
            </w:r>
          </w:p>
        </w:tc>
      </w:tr>
      <w:tr>
        <w:trPr>
          <w:trHeight w:val="391" w:hRule="exact"/>
        </w:trPr>
        <w:tc>
          <w:tcPr>
            <w:tcW w:w="1433" w:type="dxa"/>
            <w:vMerge/>
            <w:tcBorders>
              <w:left w:val="single" w:sz="4" w:space="0" w:color="000000"/>
              <w:right w:val="single" w:sz="4" w:space="0" w:color="000000"/>
            </w:tcBorders>
            <w:shd w:val="clear" w:color="auto" w:fill="D2D2D2"/>
          </w:tcPr>
          <w:p>
            <w:pPr/>
          </w:p>
        </w:tc>
        <w:tc>
          <w:tcPr>
            <w:tcW w:w="16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6" w:right="0"/>
              <w:jc w:val="left"/>
              <w:rPr>
                <w:rFonts w:ascii="宋体" w:hAnsi="宋体" w:cs="宋体" w:eastAsia="宋体" w:hint="default"/>
                <w:sz w:val="16"/>
                <w:szCs w:val="16"/>
              </w:rPr>
            </w:pPr>
            <w:r>
              <w:rPr>
                <w:rFonts w:ascii="宋体" w:hAnsi="宋体" w:cs="宋体" w:eastAsia="宋体" w:hint="default"/>
                <w:spacing w:val="-13"/>
                <w:sz w:val="16"/>
                <w:szCs w:val="16"/>
              </w:rPr>
              <w:t>账面余额</w:t>
            </w:r>
            <w:r>
              <w:rPr>
                <w:rFonts w:ascii="宋体" w:hAnsi="宋体" w:cs="宋体" w:eastAsia="宋体" w:hint="default"/>
                <w:sz w:val="16"/>
                <w:szCs w:val="16"/>
              </w:rPr>
            </w:r>
          </w:p>
        </w:tc>
        <w:tc>
          <w:tcPr>
            <w:tcW w:w="1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61" w:right="0"/>
              <w:jc w:val="left"/>
              <w:rPr>
                <w:rFonts w:ascii="宋体" w:hAnsi="宋体" w:cs="宋体" w:eastAsia="宋体" w:hint="default"/>
                <w:sz w:val="16"/>
                <w:szCs w:val="16"/>
              </w:rPr>
            </w:pPr>
            <w:r>
              <w:rPr>
                <w:rFonts w:ascii="宋体" w:hAnsi="宋体" w:cs="宋体" w:eastAsia="宋体" w:hint="default"/>
                <w:spacing w:val="-13"/>
                <w:sz w:val="16"/>
                <w:szCs w:val="16"/>
              </w:rPr>
              <w:t>坏账准备</w:t>
            </w:r>
            <w:r>
              <w:rPr>
                <w:rFonts w:ascii="宋体" w:hAnsi="宋体" w:cs="宋体" w:eastAsia="宋体" w:hint="default"/>
                <w:sz w:val="16"/>
                <w:szCs w:val="16"/>
              </w:rPr>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pacing w:val="-13"/>
                <w:sz w:val="16"/>
                <w:szCs w:val="16"/>
              </w:rPr>
              <w:t>账面价值</w:t>
            </w:r>
            <w:r>
              <w:rPr>
                <w:rFonts w:ascii="宋体" w:hAnsi="宋体" w:cs="宋体" w:eastAsia="宋体" w:hint="default"/>
                <w:sz w:val="16"/>
                <w:szCs w:val="16"/>
              </w:rPr>
            </w:r>
          </w:p>
        </w:tc>
        <w:tc>
          <w:tcPr>
            <w:tcW w:w="16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37" w:right="0"/>
              <w:jc w:val="left"/>
              <w:rPr>
                <w:rFonts w:ascii="宋体" w:hAnsi="宋体" w:cs="宋体" w:eastAsia="宋体" w:hint="default"/>
                <w:sz w:val="16"/>
                <w:szCs w:val="16"/>
              </w:rPr>
            </w:pPr>
            <w:r>
              <w:rPr>
                <w:rFonts w:ascii="宋体" w:hAnsi="宋体" w:cs="宋体" w:eastAsia="宋体" w:hint="default"/>
                <w:spacing w:val="-13"/>
                <w:sz w:val="16"/>
                <w:szCs w:val="16"/>
              </w:rPr>
              <w:t>账面余额</w:t>
            </w:r>
            <w:r>
              <w:rPr>
                <w:rFonts w:ascii="宋体" w:hAnsi="宋体" w:cs="宋体" w:eastAsia="宋体" w:hint="default"/>
                <w:sz w:val="16"/>
                <w:szCs w:val="16"/>
              </w:rPr>
            </w:r>
          </w:p>
        </w:tc>
        <w:tc>
          <w:tcPr>
            <w:tcW w:w="13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88" w:right="0"/>
              <w:jc w:val="left"/>
              <w:rPr>
                <w:rFonts w:ascii="宋体" w:hAnsi="宋体" w:cs="宋体" w:eastAsia="宋体" w:hint="default"/>
                <w:sz w:val="16"/>
                <w:szCs w:val="16"/>
              </w:rPr>
            </w:pPr>
            <w:r>
              <w:rPr>
                <w:rFonts w:ascii="宋体" w:hAnsi="宋体" w:cs="宋体" w:eastAsia="宋体" w:hint="default"/>
                <w:spacing w:val="-13"/>
                <w:sz w:val="16"/>
                <w:szCs w:val="16"/>
              </w:rPr>
              <w:t>坏账准备</w:t>
            </w:r>
            <w:r>
              <w:rPr>
                <w:rFonts w:ascii="宋体" w:hAnsi="宋体" w:cs="宋体" w:eastAsia="宋体" w:hint="default"/>
                <w:sz w:val="16"/>
                <w:szCs w:val="16"/>
              </w:rPr>
            </w:r>
          </w:p>
        </w:tc>
        <w:tc>
          <w:tcPr>
            <w:tcW w:w="10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6"/>
                <w:szCs w:val="16"/>
              </w:rPr>
            </w:pPr>
            <w:r>
              <w:rPr>
                <w:rFonts w:ascii="宋体" w:hAnsi="宋体" w:cs="宋体" w:eastAsia="宋体" w:hint="default"/>
                <w:spacing w:val="-13"/>
                <w:sz w:val="16"/>
                <w:szCs w:val="16"/>
              </w:rPr>
              <w:t>账面价值</w:t>
            </w:r>
            <w:r>
              <w:rPr>
                <w:rFonts w:ascii="宋体" w:hAnsi="宋体" w:cs="宋体" w:eastAsia="宋体" w:hint="default"/>
                <w:sz w:val="16"/>
                <w:szCs w:val="16"/>
              </w:rPr>
            </w:r>
          </w:p>
        </w:tc>
      </w:tr>
      <w:tr>
        <w:trPr>
          <w:trHeight w:val="627" w:hRule="exact"/>
        </w:trPr>
        <w:tc>
          <w:tcPr>
            <w:tcW w:w="1433" w:type="dxa"/>
            <w:vMerge/>
            <w:tcBorders>
              <w:left w:val="single" w:sz="4" w:space="0" w:color="000000"/>
              <w:bottom w:val="single" w:sz="4" w:space="0" w:color="000000"/>
              <w:right w:val="single" w:sz="4" w:space="0" w:color="000000"/>
            </w:tcBorders>
            <w:shd w:val="clear" w:color="auto" w:fill="D2D2D2"/>
          </w:tcPr>
          <w:p>
            <w:pP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16"/>
                <w:szCs w:val="16"/>
              </w:rPr>
            </w:pPr>
            <w:r>
              <w:rPr>
                <w:rFonts w:ascii="宋体" w:hAnsi="宋体" w:cs="宋体" w:eastAsia="宋体" w:hint="default"/>
                <w:spacing w:val="-13"/>
                <w:sz w:val="16"/>
                <w:szCs w:val="16"/>
              </w:rPr>
              <w:t>比例</w:t>
            </w:r>
            <w:r>
              <w:rPr>
                <w:rFonts w:ascii="宋体" w:hAnsi="宋体" w:cs="宋体" w:eastAsia="宋体" w:hint="default"/>
                <w:sz w:val="16"/>
                <w:szCs w:val="16"/>
              </w:rPr>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69" w:right="169"/>
              <w:jc w:val="left"/>
              <w:rPr>
                <w:rFonts w:ascii="宋体" w:hAnsi="宋体" w:cs="宋体" w:eastAsia="宋体" w:hint="default"/>
                <w:sz w:val="16"/>
                <w:szCs w:val="16"/>
              </w:rPr>
            </w:pPr>
            <w:r>
              <w:rPr>
                <w:rFonts w:ascii="宋体" w:hAnsi="宋体" w:cs="宋体" w:eastAsia="宋体" w:hint="default"/>
                <w:spacing w:val="-13"/>
                <w:sz w:val="16"/>
                <w:szCs w:val="16"/>
              </w:rPr>
              <w:t>计提</w:t>
            </w:r>
            <w:r>
              <w:rPr>
                <w:rFonts w:ascii="宋体" w:hAnsi="宋体" w:cs="宋体" w:eastAsia="宋体" w:hint="default"/>
                <w:spacing w:val="-12"/>
                <w:w w:val="99"/>
                <w:sz w:val="16"/>
                <w:szCs w:val="16"/>
              </w:rPr>
              <w:t> </w:t>
            </w:r>
            <w:r>
              <w:rPr>
                <w:rFonts w:ascii="宋体" w:hAnsi="宋体" w:cs="宋体" w:eastAsia="宋体" w:hint="default"/>
                <w:spacing w:val="-13"/>
                <w:sz w:val="16"/>
                <w:szCs w:val="16"/>
              </w:rPr>
              <w:t>比例</w:t>
            </w:r>
            <w:r>
              <w:rPr>
                <w:rFonts w:ascii="宋体" w:hAnsi="宋体" w:cs="宋体" w:eastAsia="宋体" w:hint="default"/>
                <w:sz w:val="16"/>
                <w:szCs w:val="16"/>
              </w:rPr>
            </w:r>
          </w:p>
        </w:tc>
        <w:tc>
          <w:tcPr>
            <w:tcW w:w="1030" w:type="dxa"/>
            <w:vMerge/>
            <w:tcBorders>
              <w:left w:val="single" w:sz="4" w:space="0" w:color="000000"/>
              <w:bottom w:val="single" w:sz="4" w:space="0" w:color="000000"/>
              <w:right w:val="single" w:sz="4" w:space="0" w:color="000000"/>
            </w:tcBorders>
            <w:shd w:val="clear" w:color="auto" w:fill="D2D2D2"/>
          </w:tcPr>
          <w:p>
            <w:pPr/>
          </w:p>
        </w:tc>
        <w:tc>
          <w:tcPr>
            <w:tcW w:w="1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pacing w:val="-13"/>
                <w:sz w:val="16"/>
                <w:szCs w:val="16"/>
              </w:rPr>
              <w:t>比例</w:t>
            </w:r>
            <w:r>
              <w:rPr>
                <w:rFonts w:ascii="宋体" w:hAnsi="宋体" w:cs="宋体" w:eastAsia="宋体" w:hint="default"/>
                <w:sz w:val="16"/>
                <w:szCs w:val="16"/>
              </w:rPr>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94" w:right="96"/>
              <w:jc w:val="left"/>
              <w:rPr>
                <w:rFonts w:ascii="宋体" w:hAnsi="宋体" w:cs="宋体" w:eastAsia="宋体" w:hint="default"/>
                <w:sz w:val="16"/>
                <w:szCs w:val="16"/>
              </w:rPr>
            </w:pPr>
            <w:r>
              <w:rPr>
                <w:rFonts w:ascii="宋体" w:hAnsi="宋体" w:cs="宋体" w:eastAsia="宋体" w:hint="default"/>
                <w:spacing w:val="-13"/>
                <w:sz w:val="16"/>
                <w:szCs w:val="16"/>
              </w:rPr>
              <w:t>计提</w:t>
            </w:r>
            <w:r>
              <w:rPr>
                <w:rFonts w:ascii="宋体" w:hAnsi="宋体" w:cs="宋体" w:eastAsia="宋体" w:hint="default"/>
                <w:spacing w:val="-12"/>
                <w:w w:val="99"/>
                <w:sz w:val="16"/>
                <w:szCs w:val="16"/>
              </w:rPr>
              <w:t> </w:t>
            </w:r>
            <w:r>
              <w:rPr>
                <w:rFonts w:ascii="宋体" w:hAnsi="宋体" w:cs="宋体" w:eastAsia="宋体" w:hint="default"/>
                <w:spacing w:val="-13"/>
                <w:sz w:val="16"/>
                <w:szCs w:val="16"/>
              </w:rPr>
              <w:t>比例</w:t>
            </w:r>
            <w:r>
              <w:rPr>
                <w:rFonts w:ascii="宋体" w:hAnsi="宋体" w:cs="宋体" w:eastAsia="宋体" w:hint="default"/>
                <w:sz w:val="16"/>
                <w:szCs w:val="16"/>
              </w:rPr>
            </w:r>
          </w:p>
        </w:tc>
        <w:tc>
          <w:tcPr>
            <w:tcW w:w="1030" w:type="dxa"/>
            <w:vMerge/>
            <w:tcBorders>
              <w:left w:val="single" w:sz="4" w:space="0" w:color="000000"/>
              <w:bottom w:val="single" w:sz="4" w:space="0" w:color="000000"/>
              <w:right w:val="single" w:sz="4" w:space="0" w:color="000000"/>
            </w:tcBorders>
            <w:shd w:val="clear" w:color="auto" w:fill="D2D2D2"/>
          </w:tcPr>
          <w:p>
            <w:pPr/>
          </w:p>
        </w:tc>
      </w:tr>
      <w:tr>
        <w:trPr>
          <w:trHeight w:val="757"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52" w:right="173"/>
              <w:jc w:val="both"/>
              <w:rPr>
                <w:rFonts w:ascii="宋体" w:hAnsi="宋体" w:cs="宋体" w:eastAsia="宋体" w:hint="default"/>
                <w:sz w:val="16"/>
                <w:szCs w:val="16"/>
              </w:rPr>
            </w:pPr>
            <w:r>
              <w:rPr>
                <w:rFonts w:ascii="宋体" w:hAnsi="宋体" w:cs="宋体" w:eastAsia="宋体" w:hint="default"/>
                <w:spacing w:val="-12"/>
                <w:sz w:val="16"/>
                <w:szCs w:val="16"/>
              </w:rPr>
              <w:t>按信用风险特征组</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2"/>
                <w:sz w:val="16"/>
                <w:szCs w:val="16"/>
              </w:rPr>
              <w:t>合计提坏账准备的</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3"/>
                <w:sz w:val="16"/>
                <w:szCs w:val="16"/>
              </w:rPr>
              <w:t>应收账款</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382,873,716.84</w:t>
            </w:r>
            <w:r>
              <w:rPr>
                <w:rFonts w:ascii="Times New Roman"/>
                <w:spacing w:val="-6"/>
                <w:sz w:val="16"/>
              </w:rPr>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99.59%</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5,134,073.17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5"/>
                <w:w w:val="95"/>
                <w:sz w:val="16"/>
              </w:rPr>
              <w:t>1.34%</w:t>
            </w:r>
            <w:r>
              <w:rPr>
                <w:rFonts w:ascii="Times New Roman"/>
                <w:spacing w:val="-5"/>
                <w:sz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377,739,643.67</w:t>
            </w:r>
            <w:r>
              <w:rPr>
                <w:rFonts w:ascii="Times New Roman"/>
                <w:spacing w:val="-6"/>
                <w:sz w:val="16"/>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 w:right="0"/>
              <w:jc w:val="center"/>
              <w:rPr>
                <w:rFonts w:ascii="Times New Roman" w:hAnsi="Times New Roman" w:cs="Times New Roman" w:eastAsia="Times New Roman" w:hint="default"/>
                <w:sz w:val="16"/>
                <w:szCs w:val="16"/>
              </w:rPr>
            </w:pPr>
            <w:r>
              <w:rPr>
                <w:rFonts w:ascii="Times New Roman"/>
                <w:spacing w:val="-6"/>
                <w:sz w:val="16"/>
              </w:rPr>
              <w:t>357,556,682.98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100.00%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2,701,834.78</w:t>
            </w:r>
          </w:p>
        </w:tc>
        <w:tc>
          <w:tcPr>
            <w:tcW w:w="49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6"/>
                <w:szCs w:val="16"/>
              </w:rPr>
            </w:pPr>
            <w:r>
              <w:rPr>
                <w:rFonts w:ascii="Times New Roman"/>
                <w:spacing w:val="-5"/>
                <w:sz w:val="16"/>
              </w:rPr>
              <w:t>0.76%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354,854,848.20</w:t>
            </w:r>
          </w:p>
        </w:tc>
      </w:tr>
      <w:tr>
        <w:trPr>
          <w:trHeight w:val="756"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7"/>
              <w:ind w:left="52" w:right="173"/>
              <w:jc w:val="both"/>
              <w:rPr>
                <w:rFonts w:ascii="宋体" w:hAnsi="宋体" w:cs="宋体" w:eastAsia="宋体" w:hint="default"/>
                <w:sz w:val="16"/>
                <w:szCs w:val="16"/>
              </w:rPr>
            </w:pPr>
            <w:r>
              <w:rPr>
                <w:rFonts w:ascii="宋体" w:hAnsi="宋体" w:cs="宋体" w:eastAsia="宋体" w:hint="default"/>
                <w:spacing w:val="-12"/>
                <w:sz w:val="16"/>
                <w:szCs w:val="16"/>
              </w:rPr>
              <w:t>单项金额不重大但</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2"/>
                <w:sz w:val="16"/>
                <w:szCs w:val="16"/>
              </w:rPr>
              <w:t>单独计提坏账准备</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pacing w:val="-11"/>
                <w:sz w:val="16"/>
                <w:szCs w:val="16"/>
              </w:rPr>
              <w:t>的应收账款</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w w:val="95"/>
                <w:sz w:val="16"/>
              </w:rPr>
              <w:t>1,593,215.73</w:t>
            </w:r>
            <w:r>
              <w:rPr>
                <w:rFonts w:ascii="Times New Roman"/>
                <w:spacing w:val="-6"/>
                <w:sz w:val="16"/>
              </w:rPr>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5"/>
                <w:w w:val="95"/>
                <w:sz w:val="16"/>
              </w:rPr>
              <w:t>0.41%</w:t>
            </w:r>
            <w:r>
              <w:rPr>
                <w:rFonts w:ascii="Times New Roman"/>
                <w:spacing w:val="-5"/>
                <w:sz w:val="16"/>
              </w:rPr>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1,593,215.73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6"/>
                <w:sz w:val="16"/>
              </w:rPr>
              <w:t>100.00%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
              <w:jc w:val="center"/>
              <w:rPr>
                <w:rFonts w:ascii="宋体" w:hAnsi="宋体" w:cs="宋体" w:eastAsia="宋体" w:hint="default"/>
                <w:sz w:val="16"/>
                <w:szCs w:val="16"/>
              </w:rPr>
            </w:pPr>
            <w:r>
              <w:rPr>
                <w:rFonts w:ascii="宋体" w:hAnsi="宋体" w:cs="宋体" w:eastAsia="宋体" w:hint="default"/>
                <w:spacing w:val="-13"/>
                <w:sz w:val="16"/>
                <w:szCs w:val="16"/>
              </w:rPr>
              <w:t>合计</w:t>
            </w:r>
            <w:r>
              <w:rPr>
                <w:rFonts w:ascii="宋体" w:hAnsi="宋体" w:cs="宋体" w:eastAsia="宋体" w:hint="default"/>
                <w:sz w:val="16"/>
                <w:szCs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w w:val="95"/>
                <w:sz w:val="16"/>
              </w:rPr>
              <w:t>384,466,932.57</w:t>
            </w:r>
            <w:r>
              <w:rPr>
                <w:rFonts w:ascii="Times New Roman"/>
                <w:spacing w:val="-6"/>
                <w:sz w:val="16"/>
              </w:rPr>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6"/>
                <w:szCs w:val="16"/>
              </w:rPr>
            </w:pPr>
            <w:r>
              <w:rPr>
                <w:rFonts w:ascii="Times New Roman"/>
                <w:spacing w:val="-6"/>
                <w:sz w:val="16"/>
              </w:rPr>
              <w:t>100.00%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6,727,288.90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6"/>
                <w:szCs w:val="16"/>
              </w:rPr>
            </w:pPr>
            <w:r>
              <w:rPr>
                <w:rFonts w:ascii="Times New Roman"/>
                <w:spacing w:val="-5"/>
                <w:w w:val="95"/>
                <w:sz w:val="16"/>
              </w:rPr>
              <w:t>1.75%</w:t>
            </w:r>
            <w:r>
              <w:rPr>
                <w:rFonts w:ascii="Times New Roman"/>
                <w:spacing w:val="-5"/>
                <w:sz w:val="16"/>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w w:val="95"/>
                <w:sz w:val="16"/>
              </w:rPr>
              <w:t>377,739,643.67</w:t>
            </w:r>
            <w:r>
              <w:rPr>
                <w:rFonts w:ascii="Times New Roman"/>
                <w:spacing w:val="-6"/>
                <w:sz w:val="16"/>
              </w:rPr>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6"/>
                <w:szCs w:val="16"/>
              </w:rPr>
            </w:pPr>
            <w:r>
              <w:rPr>
                <w:rFonts w:ascii="Times New Roman"/>
                <w:spacing w:val="-6"/>
                <w:sz w:val="16"/>
              </w:rPr>
              <w:t>357,556,682.98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100.00%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2,701,834.78</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6"/>
                <w:szCs w:val="16"/>
              </w:rPr>
            </w:pPr>
            <w:r>
              <w:rPr>
                <w:rFonts w:ascii="Times New Roman"/>
                <w:spacing w:val="-5"/>
                <w:sz w:val="16"/>
              </w:rPr>
              <w:t>0.76%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354,854,848.20</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期末单项金额重大并单项计提坏账准备的应收账款：</w:t>
      </w:r>
    </w:p>
    <w:p>
      <w:pPr>
        <w:spacing w:line="240" w:lineRule="auto" w:before="8"/>
        <w:rPr>
          <w:rFonts w:ascii="宋体" w:hAnsi="宋体" w:cs="宋体" w:eastAsia="宋体" w:hint="default"/>
          <w:sz w:val="21"/>
          <w:szCs w:val="21"/>
        </w:rPr>
      </w:pPr>
    </w:p>
    <w:p>
      <w:pPr>
        <w:pStyle w:val="BodyText"/>
        <w:spacing w:line="460"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组合中，按账龄分析法计提坏账准备的应收账款：</w:t>
      </w:r>
    </w:p>
    <w:p>
      <w:pPr>
        <w:pStyle w:val="BodyText"/>
        <w:spacing w:line="240" w:lineRule="auto" w:before="9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568"/>
        <w:gridCol w:w="2364"/>
        <w:gridCol w:w="2462"/>
        <w:gridCol w:w="2461"/>
      </w:tblGrid>
      <w:tr>
        <w:trPr>
          <w:trHeight w:val="407" w:hRule="exact"/>
        </w:trPr>
        <w:tc>
          <w:tcPr>
            <w:tcW w:w="2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568" w:type="dxa"/>
            <w:vMerge/>
            <w:tcBorders>
              <w:left w:val="single" w:sz="4" w:space="0" w:color="000000"/>
              <w:bottom w:val="single" w:sz="4" w:space="0" w:color="000000"/>
              <w:right w:val="single" w:sz="4" w:space="0" w:color="000000"/>
            </w:tcBorders>
            <w:shd w:val="clear" w:color="auto" w:fill="D2D2D2"/>
          </w:tcPr>
          <w:p>
            <w:pPr/>
          </w:p>
        </w:tc>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9"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32" w:right="0"/>
              <w:jc w:val="left"/>
              <w:rPr>
                <w:rFonts w:ascii="Times New Roman" w:hAnsi="Times New Roman" w:cs="Times New Roman" w:eastAsia="Times New Roman" w:hint="default"/>
                <w:sz w:val="18"/>
                <w:szCs w:val="18"/>
              </w:rPr>
            </w:pPr>
            <w:r>
              <w:rPr>
                <w:rFonts w:ascii="Times New Roman"/>
                <w:sz w:val="18"/>
              </w:rPr>
              <w:t>199,423,116.99</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03" w:right="0"/>
              <w:jc w:val="left"/>
              <w:rPr>
                <w:rFonts w:ascii="Times New Roman" w:hAnsi="Times New Roman" w:cs="Times New Roman" w:eastAsia="Times New Roman" w:hint="default"/>
                <w:sz w:val="18"/>
                <w:szCs w:val="18"/>
              </w:rPr>
            </w:pPr>
            <w:r>
              <w:rPr>
                <w:rFonts w:ascii="Times New Roman"/>
                <w:sz w:val="18"/>
              </w:rPr>
              <w:t>1,994,231.17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568"/>
        <w:gridCol w:w="2364"/>
        <w:gridCol w:w="2462"/>
        <w:gridCol w:w="2461"/>
      </w:tblGrid>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199,423,116.99</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1,994,231.17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23,147,104.03</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2,314,710.40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2,278,926.85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455,785.37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644,192.46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322,096.23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47,250.00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47,250.00</w:t>
            </w:r>
          </w:p>
        </w:tc>
        <w:tc>
          <w:tcPr>
            <w:tcW w:w="24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487" w:lineRule="auto" w:before="35"/>
        <w:ind w:right="5292"/>
        <w:jc w:val="left"/>
      </w:pPr>
      <w:r>
        <w:rPr/>
        <w:t>确定该组合依据的说明： 账龄组合，按账龄分析法计提坏账准备。 组合中，采用余额百分比法计提坏账准备的应收账款：</w:t>
      </w:r>
    </w:p>
    <w:p>
      <w:pPr>
        <w:pStyle w:val="BodyText"/>
        <w:spacing w:line="460" w:lineRule="auto" w:before="6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组合中，采用其他方法计提坏账准备的应收账款：</w:t>
      </w:r>
    </w:p>
    <w:p>
      <w:pPr>
        <w:spacing w:line="240" w:lineRule="auto" w:before="11"/>
        <w:rPr>
          <w:rFonts w:ascii="宋体" w:hAnsi="宋体" w:cs="宋体" w:eastAsia="宋体" w:hint="default"/>
          <w:sz w:val="10"/>
          <w:szCs w:val="10"/>
        </w:rPr>
      </w:pPr>
    </w:p>
    <w:tbl>
      <w:tblPr>
        <w:tblW w:w="0" w:type="auto"/>
        <w:jc w:val="left"/>
        <w:tblInd w:w="1021" w:type="dxa"/>
        <w:tblLayout w:type="fixed"/>
        <w:tblCellMar>
          <w:top w:w="0" w:type="dxa"/>
          <w:left w:w="0" w:type="dxa"/>
          <w:bottom w:w="0" w:type="dxa"/>
          <w:right w:w="0" w:type="dxa"/>
        </w:tblCellMar>
        <w:tblLook w:val="01E0"/>
      </w:tblPr>
      <w:tblGrid>
        <w:gridCol w:w="2980"/>
        <w:gridCol w:w="1654"/>
        <w:gridCol w:w="902"/>
        <w:gridCol w:w="1354"/>
        <w:gridCol w:w="1354"/>
        <w:gridCol w:w="1612"/>
      </w:tblGrid>
      <w:tr>
        <w:trPr>
          <w:trHeight w:val="412" w:hRule="exact"/>
        </w:trPr>
        <w:tc>
          <w:tcPr>
            <w:tcW w:w="298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876"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11" w:hRule="exact"/>
        </w:trPr>
        <w:tc>
          <w:tcPr>
            <w:tcW w:w="2980" w:type="dxa"/>
            <w:vMerge/>
            <w:tcBorders>
              <w:left w:val="single" w:sz="4" w:space="0" w:color="000000"/>
              <w:bottom w:val="single" w:sz="4" w:space="0" w:color="000000"/>
              <w:right w:val="single" w:sz="4" w:space="0" w:color="000000"/>
            </w:tcBorders>
            <w:shd w:val="clear" w:color="auto" w:fill="D9D9D9"/>
          </w:tcPr>
          <w:p>
            <w:pPr/>
          </w:p>
        </w:tc>
        <w:tc>
          <w:tcPr>
            <w:tcW w:w="16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1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3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2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6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42"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65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382,873,716.84</w:t>
            </w:r>
          </w:p>
        </w:tc>
        <w:tc>
          <w:tcPr>
            <w:tcW w:w="90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99.59</w:t>
            </w:r>
          </w:p>
        </w:tc>
        <w:tc>
          <w:tcPr>
            <w:tcW w:w="135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5,134,073.17</w:t>
            </w:r>
          </w:p>
        </w:tc>
        <w:tc>
          <w:tcPr>
            <w:tcW w:w="1354"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1.34</w:t>
            </w:r>
          </w:p>
        </w:tc>
        <w:tc>
          <w:tcPr>
            <w:tcW w:w="1612"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377,739,643.67</w:t>
            </w:r>
          </w:p>
        </w:tc>
      </w:tr>
      <w:tr>
        <w:trPr>
          <w:trHeight w:val="42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225,540,590.33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58.67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5,134,073.17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2.28</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220,406,517.16</w:t>
            </w:r>
          </w:p>
        </w:tc>
      </w:tr>
      <w:tr>
        <w:trPr>
          <w:trHeight w:val="428"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93"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157,333,126.51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40.92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157,333,126.51</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对关联方应收账款余额，不计提坏账准备。</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452"/>
      <w:bookmarkEnd w:id="45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0"/>
          <w:szCs w:val="20"/>
        </w:rPr>
      </w:pPr>
    </w:p>
    <w:p>
      <w:pPr>
        <w:pStyle w:val="BodyText"/>
        <w:spacing w:line="460" w:lineRule="auto"/>
        <w:ind w:left="1553" w:right="2987"/>
        <w:jc w:val="left"/>
      </w:pPr>
      <w:r>
        <w:rPr/>
        <w:t>本期计提坏账准备金额</w:t>
      </w:r>
      <w:r>
        <w:rPr>
          <w:spacing w:val="-53"/>
        </w:rPr>
        <w:t> </w:t>
      </w:r>
      <w:r>
        <w:rPr>
          <w:rFonts w:ascii="Times New Roman" w:hAnsi="Times New Roman" w:cs="Times New Roman" w:eastAsia="Times New Roman" w:hint="default"/>
        </w:rPr>
        <w:t>4,025,454.12</w:t>
      </w:r>
      <w:r>
        <w:rPr>
          <w:rFonts w:ascii="Times New Roman" w:hAnsi="Times New Roman" w:cs="Times New Roman" w:eastAsia="Times New Roman" w:hint="default"/>
          <w:spacing w:val="-2"/>
        </w:rPr>
        <w:t> </w:t>
      </w:r>
      <w:r>
        <w:rPr/>
        <w:t>元；本期收回或转回坏账准备金额</w:t>
      </w:r>
      <w:r>
        <w:rPr>
          <w:spacing w:val="-54"/>
        </w:rPr>
        <w:t> </w:t>
      </w:r>
      <w:r>
        <w:rPr>
          <w:rFonts w:ascii="Times New Roman" w:hAnsi="Times New Roman" w:cs="Times New Roman" w:eastAsia="Times New Roman" w:hint="default"/>
        </w:rPr>
        <w:t>0.00 </w:t>
      </w:r>
      <w:r>
        <w:rPr/>
        <w:t>元。 其中本期坏账准备收回或转回金额重要的：</w:t>
      </w:r>
    </w:p>
    <w:p>
      <w:pPr>
        <w:spacing w:before="95"/>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3468"/>
        <w:gridCol w:w="3194"/>
        <w:gridCol w:w="3193"/>
      </w:tblGrid>
      <w:tr>
        <w:trPr>
          <w:trHeight w:val="397" w:hRule="exact"/>
        </w:trPr>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
        <w:rPr>
          <w:rFonts w:ascii="宋体" w:hAnsi="宋体" w:cs="宋体" w:eastAsia="宋体" w:hint="default"/>
          <w:sz w:val="12"/>
          <w:szCs w:val="12"/>
        </w:rPr>
      </w:pPr>
    </w:p>
    <w:p>
      <w:pPr>
        <w:pStyle w:val="Heading4"/>
        <w:spacing w:line="240" w:lineRule="auto" w:before="35"/>
        <w:ind w:right="0"/>
        <w:jc w:val="left"/>
        <w:rPr>
          <w:b w:val="0"/>
          <w:bCs w:val="0"/>
        </w:rPr>
      </w:pPr>
      <w:bookmarkStart w:name="（3）本期实际核销的应收账款情况" w:id="453"/>
      <w:bookmarkEnd w:id="45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5133"/>
        <w:gridCol w:w="4722"/>
      </w:tblGrid>
      <w:tr>
        <w:trPr>
          <w:trHeight w:val="404"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6"/>
        <w:rPr>
          <w:rFonts w:ascii="宋体" w:hAnsi="宋体" w:cs="宋体" w:eastAsia="宋体" w:hint="default"/>
          <w:sz w:val="11"/>
          <w:szCs w:val="11"/>
        </w:rPr>
      </w:pPr>
    </w:p>
    <w:p>
      <w:pPr>
        <w:pStyle w:val="BodyText"/>
        <w:spacing w:line="240" w:lineRule="auto" w:before="35"/>
        <w:ind w:right="0"/>
        <w:jc w:val="left"/>
      </w:pPr>
      <w:r>
        <w:rPr/>
        <w:t>其中重要的应收账款核销情况：</w:t>
      </w:r>
    </w:p>
    <w:p>
      <w:pPr>
        <w:spacing w:line="240" w:lineRule="auto" w:before="9"/>
        <w:rPr>
          <w:rFonts w:ascii="宋体" w:hAnsi="宋体" w:cs="宋体" w:eastAsia="宋体" w:hint="default"/>
          <w:sz w:val="18"/>
          <w:szCs w:val="18"/>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736"/>
        <w:gridCol w:w="1597"/>
        <w:gridCol w:w="1598"/>
        <w:gridCol w:w="1598"/>
        <w:gridCol w:w="1664"/>
        <w:gridCol w:w="1663"/>
      </w:tblGrid>
      <w:tr>
        <w:trPr>
          <w:trHeight w:val="601"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5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25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196"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556" w:right="10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232" w:lineRule="exact"/>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r>
        <w:rPr/>
        <w:t>应收账款核销说明：</w:t>
      </w:r>
    </w:p>
    <w:p>
      <w:pPr>
        <w:spacing w:line="560" w:lineRule="atLeast" w:before="14"/>
        <w:ind w:left="1554" w:right="1116" w:firstLine="2"/>
        <w:jc w:val="left"/>
        <w:rPr>
          <w:rFonts w:ascii="宋体" w:hAnsi="宋体" w:cs="宋体" w:eastAsia="宋体" w:hint="default"/>
          <w:sz w:val="21"/>
          <w:szCs w:val="21"/>
        </w:rPr>
      </w:pPr>
      <w:bookmarkStart w:name="（4）按欠款方归集的期末余额前五名的应收账款情况" w:id="454"/>
      <w:bookmarkEnd w:id="4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本期按欠款方归集的期末余额前五名应收账款汇总金额 </w:t>
      </w:r>
      <w:r>
        <w:rPr>
          <w:rFonts w:ascii="Times New Roman" w:hAnsi="Times New Roman" w:cs="Times New Roman" w:eastAsia="Times New Roman" w:hint="default"/>
          <w:sz w:val="21"/>
          <w:szCs w:val="21"/>
        </w:rPr>
        <w:t>216,577,570.16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元，占应收账款期末余额合计</w:t>
      </w:r>
    </w:p>
    <w:p>
      <w:pPr>
        <w:pStyle w:val="BodyText"/>
        <w:spacing w:line="240" w:lineRule="auto" w:before="49"/>
        <w:ind w:left="1133" w:right="0"/>
        <w:jc w:val="left"/>
      </w:pPr>
      <w:r>
        <w:rPr/>
        <w:t>数的比例</w:t>
      </w:r>
      <w:r>
        <w:rPr>
          <w:spacing w:val="-53"/>
        </w:rPr>
        <w:t> </w:t>
      </w:r>
      <w:r>
        <w:rPr>
          <w:rFonts w:ascii="Times New Roman" w:hAnsi="Times New Roman" w:cs="Times New Roman" w:eastAsia="Times New Roman" w:hint="default"/>
        </w:rPr>
        <w:t>56.33%</w:t>
      </w:r>
      <w:r>
        <w:rPr/>
        <w:t>，相应计提的坏账准备期末余额汇总金额</w:t>
      </w:r>
      <w:r>
        <w:rPr>
          <w:spacing w:val="-53"/>
        </w:rPr>
        <w:t> </w:t>
      </w:r>
      <w:r>
        <w:rPr>
          <w:rFonts w:ascii="Times New Roman" w:hAnsi="Times New Roman" w:cs="Times New Roman" w:eastAsia="Times New Roman" w:hint="default"/>
        </w:rPr>
        <w:t>913,264.80</w:t>
      </w:r>
      <w:r>
        <w:rPr>
          <w:rFonts w:ascii="Times New Roman" w:hAnsi="Times New Roman" w:cs="Times New Roman" w:eastAsia="Times New Roman" w:hint="default"/>
          <w:spacing w:val="-11"/>
        </w:rPr>
        <w:t> </w:t>
      </w:r>
      <w:r>
        <w:rPr/>
        <w:t>元。</w:t>
      </w:r>
    </w:p>
    <w:p>
      <w:pPr>
        <w:spacing w:line="240" w:lineRule="auto" w:before="7"/>
        <w:rPr>
          <w:rFonts w:ascii="宋体" w:hAnsi="宋体" w:cs="宋体" w:eastAsia="宋体" w:hint="default"/>
          <w:sz w:val="20"/>
          <w:szCs w:val="20"/>
        </w:rPr>
      </w:pPr>
    </w:p>
    <w:p>
      <w:pPr>
        <w:pStyle w:val="Heading4"/>
        <w:spacing w:line="460" w:lineRule="auto"/>
        <w:ind w:left="1554" w:right="6219" w:firstLine="2"/>
        <w:jc w:val="left"/>
        <w:rPr>
          <w:rFonts w:ascii="宋体" w:hAnsi="宋体" w:cs="宋体" w:eastAsia="宋体" w:hint="default"/>
          <w:b w:val="0"/>
          <w:bCs w:val="0"/>
        </w:rPr>
      </w:pPr>
      <w:bookmarkStart w:name="（5）因金融资产转移而终止确认的应收账款" w:id="455"/>
      <w:bookmarkEnd w:id="455"/>
      <w:r>
        <w:rPr>
          <w:b w:val="0"/>
          <w:bCs w:val="0"/>
        </w:rPr>
      </w:r>
      <w:r>
        <w:rPr/>
        <w:t>（</w:t>
      </w:r>
      <w:r>
        <w:rPr>
          <w:rFonts w:ascii="Times New Roman" w:hAnsi="Times New Roman" w:cs="Times New Roman" w:eastAsia="Times New Roman" w:hint="default"/>
        </w:rPr>
        <w:t>5</w:t>
      </w:r>
      <w:r>
        <w:rPr/>
        <w:t>）因金融资产转移而终止确认的应收账款</w:t>
      </w:r>
      <w:r>
        <w:rPr>
          <w:w w:val="99"/>
        </w:rPr>
        <w:t> </w:t>
      </w:r>
      <w:r>
        <w:rPr>
          <w:rFonts w:ascii="宋体" w:hAnsi="宋体" w:cs="宋体" w:eastAsia="宋体" w:hint="default"/>
          <w:b w:val="0"/>
          <w:bCs w:val="0"/>
        </w:rPr>
        <w:t>无。</w:t>
      </w:r>
    </w:p>
    <w:p>
      <w:pPr>
        <w:pStyle w:val="Heading4"/>
        <w:spacing w:line="460" w:lineRule="auto" w:before="90"/>
        <w:ind w:left="1554" w:right="5292" w:firstLine="2"/>
        <w:jc w:val="left"/>
        <w:rPr>
          <w:rFonts w:ascii="宋体" w:hAnsi="宋体" w:cs="宋体" w:eastAsia="宋体" w:hint="default"/>
          <w:b w:val="0"/>
          <w:bCs w:val="0"/>
        </w:rPr>
      </w:pPr>
      <w:bookmarkStart w:name="（6）转移应收账款且继续涉入形成的资产、负债金额" w:id="456"/>
      <w:bookmarkEnd w:id="456"/>
      <w:r>
        <w:rPr>
          <w:b w:val="0"/>
          <w:bCs w:val="0"/>
        </w:rPr>
      </w:r>
      <w:r>
        <w:rPr>
          <w:w w:val="95"/>
        </w:rPr>
        <w:t>（</w:t>
      </w:r>
      <w:r>
        <w:rPr>
          <w:rFonts w:ascii="Times New Roman" w:hAnsi="Times New Roman" w:cs="Times New Roman" w:eastAsia="Times New Roman" w:hint="default"/>
          <w:w w:val="95"/>
        </w:rPr>
        <w:t>6</w:t>
      </w:r>
      <w:r>
        <w:rPr>
          <w:w w:val="95"/>
        </w:rPr>
        <w:t>）转移应收账款且继续涉入形成的资产、负债金额</w:t>
      </w:r>
      <w:r>
        <w:rPr>
          <w:spacing w:val="39"/>
          <w:w w:val="95"/>
        </w:rPr>
        <w:t> </w:t>
      </w:r>
      <w:r>
        <w:rPr>
          <w:spacing w:val="39"/>
          <w:w w:val="95"/>
        </w:rPr>
      </w:r>
      <w:r>
        <w:rPr>
          <w:rFonts w:ascii="宋体" w:hAnsi="宋体" w:cs="宋体" w:eastAsia="宋体" w:hint="default"/>
          <w:b w:val="0"/>
          <w:bCs w:val="0"/>
        </w:rPr>
        <w:t>无。</w:t>
      </w:r>
    </w:p>
    <w:p>
      <w:pPr>
        <w:pStyle w:val="BodyText"/>
        <w:spacing w:line="240" w:lineRule="auto" w:before="82"/>
        <w:ind w:right="0"/>
        <w:jc w:val="left"/>
        <w:rPr>
          <w:rFonts w:ascii="微软雅黑" w:hAnsi="微软雅黑" w:cs="微软雅黑" w:eastAsia="微软雅黑" w:hint="default"/>
        </w:rPr>
      </w:pPr>
      <w:bookmarkStart w:name="2、其他应收款" w:id="457"/>
      <w:bookmarkEnd w:id="457"/>
      <w:r>
        <w:rPr/>
      </w:r>
      <w:r>
        <w:rPr>
          <w:rFonts w:ascii="Times New Roman" w:hAnsi="Times New Roman" w:cs="Times New Roman" w:eastAsia="Times New Roman" w:hint="default"/>
        </w:rPr>
        <w:t>2</w:t>
      </w:r>
      <w:r>
        <w:rPr>
          <w:rFonts w:ascii="微软雅黑" w:hAnsi="微软雅黑" w:cs="微软雅黑" w:eastAsia="微软雅黑" w:hint="default"/>
        </w:rPr>
        <w:t>、其他应收款</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其他应收款分类披露" w:id="458"/>
      <w:bookmarkEnd w:id="45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宋体" w:hAnsi="宋体" w:cs="宋体" w:eastAsia="宋体" w:hint="default"/>
          <w:b/>
          <w:bCs/>
          <w:sz w:val="20"/>
          <w:szCs w:val="20"/>
        </w:rPr>
      </w:pPr>
    </w:p>
    <w:p>
      <w:pPr>
        <w:spacing w:before="0"/>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8"/>
          <w:szCs w:val="8"/>
        </w:rPr>
      </w:pPr>
    </w:p>
    <w:tbl>
      <w:tblPr>
        <w:tblW w:w="0" w:type="auto"/>
        <w:jc w:val="left"/>
        <w:tblInd w:w="1071" w:type="dxa"/>
        <w:tblLayout w:type="fixed"/>
        <w:tblCellMar>
          <w:top w:w="0" w:type="dxa"/>
          <w:left w:w="0" w:type="dxa"/>
          <w:bottom w:w="0" w:type="dxa"/>
          <w:right w:w="0" w:type="dxa"/>
        </w:tblCellMar>
        <w:tblLook w:val="01E0"/>
      </w:tblPr>
      <w:tblGrid>
        <w:gridCol w:w="1578"/>
        <w:gridCol w:w="955"/>
        <w:gridCol w:w="688"/>
        <w:gridCol w:w="774"/>
        <w:gridCol w:w="602"/>
        <w:gridCol w:w="955"/>
        <w:gridCol w:w="956"/>
        <w:gridCol w:w="687"/>
        <w:gridCol w:w="774"/>
        <w:gridCol w:w="828"/>
        <w:gridCol w:w="955"/>
      </w:tblGrid>
      <w:tr>
        <w:trPr>
          <w:trHeight w:val="391"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41"/>
              <w:ind w:right="0"/>
              <w:jc w:val="center"/>
              <w:rPr>
                <w:rFonts w:ascii="宋体" w:hAnsi="宋体" w:cs="宋体" w:eastAsia="宋体" w:hint="default"/>
                <w:sz w:val="16"/>
                <w:szCs w:val="16"/>
              </w:rPr>
            </w:pPr>
            <w:r>
              <w:rPr>
                <w:rFonts w:ascii="宋体" w:hAnsi="宋体" w:cs="宋体" w:eastAsia="宋体" w:hint="default"/>
                <w:spacing w:val="-13"/>
                <w:sz w:val="16"/>
                <w:szCs w:val="16"/>
              </w:rPr>
              <w:t>类别</w:t>
            </w:r>
            <w:r>
              <w:rPr>
                <w:rFonts w:ascii="宋体" w:hAnsi="宋体" w:cs="宋体" w:eastAsia="宋体" w:hint="default"/>
                <w:sz w:val="16"/>
                <w:szCs w:val="16"/>
              </w:rPr>
            </w:r>
          </w:p>
        </w:tc>
        <w:tc>
          <w:tcPr>
            <w:tcW w:w="39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pacing w:val="-13"/>
                <w:sz w:val="16"/>
                <w:szCs w:val="16"/>
              </w:rPr>
              <w:t>期末余额</w:t>
            </w:r>
            <w:r>
              <w:rPr>
                <w:rFonts w:ascii="宋体" w:hAnsi="宋体" w:cs="宋体" w:eastAsia="宋体" w:hint="default"/>
                <w:sz w:val="16"/>
                <w:szCs w:val="16"/>
              </w:rPr>
            </w:r>
          </w:p>
        </w:tc>
        <w:tc>
          <w:tcPr>
            <w:tcW w:w="420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6"/>
                <w:szCs w:val="16"/>
              </w:rPr>
            </w:pPr>
            <w:r>
              <w:rPr>
                <w:rFonts w:ascii="宋体" w:hAnsi="宋体" w:cs="宋体" w:eastAsia="宋体" w:hint="default"/>
                <w:spacing w:val="-13"/>
                <w:sz w:val="16"/>
                <w:szCs w:val="16"/>
              </w:rPr>
              <w:t>期初余额</w:t>
            </w:r>
            <w:r>
              <w:rPr>
                <w:rFonts w:ascii="宋体" w:hAnsi="宋体" w:cs="宋体" w:eastAsia="宋体" w:hint="default"/>
                <w:sz w:val="16"/>
                <w:szCs w:val="16"/>
              </w:rPr>
            </w:r>
          </w:p>
        </w:tc>
      </w:tr>
      <w:tr>
        <w:trPr>
          <w:trHeight w:val="391" w:hRule="exact"/>
        </w:trPr>
        <w:tc>
          <w:tcPr>
            <w:tcW w:w="1578" w:type="dxa"/>
            <w:vMerge/>
            <w:tcBorders>
              <w:left w:val="single" w:sz="4" w:space="0" w:color="000000"/>
              <w:right w:val="single" w:sz="4" w:space="0" w:color="000000"/>
            </w:tcBorders>
            <w:shd w:val="clear" w:color="auto" w:fill="D2D2D2"/>
          </w:tcPr>
          <w:p>
            <w:pPr/>
          </w:p>
        </w:tc>
        <w:tc>
          <w:tcPr>
            <w:tcW w:w="1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19" w:right="0"/>
              <w:jc w:val="left"/>
              <w:rPr>
                <w:rFonts w:ascii="宋体" w:hAnsi="宋体" w:cs="宋体" w:eastAsia="宋体" w:hint="default"/>
                <w:sz w:val="16"/>
                <w:szCs w:val="16"/>
              </w:rPr>
            </w:pPr>
            <w:r>
              <w:rPr>
                <w:rFonts w:ascii="宋体" w:hAnsi="宋体" w:cs="宋体" w:eastAsia="宋体" w:hint="default"/>
                <w:spacing w:val="-13"/>
                <w:sz w:val="16"/>
                <w:szCs w:val="16"/>
              </w:rPr>
              <w:t>账面余额</w:t>
            </w:r>
            <w:r>
              <w:rPr>
                <w:rFonts w:ascii="宋体" w:hAnsi="宋体" w:cs="宋体" w:eastAsia="宋体" w:hint="default"/>
                <w:sz w:val="16"/>
                <w:szCs w:val="16"/>
              </w:rPr>
            </w:r>
          </w:p>
        </w:tc>
        <w:tc>
          <w:tcPr>
            <w:tcW w:w="13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386" w:right="0"/>
              <w:jc w:val="left"/>
              <w:rPr>
                <w:rFonts w:ascii="宋体" w:hAnsi="宋体" w:cs="宋体" w:eastAsia="宋体" w:hint="default"/>
                <w:sz w:val="16"/>
                <w:szCs w:val="16"/>
              </w:rPr>
            </w:pPr>
            <w:r>
              <w:rPr>
                <w:rFonts w:ascii="宋体" w:hAnsi="宋体" w:cs="宋体" w:eastAsia="宋体" w:hint="default"/>
                <w:spacing w:val="-13"/>
                <w:sz w:val="16"/>
                <w:szCs w:val="16"/>
              </w:rPr>
              <w:t>坏账准备</w:t>
            </w:r>
            <w:r>
              <w:rPr>
                <w:rFonts w:ascii="宋体" w:hAnsi="宋体" w:cs="宋体" w:eastAsia="宋体" w:hint="default"/>
                <w:sz w:val="16"/>
                <w:szCs w:val="16"/>
              </w:rPr>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6"/>
                <w:szCs w:val="16"/>
              </w:rPr>
            </w:pPr>
            <w:r>
              <w:rPr>
                <w:rFonts w:ascii="宋体" w:hAnsi="宋体" w:cs="宋体" w:eastAsia="宋体" w:hint="default"/>
                <w:spacing w:val="-13"/>
                <w:sz w:val="16"/>
                <w:szCs w:val="16"/>
              </w:rPr>
              <w:t>账面价值</w:t>
            </w:r>
            <w:r>
              <w:rPr>
                <w:rFonts w:ascii="宋体" w:hAnsi="宋体" w:cs="宋体" w:eastAsia="宋体" w:hint="default"/>
                <w:sz w:val="16"/>
                <w:szCs w:val="16"/>
              </w:rPr>
            </w:r>
          </w:p>
        </w:tc>
        <w:tc>
          <w:tcPr>
            <w:tcW w:w="1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20" w:right="0"/>
              <w:jc w:val="left"/>
              <w:rPr>
                <w:rFonts w:ascii="宋体" w:hAnsi="宋体" w:cs="宋体" w:eastAsia="宋体" w:hint="default"/>
                <w:sz w:val="16"/>
                <w:szCs w:val="16"/>
              </w:rPr>
            </w:pPr>
            <w:r>
              <w:rPr>
                <w:rFonts w:ascii="宋体" w:hAnsi="宋体" w:cs="宋体" w:eastAsia="宋体" w:hint="default"/>
                <w:spacing w:val="-13"/>
                <w:sz w:val="16"/>
                <w:szCs w:val="16"/>
              </w:rPr>
              <w:t>账面余额</w:t>
            </w:r>
            <w:r>
              <w:rPr>
                <w:rFonts w:ascii="宋体" w:hAnsi="宋体" w:cs="宋体" w:eastAsia="宋体" w:hint="default"/>
                <w:sz w:val="16"/>
                <w:szCs w:val="16"/>
              </w:rPr>
            </w:r>
          </w:p>
        </w:tc>
        <w:tc>
          <w:tcPr>
            <w:tcW w:w="16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00" w:right="0"/>
              <w:jc w:val="left"/>
              <w:rPr>
                <w:rFonts w:ascii="宋体" w:hAnsi="宋体" w:cs="宋体" w:eastAsia="宋体" w:hint="default"/>
                <w:sz w:val="16"/>
                <w:szCs w:val="16"/>
              </w:rPr>
            </w:pPr>
            <w:r>
              <w:rPr>
                <w:rFonts w:ascii="宋体" w:hAnsi="宋体" w:cs="宋体" w:eastAsia="宋体" w:hint="default"/>
                <w:spacing w:val="-13"/>
                <w:sz w:val="16"/>
                <w:szCs w:val="16"/>
              </w:rPr>
              <w:t>坏账准备</w:t>
            </w:r>
            <w:r>
              <w:rPr>
                <w:rFonts w:ascii="宋体" w:hAnsi="宋体" w:cs="宋体" w:eastAsia="宋体" w:hint="default"/>
                <w:sz w:val="16"/>
                <w:szCs w:val="16"/>
              </w:rPr>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6" w:right="0"/>
              <w:jc w:val="left"/>
              <w:rPr>
                <w:rFonts w:ascii="宋体" w:hAnsi="宋体" w:cs="宋体" w:eastAsia="宋体" w:hint="default"/>
                <w:sz w:val="16"/>
                <w:szCs w:val="16"/>
              </w:rPr>
            </w:pPr>
            <w:r>
              <w:rPr>
                <w:rFonts w:ascii="宋体" w:hAnsi="宋体" w:cs="宋体" w:eastAsia="宋体" w:hint="default"/>
                <w:spacing w:val="-13"/>
                <w:sz w:val="16"/>
                <w:szCs w:val="16"/>
              </w:rPr>
              <w:t>账面价值</w:t>
            </w:r>
            <w:r>
              <w:rPr>
                <w:rFonts w:ascii="宋体" w:hAnsi="宋体" w:cs="宋体" w:eastAsia="宋体" w:hint="default"/>
                <w:sz w:val="16"/>
                <w:szCs w:val="16"/>
              </w:rPr>
            </w:r>
          </w:p>
        </w:tc>
      </w:tr>
      <w:tr>
        <w:trPr>
          <w:trHeight w:val="627"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比例</w:t>
            </w:r>
            <w:r>
              <w:rPr>
                <w:rFonts w:ascii="宋体" w:hAnsi="宋体" w:cs="宋体" w:eastAsia="宋体" w:hint="default"/>
                <w:sz w:val="16"/>
                <w:szCs w:val="16"/>
              </w:rPr>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7" w:right="149"/>
              <w:jc w:val="left"/>
              <w:rPr>
                <w:rFonts w:ascii="宋体" w:hAnsi="宋体" w:cs="宋体" w:eastAsia="宋体" w:hint="default"/>
                <w:sz w:val="16"/>
                <w:szCs w:val="16"/>
              </w:rPr>
            </w:pPr>
            <w:r>
              <w:rPr>
                <w:rFonts w:ascii="宋体" w:hAnsi="宋体" w:cs="宋体" w:eastAsia="宋体" w:hint="default"/>
                <w:spacing w:val="-13"/>
                <w:sz w:val="16"/>
                <w:szCs w:val="16"/>
              </w:rPr>
              <w:t>计提</w:t>
            </w:r>
            <w:r>
              <w:rPr>
                <w:rFonts w:ascii="宋体" w:hAnsi="宋体" w:cs="宋体" w:eastAsia="宋体" w:hint="default"/>
                <w:spacing w:val="-12"/>
                <w:w w:val="99"/>
                <w:sz w:val="16"/>
                <w:szCs w:val="16"/>
              </w:rPr>
              <w:t> </w:t>
            </w:r>
            <w:r>
              <w:rPr>
                <w:rFonts w:ascii="宋体" w:hAnsi="宋体" w:cs="宋体" w:eastAsia="宋体" w:hint="default"/>
                <w:spacing w:val="-13"/>
                <w:sz w:val="16"/>
                <w:szCs w:val="16"/>
              </w:rPr>
              <w:t>比例</w:t>
            </w:r>
            <w:r>
              <w:rPr>
                <w:rFonts w:ascii="宋体" w:hAnsi="宋体" w:cs="宋体" w:eastAsia="宋体" w:hint="default"/>
                <w:sz w:val="16"/>
                <w:szCs w:val="16"/>
              </w:rPr>
            </w:r>
          </w:p>
        </w:tc>
        <w:tc>
          <w:tcPr>
            <w:tcW w:w="955"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pacing w:val="-13"/>
                <w:sz w:val="16"/>
                <w:szCs w:val="16"/>
              </w:rPr>
              <w:t>比例</w:t>
            </w:r>
            <w:r>
              <w:rPr>
                <w:rFonts w:ascii="宋体" w:hAnsi="宋体" w:cs="宋体" w:eastAsia="宋体" w:hint="default"/>
                <w:sz w:val="16"/>
                <w:szCs w:val="16"/>
              </w:rPr>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spacing w:val="-13"/>
                <w:sz w:val="16"/>
                <w:szCs w:val="16"/>
              </w:rPr>
              <w:t>金额</w:t>
            </w:r>
            <w:r>
              <w:rPr>
                <w:rFonts w:ascii="宋体" w:hAnsi="宋体" w:cs="宋体" w:eastAsia="宋体" w:hint="default"/>
                <w:sz w:val="16"/>
                <w:szCs w:val="16"/>
              </w:rPr>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6"/>
                <w:szCs w:val="16"/>
              </w:rPr>
            </w:pPr>
            <w:r>
              <w:rPr>
                <w:rFonts w:ascii="宋体" w:hAnsi="宋体" w:cs="宋体" w:eastAsia="宋体" w:hint="default"/>
                <w:spacing w:val="-13"/>
                <w:sz w:val="16"/>
                <w:szCs w:val="16"/>
              </w:rPr>
              <w:t>计提比例</w:t>
            </w:r>
            <w:r>
              <w:rPr>
                <w:rFonts w:ascii="宋体" w:hAnsi="宋体" w:cs="宋体" w:eastAsia="宋体" w:hint="default"/>
                <w:sz w:val="16"/>
                <w:szCs w:val="16"/>
              </w:rPr>
            </w:r>
          </w:p>
        </w:tc>
        <w:tc>
          <w:tcPr>
            <w:tcW w:w="955" w:type="dxa"/>
            <w:vMerge/>
            <w:tcBorders>
              <w:left w:val="single" w:sz="4" w:space="0" w:color="000000"/>
              <w:bottom w:val="single" w:sz="4" w:space="0" w:color="000000"/>
              <w:right w:val="single" w:sz="4" w:space="0" w:color="000000"/>
            </w:tcBorders>
            <w:shd w:val="clear" w:color="auto" w:fill="D2D2D2"/>
          </w:tcPr>
          <w:p>
            <w:pPr/>
          </w:p>
        </w:tc>
      </w:tr>
      <w:tr>
        <w:trPr>
          <w:trHeight w:val="757" w:hRule="exact"/>
        </w:trPr>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8"/>
              <w:ind w:left="52" w:right="170"/>
              <w:jc w:val="both"/>
              <w:rPr>
                <w:rFonts w:ascii="宋体" w:hAnsi="宋体" w:cs="宋体" w:eastAsia="宋体" w:hint="default"/>
                <w:sz w:val="16"/>
                <w:szCs w:val="16"/>
              </w:rPr>
            </w:pPr>
            <w:r>
              <w:rPr>
                <w:rFonts w:ascii="宋体" w:hAnsi="宋体" w:cs="宋体" w:eastAsia="宋体" w:hint="default"/>
                <w:spacing w:val="-12"/>
                <w:sz w:val="16"/>
                <w:szCs w:val="16"/>
              </w:rPr>
              <w:t>按信用风险特征组合</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12"/>
                <w:sz w:val="16"/>
                <w:szCs w:val="16"/>
              </w:rPr>
              <w:t>计提坏账准备的其他</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pacing w:val="-13"/>
                <w:sz w:val="16"/>
                <w:szCs w:val="16"/>
              </w:rPr>
              <w:t>应收款</w:t>
            </w:r>
            <w:r>
              <w:rPr>
                <w:rFonts w:ascii="宋体" w:hAnsi="宋体" w:cs="宋体" w:eastAsia="宋体" w:hint="default"/>
                <w:sz w:val="16"/>
                <w:szCs w:val="16"/>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 w:right="0"/>
              <w:jc w:val="center"/>
              <w:rPr>
                <w:rFonts w:ascii="Times New Roman" w:hAnsi="Times New Roman" w:cs="Times New Roman" w:eastAsia="Times New Roman" w:hint="default"/>
                <w:sz w:val="16"/>
                <w:szCs w:val="16"/>
              </w:rPr>
            </w:pPr>
            <w:r>
              <w:rPr>
                <w:rFonts w:ascii="Times New Roman"/>
                <w:spacing w:val="-6"/>
                <w:sz w:val="16"/>
              </w:rPr>
              <w:t>36,377,983.78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7" w:right="0"/>
              <w:jc w:val="center"/>
              <w:rPr>
                <w:rFonts w:ascii="Times New Roman" w:hAnsi="Times New Roman" w:cs="Times New Roman" w:eastAsia="Times New Roman" w:hint="default"/>
                <w:sz w:val="16"/>
                <w:szCs w:val="16"/>
              </w:rPr>
            </w:pPr>
            <w:r>
              <w:rPr>
                <w:rFonts w:ascii="Times New Roman"/>
                <w:spacing w:val="-6"/>
                <w:sz w:val="16"/>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 w:right="0"/>
              <w:jc w:val="center"/>
              <w:rPr>
                <w:rFonts w:ascii="Times New Roman" w:hAnsi="Times New Roman" w:cs="Times New Roman" w:eastAsia="Times New Roman" w:hint="default"/>
                <w:sz w:val="16"/>
                <w:szCs w:val="16"/>
              </w:rPr>
            </w:pPr>
            <w:r>
              <w:rPr>
                <w:rFonts w:ascii="Times New Roman"/>
                <w:spacing w:val="-6"/>
                <w:sz w:val="16"/>
              </w:rPr>
              <w:t>520,593.33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5"/>
                <w:w w:val="95"/>
                <w:sz w:val="16"/>
              </w:rPr>
              <w:t>1.43%</w:t>
            </w:r>
            <w:r>
              <w:rPr>
                <w:rFonts w:ascii="Times New Roman"/>
                <w:spacing w:val="-5"/>
                <w:sz w:val="16"/>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6" w:right="0"/>
              <w:jc w:val="center"/>
              <w:rPr>
                <w:rFonts w:ascii="Times New Roman" w:hAnsi="Times New Roman" w:cs="Times New Roman" w:eastAsia="Times New Roman" w:hint="default"/>
                <w:sz w:val="16"/>
                <w:szCs w:val="16"/>
              </w:rPr>
            </w:pPr>
            <w:r>
              <w:rPr>
                <w:rFonts w:ascii="Times New Roman"/>
                <w:spacing w:val="-6"/>
                <w:sz w:val="16"/>
              </w:rPr>
              <w:t>35,857,390.45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16"/>
                <w:szCs w:val="16"/>
              </w:rPr>
            </w:pPr>
            <w:r>
              <w:rPr>
                <w:rFonts w:ascii="Times New Roman"/>
                <w:spacing w:val="-6"/>
                <w:sz w:val="16"/>
              </w:rPr>
              <w:t>31,237,440.51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6" w:right="0"/>
              <w:jc w:val="center"/>
              <w:rPr>
                <w:rFonts w:ascii="Times New Roman" w:hAnsi="Times New Roman" w:cs="Times New Roman" w:eastAsia="Times New Roman" w:hint="default"/>
                <w:sz w:val="16"/>
                <w:szCs w:val="16"/>
              </w:rPr>
            </w:pPr>
            <w:r>
              <w:rPr>
                <w:rFonts w:ascii="Times New Roman"/>
                <w:spacing w:val="-6"/>
                <w:sz w:val="16"/>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16"/>
                <w:szCs w:val="16"/>
              </w:rPr>
            </w:pPr>
            <w:r>
              <w:rPr>
                <w:rFonts w:ascii="Times New Roman"/>
                <w:spacing w:val="-6"/>
                <w:sz w:val="16"/>
              </w:rPr>
              <w:t>465,057.61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3"/>
              <w:jc w:val="right"/>
              <w:rPr>
                <w:rFonts w:ascii="Times New Roman" w:hAnsi="Times New Roman" w:cs="Times New Roman" w:eastAsia="Times New Roman" w:hint="default"/>
                <w:sz w:val="16"/>
                <w:szCs w:val="16"/>
              </w:rPr>
            </w:pPr>
            <w:r>
              <w:rPr>
                <w:rFonts w:ascii="Times New Roman"/>
                <w:spacing w:val="-5"/>
                <w:w w:val="95"/>
                <w:sz w:val="16"/>
              </w:rPr>
              <w:t>1.49%</w:t>
            </w:r>
            <w:r>
              <w:rPr>
                <w:rFonts w:ascii="Times New Roman"/>
                <w:spacing w:val="-5"/>
                <w:sz w:val="16"/>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30,772,382.90</w:t>
            </w:r>
            <w:r>
              <w:rPr>
                <w:rFonts w:ascii="Times New Roman"/>
                <w:spacing w:val="-6"/>
                <w:sz w:val="16"/>
              </w:rPr>
            </w:r>
          </w:p>
        </w:tc>
      </w:tr>
      <w:tr>
        <w:trPr>
          <w:trHeight w:val="407" w:hRule="exact"/>
        </w:trPr>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宋体" w:hAnsi="宋体" w:cs="宋体" w:eastAsia="宋体" w:hint="default"/>
                <w:sz w:val="16"/>
                <w:szCs w:val="16"/>
              </w:rPr>
            </w:pPr>
            <w:r>
              <w:rPr>
                <w:rFonts w:ascii="宋体" w:hAnsi="宋体" w:cs="宋体" w:eastAsia="宋体" w:hint="default"/>
                <w:spacing w:val="-13"/>
                <w:sz w:val="16"/>
                <w:szCs w:val="16"/>
              </w:rPr>
              <w:t>合计</w:t>
            </w:r>
            <w:r>
              <w:rPr>
                <w:rFonts w:ascii="宋体" w:hAnsi="宋体" w:cs="宋体" w:eastAsia="宋体" w:hint="default"/>
                <w:sz w:val="16"/>
                <w:szCs w:val="16"/>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6"/>
                <w:szCs w:val="16"/>
              </w:rPr>
            </w:pPr>
            <w:r>
              <w:rPr>
                <w:rFonts w:ascii="Times New Roman"/>
                <w:spacing w:val="-6"/>
                <w:sz w:val="16"/>
              </w:rPr>
              <w:t>36,377,983.78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7" w:right="0"/>
              <w:jc w:val="center"/>
              <w:rPr>
                <w:rFonts w:ascii="Times New Roman" w:hAnsi="Times New Roman" w:cs="Times New Roman" w:eastAsia="Times New Roman" w:hint="default"/>
                <w:sz w:val="16"/>
                <w:szCs w:val="16"/>
              </w:rPr>
            </w:pPr>
            <w:r>
              <w:rPr>
                <w:rFonts w:ascii="Times New Roman"/>
                <w:spacing w:val="-6"/>
                <w:sz w:val="16"/>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 w:right="0"/>
              <w:jc w:val="center"/>
              <w:rPr>
                <w:rFonts w:ascii="Times New Roman" w:hAnsi="Times New Roman" w:cs="Times New Roman" w:eastAsia="Times New Roman" w:hint="default"/>
                <w:sz w:val="16"/>
                <w:szCs w:val="16"/>
              </w:rPr>
            </w:pPr>
            <w:r>
              <w:rPr>
                <w:rFonts w:ascii="Times New Roman"/>
                <w:spacing w:val="-6"/>
                <w:sz w:val="16"/>
              </w:rPr>
              <w:t>520,593.33</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6"/>
                <w:szCs w:val="16"/>
              </w:rPr>
            </w:pPr>
            <w:r>
              <w:rPr>
                <w:rFonts w:ascii="Times New Roman"/>
                <w:spacing w:val="-5"/>
                <w:w w:val="95"/>
                <w:sz w:val="16"/>
              </w:rPr>
              <w:t>1.43%</w:t>
            </w:r>
            <w:r>
              <w:rPr>
                <w:rFonts w:ascii="Times New Roman"/>
                <w:spacing w:val="-5"/>
                <w:sz w:val="16"/>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 w:right="0"/>
              <w:jc w:val="center"/>
              <w:rPr>
                <w:rFonts w:ascii="Times New Roman" w:hAnsi="Times New Roman" w:cs="Times New Roman" w:eastAsia="Times New Roman" w:hint="default"/>
                <w:sz w:val="16"/>
                <w:szCs w:val="16"/>
              </w:rPr>
            </w:pPr>
            <w:r>
              <w:rPr>
                <w:rFonts w:ascii="Times New Roman"/>
                <w:spacing w:val="-6"/>
                <w:sz w:val="16"/>
              </w:rPr>
              <w:t>35,857,390.45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center"/>
              <w:rPr>
                <w:rFonts w:ascii="Times New Roman" w:hAnsi="Times New Roman" w:cs="Times New Roman" w:eastAsia="Times New Roman" w:hint="default"/>
                <w:sz w:val="16"/>
                <w:szCs w:val="16"/>
              </w:rPr>
            </w:pPr>
            <w:r>
              <w:rPr>
                <w:rFonts w:ascii="Times New Roman"/>
                <w:spacing w:val="-6"/>
                <w:sz w:val="16"/>
              </w:rPr>
              <w:t>31,237,440.51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 w:right="0"/>
              <w:jc w:val="center"/>
              <w:rPr>
                <w:rFonts w:ascii="Times New Roman" w:hAnsi="Times New Roman" w:cs="Times New Roman" w:eastAsia="Times New Roman" w:hint="default"/>
                <w:sz w:val="16"/>
                <w:szCs w:val="16"/>
              </w:rPr>
            </w:pPr>
            <w:r>
              <w:rPr>
                <w:rFonts w:ascii="Times New Roman"/>
                <w:spacing w:val="-6"/>
                <w:sz w:val="16"/>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 w:right="0"/>
              <w:jc w:val="center"/>
              <w:rPr>
                <w:rFonts w:ascii="Times New Roman" w:hAnsi="Times New Roman" w:cs="Times New Roman" w:eastAsia="Times New Roman" w:hint="default"/>
                <w:sz w:val="16"/>
                <w:szCs w:val="16"/>
              </w:rPr>
            </w:pPr>
            <w:r>
              <w:rPr>
                <w:rFonts w:ascii="Times New Roman"/>
                <w:spacing w:val="-6"/>
                <w:sz w:val="16"/>
              </w:rPr>
              <w:t>465,057.61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3"/>
              <w:jc w:val="right"/>
              <w:rPr>
                <w:rFonts w:ascii="Times New Roman" w:hAnsi="Times New Roman" w:cs="Times New Roman" w:eastAsia="Times New Roman" w:hint="default"/>
                <w:sz w:val="16"/>
                <w:szCs w:val="16"/>
              </w:rPr>
            </w:pPr>
            <w:r>
              <w:rPr>
                <w:rFonts w:ascii="Times New Roman"/>
                <w:spacing w:val="-5"/>
                <w:w w:val="95"/>
                <w:sz w:val="16"/>
              </w:rPr>
              <w:t>1.49%</w:t>
            </w:r>
            <w:r>
              <w:rPr>
                <w:rFonts w:ascii="Times New Roman"/>
                <w:spacing w:val="-5"/>
                <w:sz w:val="16"/>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6"/>
                <w:szCs w:val="16"/>
              </w:rPr>
            </w:pPr>
            <w:r>
              <w:rPr>
                <w:rFonts w:ascii="Times New Roman"/>
                <w:spacing w:val="-6"/>
                <w:w w:val="95"/>
                <w:sz w:val="16"/>
              </w:rPr>
              <w:t>30,772,382.90</w:t>
            </w:r>
            <w:r>
              <w:rPr>
                <w:rFonts w:ascii="Times New Roman"/>
                <w:spacing w:val="-6"/>
                <w:sz w:val="16"/>
              </w:rPr>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期末单项金额重大并单项计提坏账准备的其他应收款：</w:t>
      </w:r>
    </w:p>
    <w:p>
      <w:pPr>
        <w:spacing w:line="240" w:lineRule="auto" w:before="8"/>
        <w:rPr>
          <w:rFonts w:ascii="宋体" w:hAnsi="宋体" w:cs="宋体" w:eastAsia="宋体" w:hint="default"/>
          <w:sz w:val="21"/>
          <w:szCs w:val="21"/>
        </w:rPr>
      </w:pPr>
    </w:p>
    <w:p>
      <w:pPr>
        <w:pStyle w:val="BodyText"/>
        <w:spacing w:line="460" w:lineRule="auto"/>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组合中，按账龄分析法计提坏账准备的其他应收款：</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2568"/>
        <w:gridCol w:w="2364"/>
        <w:gridCol w:w="2462"/>
        <w:gridCol w:w="2461"/>
      </w:tblGrid>
      <w:tr>
        <w:trPr>
          <w:trHeight w:val="407" w:hRule="exact"/>
        </w:trPr>
        <w:tc>
          <w:tcPr>
            <w:tcW w:w="2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568" w:type="dxa"/>
            <w:vMerge/>
            <w:tcBorders>
              <w:left w:val="single" w:sz="4" w:space="0" w:color="000000"/>
              <w:bottom w:val="single" w:sz="4" w:space="0" w:color="000000"/>
              <w:right w:val="single" w:sz="4" w:space="0" w:color="000000"/>
            </w:tcBorders>
            <w:shd w:val="clear" w:color="auto" w:fill="D2D2D2"/>
          </w:tcPr>
          <w:p>
            <w:pPr/>
          </w:p>
        </w:tc>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2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6,014,185.55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z w:val="18"/>
              </w:rPr>
              <w:t>60,141.85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6,014,185.55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60,141.85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237,170.00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23,717.00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2568"/>
        <w:gridCol w:w="2364"/>
        <w:gridCol w:w="2462"/>
        <w:gridCol w:w="2461"/>
      </w:tblGrid>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151,837.42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30,367.48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1,900.00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950.00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14,000.00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391,417.00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391,417.00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6,816,509.97</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520,593.33</w:t>
            </w:r>
          </w:p>
        </w:tc>
        <w:tc>
          <w:tcPr>
            <w:tcW w:w="24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487" w:lineRule="auto" w:before="35"/>
        <w:ind w:right="5082"/>
        <w:jc w:val="left"/>
      </w:pPr>
      <w:r>
        <w:rPr/>
        <w:t>确定该组合依据的说明： 账龄组合，按账龄分析法计提坏账准备。 组合中，采用余额百分比法计提坏账准备的其他应收款：</w:t>
      </w:r>
    </w:p>
    <w:p>
      <w:pPr>
        <w:pStyle w:val="BodyText"/>
        <w:spacing w:line="460" w:lineRule="auto" w:before="67"/>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组合中，采用其他方法计提坏账准备的其他应收款：</w:t>
      </w:r>
    </w:p>
    <w:p>
      <w:pPr>
        <w:pStyle w:val="BodyText"/>
        <w:spacing w:line="240" w:lineRule="auto" w:before="9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2"/>
        <w:rPr>
          <w:rFonts w:ascii="宋体" w:hAnsi="宋体" w:cs="宋体" w:eastAsia="宋体" w:hint="default"/>
          <w:sz w:val="23"/>
          <w:szCs w:val="23"/>
        </w:rPr>
      </w:pPr>
    </w:p>
    <w:tbl>
      <w:tblPr>
        <w:tblW w:w="0" w:type="auto"/>
        <w:jc w:val="left"/>
        <w:tblInd w:w="1021" w:type="dxa"/>
        <w:tblLayout w:type="fixed"/>
        <w:tblCellMar>
          <w:top w:w="0" w:type="dxa"/>
          <w:left w:w="0" w:type="dxa"/>
          <w:bottom w:w="0" w:type="dxa"/>
          <w:right w:w="0" w:type="dxa"/>
        </w:tblCellMar>
        <w:tblLook w:val="01E0"/>
      </w:tblPr>
      <w:tblGrid>
        <w:gridCol w:w="3254"/>
        <w:gridCol w:w="1583"/>
        <w:gridCol w:w="968"/>
        <w:gridCol w:w="1462"/>
        <w:gridCol w:w="1004"/>
        <w:gridCol w:w="1584"/>
      </w:tblGrid>
      <w:tr>
        <w:trPr>
          <w:trHeight w:val="427" w:hRule="exact"/>
        </w:trPr>
        <w:tc>
          <w:tcPr>
            <w:tcW w:w="325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6602"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620" w:hRule="exact"/>
        </w:trPr>
        <w:tc>
          <w:tcPr>
            <w:tcW w:w="3254" w:type="dxa"/>
            <w:vMerge/>
            <w:tcBorders>
              <w:left w:val="single" w:sz="4" w:space="0" w:color="000000"/>
              <w:bottom w:val="single" w:sz="4" w:space="0" w:color="000000"/>
              <w:right w:val="single" w:sz="4" w:space="0" w:color="000000"/>
            </w:tcBorders>
            <w:shd w:val="clear" w:color="auto" w:fill="D9D9D9"/>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2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332" w:right="227"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w:t>
            </w:r>
          </w:p>
        </w:tc>
        <w:tc>
          <w:tcPr>
            <w:tcW w:w="1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净额</w:t>
            </w:r>
          </w:p>
        </w:tc>
      </w:tr>
      <w:tr>
        <w:trPr>
          <w:trHeight w:val="428"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36,377,983.78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520,593.33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1.43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35,857,390.45</w:t>
            </w:r>
          </w:p>
        </w:tc>
      </w:tr>
      <w:tr>
        <w:trPr>
          <w:trHeight w:val="427"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6,816,509.97</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18.74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520,593.33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7.64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6,295,916.64</w:t>
            </w:r>
          </w:p>
        </w:tc>
      </w:tr>
      <w:tr>
        <w:trPr>
          <w:trHeight w:val="427" w:hRule="exact"/>
        </w:trPr>
        <w:tc>
          <w:tcPr>
            <w:tcW w:w="3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54"/>
              <w:jc w:val="center"/>
              <w:rPr>
                <w:rFonts w:ascii="宋体" w:hAnsi="宋体" w:cs="宋体" w:eastAsia="宋体" w:hint="default"/>
                <w:sz w:val="18"/>
                <w:szCs w:val="18"/>
              </w:rPr>
            </w:pPr>
            <w:r>
              <w:rPr>
                <w:rFonts w:ascii="宋体" w:hAnsi="宋体" w:cs="宋体" w:eastAsia="宋体" w:hint="default"/>
                <w:sz w:val="18"/>
                <w:szCs w:val="18"/>
              </w:rPr>
              <w:t>关联方组合</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29,561,473.81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z w:val="18"/>
              </w:rPr>
              <w:t>81.26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29,561,473.81</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对关联方其他应收款余额，不计提坏账准备。</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459"/>
      <w:bookmarkEnd w:id="45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right="0"/>
        <w:jc w:val="left"/>
      </w:pPr>
      <w:r>
        <w:rPr/>
        <w:t>本期计提坏账准备金额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53"/>
        </w:rPr>
        <w:t> </w:t>
      </w:r>
      <w:r>
        <w:rPr>
          <w:rFonts w:ascii="Times New Roman" w:hAnsi="Times New Roman" w:cs="Times New Roman" w:eastAsia="Times New Roman" w:hint="default"/>
        </w:rPr>
        <w:t>55,535.72</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3）其他应收款按款项性质分类情况" w:id="460"/>
      <w:bookmarkEnd w:id="460"/>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468"/>
        <w:gridCol w:w="3194"/>
        <w:gridCol w:w="3194"/>
      </w:tblGrid>
      <w:tr>
        <w:trPr>
          <w:trHeight w:val="404" w:hRule="exact"/>
        </w:trPr>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9"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企业内部往来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29,561,473.81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26,874,000.00</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拆借款项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2,045,833.33</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2,179,906.16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865,403.35</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员工预支款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90,332.97</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194,968.94</w:t>
            </w:r>
          </w:p>
        </w:tc>
      </w:tr>
      <w:tr>
        <w:trPr>
          <w:trHeight w:val="408"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4,546,270.84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257,234.89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468"/>
        <w:gridCol w:w="3194"/>
        <w:gridCol w:w="3194"/>
      </w:tblGrid>
      <w:tr>
        <w:trPr>
          <w:trHeight w:val="408" w:hRule="exact"/>
        </w:trPr>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6" w:right="0"/>
              <w:jc w:val="left"/>
              <w:rPr>
                <w:rFonts w:ascii="Times New Roman" w:hAnsi="Times New Roman" w:cs="Times New Roman" w:eastAsia="Times New Roman" w:hint="default"/>
                <w:sz w:val="18"/>
                <w:szCs w:val="18"/>
              </w:rPr>
            </w:pPr>
            <w:r>
              <w:rPr>
                <w:rFonts w:ascii="Times New Roman"/>
                <w:sz w:val="18"/>
              </w:rPr>
              <w:t>36,377,983.78</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6" w:right="0"/>
              <w:jc w:val="left"/>
              <w:rPr>
                <w:rFonts w:ascii="Times New Roman" w:hAnsi="Times New Roman" w:cs="Times New Roman" w:eastAsia="Times New Roman" w:hint="default"/>
                <w:sz w:val="18"/>
                <w:szCs w:val="18"/>
              </w:rPr>
            </w:pPr>
            <w:r>
              <w:rPr>
                <w:rFonts w:ascii="Times New Roman"/>
                <w:sz w:val="18"/>
              </w:rPr>
              <w:t>31,237,440.51</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4）按欠款方归集的期末余额前五名的其他应收款情况" w:id="461"/>
      <w:bookmarkEnd w:id="461"/>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6"/>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736"/>
        <w:gridCol w:w="1597"/>
        <w:gridCol w:w="1598"/>
        <w:gridCol w:w="1598"/>
        <w:gridCol w:w="1664"/>
        <w:gridCol w:w="1663"/>
      </w:tblGrid>
      <w:tr>
        <w:trPr>
          <w:trHeight w:val="600"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6" w:right="105"/>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7"/>
              <w:ind w:right="10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60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80"/>
              <w:jc w:val="left"/>
              <w:rPr>
                <w:rFonts w:ascii="宋体" w:hAnsi="宋体" w:cs="宋体" w:eastAsia="宋体" w:hint="default"/>
                <w:sz w:val="18"/>
                <w:szCs w:val="18"/>
              </w:rPr>
            </w:pPr>
            <w:r>
              <w:rPr>
                <w:rFonts w:ascii="宋体" w:hAnsi="宋体" w:cs="宋体" w:eastAsia="宋体" w:hint="default"/>
                <w:sz w:val="18"/>
                <w:szCs w:val="18"/>
              </w:rPr>
              <w:t>西安中科创达软件 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企业内部往来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16,231,705.81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44.62%</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企业内部往来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13,329,768.00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36.64%</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80"/>
              <w:jc w:val="left"/>
              <w:rPr>
                <w:rFonts w:ascii="宋体" w:hAnsi="宋体" w:cs="宋体" w:eastAsia="宋体" w:hint="default"/>
                <w:sz w:val="18"/>
                <w:szCs w:val="18"/>
              </w:rPr>
            </w:pPr>
            <w:r>
              <w:rPr>
                <w:rFonts w:ascii="宋体" w:hAnsi="宋体" w:cs="宋体" w:eastAsia="宋体" w:hint="default"/>
                <w:sz w:val="18"/>
                <w:szCs w:val="18"/>
              </w:rPr>
              <w:t>中天智慧科技有限 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外部往来款</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4,500,000.00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45,000.00</w:t>
            </w:r>
          </w:p>
        </w:tc>
      </w:tr>
      <w:tr>
        <w:trPr>
          <w:trHeight w:val="60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80"/>
              <w:jc w:val="left"/>
              <w:rPr>
                <w:rFonts w:ascii="宋体" w:hAnsi="宋体" w:cs="宋体" w:eastAsia="宋体" w:hint="default"/>
                <w:sz w:val="18"/>
                <w:szCs w:val="18"/>
              </w:rPr>
            </w:pPr>
            <w:r>
              <w:rPr>
                <w:rFonts w:ascii="宋体" w:hAnsi="宋体" w:cs="宋体" w:eastAsia="宋体" w:hint="default"/>
                <w:sz w:val="18"/>
                <w:szCs w:val="18"/>
              </w:rPr>
              <w:t>北京市海淀区欣华 农工商公司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921,543.00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3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年以上</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443,885.75</w:t>
            </w:r>
          </w:p>
        </w:tc>
      </w:tr>
      <w:tr>
        <w:trPr>
          <w:trHeight w:val="60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80"/>
              <w:jc w:val="left"/>
              <w:rPr>
                <w:rFonts w:ascii="宋体" w:hAnsi="宋体" w:cs="宋体" w:eastAsia="宋体" w:hint="default"/>
                <w:sz w:val="18"/>
                <w:szCs w:val="18"/>
              </w:rPr>
            </w:pPr>
            <w:r>
              <w:rPr>
                <w:rFonts w:ascii="宋体" w:hAnsi="宋体" w:cs="宋体" w:eastAsia="宋体" w:hint="default"/>
                <w:sz w:val="18"/>
                <w:szCs w:val="18"/>
              </w:rPr>
              <w:t>北京新能源汽车股 份有限公司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259,918.90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0.71%</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2,599.19</w:t>
            </w:r>
          </w:p>
        </w:tc>
      </w:tr>
      <w:tr>
        <w:trPr>
          <w:trHeight w:val="407"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35,242,935.71</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96.87%</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z w:val="18"/>
              </w:rPr>
              <w:t>491,484.94</w:t>
            </w:r>
          </w:p>
        </w:tc>
      </w:tr>
    </w:tbl>
    <w:p>
      <w:pPr>
        <w:spacing w:line="240" w:lineRule="auto" w:before="4"/>
        <w:rPr>
          <w:rFonts w:ascii="宋体" w:hAnsi="宋体" w:cs="宋体" w:eastAsia="宋体" w:hint="default"/>
          <w:sz w:val="11"/>
          <w:szCs w:val="11"/>
        </w:rPr>
      </w:pPr>
    </w:p>
    <w:p>
      <w:pPr>
        <w:pStyle w:val="Heading4"/>
        <w:spacing w:line="460" w:lineRule="auto" w:before="35"/>
        <w:ind w:left="1553" w:right="7485" w:firstLine="2"/>
        <w:jc w:val="left"/>
        <w:rPr>
          <w:rFonts w:ascii="宋体" w:hAnsi="宋体" w:cs="宋体" w:eastAsia="宋体" w:hint="default"/>
          <w:b w:val="0"/>
          <w:bCs w:val="0"/>
        </w:rPr>
      </w:pPr>
      <w:bookmarkStart w:name="（5）涉及政府补助的应收款项" w:id="462"/>
      <w:bookmarkEnd w:id="462"/>
      <w:r>
        <w:rPr>
          <w:b w:val="0"/>
          <w:bCs w:val="0"/>
        </w:rPr>
      </w:r>
      <w:r>
        <w:rPr/>
        <w:t>（</w:t>
      </w:r>
      <w:r>
        <w:rPr>
          <w:rFonts w:ascii="Times New Roman" w:hAnsi="Times New Roman" w:cs="Times New Roman" w:eastAsia="Times New Roman" w:hint="default"/>
        </w:rPr>
        <w:t>5</w:t>
      </w:r>
      <w:r>
        <w:rPr/>
        <w:t>）涉及政府补助的应收款项</w:t>
      </w:r>
      <w:r>
        <w:rPr>
          <w:w w:val="99"/>
        </w:rPr>
        <w:t> </w:t>
      </w:r>
      <w:r>
        <w:rPr>
          <w:rFonts w:ascii="宋体" w:hAnsi="宋体" w:cs="宋体" w:eastAsia="宋体" w:hint="default"/>
          <w:b w:val="0"/>
          <w:bCs w:val="0"/>
        </w:rPr>
        <w:t>无。</w:t>
      </w:r>
    </w:p>
    <w:p>
      <w:pPr>
        <w:pStyle w:val="Heading4"/>
        <w:spacing w:line="463" w:lineRule="auto" w:before="90"/>
        <w:ind w:left="1554" w:right="6009" w:firstLine="2"/>
        <w:jc w:val="left"/>
        <w:rPr>
          <w:rFonts w:ascii="宋体" w:hAnsi="宋体" w:cs="宋体" w:eastAsia="宋体" w:hint="default"/>
          <w:b w:val="0"/>
          <w:bCs w:val="0"/>
        </w:rPr>
      </w:pPr>
      <w:bookmarkStart w:name="（6）因金融资产转移而终止确认的其他应收款" w:id="463"/>
      <w:bookmarkEnd w:id="463"/>
      <w:r>
        <w:rPr>
          <w:b w:val="0"/>
          <w:bCs w:val="0"/>
        </w:rPr>
      </w:r>
      <w:r>
        <w:rPr/>
        <w:t>（</w:t>
      </w:r>
      <w:r>
        <w:rPr>
          <w:rFonts w:ascii="Times New Roman" w:hAnsi="Times New Roman" w:cs="Times New Roman" w:eastAsia="Times New Roman" w:hint="default"/>
        </w:rPr>
        <w:t>6</w:t>
      </w:r>
      <w:r>
        <w:rPr/>
        <w:t>）因金融资产转移而终止确认的其他应收款</w:t>
      </w:r>
      <w:r>
        <w:rPr>
          <w:w w:val="99"/>
        </w:rPr>
        <w:t> </w:t>
      </w:r>
      <w:r>
        <w:rPr>
          <w:rFonts w:ascii="宋体" w:hAnsi="宋体" w:cs="宋体" w:eastAsia="宋体" w:hint="default"/>
          <w:b w:val="0"/>
          <w:bCs w:val="0"/>
        </w:rPr>
        <w:t>无。</w:t>
      </w:r>
    </w:p>
    <w:p>
      <w:pPr>
        <w:pStyle w:val="Heading4"/>
        <w:spacing w:line="460" w:lineRule="auto" w:before="88"/>
        <w:ind w:left="1554" w:right="5165" w:firstLine="2"/>
        <w:jc w:val="left"/>
        <w:rPr>
          <w:rFonts w:ascii="宋体" w:hAnsi="宋体" w:cs="宋体" w:eastAsia="宋体" w:hint="default"/>
          <w:b w:val="0"/>
          <w:bCs w:val="0"/>
        </w:rPr>
      </w:pPr>
      <w:bookmarkStart w:name="（7）转移其他应收款且继续涉入形成的资产、负债金额" w:id="464"/>
      <w:bookmarkEnd w:id="464"/>
      <w:r>
        <w:rPr>
          <w:b w:val="0"/>
          <w:bCs w:val="0"/>
        </w:rPr>
      </w:r>
      <w:r>
        <w:rPr/>
        <w:t>（</w:t>
      </w:r>
      <w:r>
        <w:rPr>
          <w:rFonts w:ascii="Times New Roman" w:hAnsi="Times New Roman" w:cs="Times New Roman" w:eastAsia="Times New Roman" w:hint="default"/>
        </w:rPr>
        <w:t>7</w:t>
      </w:r>
      <w:r>
        <w:rPr/>
        <w:t>）转移其他应收款且继续涉入形成的资产、负债金额</w:t>
      </w:r>
      <w:r>
        <w:rPr>
          <w:w w:val="99"/>
        </w:rPr>
        <w:t> </w:t>
      </w:r>
      <w:r>
        <w:rPr>
          <w:rFonts w:ascii="宋体" w:hAnsi="宋体" w:cs="宋体" w:eastAsia="宋体" w:hint="default"/>
          <w:b w:val="0"/>
          <w:bCs w:val="0"/>
        </w:rPr>
        <w:t>无。</w:t>
      </w:r>
    </w:p>
    <w:p>
      <w:pPr>
        <w:pStyle w:val="BodyText"/>
        <w:spacing w:line="240" w:lineRule="auto" w:before="82"/>
        <w:ind w:right="0"/>
        <w:jc w:val="left"/>
        <w:rPr>
          <w:rFonts w:ascii="微软雅黑" w:hAnsi="微软雅黑" w:cs="微软雅黑" w:eastAsia="微软雅黑" w:hint="default"/>
        </w:rPr>
      </w:pPr>
      <w:bookmarkStart w:name="3、长期股权投资" w:id="465"/>
      <w:bookmarkEnd w:id="465"/>
      <w:r>
        <w:rPr/>
      </w:r>
      <w:r>
        <w:rPr>
          <w:rFonts w:ascii="Times New Roman" w:hAnsi="Times New Roman" w:cs="Times New Roman" w:eastAsia="Times New Roman" w:hint="default"/>
        </w:rPr>
        <w:t>3</w:t>
      </w:r>
      <w:r>
        <w:rPr>
          <w:rFonts w:ascii="微软雅黑" w:hAnsi="微软雅黑" w:cs="微软雅黑" w:eastAsia="微软雅黑" w:hint="default"/>
        </w:rPr>
        <w:t>、长期股权投资</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1409"/>
        <w:gridCol w:w="1409"/>
        <w:gridCol w:w="1409"/>
        <w:gridCol w:w="1406"/>
        <w:gridCol w:w="1408"/>
        <w:gridCol w:w="1407"/>
        <w:gridCol w:w="1408"/>
      </w:tblGrid>
      <w:tr>
        <w:trPr>
          <w:trHeight w:val="397" w:hRule="exact"/>
        </w:trPr>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82" w:hRule="exact"/>
        </w:trPr>
        <w:tc>
          <w:tcPr>
            <w:tcW w:w="1409"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32"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0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637,847,718.65</w:t>
            </w:r>
          </w:p>
        </w:tc>
        <w:tc>
          <w:tcPr>
            <w:tcW w:w="1409" w:type="dxa"/>
            <w:tcBorders>
              <w:top w:val="single" w:sz="12" w:space="0" w:color="D2D2D2"/>
              <w:left w:val="single" w:sz="4" w:space="0" w:color="000000"/>
              <w:bottom w:val="single" w:sz="4" w:space="0" w:color="000000"/>
              <w:right w:val="single" w:sz="4" w:space="0" w:color="000000"/>
            </w:tcBorders>
          </w:tcPr>
          <w:p>
            <w:pPr/>
          </w:p>
        </w:tc>
        <w:tc>
          <w:tcPr>
            <w:tcW w:w="1406"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637,847,718.65</w:t>
            </w:r>
          </w:p>
        </w:tc>
        <w:tc>
          <w:tcPr>
            <w:tcW w:w="140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301,483,444.73</w:t>
            </w:r>
          </w:p>
        </w:tc>
        <w:tc>
          <w:tcPr>
            <w:tcW w:w="1407" w:type="dxa"/>
            <w:tcBorders>
              <w:top w:val="single" w:sz="12" w:space="0" w:color="D2D2D2"/>
              <w:left w:val="single" w:sz="4" w:space="0" w:color="000000"/>
              <w:bottom w:val="single" w:sz="4" w:space="0" w:color="000000"/>
              <w:right w:val="single" w:sz="4" w:space="0" w:color="000000"/>
            </w:tcBorders>
          </w:tcPr>
          <w:p>
            <w:pPr/>
          </w:p>
        </w:tc>
        <w:tc>
          <w:tcPr>
            <w:tcW w:w="140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301,483,444.73</w:t>
            </w:r>
          </w:p>
        </w:tc>
      </w:tr>
      <w:tr>
        <w:trPr>
          <w:trHeight w:val="601"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101"/>
              <w:jc w:val="left"/>
              <w:rPr>
                <w:rFonts w:ascii="宋体" w:hAnsi="宋体" w:cs="宋体" w:eastAsia="宋体" w:hint="default"/>
                <w:sz w:val="18"/>
                <w:szCs w:val="18"/>
              </w:rPr>
            </w:pPr>
            <w:r>
              <w:rPr>
                <w:rFonts w:ascii="宋体" w:hAnsi="宋体" w:cs="宋体" w:eastAsia="宋体" w:hint="default"/>
                <w:spacing w:val="-10"/>
                <w:sz w:val="18"/>
                <w:szCs w:val="18"/>
              </w:rPr>
              <w:t>对联营、合营企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39,677,852.85</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39,677,852.85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26,043,689.48</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26,043,689.48</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677,525,571.50</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Times New Roman" w:hAnsi="Times New Roman" w:cs="Times New Roman" w:eastAsia="Times New Roman" w:hint="default"/>
                <w:sz w:val="18"/>
                <w:szCs w:val="18"/>
              </w:rPr>
            </w:pPr>
            <w:r>
              <w:rPr>
                <w:rFonts w:ascii="Times New Roman"/>
                <w:spacing w:val="-1"/>
                <w:sz w:val="18"/>
              </w:rPr>
              <w:t>677,525,571.50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327,527,134.21</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Times New Roman" w:hAnsi="Times New Roman" w:cs="Times New Roman" w:eastAsia="Times New Roman" w:hint="default"/>
                <w:sz w:val="18"/>
                <w:szCs w:val="18"/>
              </w:rPr>
            </w:pPr>
            <w:r>
              <w:rPr>
                <w:rFonts w:ascii="Times New Roman"/>
                <w:spacing w:val="-1"/>
                <w:sz w:val="18"/>
              </w:rPr>
              <w:t>327,527,134.21</w:t>
            </w: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1）对子公司投资" w:id="466"/>
      <w:bookmarkEnd w:id="46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6"/>
          <w:szCs w:val="6"/>
        </w:rPr>
      </w:pPr>
    </w:p>
    <w:tbl>
      <w:tblPr>
        <w:tblW w:w="0" w:type="auto"/>
        <w:jc w:val="left"/>
        <w:tblInd w:w="1021" w:type="dxa"/>
        <w:tblLayout w:type="fixed"/>
        <w:tblCellMar>
          <w:top w:w="0" w:type="dxa"/>
          <w:left w:w="0" w:type="dxa"/>
          <w:bottom w:w="0" w:type="dxa"/>
          <w:right w:w="0" w:type="dxa"/>
        </w:tblCellMar>
        <w:tblLook w:val="01E0"/>
      </w:tblPr>
      <w:tblGrid>
        <w:gridCol w:w="1492"/>
        <w:gridCol w:w="1375"/>
        <w:gridCol w:w="1376"/>
        <w:gridCol w:w="1375"/>
        <w:gridCol w:w="1375"/>
        <w:gridCol w:w="1431"/>
        <w:gridCol w:w="1432"/>
      </w:tblGrid>
      <w:tr>
        <w:trPr>
          <w:trHeight w:val="601" w:hRule="exact"/>
        </w:trPr>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29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530" w:right="16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530" w:right="16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bl>
    <w:p>
      <w:pPr>
        <w:spacing w:after="0" w:line="232" w:lineRule="exact"/>
        <w:jc w:val="left"/>
        <w:rPr>
          <w:rFonts w:ascii="宋体" w:hAnsi="宋体" w:cs="宋体" w:eastAsia="宋体" w:hint="default"/>
          <w:sz w:val="18"/>
          <w:szCs w:val="18"/>
        </w:rPr>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492"/>
        <w:gridCol w:w="1375"/>
        <w:gridCol w:w="1376"/>
        <w:gridCol w:w="1375"/>
        <w:gridCol w:w="1375"/>
        <w:gridCol w:w="1431"/>
        <w:gridCol w:w="1432"/>
      </w:tblGrid>
      <w:tr>
        <w:trPr>
          <w:trHeight w:val="601" w:hRule="exact"/>
        </w:trPr>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29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30" w:right="16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30" w:right="16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83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16"/>
              <w:jc w:val="both"/>
              <w:rPr>
                <w:rFonts w:ascii="宋体" w:hAnsi="宋体" w:cs="宋体" w:eastAsia="宋体" w:hint="default"/>
                <w:sz w:val="18"/>
                <w:szCs w:val="18"/>
              </w:rPr>
            </w:pPr>
            <w:r>
              <w:rPr>
                <w:rFonts w:ascii="宋体" w:hAnsi="宋体" w:cs="宋体" w:eastAsia="宋体" w:hint="default"/>
                <w:sz w:val="18"/>
                <w:szCs w:val="18"/>
              </w:rPr>
              <w:t>中科创达软件科 技（日本）有限 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16,667,136.21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-2,104,417.61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14,562,718.60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32"/>
              <w:ind w:left="103" w:right="0"/>
              <w:jc w:val="left"/>
              <w:rPr>
                <w:rFonts w:ascii="宋体" w:hAnsi="宋体" w:cs="宋体" w:eastAsia="宋体" w:hint="default"/>
                <w:sz w:val="18"/>
                <w:szCs w:val="18"/>
              </w:rPr>
            </w:pPr>
            <w:r>
              <w:rPr>
                <w:rFonts w:ascii="宋体" w:hAnsi="宋体" w:cs="宋体" w:eastAsia="宋体" w:hint="default"/>
                <w:sz w:val="18"/>
                <w:szCs w:val="18"/>
              </w:rPr>
              <w:t>畅索软件科技</w:t>
            </w:r>
          </w:p>
          <w:p>
            <w:pPr>
              <w:pStyle w:val="TableParagraph"/>
              <w:spacing w:line="232" w:lineRule="exact" w:before="24"/>
              <w:ind w:left="103" w:right="116"/>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14,646,233.94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3,313,088.59</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17,959,322.53</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北京信恒创科技 发展有限公司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9,444,328.31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1,164,689.06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10,609,017.37</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16"/>
              <w:jc w:val="both"/>
              <w:rPr>
                <w:rFonts w:ascii="宋体" w:hAnsi="宋体" w:cs="宋体" w:eastAsia="宋体" w:hint="default"/>
                <w:sz w:val="18"/>
                <w:szCs w:val="18"/>
              </w:rPr>
            </w:pPr>
            <w:r>
              <w:rPr>
                <w:rFonts w:ascii="宋体" w:hAnsi="宋体" w:cs="宋体" w:eastAsia="宋体" w:hint="default"/>
                <w:sz w:val="18"/>
                <w:szCs w:val="18"/>
              </w:rPr>
              <w:t>中科创达软件科 技（深圳）有限 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12,639,736.94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1,426,495.08</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14,066,232.02</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南京中科创达软 件科技有限公司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26,608,124.45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2,095,188.21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28,703,312.66</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117"/>
              <w:jc w:val="left"/>
              <w:rPr>
                <w:rFonts w:ascii="宋体" w:hAnsi="宋体" w:cs="宋体" w:eastAsia="宋体" w:hint="default"/>
                <w:sz w:val="18"/>
                <w:szCs w:val="18"/>
              </w:rPr>
            </w:pPr>
            <w:r>
              <w:rPr>
                <w:rFonts w:ascii="宋体" w:hAnsi="宋体" w:cs="宋体" w:eastAsia="宋体" w:hint="default"/>
                <w:sz w:val="18"/>
                <w:szCs w:val="18"/>
              </w:rPr>
              <w:t>成都中科创达软 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36,883,402.21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1,792,788.49</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38,676,190.70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17"/>
              <w:jc w:val="left"/>
              <w:rPr>
                <w:rFonts w:ascii="宋体" w:hAnsi="宋体" w:cs="宋体" w:eastAsia="宋体" w:hint="default"/>
                <w:sz w:val="18"/>
                <w:szCs w:val="18"/>
              </w:rPr>
            </w:pPr>
            <w:r>
              <w:rPr>
                <w:rFonts w:ascii="宋体" w:hAnsi="宋体" w:cs="宋体" w:eastAsia="宋体" w:hint="default"/>
                <w:sz w:val="18"/>
                <w:szCs w:val="18"/>
              </w:rPr>
              <w:t>香港天集有限公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316,110,200.00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396,110,200.00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西安中科创达软 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2,362,469.21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664,939.73</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3,027,408.94</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大连中科创达软 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241,309.45</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1,241,309.45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5"/>
              <w:ind w:left="103" w:right="117"/>
              <w:jc w:val="left"/>
              <w:rPr>
                <w:rFonts w:ascii="宋体" w:hAnsi="宋体" w:cs="宋体" w:eastAsia="宋体" w:hint="default"/>
                <w:sz w:val="18"/>
                <w:szCs w:val="18"/>
              </w:rPr>
            </w:pPr>
            <w:r>
              <w:rPr>
                <w:rFonts w:ascii="宋体" w:hAnsi="宋体" w:cs="宋体" w:eastAsia="宋体" w:hint="default"/>
                <w:sz w:val="18"/>
                <w:szCs w:val="18"/>
              </w:rPr>
              <w:t>沈阳中科创达软 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1,041,425.05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244,203.09</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1,285,628.14</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0"/>
              <w:jc w:val="left"/>
              <w:rPr>
                <w:rFonts w:ascii="宋体" w:hAnsi="宋体" w:cs="宋体" w:eastAsia="宋体" w:hint="default"/>
                <w:sz w:val="18"/>
                <w:szCs w:val="18"/>
              </w:rPr>
            </w:pPr>
            <w:r>
              <w:rPr>
                <w:rFonts w:ascii="宋体" w:hAnsi="宋体" w:cs="宋体" w:eastAsia="宋体" w:hint="default"/>
                <w:sz w:val="18"/>
                <w:szCs w:val="18"/>
              </w:rPr>
              <w:t>青柠优视科技</w:t>
            </w:r>
          </w:p>
          <w:p>
            <w:pPr>
              <w:pStyle w:val="TableParagraph"/>
              <w:spacing w:line="240" w:lineRule="auto"/>
              <w:ind w:left="103" w:right="116"/>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3,750,000.00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3,750,000.00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17"/>
              <w:jc w:val="left"/>
              <w:rPr>
                <w:rFonts w:ascii="宋体" w:hAnsi="宋体" w:cs="宋体" w:eastAsia="宋体" w:hint="default"/>
                <w:sz w:val="18"/>
                <w:szCs w:val="18"/>
              </w:rPr>
            </w:pPr>
            <w:r>
              <w:rPr>
                <w:rFonts w:ascii="宋体" w:hAnsi="宋体" w:cs="宋体" w:eastAsia="宋体" w:hint="default"/>
                <w:sz w:val="18"/>
                <w:szCs w:val="18"/>
              </w:rPr>
              <w:t>重庆创通联达智 能技术有限公司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16,100,679.95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755,270.45</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16,855,950.40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1067"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17"/>
              <w:jc w:val="both"/>
              <w:rPr>
                <w:rFonts w:ascii="宋体" w:hAnsi="宋体" w:cs="宋体" w:eastAsia="宋体" w:hint="default"/>
                <w:sz w:val="18"/>
                <w:szCs w:val="18"/>
              </w:rPr>
            </w:pPr>
            <w:r>
              <w:rPr>
                <w:rFonts w:ascii="宋体" w:hAnsi="宋体" w:cs="宋体" w:eastAsia="宋体" w:hint="default"/>
                <w:sz w:val="18"/>
                <w:szCs w:val="18"/>
              </w:rPr>
              <w:t>北京爱普新思电 子技术有限公司 及北京慧驰科技 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59,030,800.00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59,030,800.00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北京创思远达科 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52,262.48</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1,952,262.48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武汉中科创达软 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55,482.96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1,055,482.96</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17"/>
              <w:jc w:val="left"/>
              <w:rPr>
                <w:rFonts w:ascii="宋体" w:hAnsi="宋体" w:cs="宋体" w:eastAsia="宋体" w:hint="default"/>
                <w:sz w:val="18"/>
                <w:szCs w:val="18"/>
              </w:rPr>
            </w:pPr>
            <w:r>
              <w:rPr>
                <w:rFonts w:ascii="宋体" w:hAnsi="宋体" w:cs="宋体" w:eastAsia="宋体" w:hint="default"/>
                <w:sz w:val="18"/>
                <w:szCs w:val="18"/>
              </w:rPr>
              <w:t>杭州聚引投资管 理有限公司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7"/>
              <w:ind w:left="103" w:right="117"/>
              <w:jc w:val="left"/>
              <w:rPr>
                <w:rFonts w:ascii="宋体" w:hAnsi="宋体" w:cs="宋体" w:eastAsia="宋体" w:hint="default"/>
                <w:sz w:val="18"/>
                <w:szCs w:val="18"/>
              </w:rPr>
            </w:pPr>
            <w:r>
              <w:rPr>
                <w:rFonts w:ascii="宋体" w:hAnsi="宋体" w:cs="宋体" w:eastAsia="宋体" w:hint="default"/>
                <w:sz w:val="18"/>
                <w:szCs w:val="18"/>
              </w:rPr>
              <w:t>北京润信恒达科 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242,336.56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170,689.01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413,025.57</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6"/>
              <w:ind w:left="103" w:right="117"/>
              <w:jc w:val="left"/>
              <w:rPr>
                <w:rFonts w:ascii="宋体" w:hAnsi="宋体" w:cs="宋体" w:eastAsia="宋体" w:hint="default"/>
                <w:sz w:val="18"/>
                <w:szCs w:val="18"/>
              </w:rPr>
            </w:pPr>
            <w:r>
              <w:rPr>
                <w:rFonts w:ascii="宋体" w:hAnsi="宋体" w:cs="宋体" w:eastAsia="宋体" w:hint="default"/>
                <w:sz w:val="18"/>
                <w:szCs w:val="18"/>
              </w:rPr>
              <w:t>中科创达美国有 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2,712,161.47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-1,397,561.52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1,314,599.95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835"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17"/>
              <w:jc w:val="both"/>
              <w:rPr>
                <w:rFonts w:ascii="宋体" w:hAnsi="宋体" w:cs="宋体" w:eastAsia="宋体" w:hint="default"/>
                <w:sz w:val="18"/>
                <w:szCs w:val="18"/>
              </w:rPr>
            </w:pPr>
            <w:r>
              <w:rPr>
                <w:rFonts w:ascii="宋体" w:hAnsi="宋体" w:cs="宋体" w:eastAsia="宋体" w:hint="default"/>
                <w:sz w:val="18"/>
                <w:szCs w:val="18"/>
              </w:rPr>
              <w:t>深圳市创达天盛 智能科技有限公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341,756.70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94,550.68</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436,307.38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21" w:type="dxa"/>
        <w:tblLayout w:type="fixed"/>
        <w:tblCellMar>
          <w:top w:w="0" w:type="dxa"/>
          <w:left w:w="0" w:type="dxa"/>
          <w:bottom w:w="0" w:type="dxa"/>
          <w:right w:w="0" w:type="dxa"/>
        </w:tblCellMar>
        <w:tblLook w:val="01E0"/>
      </w:tblPr>
      <w:tblGrid>
        <w:gridCol w:w="1492"/>
        <w:gridCol w:w="1375"/>
        <w:gridCol w:w="1376"/>
        <w:gridCol w:w="1375"/>
        <w:gridCol w:w="1375"/>
        <w:gridCol w:w="1431"/>
        <w:gridCol w:w="1432"/>
      </w:tblGrid>
      <w:tr>
        <w:trPr>
          <w:trHeight w:val="601" w:hRule="exact"/>
        </w:trPr>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8"/>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30" w:right="16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530" w:right="16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600"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6"/>
              <w:ind w:left="103" w:right="117"/>
              <w:jc w:val="left"/>
              <w:rPr>
                <w:rFonts w:ascii="宋体" w:hAnsi="宋体" w:cs="宋体" w:eastAsia="宋体" w:hint="default"/>
                <w:sz w:val="18"/>
                <w:szCs w:val="18"/>
              </w:rPr>
            </w:pPr>
            <w:r>
              <w:rPr>
                <w:rFonts w:ascii="宋体" w:hAnsi="宋体" w:cs="宋体" w:eastAsia="宋体" w:hint="default"/>
                <w:sz w:val="18"/>
                <w:szCs w:val="18"/>
              </w:rPr>
              <w:t>中科创达韩国有 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1,472,398.22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-1,229,938.24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242,459.98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台湾聚引移动有 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1,199,955.47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-426,070.65</w:t>
            </w:r>
            <w:r>
              <w:rPr>
                <w:rFonts w:ascii="Times New Roman"/>
                <w:sz w:val="18"/>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773,884.82</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中科创达香港有 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2,440,500.04</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2,440,500.04</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4"/>
              <w:ind w:left="103" w:right="12"/>
              <w:jc w:val="left"/>
              <w:rPr>
                <w:rFonts w:ascii="宋体" w:hAnsi="宋体" w:cs="宋体" w:eastAsia="宋体" w:hint="default"/>
                <w:sz w:val="18"/>
                <w:szCs w:val="18"/>
              </w:rPr>
            </w:pPr>
            <w:r>
              <w:rPr>
                <w:rFonts w:ascii="宋体" w:hAnsi="宋体" w:cs="宋体" w:eastAsia="宋体" w:hint="default"/>
                <w:spacing w:val="-10"/>
                <w:sz w:val="18"/>
                <w:szCs w:val="18"/>
              </w:rPr>
              <w:t>中科创达（重庆）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汽车科技有限公 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10,019,194.41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10,019,194.41</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60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8"/>
              <w:ind w:left="103" w:right="117"/>
              <w:jc w:val="left"/>
              <w:rPr>
                <w:rFonts w:ascii="宋体" w:hAnsi="宋体" w:cs="宋体" w:eastAsia="宋体" w:hint="default"/>
                <w:sz w:val="18"/>
                <w:szCs w:val="18"/>
              </w:rPr>
            </w:pPr>
            <w:r>
              <w:rPr>
                <w:rFonts w:ascii="宋体" w:hAnsi="宋体" w:cs="宋体" w:eastAsia="宋体" w:hint="default"/>
                <w:sz w:val="18"/>
                <w:szCs w:val="18"/>
              </w:rPr>
              <w:t>南京中创盎赛软 件科技有限公司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221,910.25</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221,910.25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301,483,444.73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336,364,273.92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637,847,718.65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12"/>
          <w:szCs w:val="12"/>
        </w:rPr>
      </w:pPr>
    </w:p>
    <w:p>
      <w:pPr>
        <w:pStyle w:val="Heading4"/>
        <w:spacing w:line="240" w:lineRule="auto" w:before="35"/>
        <w:ind w:right="0"/>
        <w:jc w:val="left"/>
        <w:rPr>
          <w:b w:val="0"/>
          <w:bCs w:val="0"/>
        </w:rPr>
      </w:pPr>
      <w:bookmarkStart w:name="（2）对联营、合营企业投资" w:id="467"/>
      <w:bookmarkEnd w:id="46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5"/>
        <w:rPr>
          <w:rFonts w:ascii="宋体" w:hAnsi="宋体" w:cs="宋体" w:eastAsia="宋体" w:hint="default"/>
          <w:b/>
          <w:bCs/>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6"/>
          <w:szCs w:val="6"/>
        </w:rPr>
      </w:pPr>
    </w:p>
    <w:tbl>
      <w:tblPr>
        <w:tblW w:w="0" w:type="auto"/>
        <w:jc w:val="left"/>
        <w:tblInd w:w="1071" w:type="dxa"/>
        <w:tblLayout w:type="fixed"/>
        <w:tblCellMar>
          <w:top w:w="0" w:type="dxa"/>
          <w:left w:w="0" w:type="dxa"/>
          <w:bottom w:w="0" w:type="dxa"/>
          <w:right w:w="0" w:type="dxa"/>
        </w:tblCellMar>
        <w:tblLook w:val="01E0"/>
      </w:tblPr>
      <w:tblGrid>
        <w:gridCol w:w="748"/>
        <w:gridCol w:w="956"/>
        <w:gridCol w:w="749"/>
        <w:gridCol w:w="751"/>
        <w:gridCol w:w="882"/>
        <w:gridCol w:w="751"/>
        <w:gridCol w:w="955"/>
        <w:gridCol w:w="751"/>
        <w:gridCol w:w="752"/>
        <w:gridCol w:w="751"/>
        <w:gridCol w:w="955"/>
        <w:gridCol w:w="751"/>
      </w:tblGrid>
      <w:tr>
        <w:trPr>
          <w:trHeight w:val="407" w:hRule="exact"/>
        </w:trPr>
        <w:tc>
          <w:tcPr>
            <w:tcW w:w="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16"/>
                <w:szCs w:val="16"/>
              </w:rPr>
            </w:pPr>
            <w:r>
              <w:rPr>
                <w:rFonts w:ascii="宋体" w:hAnsi="宋体" w:cs="宋体" w:eastAsia="宋体" w:hint="default"/>
                <w:spacing w:val="-13"/>
                <w:sz w:val="16"/>
                <w:szCs w:val="16"/>
              </w:rPr>
              <w:t>投资单位</w:t>
            </w:r>
            <w:r>
              <w:rPr>
                <w:rFonts w:ascii="宋体" w:hAnsi="宋体" w:cs="宋体" w:eastAsia="宋体" w:hint="default"/>
                <w:sz w:val="16"/>
                <w:szCs w:val="16"/>
              </w:rPr>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6"/>
                <w:szCs w:val="16"/>
              </w:rPr>
            </w:pPr>
            <w:r>
              <w:rPr>
                <w:rFonts w:ascii="宋体" w:hAnsi="宋体" w:cs="宋体" w:eastAsia="宋体" w:hint="default"/>
                <w:spacing w:val="-13"/>
                <w:sz w:val="16"/>
                <w:szCs w:val="16"/>
              </w:rPr>
              <w:t>期初余额</w:t>
            </w:r>
            <w:r>
              <w:rPr>
                <w:rFonts w:ascii="宋体" w:hAnsi="宋体" w:cs="宋体" w:eastAsia="宋体" w:hint="default"/>
                <w:sz w:val="16"/>
                <w:szCs w:val="16"/>
              </w:rPr>
            </w:r>
          </w:p>
        </w:tc>
        <w:tc>
          <w:tcPr>
            <w:tcW w:w="634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9" w:right="0"/>
              <w:jc w:val="center"/>
              <w:rPr>
                <w:rFonts w:ascii="宋体" w:hAnsi="宋体" w:cs="宋体" w:eastAsia="宋体" w:hint="default"/>
                <w:sz w:val="16"/>
                <w:szCs w:val="16"/>
              </w:rPr>
            </w:pPr>
            <w:r>
              <w:rPr>
                <w:rFonts w:ascii="宋体" w:hAnsi="宋体" w:cs="宋体" w:eastAsia="宋体" w:hint="default"/>
                <w:spacing w:val="-11"/>
                <w:sz w:val="16"/>
                <w:szCs w:val="16"/>
              </w:rPr>
              <w:t>本期增减变动</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6" w:right="0"/>
              <w:jc w:val="left"/>
              <w:rPr>
                <w:rFonts w:ascii="宋体" w:hAnsi="宋体" w:cs="宋体" w:eastAsia="宋体" w:hint="default"/>
                <w:sz w:val="16"/>
                <w:szCs w:val="16"/>
              </w:rPr>
            </w:pPr>
            <w:r>
              <w:rPr>
                <w:rFonts w:ascii="宋体" w:hAnsi="宋体" w:cs="宋体" w:eastAsia="宋体" w:hint="default"/>
                <w:spacing w:val="-13"/>
                <w:sz w:val="16"/>
                <w:szCs w:val="16"/>
              </w:rPr>
              <w:t>期末余额</w:t>
            </w:r>
            <w:r>
              <w:rPr>
                <w:rFonts w:ascii="宋体" w:hAnsi="宋体" w:cs="宋体" w:eastAsia="宋体" w:hint="default"/>
                <w:sz w:val="16"/>
                <w:szCs w:val="16"/>
              </w:rPr>
            </w: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left="75" w:right="73"/>
              <w:jc w:val="left"/>
              <w:rPr>
                <w:rFonts w:ascii="宋体" w:hAnsi="宋体" w:cs="宋体" w:eastAsia="宋体" w:hint="default"/>
                <w:sz w:val="16"/>
                <w:szCs w:val="16"/>
              </w:rPr>
            </w:pPr>
            <w:r>
              <w:rPr>
                <w:rFonts w:ascii="宋体" w:hAnsi="宋体" w:cs="宋体" w:eastAsia="宋体" w:hint="default"/>
                <w:spacing w:val="-13"/>
                <w:sz w:val="16"/>
                <w:szCs w:val="16"/>
              </w:rPr>
              <w:t>减值准备</w:t>
            </w:r>
            <w:r>
              <w:rPr>
                <w:rFonts w:ascii="宋体" w:hAnsi="宋体" w:cs="宋体" w:eastAsia="宋体" w:hint="default"/>
                <w:spacing w:val="-78"/>
                <w:sz w:val="16"/>
                <w:szCs w:val="16"/>
              </w:rPr>
              <w:t> </w:t>
            </w:r>
            <w:r>
              <w:rPr>
                <w:rFonts w:ascii="宋体" w:hAnsi="宋体" w:cs="宋体" w:eastAsia="宋体" w:hint="default"/>
                <w:spacing w:val="-13"/>
                <w:sz w:val="16"/>
                <w:szCs w:val="16"/>
              </w:rPr>
              <w:t>期末余额</w:t>
            </w:r>
            <w:r>
              <w:rPr>
                <w:rFonts w:ascii="宋体" w:hAnsi="宋体" w:cs="宋体" w:eastAsia="宋体" w:hint="default"/>
                <w:sz w:val="16"/>
                <w:szCs w:val="16"/>
              </w:rPr>
            </w:r>
          </w:p>
        </w:tc>
      </w:tr>
      <w:tr>
        <w:trPr>
          <w:trHeight w:val="773" w:hRule="exact"/>
        </w:trPr>
        <w:tc>
          <w:tcPr>
            <w:tcW w:w="748"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16"/>
                <w:szCs w:val="16"/>
              </w:rPr>
            </w:pPr>
            <w:r>
              <w:rPr>
                <w:rFonts w:ascii="宋体" w:hAnsi="宋体" w:cs="宋体" w:eastAsia="宋体" w:hint="default"/>
                <w:spacing w:val="-13"/>
                <w:sz w:val="16"/>
                <w:szCs w:val="16"/>
              </w:rPr>
              <w:t>追加投资</w:t>
            </w:r>
            <w:r>
              <w:rPr>
                <w:rFonts w:ascii="宋体" w:hAnsi="宋体" w:cs="宋体" w:eastAsia="宋体" w:hint="default"/>
                <w:sz w:val="16"/>
                <w:szCs w:val="16"/>
              </w:rPr>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4" w:right="0"/>
              <w:jc w:val="left"/>
              <w:rPr>
                <w:rFonts w:ascii="宋体" w:hAnsi="宋体" w:cs="宋体" w:eastAsia="宋体" w:hint="default"/>
                <w:sz w:val="16"/>
                <w:szCs w:val="16"/>
              </w:rPr>
            </w:pPr>
            <w:r>
              <w:rPr>
                <w:rFonts w:ascii="宋体" w:hAnsi="宋体" w:cs="宋体" w:eastAsia="宋体" w:hint="default"/>
                <w:spacing w:val="-13"/>
                <w:sz w:val="16"/>
                <w:szCs w:val="16"/>
              </w:rPr>
              <w:t>减少投资</w:t>
            </w:r>
            <w:r>
              <w:rPr>
                <w:rFonts w:ascii="宋体" w:hAnsi="宋体" w:cs="宋体" w:eastAsia="宋体" w:hint="default"/>
                <w:sz w:val="16"/>
                <w:szCs w:val="16"/>
              </w:rPr>
            </w:r>
          </w:p>
        </w:tc>
        <w:tc>
          <w:tcPr>
            <w:tcW w:w="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64" w:right="54"/>
              <w:jc w:val="center"/>
              <w:rPr>
                <w:rFonts w:ascii="宋体" w:hAnsi="宋体" w:cs="宋体" w:eastAsia="宋体" w:hint="default"/>
                <w:sz w:val="16"/>
                <w:szCs w:val="16"/>
              </w:rPr>
            </w:pPr>
            <w:r>
              <w:rPr>
                <w:rFonts w:ascii="宋体" w:hAnsi="宋体" w:cs="宋体" w:eastAsia="宋体" w:hint="default"/>
                <w:spacing w:val="-11"/>
                <w:sz w:val="16"/>
                <w:szCs w:val="16"/>
              </w:rPr>
              <w:t>权益法下确</w:t>
            </w:r>
            <w:r>
              <w:rPr>
                <w:rFonts w:ascii="宋体" w:hAnsi="宋体" w:cs="宋体" w:eastAsia="宋体" w:hint="default"/>
                <w:w w:val="99"/>
                <w:sz w:val="16"/>
                <w:szCs w:val="16"/>
              </w:rPr>
              <w:t> </w:t>
            </w:r>
            <w:r>
              <w:rPr>
                <w:rFonts w:ascii="宋体" w:hAnsi="宋体" w:cs="宋体" w:eastAsia="宋体" w:hint="default"/>
                <w:spacing w:val="-11"/>
                <w:sz w:val="16"/>
                <w:szCs w:val="16"/>
              </w:rPr>
              <w:t>认的投资损</w:t>
            </w:r>
            <w:r>
              <w:rPr>
                <w:rFonts w:ascii="宋体" w:hAnsi="宋体" w:cs="宋体" w:eastAsia="宋体" w:hint="default"/>
                <w:w w:val="99"/>
                <w:sz w:val="16"/>
                <w:szCs w:val="16"/>
              </w:rPr>
              <w:t> </w:t>
            </w:r>
            <w:r>
              <w:rPr>
                <w:rFonts w:ascii="宋体" w:hAnsi="宋体" w:cs="宋体" w:eastAsia="宋体" w:hint="default"/>
                <w:sz w:val="16"/>
                <w:szCs w:val="16"/>
              </w:rPr>
              <w:t>益</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06" w:lineRule="exact"/>
              <w:ind w:left="74" w:right="74"/>
              <w:jc w:val="left"/>
              <w:rPr>
                <w:rFonts w:ascii="宋体" w:hAnsi="宋体" w:cs="宋体" w:eastAsia="宋体" w:hint="default"/>
                <w:sz w:val="16"/>
                <w:szCs w:val="16"/>
              </w:rPr>
            </w:pPr>
            <w:r>
              <w:rPr>
                <w:rFonts w:ascii="宋体" w:hAnsi="宋体" w:cs="宋体" w:eastAsia="宋体" w:hint="default"/>
                <w:spacing w:val="-13"/>
                <w:sz w:val="16"/>
                <w:szCs w:val="16"/>
              </w:rPr>
              <w:t>其他综合</w:t>
            </w:r>
            <w:r>
              <w:rPr>
                <w:rFonts w:ascii="宋体" w:hAnsi="宋体" w:cs="宋体" w:eastAsia="宋体" w:hint="default"/>
                <w:spacing w:val="-78"/>
                <w:sz w:val="16"/>
                <w:szCs w:val="16"/>
              </w:rPr>
              <w:t> </w:t>
            </w:r>
            <w:r>
              <w:rPr>
                <w:rFonts w:ascii="宋体" w:hAnsi="宋体" w:cs="宋体" w:eastAsia="宋体" w:hint="default"/>
                <w:spacing w:val="-13"/>
                <w:sz w:val="16"/>
                <w:szCs w:val="16"/>
              </w:rPr>
              <w:t>收益调整</w:t>
            </w:r>
            <w:r>
              <w:rPr>
                <w:rFonts w:ascii="宋体" w:hAnsi="宋体" w:cs="宋体" w:eastAsia="宋体" w:hint="default"/>
                <w:sz w:val="16"/>
                <w:szCs w:val="16"/>
              </w:rPr>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108"/>
              <w:ind w:left="323" w:right="176" w:hanging="148"/>
              <w:jc w:val="left"/>
              <w:rPr>
                <w:rFonts w:ascii="宋体" w:hAnsi="宋体" w:cs="宋体" w:eastAsia="宋体" w:hint="default"/>
                <w:sz w:val="16"/>
                <w:szCs w:val="16"/>
              </w:rPr>
            </w:pPr>
            <w:r>
              <w:rPr>
                <w:rFonts w:ascii="宋体" w:hAnsi="宋体" w:cs="宋体" w:eastAsia="宋体" w:hint="default"/>
                <w:spacing w:val="-13"/>
                <w:sz w:val="16"/>
                <w:szCs w:val="16"/>
              </w:rPr>
              <w:t>其他权益</w:t>
            </w:r>
            <w:r>
              <w:rPr>
                <w:rFonts w:ascii="宋体" w:hAnsi="宋体" w:cs="宋体" w:eastAsia="宋体" w:hint="default"/>
                <w:spacing w:val="-78"/>
                <w:sz w:val="16"/>
                <w:szCs w:val="16"/>
              </w:rPr>
              <w:t> </w:t>
            </w:r>
            <w:r>
              <w:rPr>
                <w:rFonts w:ascii="宋体" w:hAnsi="宋体" w:cs="宋体" w:eastAsia="宋体" w:hint="default"/>
                <w:spacing w:val="-13"/>
                <w:sz w:val="16"/>
                <w:szCs w:val="16"/>
              </w:rPr>
              <w:t>变动</w:t>
            </w:r>
            <w:r>
              <w:rPr>
                <w:rFonts w:ascii="宋体" w:hAnsi="宋体" w:cs="宋体" w:eastAsia="宋体" w:hint="default"/>
                <w:sz w:val="16"/>
                <w:szCs w:val="16"/>
              </w:rPr>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75" w:right="73"/>
              <w:jc w:val="both"/>
              <w:rPr>
                <w:rFonts w:ascii="宋体" w:hAnsi="宋体" w:cs="宋体" w:eastAsia="宋体" w:hint="default"/>
                <w:sz w:val="16"/>
                <w:szCs w:val="16"/>
              </w:rPr>
            </w:pPr>
            <w:r>
              <w:rPr>
                <w:rFonts w:ascii="宋体" w:hAnsi="宋体" w:cs="宋体" w:eastAsia="宋体" w:hint="default"/>
                <w:spacing w:val="-13"/>
                <w:sz w:val="16"/>
                <w:szCs w:val="16"/>
              </w:rPr>
              <w:t>宣告发放</w:t>
            </w:r>
            <w:r>
              <w:rPr>
                <w:rFonts w:ascii="宋体" w:hAnsi="宋体" w:cs="宋体" w:eastAsia="宋体" w:hint="default"/>
                <w:spacing w:val="-78"/>
                <w:sz w:val="16"/>
                <w:szCs w:val="16"/>
              </w:rPr>
              <w:t> </w:t>
            </w:r>
            <w:r>
              <w:rPr>
                <w:rFonts w:ascii="宋体" w:hAnsi="宋体" w:cs="宋体" w:eastAsia="宋体" w:hint="default"/>
                <w:spacing w:val="-13"/>
                <w:sz w:val="16"/>
                <w:szCs w:val="16"/>
              </w:rPr>
              <w:t>现金股利</w:t>
            </w:r>
            <w:r>
              <w:rPr>
                <w:rFonts w:ascii="宋体" w:hAnsi="宋体" w:cs="宋体" w:eastAsia="宋体" w:hint="default"/>
                <w:spacing w:val="-78"/>
                <w:sz w:val="16"/>
                <w:szCs w:val="16"/>
              </w:rPr>
              <w:t> </w:t>
            </w:r>
            <w:r>
              <w:rPr>
                <w:rFonts w:ascii="宋体" w:hAnsi="宋体" w:cs="宋体" w:eastAsia="宋体" w:hint="default"/>
                <w:spacing w:val="-13"/>
                <w:sz w:val="16"/>
                <w:szCs w:val="16"/>
              </w:rPr>
              <w:t>或利润</w:t>
            </w:r>
            <w:r>
              <w:rPr>
                <w:rFonts w:ascii="宋体" w:hAnsi="宋体" w:cs="宋体" w:eastAsia="宋体" w:hint="default"/>
                <w:sz w:val="16"/>
                <w:szCs w:val="16"/>
              </w:rPr>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06" w:lineRule="exact"/>
              <w:ind w:left="223" w:right="75" w:hanging="148"/>
              <w:jc w:val="left"/>
              <w:rPr>
                <w:rFonts w:ascii="宋体" w:hAnsi="宋体" w:cs="宋体" w:eastAsia="宋体" w:hint="default"/>
                <w:sz w:val="16"/>
                <w:szCs w:val="16"/>
              </w:rPr>
            </w:pPr>
            <w:r>
              <w:rPr>
                <w:rFonts w:ascii="宋体" w:hAnsi="宋体" w:cs="宋体" w:eastAsia="宋体" w:hint="default"/>
                <w:spacing w:val="-13"/>
                <w:sz w:val="16"/>
                <w:szCs w:val="16"/>
              </w:rPr>
              <w:t>计提减值</w:t>
            </w:r>
            <w:r>
              <w:rPr>
                <w:rFonts w:ascii="宋体" w:hAnsi="宋体" w:cs="宋体" w:eastAsia="宋体" w:hint="default"/>
                <w:spacing w:val="-78"/>
                <w:sz w:val="16"/>
                <w:szCs w:val="16"/>
              </w:rPr>
              <w:t> </w:t>
            </w:r>
            <w:r>
              <w:rPr>
                <w:rFonts w:ascii="宋体" w:hAnsi="宋体" w:cs="宋体" w:eastAsia="宋体" w:hint="default"/>
                <w:spacing w:val="-13"/>
                <w:sz w:val="16"/>
                <w:szCs w:val="16"/>
              </w:rPr>
              <w:t>准备</w:t>
            </w:r>
            <w:r>
              <w:rPr>
                <w:rFonts w:ascii="宋体" w:hAnsi="宋体" w:cs="宋体" w:eastAsia="宋体" w:hint="default"/>
                <w:sz w:val="16"/>
                <w:szCs w:val="16"/>
              </w:rPr>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pacing w:val="-13"/>
                <w:sz w:val="16"/>
                <w:szCs w:val="16"/>
              </w:rPr>
              <w:t>其他</w:t>
            </w:r>
            <w:r>
              <w:rPr>
                <w:rFonts w:ascii="宋体" w:hAnsi="宋体" w:cs="宋体" w:eastAsia="宋体" w:hint="default"/>
                <w:sz w:val="16"/>
                <w:szCs w:val="16"/>
              </w:rPr>
            </w:r>
          </w:p>
        </w:tc>
        <w:tc>
          <w:tcPr>
            <w:tcW w:w="955" w:type="dxa"/>
            <w:vMerge/>
            <w:tcBorders>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r>
      <w:tr>
        <w:trPr>
          <w:trHeight w:val="390" w:hRule="exact"/>
        </w:trPr>
        <w:tc>
          <w:tcPr>
            <w:tcW w:w="975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6"/>
                <w:szCs w:val="16"/>
              </w:rPr>
            </w:pPr>
            <w:r>
              <w:rPr>
                <w:rFonts w:ascii="宋体" w:hAnsi="宋体" w:cs="宋体" w:eastAsia="宋体" w:hint="default"/>
                <w:spacing w:val="-11"/>
                <w:sz w:val="16"/>
                <w:szCs w:val="16"/>
              </w:rPr>
              <w:t>一、合营企业</w:t>
            </w:r>
          </w:p>
        </w:tc>
      </w:tr>
      <w:tr>
        <w:trPr>
          <w:trHeight w:val="758"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52" w:right="93"/>
              <w:jc w:val="both"/>
              <w:rPr>
                <w:rFonts w:ascii="宋体" w:hAnsi="宋体" w:cs="宋体" w:eastAsia="宋体" w:hint="default"/>
                <w:sz w:val="16"/>
                <w:szCs w:val="16"/>
              </w:rPr>
            </w:pPr>
            <w:r>
              <w:rPr>
                <w:rFonts w:ascii="宋体" w:hAnsi="宋体" w:cs="宋体" w:eastAsia="宋体" w:hint="default"/>
                <w:spacing w:val="-13"/>
                <w:sz w:val="16"/>
                <w:szCs w:val="16"/>
              </w:rPr>
              <w:t>中天智慧</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3,717,559.30</w:t>
            </w:r>
            <w:r>
              <w:rPr>
                <w:rFonts w:ascii="Times New Roman"/>
                <w:spacing w:val="-6"/>
                <w:sz w:val="16"/>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-332,525.42</w:t>
            </w: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4,849.48</w:t>
            </w: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57" w:right="0"/>
              <w:jc w:val="center"/>
              <w:rPr>
                <w:rFonts w:ascii="Times New Roman" w:hAnsi="Times New Roman" w:cs="Times New Roman" w:eastAsia="Times New Roman" w:hint="default"/>
                <w:sz w:val="16"/>
                <w:szCs w:val="16"/>
              </w:rPr>
            </w:pPr>
            <w:r>
              <w:rPr>
                <w:rFonts w:ascii="Times New Roman"/>
                <w:spacing w:val="-6"/>
                <w:sz w:val="16"/>
              </w:rPr>
              <w:t>66,506.44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3,456,389.80</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 w:right="93"/>
              <w:jc w:val="both"/>
              <w:rPr>
                <w:rFonts w:ascii="宋体" w:hAnsi="宋体" w:cs="宋体" w:eastAsia="宋体" w:hint="default"/>
                <w:sz w:val="16"/>
                <w:szCs w:val="16"/>
              </w:rPr>
            </w:pPr>
            <w:r>
              <w:rPr>
                <w:rFonts w:ascii="宋体" w:hAnsi="宋体" w:cs="宋体" w:eastAsia="宋体" w:hint="default"/>
                <w:spacing w:val="-13"/>
                <w:sz w:val="16"/>
                <w:szCs w:val="16"/>
              </w:rPr>
              <w:t>北京安创</w:t>
            </w:r>
            <w:r>
              <w:rPr>
                <w:rFonts w:ascii="宋体" w:hAnsi="宋体" w:cs="宋体" w:eastAsia="宋体" w:hint="default"/>
                <w:spacing w:val="-78"/>
                <w:sz w:val="16"/>
                <w:szCs w:val="16"/>
              </w:rPr>
              <w:t> </w:t>
            </w:r>
            <w:r>
              <w:rPr>
                <w:rFonts w:ascii="宋体" w:hAnsi="宋体" w:cs="宋体" w:eastAsia="宋体" w:hint="default"/>
                <w:spacing w:val="-13"/>
                <w:sz w:val="16"/>
                <w:szCs w:val="16"/>
              </w:rPr>
              <w:t>空间科技</w:t>
            </w:r>
            <w:r>
              <w:rPr>
                <w:rFonts w:ascii="宋体" w:hAnsi="宋体" w:cs="宋体" w:eastAsia="宋体" w:hint="default"/>
                <w:spacing w:val="-78"/>
                <w:sz w:val="16"/>
                <w:szCs w:val="16"/>
              </w:rPr>
              <w:t> </w:t>
            </w:r>
            <w:r>
              <w:rPr>
                <w:rFonts w:ascii="宋体" w:hAnsi="宋体" w:cs="宋体" w:eastAsia="宋体" w:hint="default"/>
                <w:spacing w:val="-13"/>
                <w:sz w:val="16"/>
                <w:szCs w:val="16"/>
              </w:rPr>
              <w:t>有限公司</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8,512,444.43</w:t>
            </w:r>
            <w:r>
              <w:rPr>
                <w:rFonts w:ascii="Times New Roman"/>
                <w:spacing w:val="-6"/>
                <w:sz w:val="16"/>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982,076.94</w:t>
            </w: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9,494,521.37</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757" w:hRule="exact"/>
        </w:trPr>
        <w:tc>
          <w:tcPr>
            <w:tcW w:w="748" w:type="dxa"/>
            <w:tcBorders>
              <w:top w:val="single" w:sz="4" w:space="0" w:color="000000"/>
              <w:left w:val="single" w:sz="4" w:space="0" w:color="000000"/>
              <w:bottom w:val="single" w:sz="17" w:space="0" w:color="D2D2D2"/>
              <w:right w:val="single" w:sz="4" w:space="0" w:color="000000"/>
            </w:tcBorders>
          </w:tcPr>
          <w:p>
            <w:pPr>
              <w:pStyle w:val="TableParagraph"/>
              <w:spacing w:line="237" w:lineRule="auto" w:before="38"/>
              <w:ind w:left="52" w:right="93"/>
              <w:jc w:val="both"/>
              <w:rPr>
                <w:rFonts w:ascii="宋体" w:hAnsi="宋体" w:cs="宋体" w:eastAsia="宋体" w:hint="default"/>
                <w:sz w:val="16"/>
                <w:szCs w:val="16"/>
              </w:rPr>
            </w:pPr>
            <w:r>
              <w:rPr>
                <w:rFonts w:ascii="宋体" w:hAnsi="宋体" w:cs="宋体" w:eastAsia="宋体" w:hint="default"/>
                <w:spacing w:val="-13"/>
                <w:sz w:val="16"/>
                <w:szCs w:val="16"/>
              </w:rPr>
              <w:t>重庆创华</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8,403,804.10</w:t>
            </w:r>
            <w:r>
              <w:rPr>
                <w:rFonts w:ascii="Times New Roman"/>
                <w:spacing w:val="-6"/>
                <w:sz w:val="16"/>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73,728.60</w:t>
            </w: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8,477,532.70</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2" w:right="0"/>
              <w:jc w:val="left"/>
              <w:rPr>
                <w:rFonts w:ascii="宋体" w:hAnsi="宋体" w:cs="宋体" w:eastAsia="宋体" w:hint="default"/>
                <w:sz w:val="16"/>
                <w:szCs w:val="16"/>
              </w:rPr>
            </w:pPr>
            <w:r>
              <w:rPr>
                <w:rFonts w:ascii="宋体" w:hAnsi="宋体" w:cs="宋体" w:eastAsia="宋体" w:hint="default"/>
                <w:spacing w:val="-13"/>
                <w:sz w:val="16"/>
                <w:szCs w:val="16"/>
              </w:rPr>
              <w:t>小计</w:t>
            </w:r>
            <w:r>
              <w:rPr>
                <w:rFonts w:ascii="宋体" w:hAnsi="宋体" w:cs="宋体" w:eastAsia="宋体" w:hint="default"/>
                <w:sz w:val="16"/>
                <w:szCs w:val="16"/>
              </w:rPr>
            </w:r>
          </w:p>
        </w:tc>
        <w:tc>
          <w:tcPr>
            <w:tcW w:w="956"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6"/>
                <w:szCs w:val="16"/>
              </w:rPr>
            </w:pPr>
            <w:r>
              <w:rPr>
                <w:rFonts w:ascii="Times New Roman"/>
                <w:spacing w:val="-6"/>
                <w:w w:val="95"/>
                <w:sz w:val="16"/>
              </w:rPr>
              <w:t>20,633,807.83</w:t>
            </w:r>
            <w:r>
              <w:rPr>
                <w:rFonts w:ascii="Times New Roman"/>
                <w:spacing w:val="-6"/>
                <w:sz w:val="16"/>
              </w:rPr>
            </w:r>
          </w:p>
        </w:tc>
        <w:tc>
          <w:tcPr>
            <w:tcW w:w="749" w:type="dxa"/>
            <w:tcBorders>
              <w:top w:val="single" w:sz="4" w:space="0" w:color="000000"/>
              <w:left w:val="single" w:sz="4" w:space="0" w:color="000000"/>
              <w:bottom w:val="single" w:sz="17" w:space="0" w:color="D2D2D2"/>
              <w:right w:val="single" w:sz="4" w:space="0" w:color="000000"/>
            </w:tcBorders>
          </w:tcPr>
          <w:p>
            <w:pPr/>
          </w:p>
        </w:tc>
        <w:tc>
          <w:tcPr>
            <w:tcW w:w="751" w:type="dxa"/>
            <w:tcBorders>
              <w:top w:val="single" w:sz="4" w:space="0" w:color="000000"/>
              <w:left w:val="single" w:sz="4" w:space="0" w:color="000000"/>
              <w:bottom w:val="single" w:sz="17" w:space="0" w:color="D2D2D2"/>
              <w:right w:val="single" w:sz="4" w:space="0" w:color="000000"/>
            </w:tcBorders>
          </w:tcPr>
          <w:p>
            <w:pPr/>
          </w:p>
        </w:tc>
        <w:tc>
          <w:tcPr>
            <w:tcW w:w="882"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sz w:val="16"/>
              </w:rPr>
              <w:t>723,280.12</w:t>
            </w:r>
          </w:p>
        </w:tc>
        <w:tc>
          <w:tcPr>
            <w:tcW w:w="751" w:type="dxa"/>
            <w:tcBorders>
              <w:top w:val="single" w:sz="4" w:space="0" w:color="000000"/>
              <w:left w:val="single" w:sz="4" w:space="0" w:color="000000"/>
              <w:bottom w:val="single" w:sz="17" w:space="0" w:color="D2D2D2"/>
              <w:right w:val="single" w:sz="4" w:space="0" w:color="000000"/>
            </w:tcBorders>
          </w:tcPr>
          <w:p>
            <w:pPr/>
          </w:p>
        </w:tc>
        <w:tc>
          <w:tcPr>
            <w:tcW w:w="955"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1"/>
              <w:ind w:right="44"/>
              <w:jc w:val="right"/>
              <w:rPr>
                <w:rFonts w:ascii="Times New Roman" w:hAnsi="Times New Roman" w:cs="Times New Roman" w:eastAsia="Times New Roman" w:hint="default"/>
                <w:sz w:val="16"/>
                <w:szCs w:val="16"/>
              </w:rPr>
            </w:pPr>
            <w:r>
              <w:rPr>
                <w:rFonts w:ascii="Times New Roman"/>
                <w:spacing w:val="-6"/>
                <w:sz w:val="16"/>
              </w:rPr>
              <w:t>4,849.48</w:t>
            </w:r>
          </w:p>
        </w:tc>
        <w:tc>
          <w:tcPr>
            <w:tcW w:w="751" w:type="dxa"/>
            <w:tcBorders>
              <w:top w:val="single" w:sz="4" w:space="0" w:color="000000"/>
              <w:left w:val="single" w:sz="4" w:space="0" w:color="000000"/>
              <w:bottom w:val="single" w:sz="17" w:space="0" w:color="D2D2D2"/>
              <w:right w:val="single" w:sz="4" w:space="0" w:color="000000"/>
            </w:tcBorders>
          </w:tcPr>
          <w:p>
            <w:pPr/>
          </w:p>
        </w:tc>
        <w:tc>
          <w:tcPr>
            <w:tcW w:w="752" w:type="dxa"/>
            <w:tcBorders>
              <w:top w:val="single" w:sz="4" w:space="0" w:color="000000"/>
              <w:left w:val="single" w:sz="4" w:space="0" w:color="000000"/>
              <w:bottom w:val="single" w:sz="17" w:space="0" w:color="D2D2D2"/>
              <w:right w:val="single" w:sz="4" w:space="0" w:color="000000"/>
            </w:tcBorders>
          </w:tcPr>
          <w:p>
            <w:pPr/>
          </w:p>
        </w:tc>
        <w:tc>
          <w:tcPr>
            <w:tcW w:w="751"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1"/>
              <w:ind w:left="57" w:right="0"/>
              <w:jc w:val="center"/>
              <w:rPr>
                <w:rFonts w:ascii="Times New Roman" w:hAnsi="Times New Roman" w:cs="Times New Roman" w:eastAsia="Times New Roman" w:hint="default"/>
                <w:sz w:val="16"/>
                <w:szCs w:val="16"/>
              </w:rPr>
            </w:pPr>
            <w:r>
              <w:rPr>
                <w:rFonts w:ascii="Times New Roman"/>
                <w:spacing w:val="-6"/>
                <w:sz w:val="16"/>
              </w:rPr>
              <w:t>66,506.44</w:t>
            </w:r>
          </w:p>
        </w:tc>
        <w:tc>
          <w:tcPr>
            <w:tcW w:w="955" w:type="dxa"/>
            <w:tcBorders>
              <w:top w:val="single" w:sz="4" w:space="0" w:color="000000"/>
              <w:left w:val="single" w:sz="4" w:space="0" w:color="000000"/>
              <w:bottom w:val="single" w:sz="17" w:space="0" w:color="D2D2D2"/>
              <w:right w:val="single" w:sz="4" w:space="0" w:color="000000"/>
            </w:tcBorders>
          </w:tcPr>
          <w:p>
            <w:pPr>
              <w:pStyle w:val="TableParagraph"/>
              <w:spacing w:line="240" w:lineRule="auto" w:before="101"/>
              <w:ind w:right="42"/>
              <w:jc w:val="right"/>
              <w:rPr>
                <w:rFonts w:ascii="Times New Roman" w:hAnsi="Times New Roman" w:cs="Times New Roman" w:eastAsia="Times New Roman" w:hint="default"/>
                <w:sz w:val="16"/>
                <w:szCs w:val="16"/>
              </w:rPr>
            </w:pPr>
            <w:r>
              <w:rPr>
                <w:rFonts w:ascii="Times New Roman"/>
                <w:spacing w:val="-6"/>
                <w:w w:val="95"/>
                <w:sz w:val="16"/>
              </w:rPr>
              <w:t>21,428,443.87</w:t>
            </w:r>
            <w:r>
              <w:rPr>
                <w:rFonts w:ascii="Times New Roman"/>
                <w:spacing w:val="-6"/>
                <w:sz w:val="16"/>
              </w:rPr>
            </w:r>
          </w:p>
        </w:tc>
        <w:tc>
          <w:tcPr>
            <w:tcW w:w="751" w:type="dxa"/>
            <w:tcBorders>
              <w:top w:val="single" w:sz="4" w:space="0" w:color="000000"/>
              <w:left w:val="single" w:sz="4" w:space="0" w:color="000000"/>
              <w:bottom w:val="single" w:sz="17" w:space="0" w:color="D2D2D2"/>
              <w:right w:val="single" w:sz="4" w:space="0" w:color="000000"/>
            </w:tcBorders>
          </w:tcPr>
          <w:p>
            <w:pPr/>
          </w:p>
        </w:tc>
      </w:tr>
      <w:tr>
        <w:trPr>
          <w:trHeight w:val="374" w:hRule="exact"/>
        </w:trPr>
        <w:tc>
          <w:tcPr>
            <w:tcW w:w="975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6"/>
                <w:szCs w:val="16"/>
              </w:rPr>
            </w:pPr>
            <w:r>
              <w:rPr>
                <w:rFonts w:ascii="宋体" w:hAnsi="宋体" w:cs="宋体" w:eastAsia="宋体" w:hint="default"/>
                <w:spacing w:val="-11"/>
                <w:sz w:val="16"/>
                <w:szCs w:val="16"/>
              </w:rPr>
              <w:t>二、联营企业</w:t>
            </w:r>
          </w:p>
        </w:tc>
      </w:tr>
      <w:tr>
        <w:trPr>
          <w:trHeight w:val="980" w:hRule="exact"/>
        </w:trPr>
        <w:tc>
          <w:tcPr>
            <w:tcW w:w="748"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35"/>
              <w:ind w:left="52" w:right="93"/>
              <w:jc w:val="both"/>
              <w:rPr>
                <w:rFonts w:ascii="宋体" w:hAnsi="宋体" w:cs="宋体" w:eastAsia="宋体" w:hint="default"/>
                <w:sz w:val="16"/>
                <w:szCs w:val="16"/>
              </w:rPr>
            </w:pPr>
            <w:r>
              <w:rPr>
                <w:rFonts w:ascii="宋体" w:hAnsi="宋体" w:cs="宋体" w:eastAsia="宋体" w:hint="default"/>
                <w:spacing w:val="-13"/>
                <w:sz w:val="16"/>
                <w:szCs w:val="16"/>
              </w:rPr>
              <w:t>北京云创</w:t>
            </w:r>
            <w:r>
              <w:rPr>
                <w:rFonts w:ascii="宋体" w:hAnsi="宋体" w:cs="宋体" w:eastAsia="宋体" w:hint="default"/>
                <w:spacing w:val="-78"/>
                <w:sz w:val="16"/>
                <w:szCs w:val="16"/>
              </w:rPr>
              <w:t> </w:t>
            </w:r>
            <w:r>
              <w:rPr>
                <w:rFonts w:ascii="宋体" w:hAnsi="宋体" w:cs="宋体" w:eastAsia="宋体" w:hint="default"/>
                <w:spacing w:val="-13"/>
                <w:sz w:val="16"/>
                <w:szCs w:val="16"/>
              </w:rPr>
              <w:t>远景软件</w:t>
            </w:r>
            <w:r>
              <w:rPr>
                <w:rFonts w:ascii="宋体" w:hAnsi="宋体" w:cs="宋体" w:eastAsia="宋体" w:hint="default"/>
                <w:spacing w:val="-78"/>
                <w:sz w:val="16"/>
                <w:szCs w:val="16"/>
              </w:rPr>
              <w:t> </w:t>
            </w:r>
            <w:r>
              <w:rPr>
                <w:rFonts w:ascii="宋体" w:hAnsi="宋体" w:cs="宋体" w:eastAsia="宋体" w:hint="default"/>
                <w:spacing w:val="-13"/>
                <w:sz w:val="16"/>
                <w:szCs w:val="16"/>
              </w:rPr>
              <w:t>有限责任</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956"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sz w:val="16"/>
              </w:rPr>
              <w:t>31,068.79</w:t>
            </w:r>
          </w:p>
        </w:tc>
        <w:tc>
          <w:tcPr>
            <w:tcW w:w="749" w:type="dxa"/>
            <w:tcBorders>
              <w:top w:val="single" w:sz="17" w:space="0" w:color="D2D2D2"/>
              <w:left w:val="single" w:sz="4" w:space="0" w:color="000000"/>
              <w:bottom w:val="single" w:sz="4" w:space="0" w:color="000000"/>
              <w:right w:val="single" w:sz="4" w:space="0" w:color="000000"/>
            </w:tcBorders>
          </w:tcPr>
          <w:p>
            <w:pPr/>
          </w:p>
        </w:tc>
        <w:tc>
          <w:tcPr>
            <w:tcW w:w="751" w:type="dxa"/>
            <w:tcBorders>
              <w:top w:val="single" w:sz="17" w:space="0" w:color="D2D2D2"/>
              <w:left w:val="single" w:sz="4" w:space="0" w:color="000000"/>
              <w:bottom w:val="single" w:sz="4" w:space="0" w:color="000000"/>
              <w:right w:val="single" w:sz="4" w:space="0" w:color="000000"/>
            </w:tcBorders>
          </w:tcPr>
          <w:p>
            <w:pPr/>
          </w:p>
        </w:tc>
        <w:tc>
          <w:tcPr>
            <w:tcW w:w="882"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103,190.34</w:t>
            </w:r>
          </w:p>
        </w:tc>
        <w:tc>
          <w:tcPr>
            <w:tcW w:w="751" w:type="dxa"/>
            <w:tcBorders>
              <w:top w:val="single" w:sz="17" w:space="0" w:color="D2D2D2"/>
              <w:left w:val="single" w:sz="4" w:space="0" w:color="000000"/>
              <w:bottom w:val="single" w:sz="4" w:space="0" w:color="000000"/>
              <w:right w:val="single" w:sz="4" w:space="0" w:color="000000"/>
            </w:tcBorders>
          </w:tcPr>
          <w:p>
            <w:pPr/>
          </w:p>
        </w:tc>
        <w:tc>
          <w:tcPr>
            <w:tcW w:w="955"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2,084.69</w:t>
            </w:r>
          </w:p>
        </w:tc>
        <w:tc>
          <w:tcPr>
            <w:tcW w:w="751" w:type="dxa"/>
            <w:tcBorders>
              <w:top w:val="single" w:sz="17" w:space="0" w:color="D2D2D2"/>
              <w:left w:val="single" w:sz="4" w:space="0" w:color="000000"/>
              <w:bottom w:val="single" w:sz="4" w:space="0" w:color="000000"/>
              <w:right w:val="single" w:sz="4" w:space="0" w:color="000000"/>
            </w:tcBorders>
          </w:tcPr>
          <w:p>
            <w:pPr/>
          </w:p>
        </w:tc>
        <w:tc>
          <w:tcPr>
            <w:tcW w:w="752" w:type="dxa"/>
            <w:tcBorders>
              <w:top w:val="single" w:sz="17" w:space="0" w:color="D2D2D2"/>
              <w:left w:val="single" w:sz="4" w:space="0" w:color="000000"/>
              <w:bottom w:val="single" w:sz="4" w:space="0" w:color="000000"/>
              <w:right w:val="single" w:sz="4" w:space="0" w:color="000000"/>
            </w:tcBorders>
          </w:tcPr>
          <w:p>
            <w:pPr/>
          </w:p>
        </w:tc>
        <w:tc>
          <w:tcPr>
            <w:tcW w:w="751"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7" w:right="0"/>
              <w:jc w:val="center"/>
              <w:rPr>
                <w:rFonts w:ascii="Times New Roman" w:hAnsi="Times New Roman" w:cs="Times New Roman" w:eastAsia="Times New Roman" w:hint="default"/>
                <w:sz w:val="16"/>
                <w:szCs w:val="16"/>
              </w:rPr>
            </w:pPr>
            <w:r>
              <w:rPr>
                <w:rFonts w:ascii="Times New Roman"/>
                <w:spacing w:val="-6"/>
                <w:sz w:val="16"/>
              </w:rPr>
              <w:t>10,055.19</w:t>
            </w:r>
          </w:p>
        </w:tc>
        <w:tc>
          <w:tcPr>
            <w:tcW w:w="955"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sz w:val="16"/>
              </w:rPr>
              <w:t>146,399.01</w:t>
            </w:r>
          </w:p>
        </w:tc>
        <w:tc>
          <w:tcPr>
            <w:tcW w:w="751" w:type="dxa"/>
            <w:tcBorders>
              <w:top w:val="single" w:sz="17" w:space="0" w:color="D2D2D2"/>
              <w:left w:val="single" w:sz="4" w:space="0" w:color="000000"/>
              <w:bottom w:val="single" w:sz="4" w:space="0" w:color="000000"/>
              <w:right w:val="single" w:sz="4" w:space="0" w:color="000000"/>
            </w:tcBorders>
          </w:tcPr>
          <w:p>
            <w:pPr/>
          </w:p>
        </w:tc>
      </w:tr>
      <w:tr>
        <w:trPr>
          <w:trHeight w:val="757"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8"/>
              <w:ind w:left="52" w:right="93"/>
              <w:jc w:val="both"/>
              <w:rPr>
                <w:rFonts w:ascii="宋体" w:hAnsi="宋体" w:cs="宋体" w:eastAsia="宋体" w:hint="default"/>
                <w:sz w:val="16"/>
                <w:szCs w:val="16"/>
              </w:rPr>
            </w:pPr>
            <w:r>
              <w:rPr>
                <w:rFonts w:ascii="宋体" w:hAnsi="宋体" w:cs="宋体" w:eastAsia="宋体" w:hint="default"/>
                <w:spacing w:val="-13"/>
                <w:sz w:val="16"/>
                <w:szCs w:val="16"/>
              </w:rPr>
              <w:t>杭州格像</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7"/>
                <w:sz w:val="16"/>
              </w:rPr>
              <w:t>3,983,311.81</w:t>
            </w:r>
          </w:p>
        </w:tc>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232,481.94</w:t>
            </w: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12,176,716.35</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16,392,510.10</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756"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2" w:right="93"/>
              <w:jc w:val="both"/>
              <w:rPr>
                <w:rFonts w:ascii="宋体" w:hAnsi="宋体" w:cs="宋体" w:eastAsia="宋体" w:hint="default"/>
                <w:sz w:val="16"/>
                <w:szCs w:val="16"/>
              </w:rPr>
            </w:pPr>
            <w:r>
              <w:rPr>
                <w:rFonts w:ascii="宋体" w:hAnsi="宋体" w:cs="宋体" w:eastAsia="宋体" w:hint="default"/>
                <w:spacing w:val="-13"/>
                <w:sz w:val="16"/>
                <w:szCs w:val="16"/>
              </w:rPr>
              <w:t>深圳互连</w:t>
            </w:r>
            <w:r>
              <w:rPr>
                <w:rFonts w:ascii="宋体" w:hAnsi="宋体" w:cs="宋体" w:eastAsia="宋体" w:hint="default"/>
                <w:spacing w:val="-78"/>
                <w:sz w:val="16"/>
                <w:szCs w:val="16"/>
              </w:rPr>
              <w:t> </w:t>
            </w:r>
            <w:r>
              <w:rPr>
                <w:rFonts w:ascii="宋体" w:hAnsi="宋体" w:cs="宋体" w:eastAsia="宋体" w:hint="default"/>
                <w:spacing w:val="-13"/>
                <w:sz w:val="16"/>
                <w:szCs w:val="16"/>
              </w:rPr>
              <w:t>科技有限</w:t>
            </w:r>
            <w:r>
              <w:rPr>
                <w:rFonts w:ascii="宋体" w:hAnsi="宋体" w:cs="宋体" w:eastAsia="宋体" w:hint="default"/>
                <w:spacing w:val="-78"/>
                <w:sz w:val="16"/>
                <w:szCs w:val="16"/>
              </w:rPr>
              <w:t> </w:t>
            </w:r>
            <w:r>
              <w:rPr>
                <w:rFonts w:ascii="宋体" w:hAnsi="宋体" w:cs="宋体" w:eastAsia="宋体" w:hint="default"/>
                <w:spacing w:val="-13"/>
                <w:sz w:val="16"/>
                <w:szCs w:val="16"/>
              </w:rPr>
              <w:t>公司</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1,395,501.05</w:t>
            </w:r>
            <w:r>
              <w:rPr>
                <w:rFonts w:ascii="Times New Roman"/>
                <w:spacing w:val="-6"/>
                <w:sz w:val="16"/>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4"/>
              <w:jc w:val="right"/>
              <w:rPr>
                <w:rFonts w:ascii="Times New Roman" w:hAnsi="Times New Roman" w:cs="Times New Roman" w:eastAsia="Times New Roman" w:hint="default"/>
                <w:sz w:val="16"/>
                <w:szCs w:val="16"/>
              </w:rPr>
            </w:pPr>
            <w:r>
              <w:rPr>
                <w:rFonts w:ascii="Times New Roman"/>
                <w:spacing w:val="-6"/>
                <w:sz w:val="16"/>
              </w:rPr>
              <w:t>-32,332.43</w:t>
            </w: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sz w:val="16"/>
              </w:rPr>
              <w:t>347,331.25</w:t>
            </w: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42"/>
              <w:jc w:val="right"/>
              <w:rPr>
                <w:rFonts w:ascii="Times New Roman" w:hAnsi="Times New Roman" w:cs="Times New Roman" w:eastAsia="Times New Roman" w:hint="default"/>
                <w:sz w:val="16"/>
                <w:szCs w:val="16"/>
              </w:rPr>
            </w:pPr>
            <w:r>
              <w:rPr>
                <w:rFonts w:ascii="Times New Roman"/>
                <w:spacing w:val="-6"/>
                <w:w w:val="95"/>
                <w:sz w:val="16"/>
              </w:rPr>
              <w:t>1,710,499.87</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52" w:right="0"/>
              <w:jc w:val="left"/>
              <w:rPr>
                <w:rFonts w:ascii="宋体" w:hAnsi="宋体" w:cs="宋体" w:eastAsia="宋体" w:hint="default"/>
                <w:sz w:val="16"/>
                <w:szCs w:val="16"/>
              </w:rPr>
            </w:pPr>
            <w:r>
              <w:rPr>
                <w:rFonts w:ascii="宋体" w:hAnsi="宋体" w:cs="宋体" w:eastAsia="宋体" w:hint="default"/>
                <w:spacing w:val="-13"/>
                <w:sz w:val="16"/>
                <w:szCs w:val="16"/>
              </w:rPr>
              <w:t>小计</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2"/>
              <w:jc w:val="right"/>
              <w:rPr>
                <w:rFonts w:ascii="Times New Roman" w:hAnsi="Times New Roman" w:cs="Times New Roman" w:eastAsia="Times New Roman" w:hint="default"/>
                <w:sz w:val="16"/>
                <w:szCs w:val="16"/>
              </w:rPr>
            </w:pPr>
            <w:r>
              <w:rPr>
                <w:rFonts w:ascii="Times New Roman"/>
                <w:spacing w:val="-6"/>
                <w:w w:val="95"/>
                <w:sz w:val="16"/>
              </w:rPr>
              <w:t>5,409,881.65</w:t>
            </w:r>
            <w:r>
              <w:rPr>
                <w:rFonts w:ascii="Times New Roman"/>
                <w:spacing w:val="-6"/>
                <w:sz w:val="16"/>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4"/>
              <w:jc w:val="right"/>
              <w:rPr>
                <w:rFonts w:ascii="Times New Roman" w:hAnsi="Times New Roman" w:cs="Times New Roman" w:eastAsia="Times New Roman" w:hint="default"/>
                <w:sz w:val="16"/>
                <w:szCs w:val="16"/>
              </w:rPr>
            </w:pPr>
            <w:r>
              <w:rPr>
                <w:rFonts w:ascii="Times New Roman"/>
                <w:spacing w:val="-6"/>
                <w:sz w:val="16"/>
              </w:rPr>
              <w:t>303,339.85</w:t>
            </w: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2"/>
              <w:jc w:val="right"/>
              <w:rPr>
                <w:rFonts w:ascii="Times New Roman" w:hAnsi="Times New Roman" w:cs="Times New Roman" w:eastAsia="Times New Roman" w:hint="default"/>
                <w:sz w:val="16"/>
                <w:szCs w:val="16"/>
              </w:rPr>
            </w:pPr>
            <w:r>
              <w:rPr>
                <w:rFonts w:ascii="Times New Roman"/>
                <w:spacing w:val="-6"/>
                <w:w w:val="95"/>
                <w:sz w:val="16"/>
              </w:rPr>
              <w:t>12,526,132.29</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7" w:right="0"/>
              <w:jc w:val="center"/>
              <w:rPr>
                <w:rFonts w:ascii="Times New Roman" w:hAnsi="Times New Roman" w:cs="Times New Roman" w:eastAsia="Times New Roman" w:hint="default"/>
                <w:sz w:val="16"/>
                <w:szCs w:val="16"/>
              </w:rPr>
            </w:pPr>
            <w:r>
              <w:rPr>
                <w:rFonts w:ascii="Times New Roman"/>
                <w:spacing w:val="-6"/>
                <w:sz w:val="16"/>
              </w:rPr>
              <w:t>10,055.19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2"/>
              <w:jc w:val="right"/>
              <w:rPr>
                <w:rFonts w:ascii="Times New Roman" w:hAnsi="Times New Roman" w:cs="Times New Roman" w:eastAsia="Times New Roman" w:hint="default"/>
                <w:sz w:val="16"/>
                <w:szCs w:val="16"/>
              </w:rPr>
            </w:pPr>
            <w:r>
              <w:rPr>
                <w:rFonts w:ascii="Times New Roman"/>
                <w:spacing w:val="-6"/>
                <w:w w:val="95"/>
                <w:sz w:val="16"/>
              </w:rPr>
              <w:t>18,249,408.98</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2" w:right="0"/>
              <w:jc w:val="left"/>
              <w:rPr>
                <w:rFonts w:ascii="宋体" w:hAnsi="宋体" w:cs="宋体" w:eastAsia="宋体" w:hint="default"/>
                <w:sz w:val="16"/>
                <w:szCs w:val="16"/>
              </w:rPr>
            </w:pPr>
            <w:r>
              <w:rPr>
                <w:rFonts w:ascii="宋体" w:hAnsi="宋体" w:cs="宋体" w:eastAsia="宋体" w:hint="default"/>
                <w:spacing w:val="-13"/>
                <w:sz w:val="16"/>
                <w:szCs w:val="16"/>
              </w:rPr>
              <w:t>合计</w:t>
            </w:r>
            <w:r>
              <w:rPr>
                <w:rFonts w:ascii="宋体" w:hAnsi="宋体" w:cs="宋体" w:eastAsia="宋体" w:hint="default"/>
                <w:sz w:val="16"/>
                <w:szCs w:val="16"/>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
              <w:jc w:val="right"/>
              <w:rPr>
                <w:rFonts w:ascii="Times New Roman" w:hAnsi="Times New Roman" w:cs="Times New Roman" w:eastAsia="Times New Roman" w:hint="default"/>
                <w:sz w:val="16"/>
                <w:szCs w:val="16"/>
              </w:rPr>
            </w:pPr>
            <w:r>
              <w:rPr>
                <w:rFonts w:ascii="Times New Roman"/>
                <w:spacing w:val="-6"/>
                <w:w w:val="95"/>
                <w:sz w:val="16"/>
              </w:rPr>
              <w:t>26,043,689.48</w:t>
            </w:r>
            <w:r>
              <w:rPr>
                <w:rFonts w:ascii="Times New Roman"/>
                <w:spacing w:val="-6"/>
                <w:sz w:val="16"/>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4"/>
              <w:jc w:val="right"/>
              <w:rPr>
                <w:rFonts w:ascii="Times New Roman" w:hAnsi="Times New Roman" w:cs="Times New Roman" w:eastAsia="Times New Roman" w:hint="default"/>
                <w:sz w:val="16"/>
                <w:szCs w:val="16"/>
              </w:rPr>
            </w:pPr>
            <w:r>
              <w:rPr>
                <w:rFonts w:ascii="Times New Roman"/>
                <w:spacing w:val="-6"/>
                <w:w w:val="95"/>
                <w:sz w:val="16"/>
              </w:rPr>
              <w:t>1,026,619.97</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
              <w:jc w:val="right"/>
              <w:rPr>
                <w:rFonts w:ascii="Times New Roman" w:hAnsi="Times New Roman" w:cs="Times New Roman" w:eastAsia="Times New Roman" w:hint="default"/>
                <w:sz w:val="16"/>
                <w:szCs w:val="16"/>
              </w:rPr>
            </w:pPr>
            <w:r>
              <w:rPr>
                <w:rFonts w:ascii="Times New Roman"/>
                <w:spacing w:val="-6"/>
                <w:w w:val="95"/>
                <w:sz w:val="16"/>
              </w:rPr>
              <w:t>12,530,981.77</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 w:right="0"/>
              <w:jc w:val="center"/>
              <w:rPr>
                <w:rFonts w:ascii="Times New Roman" w:hAnsi="Times New Roman" w:cs="Times New Roman" w:eastAsia="Times New Roman" w:hint="default"/>
                <w:sz w:val="16"/>
                <w:szCs w:val="16"/>
              </w:rPr>
            </w:pPr>
            <w:r>
              <w:rPr>
                <w:rFonts w:ascii="Times New Roman"/>
                <w:spacing w:val="-6"/>
                <w:sz w:val="16"/>
              </w:rPr>
              <w:t>76,561.63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
              <w:jc w:val="right"/>
              <w:rPr>
                <w:rFonts w:ascii="Times New Roman" w:hAnsi="Times New Roman" w:cs="Times New Roman" w:eastAsia="Times New Roman" w:hint="default"/>
                <w:sz w:val="16"/>
                <w:szCs w:val="16"/>
              </w:rPr>
            </w:pPr>
            <w:r>
              <w:rPr>
                <w:rFonts w:ascii="Times New Roman"/>
                <w:spacing w:val="-6"/>
                <w:w w:val="95"/>
                <w:sz w:val="16"/>
              </w:rPr>
              <w:t>39,677,852.85</w:t>
            </w:r>
            <w:r>
              <w:rPr>
                <w:rFonts w:ascii="Times New Roman"/>
                <w:spacing w:val="-6"/>
                <w:sz w:val="16"/>
              </w:rPr>
            </w:r>
          </w:p>
        </w:tc>
        <w:tc>
          <w:tcPr>
            <w:tcW w:w="7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Heading4"/>
        <w:spacing w:line="240" w:lineRule="auto" w:before="35"/>
        <w:ind w:right="0"/>
        <w:jc w:val="left"/>
        <w:rPr>
          <w:b w:val="0"/>
          <w:bCs w:val="0"/>
        </w:rPr>
      </w:pPr>
      <w:bookmarkStart w:name="（3）其他说明" w:id="468"/>
      <w:bookmarkEnd w:id="468"/>
      <w:r>
        <w:rPr>
          <w:b w:val="0"/>
          <w:bCs w:val="0"/>
        </w:rPr>
      </w:r>
      <w:r>
        <w:rPr/>
        <w:t>（</w:t>
      </w:r>
      <w:r>
        <w:rPr>
          <w:rFonts w:ascii="Times New Roman" w:hAnsi="Times New Roman" w:cs="Times New Roman" w:eastAsia="Times New Roman" w:hint="default"/>
        </w:rPr>
        <w:t>3</w:t>
      </w:r>
      <w:r>
        <w:rPr/>
        <w:t>）其他说明</w:t>
      </w:r>
      <w:r>
        <w:rPr>
          <w:b w:val="0"/>
          <w:bCs w:val="0"/>
        </w:rPr>
      </w:r>
    </w:p>
    <w:p>
      <w:pPr>
        <w:spacing w:after="0" w:line="240" w:lineRule="auto"/>
        <w:jc w:val="left"/>
        <w:sectPr>
          <w:pgSz w:w="11910" w:h="16840"/>
          <w:pgMar w:header="877" w:footer="979" w:top="1100" w:bottom="1160" w:left="0" w:right="0"/>
        </w:sectPr>
      </w:pPr>
    </w:p>
    <w:p>
      <w:pPr>
        <w:spacing w:line="240" w:lineRule="auto" w:before="3"/>
        <w:rPr>
          <w:rFonts w:ascii="宋体" w:hAnsi="宋体" w:cs="宋体" w:eastAsia="宋体" w:hint="default"/>
          <w:b/>
          <w:bCs/>
          <w:sz w:val="24"/>
          <w:szCs w:val="24"/>
        </w:rPr>
      </w:pPr>
    </w:p>
    <w:p>
      <w:pPr>
        <w:pStyle w:val="BodyText"/>
        <w:spacing w:line="324" w:lineRule="exact"/>
        <w:ind w:right="0"/>
        <w:jc w:val="left"/>
        <w:rPr>
          <w:rFonts w:ascii="微软雅黑" w:hAnsi="微软雅黑" w:cs="微软雅黑" w:eastAsia="微软雅黑" w:hint="default"/>
        </w:rPr>
      </w:pPr>
      <w:bookmarkStart w:name="4、营业收入和营业成本" w:id="469"/>
      <w:bookmarkEnd w:id="469"/>
      <w:r>
        <w:rPr/>
      </w:r>
      <w:r>
        <w:rPr>
          <w:rFonts w:ascii="Times New Roman" w:hAnsi="Times New Roman" w:cs="Times New Roman" w:eastAsia="Times New Roman" w:hint="default"/>
        </w:rPr>
        <w:t>4</w:t>
      </w:r>
      <w:r>
        <w:rPr>
          <w:rFonts w:ascii="微软雅黑" w:hAnsi="微软雅黑" w:cs="微软雅黑" w:eastAsia="微软雅黑" w:hint="default"/>
        </w:rPr>
        <w:t>、营业收入和营业成本</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2052"/>
        <w:gridCol w:w="1893"/>
        <w:gridCol w:w="1969"/>
        <w:gridCol w:w="1971"/>
        <w:gridCol w:w="1970"/>
      </w:tblGrid>
      <w:tr>
        <w:trPr>
          <w:trHeight w:val="407" w:hRule="exact"/>
        </w:trPr>
        <w:tc>
          <w:tcPr>
            <w:tcW w:w="2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052" w:type="dxa"/>
            <w:vMerge/>
            <w:tcBorders>
              <w:left w:val="single" w:sz="4" w:space="0" w:color="000000"/>
              <w:bottom w:val="single" w:sz="4" w:space="0" w:color="000000"/>
              <w:right w:val="single" w:sz="4" w:space="0" w:color="000000"/>
            </w:tcBorders>
            <w:shd w:val="clear" w:color="auto" w:fill="D2D2D2"/>
          </w:tcPr>
          <w:p>
            <w:pP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8"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590,166,154.00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407,058,768.02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662,171,731.60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414,175,780.51</w:t>
            </w:r>
          </w:p>
        </w:tc>
      </w:tr>
      <w:tr>
        <w:trPr>
          <w:trHeight w:val="407"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93" w:type="dxa"/>
            <w:tcBorders>
              <w:top w:val="single" w:sz="4" w:space="0" w:color="000000"/>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187,754.72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180,156.77</w:t>
            </w:r>
          </w:p>
        </w:tc>
      </w:tr>
      <w:tr>
        <w:trPr>
          <w:trHeight w:val="408"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590,166,154.00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407,058,768.02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662,359,486.32</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414,355,937.28</w:t>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其他说明：</w:t>
      </w:r>
    </w:p>
    <w:p>
      <w:pPr>
        <w:spacing w:line="240" w:lineRule="auto" w:before="1"/>
        <w:rPr>
          <w:rFonts w:ascii="宋体" w:hAnsi="宋体" w:cs="宋体" w:eastAsia="宋体" w:hint="default"/>
          <w:sz w:val="21"/>
          <w:szCs w:val="21"/>
        </w:rPr>
      </w:pPr>
    </w:p>
    <w:p>
      <w:pPr>
        <w:pStyle w:val="BodyText"/>
        <w:spacing w:line="240" w:lineRule="auto"/>
        <w:ind w:left="1553" w:right="0"/>
        <w:jc w:val="left"/>
        <w:rPr>
          <w:rFonts w:ascii="微软雅黑" w:hAnsi="微软雅黑" w:cs="微软雅黑" w:eastAsia="微软雅黑" w:hint="default"/>
        </w:rPr>
      </w:pPr>
      <w:bookmarkStart w:name="5、投资收益" w:id="470"/>
      <w:bookmarkEnd w:id="470"/>
      <w:r>
        <w:rPr/>
      </w:r>
      <w:r>
        <w:rPr>
          <w:rFonts w:ascii="Times New Roman" w:hAnsi="Times New Roman" w:cs="Times New Roman" w:eastAsia="Times New Roman" w:hint="default"/>
        </w:rPr>
        <w:t>5</w:t>
      </w:r>
      <w:r>
        <w:rPr>
          <w:rFonts w:ascii="微软雅黑" w:hAnsi="微软雅黑" w:cs="微软雅黑" w:eastAsia="微软雅黑" w:hint="default"/>
        </w:rPr>
        <w:t>、投资收益</w:t>
      </w:r>
    </w:p>
    <w:p>
      <w:pPr>
        <w:spacing w:line="240" w:lineRule="auto" w:before="8"/>
        <w:rPr>
          <w:rFonts w:ascii="微软雅黑" w:hAnsi="微软雅黑" w:cs="微软雅黑" w:eastAsia="微软雅黑"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424"/>
        <w:gridCol w:w="3150"/>
        <w:gridCol w:w="3281"/>
      </w:tblGrid>
      <w:tr>
        <w:trPr>
          <w:trHeight w:val="404"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1,026,619.97</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-9,659,723.92</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5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4,428,398.10</w:t>
            </w:r>
          </w:p>
        </w:tc>
      </w:tr>
      <w:tr>
        <w:trPr>
          <w:trHeight w:val="714"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 损益的金融资产取得的投资收益</w:t>
            </w:r>
          </w:p>
        </w:tc>
        <w:tc>
          <w:tcPr>
            <w:tcW w:w="315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764,894.81</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拆借款利息收入</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379,434.28</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43,238.98</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1,406,054.25</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-4,423,192.03</w:t>
            </w:r>
          </w:p>
        </w:tc>
      </w:tr>
    </w:tbl>
    <w:p>
      <w:pPr>
        <w:spacing w:line="240" w:lineRule="auto" w:before="0"/>
        <w:rPr>
          <w:rFonts w:ascii="宋体" w:hAnsi="宋体" w:cs="宋体" w:eastAsia="宋体" w:hint="default"/>
          <w:sz w:val="26"/>
          <w:szCs w:val="26"/>
        </w:rPr>
      </w:pPr>
    </w:p>
    <w:p>
      <w:pPr>
        <w:pStyle w:val="Heading2"/>
        <w:spacing w:line="397" w:lineRule="exact"/>
        <w:ind w:right="0"/>
        <w:jc w:val="left"/>
      </w:pPr>
      <w:bookmarkStart w:name="十八、补充资料" w:id="471"/>
      <w:bookmarkEnd w:id="471"/>
      <w:r>
        <w:rPr/>
      </w:r>
      <w:r>
        <w:rPr/>
        <w:t>十八、补充资料</w:t>
      </w:r>
    </w:p>
    <w:p>
      <w:pPr>
        <w:spacing w:line="240" w:lineRule="auto" w:before="11"/>
        <w:rPr>
          <w:rFonts w:ascii="微软雅黑" w:hAnsi="微软雅黑" w:cs="微软雅黑" w:eastAsia="微软雅黑" w:hint="default"/>
          <w:sz w:val="23"/>
          <w:szCs w:val="23"/>
        </w:rPr>
      </w:pPr>
    </w:p>
    <w:p>
      <w:pPr>
        <w:pStyle w:val="BodyText"/>
        <w:spacing w:line="240" w:lineRule="auto"/>
        <w:ind w:left="1553" w:right="0"/>
        <w:jc w:val="left"/>
        <w:rPr>
          <w:rFonts w:ascii="微软雅黑" w:hAnsi="微软雅黑" w:cs="微软雅黑" w:eastAsia="微软雅黑" w:hint="default"/>
        </w:rPr>
      </w:pPr>
      <w:bookmarkStart w:name="1、当期非经常性损益明细表" w:id="472"/>
      <w:bookmarkEnd w:id="472"/>
      <w:r>
        <w:rPr/>
      </w:r>
      <w:r>
        <w:rPr>
          <w:rFonts w:ascii="Times New Roman" w:hAnsi="Times New Roman" w:cs="Times New Roman" w:eastAsia="Times New Roman" w:hint="default"/>
        </w:rPr>
        <w:t>1</w:t>
      </w:r>
      <w:r>
        <w:rPr>
          <w:rFonts w:ascii="微软雅黑" w:hAnsi="微软雅黑" w:cs="微软雅黑" w:eastAsia="微软雅黑" w:hint="default"/>
        </w:rPr>
        <w:t>、当期非经常性损益明细表</w:t>
      </w:r>
    </w:p>
    <w:p>
      <w:pPr>
        <w:spacing w:line="240" w:lineRule="auto" w:before="6"/>
        <w:rPr>
          <w:rFonts w:ascii="微软雅黑" w:hAnsi="微软雅黑" w:cs="微软雅黑" w:eastAsia="微软雅黑" w:hint="default"/>
          <w:sz w:val="23"/>
          <w:szCs w:val="23"/>
        </w:rPr>
      </w:pPr>
    </w:p>
    <w:p>
      <w:pPr>
        <w:pStyle w:val="BodyText"/>
        <w:spacing w:line="240" w:lineRule="auto"/>
        <w:ind w:left="15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7"/>
          <w:szCs w:val="17"/>
        </w:rPr>
      </w:pPr>
    </w:p>
    <w:p>
      <w:pPr>
        <w:spacing w:before="44"/>
        <w:ind w:left="0" w:right="1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7"/>
          <w:szCs w:val="7"/>
        </w:rPr>
      </w:pPr>
    </w:p>
    <w:tbl>
      <w:tblPr>
        <w:tblW w:w="0" w:type="auto"/>
        <w:jc w:val="left"/>
        <w:tblInd w:w="1021" w:type="dxa"/>
        <w:tblLayout w:type="fixed"/>
        <w:tblCellMar>
          <w:top w:w="0" w:type="dxa"/>
          <w:left w:w="0" w:type="dxa"/>
          <w:bottom w:w="0" w:type="dxa"/>
          <w:right w:w="0" w:type="dxa"/>
        </w:tblCellMar>
        <w:tblLook w:val="01E0"/>
      </w:tblPr>
      <w:tblGrid>
        <w:gridCol w:w="3424"/>
        <w:gridCol w:w="3150"/>
        <w:gridCol w:w="3281"/>
      </w:tblGrid>
      <w:tr>
        <w:trPr>
          <w:trHeight w:val="404"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9"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-200,986.37</w:t>
            </w:r>
            <w:r>
              <w:rPr>
                <w:rFonts w:ascii="Times New Roman"/>
                <w:sz w:val="18"/>
              </w:rPr>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834"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34"/>
              <w:ind w:left="103" w:right="102"/>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切相关，按照国家统一标准定额或定量享</w:t>
            </w:r>
            <w:r>
              <w:rPr>
                <w:rFonts w:ascii="宋体" w:hAnsi="宋体" w:cs="宋体" w:eastAsia="宋体" w:hint="default"/>
                <w:sz w:val="18"/>
                <w:szCs w:val="18"/>
              </w:rPr>
              <w:t> 受的政府补助除外）</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14,928,741.27</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602"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24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 金占用费</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115,166.28</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6"/>
              <w:ind w:left="103" w:right="102"/>
              <w:jc w:val="left"/>
              <w:rPr>
                <w:rFonts w:ascii="宋体" w:hAnsi="宋体" w:cs="宋体" w:eastAsia="宋体" w:hint="default"/>
                <w:sz w:val="18"/>
                <w:szCs w:val="18"/>
              </w:rPr>
            </w:pPr>
            <w:r>
              <w:rPr>
                <w:rFonts w:ascii="宋体" w:hAnsi="宋体" w:cs="宋体" w:eastAsia="宋体" w:hint="default"/>
                <w:spacing w:val="-2"/>
                <w:sz w:val="18"/>
                <w:szCs w:val="18"/>
              </w:rPr>
              <w:t>企业重组费用，如安置职工的支出、整合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费用等</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-5,819,558.37</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540"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8"/>
              <w:ind w:left="103" w:right="10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w:t>
            </w:r>
            <w:r>
              <w:rPr>
                <w:rFonts w:ascii="宋体" w:hAnsi="宋体" w:cs="宋体" w:eastAsia="宋体" w:hint="default"/>
                <w:spacing w:val="-2"/>
                <w:sz w:val="18"/>
                <w:szCs w:val="18"/>
              </w:rPr>
              <w:t>保值业务外，持有交易性金融资产、交易</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pacing w:val="-1"/>
                <w:sz w:val="18"/>
              </w:rPr>
              <w:t>-13,928,616.26</w:t>
            </w:r>
          </w:p>
        </w:tc>
        <w:tc>
          <w:tcPr>
            <w:tcW w:w="32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0" w:right="0"/>
        </w:sectPr>
      </w:pPr>
    </w:p>
    <w:p>
      <w:pPr>
        <w:spacing w:line="240" w:lineRule="auto" w:before="6"/>
        <w:rPr>
          <w:rFonts w:ascii="宋体" w:hAnsi="宋体" w:cs="宋体" w:eastAsia="宋体" w:hint="default"/>
          <w:sz w:val="24"/>
          <w:szCs w:val="24"/>
        </w:rPr>
      </w:pPr>
    </w:p>
    <w:tbl>
      <w:tblPr>
        <w:tblW w:w="0" w:type="auto"/>
        <w:jc w:val="left"/>
        <w:tblInd w:w="1021" w:type="dxa"/>
        <w:tblLayout w:type="fixed"/>
        <w:tblCellMar>
          <w:top w:w="0" w:type="dxa"/>
          <w:left w:w="0" w:type="dxa"/>
          <w:bottom w:w="0" w:type="dxa"/>
          <w:right w:w="0" w:type="dxa"/>
        </w:tblCellMar>
        <w:tblLook w:val="01E0"/>
      </w:tblPr>
      <w:tblGrid>
        <w:gridCol w:w="3424"/>
        <w:gridCol w:w="3150"/>
        <w:gridCol w:w="3281"/>
      </w:tblGrid>
      <w:tr>
        <w:trPr>
          <w:trHeight w:val="773"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性金融负债产生的公允价值变动损益，以</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2"/>
                <w:sz w:val="18"/>
                <w:szCs w:val="18"/>
              </w:rPr>
              <w:t>及处置交易性金融资产、交易性金融负债</w:t>
            </w:r>
            <w:r>
              <w:rPr>
                <w:rFonts w:ascii="宋体" w:hAnsi="宋体" w:cs="宋体" w:eastAsia="宋体" w:hint="default"/>
                <w:sz w:val="18"/>
                <w:szCs w:val="18"/>
              </w:rPr>
              <w:t> 和可供出售金融资产取得的投资收益</w:t>
            </w:r>
          </w:p>
        </w:tc>
        <w:tc>
          <w:tcPr>
            <w:tcW w:w="315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600"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57"/>
              <w:ind w:left="103" w:right="2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128,037.48</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或有对价公允价值变动</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17,918,900.00</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无形资产评估对外投资</w:t>
            </w:r>
          </w:p>
        </w:tc>
        <w:tc>
          <w:tcPr>
            <w:tcW w:w="315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2,775,809.23</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463,337.94</w:t>
            </w:r>
          </w:p>
        </w:tc>
        <w:tc>
          <w:tcPr>
            <w:tcW w:w="3281" w:type="dxa"/>
            <w:tcBorders>
              <w:top w:val="single" w:sz="4" w:space="0" w:color="000000"/>
              <w:left w:val="single" w:sz="4" w:space="0" w:color="000000"/>
              <w:bottom w:val="single" w:sz="17" w:space="0" w:color="D2D2D2"/>
              <w:right w:val="single" w:sz="4" w:space="0" w:color="000000"/>
            </w:tcBorders>
          </w:tcPr>
          <w:p>
            <w:pP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9,902,536.86</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4"/>
        <w:rPr>
          <w:rFonts w:ascii="宋体" w:hAnsi="宋体" w:cs="宋体" w:eastAsia="宋体" w:hint="default"/>
          <w:sz w:val="11"/>
          <w:szCs w:val="11"/>
        </w:rPr>
      </w:pPr>
    </w:p>
    <w:p>
      <w:pPr>
        <w:pStyle w:val="BodyText"/>
        <w:spacing w:line="240" w:lineRule="auto" w:before="35"/>
        <w:ind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w:t>
      </w:r>
    </w:p>
    <w:p>
      <w:pPr>
        <w:pStyle w:val="BodyText"/>
        <w:spacing w:line="280" w:lineRule="auto" w:before="49"/>
        <w:ind w:left="1133" w:right="1116"/>
        <w:jc w:val="left"/>
      </w:pPr>
      <w:r>
        <w:rPr/>
        <w:t>性损益项目，以及把《公开发行证券的公司信息披露解释性公告第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 常性损益项目界定为经常性损益的项目，应说明原因。</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1"/>
        <w:rPr>
          <w:rFonts w:ascii="宋体" w:hAnsi="宋体" w:cs="宋体" w:eastAsia="宋体" w:hint="default"/>
          <w:sz w:val="19"/>
          <w:szCs w:val="19"/>
        </w:rPr>
      </w:pPr>
    </w:p>
    <w:p>
      <w:pPr>
        <w:pStyle w:val="BodyText"/>
        <w:spacing w:line="240" w:lineRule="auto"/>
        <w:ind w:right="0"/>
        <w:jc w:val="left"/>
        <w:rPr>
          <w:rFonts w:ascii="微软雅黑" w:hAnsi="微软雅黑" w:cs="微软雅黑" w:eastAsia="微软雅黑" w:hint="default"/>
        </w:rPr>
      </w:pPr>
      <w:bookmarkStart w:name="2、净资产收益率及每股收益" w:id="473"/>
      <w:bookmarkEnd w:id="473"/>
      <w:r>
        <w:rPr/>
      </w:r>
      <w:r>
        <w:rPr>
          <w:rFonts w:ascii="Times New Roman" w:hAnsi="Times New Roman" w:cs="Times New Roman" w:eastAsia="Times New Roman" w:hint="default"/>
        </w:rPr>
        <w:t>2</w:t>
      </w:r>
      <w:r>
        <w:rPr>
          <w:rFonts w:ascii="微软雅黑" w:hAnsi="微软雅黑" w:cs="微软雅黑" w:eastAsia="微软雅黑" w:hint="default"/>
        </w:rPr>
        <w:t>、净资产收益率及每股收益</w:t>
      </w:r>
    </w:p>
    <w:p>
      <w:pPr>
        <w:spacing w:line="240" w:lineRule="auto" w:before="14"/>
        <w:rPr>
          <w:rFonts w:ascii="微软雅黑" w:hAnsi="微软雅黑" w:cs="微软雅黑" w:eastAsia="微软雅黑" w:hint="default"/>
          <w:sz w:val="21"/>
          <w:szCs w:val="21"/>
        </w:rPr>
      </w:pPr>
    </w:p>
    <w:tbl>
      <w:tblPr>
        <w:tblW w:w="0" w:type="auto"/>
        <w:jc w:val="left"/>
        <w:tblInd w:w="1021" w:type="dxa"/>
        <w:tblLayout w:type="fixed"/>
        <w:tblCellMar>
          <w:top w:w="0" w:type="dxa"/>
          <w:left w:w="0" w:type="dxa"/>
          <w:bottom w:w="0" w:type="dxa"/>
          <w:right w:w="0" w:type="dxa"/>
        </w:tblCellMar>
        <w:tblLook w:val="01E0"/>
      </w:tblPr>
      <w:tblGrid>
        <w:gridCol w:w="2742"/>
        <w:gridCol w:w="3172"/>
        <w:gridCol w:w="1971"/>
        <w:gridCol w:w="1970"/>
      </w:tblGrid>
      <w:tr>
        <w:trPr>
          <w:trHeight w:val="407" w:hRule="exact"/>
        </w:trPr>
        <w:tc>
          <w:tcPr>
            <w:tcW w:w="2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微软雅黑" w:hAnsi="微软雅黑" w:cs="微软雅黑" w:eastAsia="微软雅黑"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3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微软雅黑" w:hAnsi="微软雅黑" w:cs="微软雅黑" w:eastAsia="微软雅黑" w:hint="default"/>
                <w:sz w:val="14"/>
                <w:szCs w:val="14"/>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7" w:hRule="exact"/>
        </w:trPr>
        <w:tc>
          <w:tcPr>
            <w:tcW w:w="2742" w:type="dxa"/>
            <w:vMerge/>
            <w:tcBorders>
              <w:left w:val="single" w:sz="4" w:space="0" w:color="000000"/>
              <w:bottom w:val="single" w:sz="4" w:space="0" w:color="000000"/>
              <w:right w:val="single" w:sz="4" w:space="0" w:color="000000"/>
            </w:tcBorders>
            <w:shd w:val="clear" w:color="auto" w:fill="D2D2D2"/>
          </w:tcPr>
          <w:p>
            <w:pPr/>
          </w:p>
        </w:tc>
        <w:tc>
          <w:tcPr>
            <w:tcW w:w="3172" w:type="dxa"/>
            <w:vMerge/>
            <w:tcBorders>
              <w:left w:val="single" w:sz="4" w:space="0" w:color="000000"/>
              <w:bottom w:val="single" w:sz="4" w:space="0" w:color="000000"/>
              <w:right w:val="single" w:sz="4" w:space="0" w:color="000000"/>
            </w:tcBorders>
            <w:shd w:val="clear" w:color="auto" w:fill="D2D2D2"/>
          </w:tcPr>
          <w:p>
            <w:pP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
                <w:sz w:val="18"/>
                <w:szCs w:val="18"/>
              </w:rPr>
              <w:t>基本每股收益（元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
                <w:sz w:val="18"/>
                <w:szCs w:val="18"/>
              </w:rPr>
              <w:t>稀释每股收益（元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6.55%</w:t>
            </w:r>
          </w:p>
        </w:tc>
        <w:tc>
          <w:tcPr>
            <w:tcW w:w="197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0.1970</w:t>
            </w:r>
          </w:p>
        </w:tc>
        <w:tc>
          <w:tcPr>
            <w:tcW w:w="197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8"/>
                <w:szCs w:val="18"/>
              </w:rPr>
            </w:pPr>
            <w:r>
              <w:rPr>
                <w:rFonts w:ascii="Times New Roman"/>
                <w:sz w:val="18"/>
              </w:rPr>
              <w:t>0.1935</w:t>
            </w:r>
          </w:p>
        </w:tc>
      </w:tr>
      <w:tr>
        <w:trPr>
          <w:trHeight w:val="601"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3"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5.72%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0.1718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0"/>
                <w:szCs w:val="1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0.1690</w:t>
            </w:r>
          </w:p>
        </w:tc>
      </w:tr>
    </w:tbl>
    <w:p>
      <w:pPr>
        <w:spacing w:line="240" w:lineRule="auto" w:before="14"/>
        <w:rPr>
          <w:rFonts w:ascii="微软雅黑" w:hAnsi="微软雅黑" w:cs="微软雅黑" w:eastAsia="微软雅黑" w:hint="default"/>
          <w:sz w:val="8"/>
          <w:szCs w:val="8"/>
        </w:rPr>
      </w:pPr>
    </w:p>
    <w:p>
      <w:pPr>
        <w:pStyle w:val="BodyText"/>
        <w:spacing w:line="324" w:lineRule="exact"/>
        <w:ind w:right="0"/>
        <w:jc w:val="left"/>
        <w:rPr>
          <w:rFonts w:ascii="微软雅黑" w:hAnsi="微软雅黑" w:cs="微软雅黑" w:eastAsia="微软雅黑" w:hint="default"/>
        </w:rPr>
      </w:pPr>
      <w:bookmarkStart w:name="3、境内外会计准则下会计数据差异" w:id="474"/>
      <w:bookmarkEnd w:id="474"/>
      <w:r>
        <w:rPr/>
      </w:r>
      <w:r>
        <w:rPr>
          <w:rFonts w:ascii="Times New Roman" w:hAnsi="Times New Roman" w:cs="Times New Roman" w:eastAsia="Times New Roman" w:hint="default"/>
        </w:rPr>
        <w:t>3</w:t>
      </w:r>
      <w:r>
        <w:rPr>
          <w:rFonts w:ascii="微软雅黑" w:hAnsi="微软雅黑" w:cs="微软雅黑" w:eastAsia="微软雅黑" w:hint="default"/>
        </w:rPr>
        <w:t>、境内外会计准则下会计数据差异</w:t>
      </w:r>
    </w:p>
    <w:p>
      <w:pPr>
        <w:spacing w:line="240" w:lineRule="auto" w:before="6"/>
        <w:rPr>
          <w:rFonts w:ascii="微软雅黑" w:hAnsi="微软雅黑" w:cs="微软雅黑" w:eastAsia="微软雅黑" w:hint="default"/>
          <w:sz w:val="23"/>
          <w:szCs w:val="23"/>
        </w:rPr>
      </w:pPr>
    </w:p>
    <w:p>
      <w:pPr>
        <w:pStyle w:val="Heading4"/>
        <w:spacing w:line="240" w:lineRule="auto"/>
        <w:ind w:right="0"/>
        <w:jc w:val="left"/>
        <w:rPr>
          <w:b w:val="0"/>
          <w:bCs w:val="0"/>
        </w:rPr>
      </w:pPr>
      <w:bookmarkStart w:name="（1）同时按照国际会计准则与按中国会计准则披露的财务报告中净利润和净资产差异情况" w:id="475"/>
      <w:bookmarkEnd w:id="47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中国会计准则披露的财务报告中净利润和净资产差异情况" w:id="476"/>
      <w:bookmarkEnd w:id="47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77" w:footer="979" w:top="110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1"/>
        <w:spacing w:line="441" w:lineRule="exact"/>
        <w:ind w:right="2"/>
        <w:jc w:val="center"/>
        <w:rPr>
          <w:b w:val="0"/>
          <w:bCs w:val="0"/>
        </w:rPr>
      </w:pPr>
      <w:bookmarkStart w:name="第十二节 备查文件目录" w:id="477"/>
      <w:bookmarkEnd w:id="477"/>
      <w:r>
        <w:rPr>
          <w:b w:val="0"/>
          <w:bCs w:val="0"/>
        </w:rPr>
      </w:r>
      <w:bookmarkStart w:name="_bookmark11" w:id="478"/>
      <w:bookmarkEnd w:id="478"/>
      <w:r>
        <w:rPr>
          <w:b w:val="0"/>
          <w:bCs w:val="0"/>
        </w:rPr>
      </w:r>
      <w:r>
        <w:rPr/>
        <w:t>第十二节</w:t>
      </w:r>
      <w:r>
        <w:rPr>
          <w:spacing w:val="61"/>
        </w:rPr>
        <w:t> </w:t>
      </w:r>
      <w:r>
        <w:rPr/>
        <w:t>备查文件目录</w:t>
      </w:r>
      <w:r>
        <w:rPr>
          <w:b w:val="0"/>
          <w:bCs w:val="0"/>
        </w:rPr>
      </w:r>
    </w:p>
    <w:p>
      <w:pPr>
        <w:spacing w:line="240" w:lineRule="auto" w:before="0"/>
        <w:rPr>
          <w:rFonts w:ascii="微软雅黑" w:hAnsi="微软雅黑" w:cs="微软雅黑" w:eastAsia="微软雅黑" w:hint="default"/>
          <w:b/>
          <w:bCs/>
          <w:sz w:val="32"/>
          <w:szCs w:val="32"/>
        </w:rPr>
      </w:pPr>
    </w:p>
    <w:p>
      <w:pPr>
        <w:spacing w:line="240" w:lineRule="auto" w:before="12"/>
        <w:rPr>
          <w:rFonts w:ascii="微软雅黑" w:hAnsi="微软雅黑" w:cs="微软雅黑" w:eastAsia="微软雅黑" w:hint="default"/>
          <w:b/>
          <w:bCs/>
          <w:sz w:val="21"/>
          <w:szCs w:val="21"/>
        </w:rPr>
      </w:pPr>
    </w:p>
    <w:p>
      <w:pPr>
        <w:pStyle w:val="BodyText"/>
        <w:spacing w:line="240" w:lineRule="auto"/>
        <w:ind w:right="0"/>
        <w:jc w:val="left"/>
      </w:pPr>
      <w:r>
        <w:rPr/>
        <w:t>（一）公司负责人、主管会计工作负责人、会计机构负责人签名并盖章的财务报表</w:t>
      </w:r>
    </w:p>
    <w:p>
      <w:pPr>
        <w:spacing w:line="240" w:lineRule="auto" w:before="8"/>
        <w:rPr>
          <w:rFonts w:ascii="宋体" w:hAnsi="宋体" w:cs="宋体" w:eastAsia="宋体" w:hint="default"/>
          <w:sz w:val="21"/>
          <w:szCs w:val="21"/>
        </w:rPr>
      </w:pPr>
    </w:p>
    <w:p>
      <w:pPr>
        <w:pStyle w:val="BodyText"/>
        <w:spacing w:line="240" w:lineRule="auto"/>
        <w:ind w:left="1553" w:right="0"/>
        <w:jc w:val="left"/>
      </w:pPr>
      <w:r>
        <w:rPr/>
        <w:t>（二）会计师事务所盖章、注册会计师签名并盖章的审计报告</w:t>
      </w:r>
    </w:p>
    <w:sectPr>
      <w:pgSz w:w="11910" w:h="16840"/>
      <w:pgMar w:header="877" w:footer="979" w:top="110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2448"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2352" type="#_x0000_t75" stroked="false">
          <v:imagedata r:id="rId1" o:title=""/>
        </v:shape>
      </w:pict>
    </w:r>
    <w:r>
      <w:rPr/>
      <w:pict>
        <v:shape style="position:absolute;margin-left:291.200012pt;margin-top:781.957947pt;width:13pt;height:11pt;mso-position-horizontal-relative:page;mso-position-vertical-relative:page;z-index:-1062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62232" type="#_x0000_t75" stroked="false">
          <v:imagedata r:id="rId1" o:title=""/>
        </v:shape>
      </w:pict>
    </w:r>
    <w:r>
      <w:rPr/>
      <w:pict>
        <v:shape style="position:absolute;margin-left:414.480011pt;margin-top:535.357971pt;width:13pt;height:11pt;mso-position-horizontal-relative:page;mso-position-vertical-relative:page;z-index:-1062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2112" type="#_x0000_t75" stroked="false">
          <v:imagedata r:id="rId1" o:title=""/>
        </v:shape>
      </w:pict>
    </w:r>
    <w:r>
      <w:rPr/>
      <w:pict>
        <v:shape style="position:absolute;margin-left:291.200012pt;margin-top:781.957947pt;width:13pt;height:11pt;mso-position-horizontal-relative:page;mso-position-vertical-relative:page;z-index:-1062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61992" type="#_x0000_t75" stroked="false">
          <v:imagedata r:id="rId1" o:title=""/>
        </v:shape>
      </w:pict>
    </w:r>
    <w:r>
      <w:rPr/>
      <w:pict>
        <v:shape style="position:absolute;margin-left:414.480011pt;margin-top:535.357971pt;width:13pt;height:11pt;mso-position-horizontal-relative:page;mso-position-vertical-relative:page;z-index:-1061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1061944" type="#_x0000_t75" stroked="false">
          <v:imagedata r:id="rId1" o:title=""/>
        </v:shape>
      </w:pict>
    </w:r>
    <w:r>
      <w:rPr/>
      <w:pict>
        <v:shape style="position:absolute;margin-left:413.200012pt;margin-top:535.357971pt;width:15.5pt;height:11pt;mso-position-horizontal-relative:page;mso-position-vertical-relative:page;z-index:-10619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824" type="#_x0000_t75" stroked="false">
          <v:imagedata r:id="rId1" o:title=""/>
        </v:shape>
      </w:pict>
    </w:r>
    <w:r>
      <w:rPr/>
      <w:pict>
        <v:shape style="position:absolute;margin-left:288.920013pt;margin-top:781.957947pt;width:17.5pt;height:11pt;mso-position-horizontal-relative:page;mso-position-vertical-relative:page;z-index:-1061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776" type="#_x0000_t75" stroked="false">
          <v:imagedata r:id="rId1" o:title=""/>
        </v:shape>
      </w:pict>
    </w:r>
    <w:r>
      <w:rPr/>
      <w:pict>
        <v:shape style="position:absolute;margin-left:289.920013pt;margin-top:781.957947pt;width:15.5pt;height:11pt;mso-position-horizontal-relative:page;mso-position-vertical-relative:page;z-index:-1061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1728" type="#_x0000_t75" stroked="false">
          <v:imagedata r:id="rId1" o:title=""/>
        </v:shape>
      </w:pict>
    </w:r>
    <w:r>
      <w:rPr/>
      <w:pict>
        <v:shape style="position:absolute;margin-left:288.920013pt;margin-top:781.957947pt;width:17.5pt;height:11pt;mso-position-horizontal-relative:page;mso-position-vertical-relative:page;z-index:-1061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6242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5.700001pt;margin-top:42.865608pt;width:110pt;height:11pt;mso-position-horizontal-relative:page;mso-position-vertical-relative:page;z-index:-10624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xbxContent>
          </v:textbox>
          <w10:wrap type="none"/>
        </v:shape>
      </w:pict>
    </w:r>
    <w:r>
      <w:rPr/>
      <w:pict>
        <v:shape style="position:absolute;margin-left:451.76001pt;margin-top:42.865608pt;width:85.25pt;height:11.5pt;mso-position-horizontal-relative:page;mso-position-vertical-relative:page;z-index:-1062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1062304"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71pt;margin-top:42.865631pt;width:110pt;height:11pt;mso-position-horizontal-relative:page;mso-position-vertical-relative:page;z-index:-1062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xbxContent>
          </v:textbox>
          <w10:wrap type="none"/>
        </v:shape>
      </w:pict>
    </w:r>
    <w:r>
      <w:rPr/>
      <w:pict>
        <v:shape style="position:absolute;margin-left:467.040009pt;margin-top:42.865631pt;width:85.25pt;height:11.5pt;mso-position-horizontal-relative:page;mso-position-vertical-relative:page;z-index:-1062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6218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55.700001pt;margin-top:42.865608pt;width:110pt;height:11pt;mso-position-horizontal-relative:page;mso-position-vertical-relative:page;z-index:-10621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xbxContent>
          </v:textbox>
          <w10:wrap type="none"/>
        </v:shape>
      </w:pict>
    </w:r>
    <w:r>
      <w:rPr/>
      <w:pict>
        <v:shape style="position:absolute;margin-left:451.76001pt;margin-top:42.865608pt;width:85.25pt;height:11.5pt;mso-position-horizontal-relative:page;mso-position-vertical-relative:page;z-index:-10621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20007pt;width:731.6pt;height:.1pt;mso-position-horizontal-relative:page;mso-position-vertical-relative:page;z-index:-1062064" coordorigin="1104,1112" coordsize="14632,2">
          <v:shape style="position:absolute;left:1104;top:1112;width:14632;height:2" coordorigin="1104,1112" coordsize="14632,0" path="m1104,1112l15736,1112e" filled="false" stroked="true" strokeweight=".72pt" strokecolor="#000000">
            <v:path arrowok="t"/>
          </v:shape>
          <w10:wrap type="none"/>
        </v:group>
      </w:pict>
    </w:r>
    <w:r>
      <w:rPr/>
      <w:pict>
        <v:shape style="position:absolute;margin-left:55.700001pt;margin-top:42.865631pt;width:110pt;height:11pt;mso-position-horizontal-relative:page;mso-position-vertical-relative:page;z-index:-106204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xbxContent>
          </v:textbox>
          <w10:wrap type="none"/>
        </v:shape>
      </w:pict>
    </w:r>
    <w:r>
      <w:rPr/>
      <w:pict>
        <v:shape style="position:absolute;margin-left:699.23999pt;margin-top:42.865631pt;width:85.25pt;height:11.5pt;mso-position-horizontal-relative:page;mso-position-vertical-relative:page;z-index:-1062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0618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55.700001pt;margin-top:42.865608pt;width:110pt;height:11pt;mso-position-horizontal-relative:page;mso-position-vertical-relative:page;z-index:-10618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xbxContent>
          </v:textbox>
          <w10:wrap type="none"/>
        </v:shape>
      </w:pict>
    </w:r>
    <w:r>
      <w:rPr/>
      <w:pict>
        <v:shape style="position:absolute;margin-left:451.76001pt;margin-top:42.865608pt;width:85.25pt;height:11.5pt;mso-position-horizontal-relative:page;mso-position-vertical-relative:page;z-index:-10618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7"/>
      <w:ind w:left="1134"/>
    </w:pPr>
    <w:rPr>
      <w:rFonts w:ascii="宋体" w:hAnsi="宋体" w:eastAsia="宋体"/>
      <w:b/>
      <w:bCs/>
      <w:sz w:val="21"/>
      <w:szCs w:val="21"/>
    </w:rPr>
  </w:style>
  <w:style w:styleId="BodyText" w:type="paragraph">
    <w:name w:val="Body Text"/>
    <w:basedOn w:val="Normal"/>
    <w:uiPriority w:val="1"/>
    <w:qFormat/>
    <w:pPr>
      <w:ind w:left="1554"/>
    </w:pPr>
    <w:rPr>
      <w:rFonts w:ascii="宋体" w:hAnsi="宋体" w:eastAsia="宋体"/>
      <w:sz w:val="21"/>
      <w:szCs w:val="21"/>
    </w:rPr>
  </w:style>
  <w:style w:styleId="Heading1" w:type="paragraph">
    <w:name w:val="Heading 1"/>
    <w:basedOn w:val="Normal"/>
    <w:uiPriority w:val="1"/>
    <w:qFormat/>
    <w:pPr>
      <w:ind w:left="2"/>
      <w:outlineLvl w:val="1"/>
    </w:pPr>
    <w:rPr>
      <w:rFonts w:ascii="微软雅黑" w:hAnsi="微软雅黑" w:eastAsia="微软雅黑"/>
      <w:b/>
      <w:bCs/>
      <w:sz w:val="32"/>
      <w:szCs w:val="32"/>
    </w:rPr>
  </w:style>
  <w:style w:styleId="Heading2" w:type="paragraph">
    <w:name w:val="Heading 2"/>
    <w:basedOn w:val="Normal"/>
    <w:uiPriority w:val="1"/>
    <w:qFormat/>
    <w:pPr>
      <w:ind w:left="1134"/>
      <w:outlineLvl w:val="2"/>
    </w:pPr>
    <w:rPr>
      <w:rFonts w:ascii="微软雅黑" w:hAnsi="微软雅黑" w:eastAsia="微软雅黑"/>
      <w:sz w:val="28"/>
      <w:szCs w:val="28"/>
    </w:rPr>
  </w:style>
  <w:style w:styleId="Heading3" w:type="paragraph">
    <w:name w:val="Heading 3"/>
    <w:basedOn w:val="Normal"/>
    <w:uiPriority w:val="1"/>
    <w:qFormat/>
    <w:pPr>
      <w:ind w:left="1134"/>
      <w:outlineLvl w:val="3"/>
    </w:pPr>
    <w:rPr>
      <w:rFonts w:ascii="宋体" w:hAnsi="宋体" w:eastAsia="宋体"/>
      <w:sz w:val="24"/>
      <w:szCs w:val="24"/>
    </w:rPr>
  </w:style>
  <w:style w:styleId="Heading4" w:type="paragraph">
    <w:name w:val="Heading 4"/>
    <w:basedOn w:val="Normal"/>
    <w:uiPriority w:val="1"/>
    <w:qFormat/>
    <w:pPr>
      <w:ind w:left="1556"/>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thundersoft.com/" TargetMode="External"/><Relationship Id="rId10" Type="http://schemas.openxmlformats.org/officeDocument/2006/relationships/hyperlink" Target="mailto:zq@thundersoft.com" TargetMode="External"/><Relationship Id="rId11" Type="http://schemas.openxmlformats.org/officeDocument/2006/relationships/hyperlink" Target="http://www.szse.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image" Target="media/image4.png"/><Relationship Id="rId17" Type="http://schemas.openxmlformats.org/officeDocument/2006/relationships/hyperlink" Target="http://www.cninfo.com.cn/" TargetMode="Externa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中科创达软件股份有限公司</dc:creator>
  <dc:title>中科创达软件股份有限公司2017年年度报告全文</dc:title>
  <dcterms:created xsi:type="dcterms:W3CDTF">2020-05-03T00:55:33Z</dcterms:created>
  <dcterms:modified xsi:type="dcterms:W3CDTF">2020-05-03T00:55:33Z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Office Word 2007</vt:lpwstr>
  </property>
  <property fmtid="{D5CDD505-2E9C-101B-9397-08002B2CF9AE}" pid="4" name="LastSaved">
    <vt:filetime>2020-05-02T00:00:00Z</vt:filetime>
  </property>
</Properties>
</file>